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61967">
      <w:pPr>
        <w:wordWrap w:val="0"/>
        <w:jc w:val="right"/>
        <w:rPr>
          <w:color w:val="auto"/>
        </w:rPr>
      </w:pPr>
      <w:r>
        <w:rPr>
          <w:rFonts w:hint="eastAsia"/>
          <w:color w:val="auto"/>
        </w:rPr>
        <w:t xml:space="preserve">                     </w:t>
      </w:r>
    </w:p>
    <w:p w14:paraId="090C008E">
      <w:pPr>
        <w:jc w:val="right"/>
        <w:rPr>
          <w:color w:val="auto"/>
        </w:rPr>
      </w:pPr>
    </w:p>
    <w:p w14:paraId="699BE0D8">
      <w:pPr>
        <w:jc w:val="right"/>
        <w:rPr>
          <w:b/>
          <w:bCs/>
          <w:color w:val="auto"/>
          <w:sz w:val="52"/>
          <w:szCs w:val="52"/>
        </w:rPr>
      </w:pPr>
    </w:p>
    <w:p w14:paraId="5CA1CFBD">
      <w:pPr>
        <w:jc w:val="center"/>
        <w:rPr>
          <w:b/>
          <w:bCs/>
          <w:color w:val="auto"/>
          <w:sz w:val="36"/>
          <w:szCs w:val="36"/>
        </w:rPr>
      </w:pPr>
    </w:p>
    <w:p w14:paraId="5531B01B">
      <w:pPr>
        <w:jc w:val="center"/>
        <w:rPr>
          <w:b/>
          <w:bCs/>
          <w:color w:val="auto"/>
          <w:sz w:val="36"/>
          <w:szCs w:val="36"/>
        </w:rPr>
      </w:pPr>
    </w:p>
    <w:p w14:paraId="2C0BC4C2">
      <w:pPr>
        <w:jc w:val="center"/>
        <w:rPr>
          <w:b/>
          <w:bCs/>
          <w:color w:val="auto"/>
          <w:sz w:val="36"/>
          <w:szCs w:val="36"/>
        </w:rPr>
      </w:pPr>
    </w:p>
    <w:p w14:paraId="3FDC9C6D">
      <w:pPr>
        <w:spacing w:line="360" w:lineRule="auto"/>
        <w:jc w:val="center"/>
        <w:rPr>
          <w:b/>
          <w:color w:val="auto"/>
          <w:sz w:val="36"/>
          <w:szCs w:val="36"/>
        </w:rPr>
      </w:pPr>
    </w:p>
    <w:p w14:paraId="1B27F8D4">
      <w:pPr>
        <w:spacing w:line="360" w:lineRule="auto"/>
        <w:jc w:val="center"/>
        <w:rPr>
          <w:rFonts w:hint="eastAsia"/>
          <w:b/>
          <w:color w:val="auto"/>
          <w:sz w:val="36"/>
          <w:szCs w:val="36"/>
          <w:lang w:eastAsia="zh-CN"/>
        </w:rPr>
      </w:pPr>
      <w:r>
        <w:rPr>
          <w:rFonts w:hint="eastAsia"/>
          <w:b/>
          <w:color w:val="auto"/>
          <w:sz w:val="36"/>
          <w:szCs w:val="36"/>
          <w:lang w:eastAsia="zh-CN"/>
        </w:rPr>
        <w:t>白山市坤元沃土农业科技有限公司</w:t>
      </w:r>
    </w:p>
    <w:p w14:paraId="744921B8">
      <w:pPr>
        <w:spacing w:line="360" w:lineRule="auto"/>
        <w:jc w:val="center"/>
        <w:rPr>
          <w:rFonts w:hint="eastAsia"/>
          <w:b/>
          <w:color w:val="auto"/>
          <w:sz w:val="36"/>
          <w:szCs w:val="36"/>
          <w:lang w:eastAsia="zh-CN"/>
        </w:rPr>
      </w:pPr>
      <w:r>
        <w:rPr>
          <w:rFonts w:hint="eastAsia"/>
          <w:b/>
          <w:color w:val="auto"/>
          <w:sz w:val="36"/>
          <w:szCs w:val="36"/>
          <w:lang w:eastAsia="zh-CN"/>
        </w:rPr>
        <w:t>再生腐殖土建设项目</w:t>
      </w:r>
    </w:p>
    <w:p w14:paraId="3D5277C6">
      <w:pPr>
        <w:spacing w:line="360" w:lineRule="auto"/>
        <w:jc w:val="center"/>
        <w:rPr>
          <w:rFonts w:ascii="宋体" w:hAnsi="宋体"/>
          <w:b/>
          <w:bCs/>
          <w:color w:val="auto"/>
          <w:sz w:val="52"/>
          <w:szCs w:val="52"/>
        </w:rPr>
      </w:pPr>
    </w:p>
    <w:p w14:paraId="57CFD7FD">
      <w:pPr>
        <w:spacing w:line="360" w:lineRule="auto"/>
        <w:jc w:val="center"/>
        <w:rPr>
          <w:b/>
          <w:bCs/>
          <w:color w:val="auto"/>
          <w:sz w:val="52"/>
          <w:szCs w:val="52"/>
        </w:rPr>
      </w:pPr>
      <w:r>
        <w:rPr>
          <w:rFonts w:ascii="宋体" w:hAnsi="宋体"/>
          <w:b/>
          <w:bCs/>
          <w:color w:val="auto"/>
          <w:sz w:val="52"/>
          <w:szCs w:val="52"/>
        </w:rPr>
        <w:t>环境影响报告表</w:t>
      </w:r>
    </w:p>
    <w:p w14:paraId="56EF964E">
      <w:pPr>
        <w:rPr>
          <w:color w:val="auto"/>
          <w:sz w:val="28"/>
          <w:szCs w:val="28"/>
        </w:rPr>
      </w:pPr>
    </w:p>
    <w:p w14:paraId="121EF464">
      <w:pPr>
        <w:rPr>
          <w:color w:val="auto"/>
          <w:sz w:val="28"/>
          <w:szCs w:val="28"/>
        </w:rPr>
      </w:pPr>
    </w:p>
    <w:p w14:paraId="71FE98FF">
      <w:pPr>
        <w:rPr>
          <w:color w:val="auto"/>
          <w:sz w:val="28"/>
          <w:szCs w:val="28"/>
        </w:rPr>
      </w:pPr>
    </w:p>
    <w:p w14:paraId="70D5D4AB">
      <w:pPr>
        <w:rPr>
          <w:color w:val="auto"/>
        </w:rPr>
      </w:pPr>
    </w:p>
    <w:p w14:paraId="770028A3">
      <w:pPr>
        <w:jc w:val="center"/>
        <w:rPr>
          <w:b/>
          <w:bCs/>
          <w:color w:val="auto"/>
          <w:sz w:val="32"/>
          <w:szCs w:val="32"/>
        </w:rPr>
      </w:pPr>
    </w:p>
    <w:p w14:paraId="2D874FBD">
      <w:pPr>
        <w:jc w:val="center"/>
        <w:rPr>
          <w:b/>
          <w:bCs/>
          <w:color w:val="auto"/>
          <w:sz w:val="32"/>
          <w:szCs w:val="32"/>
        </w:rPr>
      </w:pPr>
    </w:p>
    <w:p w14:paraId="3A972A8D">
      <w:pPr>
        <w:jc w:val="center"/>
        <w:rPr>
          <w:b/>
          <w:bCs/>
          <w:color w:val="auto"/>
          <w:sz w:val="32"/>
          <w:szCs w:val="32"/>
        </w:rPr>
      </w:pPr>
    </w:p>
    <w:p w14:paraId="538ED5EE">
      <w:pPr>
        <w:jc w:val="center"/>
        <w:rPr>
          <w:b/>
          <w:bCs/>
          <w:color w:val="auto"/>
          <w:sz w:val="32"/>
          <w:szCs w:val="32"/>
        </w:rPr>
      </w:pPr>
    </w:p>
    <w:p w14:paraId="39544837">
      <w:pPr>
        <w:jc w:val="center"/>
        <w:rPr>
          <w:b/>
          <w:bCs/>
          <w:color w:val="auto"/>
          <w:sz w:val="32"/>
          <w:szCs w:val="32"/>
        </w:rPr>
      </w:pPr>
    </w:p>
    <w:p w14:paraId="4FA70352">
      <w:pPr>
        <w:jc w:val="center"/>
        <w:rPr>
          <w:b/>
          <w:bCs/>
          <w:color w:val="auto"/>
          <w:sz w:val="32"/>
          <w:szCs w:val="32"/>
        </w:rPr>
      </w:pPr>
    </w:p>
    <w:p w14:paraId="547872C7">
      <w:pPr>
        <w:jc w:val="center"/>
        <w:rPr>
          <w:b/>
          <w:bCs/>
          <w:color w:val="auto"/>
          <w:sz w:val="32"/>
          <w:szCs w:val="32"/>
        </w:rPr>
      </w:pPr>
    </w:p>
    <w:p w14:paraId="03CB064B">
      <w:pPr>
        <w:jc w:val="center"/>
        <w:rPr>
          <w:b/>
          <w:bCs/>
          <w:color w:val="auto"/>
          <w:sz w:val="32"/>
          <w:szCs w:val="32"/>
        </w:rPr>
      </w:pPr>
    </w:p>
    <w:p w14:paraId="40542430">
      <w:pPr>
        <w:pStyle w:val="37"/>
        <w:rPr>
          <w:color w:val="auto"/>
        </w:rPr>
      </w:pPr>
    </w:p>
    <w:p w14:paraId="3D8D2184">
      <w:pPr>
        <w:jc w:val="center"/>
        <w:rPr>
          <w:b/>
          <w:bCs/>
          <w:color w:val="auto"/>
          <w:sz w:val="32"/>
          <w:szCs w:val="32"/>
        </w:rPr>
      </w:pPr>
    </w:p>
    <w:p w14:paraId="07C5EA4A">
      <w:pPr>
        <w:adjustRightInd w:val="0"/>
        <w:snapToGrid w:val="0"/>
        <w:spacing w:line="360" w:lineRule="auto"/>
        <w:jc w:val="center"/>
        <w:rPr>
          <w:rFonts w:hint="eastAsia" w:ascii="宋体" w:hAnsi="宋体" w:cs="Times New Roman"/>
          <w:b/>
          <w:bCs/>
          <w:color w:val="auto"/>
          <w:sz w:val="32"/>
          <w:szCs w:val="32"/>
          <w:highlight w:val="none"/>
          <w:lang w:val="en-US" w:eastAsia="zh-CN"/>
        </w:rPr>
      </w:pPr>
      <w:r>
        <w:rPr>
          <w:rFonts w:hint="eastAsia" w:ascii="宋体" w:hAnsi="宋体" w:cs="Times New Roman"/>
          <w:b/>
          <w:bCs/>
          <w:color w:val="auto"/>
          <w:sz w:val="32"/>
          <w:szCs w:val="32"/>
          <w:highlight w:val="none"/>
          <w:lang w:val="en-US" w:eastAsia="zh-CN"/>
        </w:rPr>
        <w:fldChar w:fldCharType="begin"/>
      </w:r>
      <w:r>
        <w:rPr>
          <w:rFonts w:hint="eastAsia" w:ascii="宋体" w:hAnsi="宋体" w:cs="Times New Roman"/>
          <w:b/>
          <w:bCs/>
          <w:color w:val="auto"/>
          <w:sz w:val="32"/>
          <w:szCs w:val="32"/>
          <w:highlight w:val="none"/>
          <w:lang w:val="en-US" w:eastAsia="zh-CN"/>
        </w:rPr>
        <w:instrText xml:space="preserve"> HYPERLINK "javascript:viewHomeCompanyInfoView('2971929025926149465')" </w:instrText>
      </w:r>
      <w:r>
        <w:rPr>
          <w:rFonts w:hint="eastAsia" w:ascii="宋体" w:hAnsi="宋体" w:cs="Times New Roman"/>
          <w:b/>
          <w:bCs/>
          <w:color w:val="auto"/>
          <w:sz w:val="32"/>
          <w:szCs w:val="32"/>
          <w:highlight w:val="none"/>
          <w:lang w:val="en-US" w:eastAsia="zh-CN"/>
        </w:rPr>
        <w:fldChar w:fldCharType="separate"/>
      </w:r>
      <w:r>
        <w:rPr>
          <w:rFonts w:hint="eastAsia" w:ascii="宋体" w:hAnsi="宋体" w:cs="Times New Roman"/>
          <w:b/>
          <w:bCs/>
          <w:color w:val="auto"/>
          <w:sz w:val="32"/>
          <w:szCs w:val="32"/>
          <w:highlight w:val="none"/>
          <w:lang w:val="en-US" w:eastAsia="zh-CN"/>
        </w:rPr>
        <w:t>中勘文保（吉林）设计有限公司</w:t>
      </w:r>
      <w:r>
        <w:rPr>
          <w:rFonts w:hint="eastAsia" w:ascii="宋体" w:hAnsi="宋体" w:cs="Times New Roman"/>
          <w:b/>
          <w:bCs/>
          <w:color w:val="auto"/>
          <w:sz w:val="32"/>
          <w:szCs w:val="32"/>
          <w:highlight w:val="none"/>
          <w:lang w:val="en-US" w:eastAsia="zh-CN"/>
        </w:rPr>
        <w:fldChar w:fldCharType="end"/>
      </w:r>
    </w:p>
    <w:p w14:paraId="71D7E7B0">
      <w:pPr>
        <w:adjustRightInd w:val="0"/>
        <w:snapToGrid w:val="0"/>
        <w:spacing w:line="360" w:lineRule="auto"/>
        <w:jc w:val="center"/>
        <w:rPr>
          <w:color w:val="auto"/>
        </w:rPr>
      </w:pPr>
      <w:r>
        <w:rPr>
          <w:b/>
          <w:bCs/>
          <w:color w:val="auto"/>
          <w:sz w:val="32"/>
          <w:szCs w:val="32"/>
        </w:rPr>
        <w:t>20</w:t>
      </w:r>
      <w:r>
        <w:rPr>
          <w:rFonts w:hint="eastAsia"/>
          <w:b/>
          <w:bCs/>
          <w:color w:val="auto"/>
          <w:sz w:val="32"/>
          <w:szCs w:val="32"/>
        </w:rPr>
        <w:t>2</w:t>
      </w:r>
      <w:r>
        <w:rPr>
          <w:rFonts w:hint="eastAsia"/>
          <w:b/>
          <w:bCs/>
          <w:color w:val="auto"/>
          <w:sz w:val="32"/>
          <w:szCs w:val="32"/>
          <w:lang w:val="en-US" w:eastAsia="zh-CN"/>
        </w:rPr>
        <w:t>6</w:t>
      </w:r>
      <w:r>
        <w:rPr>
          <w:rFonts w:ascii="宋体" w:hAnsi="宋体"/>
          <w:b/>
          <w:bCs/>
          <w:color w:val="auto"/>
          <w:sz w:val="32"/>
          <w:szCs w:val="32"/>
        </w:rPr>
        <w:t>年</w:t>
      </w:r>
      <w:r>
        <w:rPr>
          <w:rFonts w:hint="eastAsia"/>
          <w:b/>
          <w:bCs/>
          <w:color w:val="auto"/>
          <w:sz w:val="32"/>
          <w:szCs w:val="32"/>
          <w:lang w:val="en-US" w:eastAsia="zh-CN"/>
        </w:rPr>
        <w:t>1</w:t>
      </w:r>
      <w:r>
        <w:rPr>
          <w:rFonts w:ascii="宋体" w:hAnsi="宋体"/>
          <w:b/>
          <w:bCs/>
          <w:color w:val="auto"/>
          <w:sz w:val="32"/>
          <w:szCs w:val="32"/>
        </w:rPr>
        <w:t>月</w:t>
      </w:r>
    </w:p>
    <w:p w14:paraId="5AD92871">
      <w:pPr>
        <w:rPr>
          <w:rFonts w:ascii="仿宋_GB2312" w:hAnsi="仿宋_GB2312" w:eastAsia="仿宋_GB2312" w:cs="仿宋_GB2312"/>
          <w:color w:val="auto"/>
          <w:sz w:val="36"/>
          <w:szCs w:val="36"/>
        </w:rPr>
      </w:pPr>
    </w:p>
    <w:p w14:paraId="379C7D00">
      <w:pPr>
        <w:rPr>
          <w:rFonts w:ascii="仿宋_GB2312" w:hAnsi="仿宋_GB2312" w:eastAsia="仿宋_GB2312" w:cs="仿宋_GB2312"/>
          <w:color w:val="auto"/>
          <w:sz w:val="36"/>
          <w:szCs w:val="36"/>
        </w:rPr>
      </w:pPr>
    </w:p>
    <w:p w14:paraId="31E6DA03">
      <w:pPr>
        <w:rPr>
          <w:rFonts w:ascii="仿宋_GB2312" w:hAnsi="仿宋_GB2312" w:eastAsia="仿宋_GB2312" w:cs="仿宋_GB2312"/>
          <w:color w:val="auto"/>
          <w:sz w:val="36"/>
          <w:szCs w:val="36"/>
        </w:rPr>
      </w:pPr>
    </w:p>
    <w:p w14:paraId="253853A2">
      <w:pPr>
        <w:rPr>
          <w:rFonts w:ascii="仿宋_GB2312" w:hAnsi="仿宋_GB2312" w:eastAsia="仿宋_GB2312" w:cs="仿宋_GB2312"/>
          <w:color w:val="auto"/>
          <w:sz w:val="36"/>
          <w:szCs w:val="36"/>
        </w:rPr>
      </w:pPr>
    </w:p>
    <w:p w14:paraId="3866A85E">
      <w:pPr>
        <w:rPr>
          <w:rFonts w:ascii="仿宋_GB2312" w:hAnsi="仿宋_GB2312" w:eastAsia="仿宋_GB2312" w:cs="仿宋_GB2312"/>
          <w:color w:val="auto"/>
          <w:sz w:val="36"/>
          <w:szCs w:val="36"/>
        </w:rPr>
      </w:pPr>
    </w:p>
    <w:p w14:paraId="4DDC66B2">
      <w:pPr>
        <w:rPr>
          <w:rFonts w:ascii="仿宋_GB2312" w:hAnsi="仿宋_GB2312" w:eastAsia="仿宋_GB2312" w:cs="仿宋_GB2312"/>
          <w:color w:val="auto"/>
          <w:sz w:val="36"/>
          <w:szCs w:val="36"/>
        </w:rPr>
      </w:pPr>
    </w:p>
    <w:p w14:paraId="04B7D695">
      <w:pPr>
        <w:rPr>
          <w:rFonts w:ascii="仿宋_GB2312" w:hAnsi="仿宋_GB2312" w:eastAsia="仿宋_GB2312" w:cs="仿宋_GB2312"/>
          <w:color w:val="auto"/>
          <w:sz w:val="36"/>
          <w:szCs w:val="36"/>
        </w:rPr>
      </w:pPr>
    </w:p>
    <w:p w14:paraId="5BE58399">
      <w:pPr>
        <w:adjustRightInd w:val="0"/>
        <w:snapToGrid w:val="0"/>
        <w:jc w:val="center"/>
        <w:outlineLvl w:val="0"/>
        <w:rPr>
          <w:rFonts w:asciiTheme="minorEastAsia" w:hAnsiTheme="minorEastAsia" w:eastAsiaTheme="minorEastAsia"/>
          <w:bCs/>
          <w:color w:val="auto"/>
          <w:sz w:val="72"/>
          <w:szCs w:val="72"/>
        </w:rPr>
      </w:pPr>
      <w:r>
        <w:rPr>
          <w:rFonts w:hint="eastAsia" w:asciiTheme="minorEastAsia" w:hAnsiTheme="minorEastAsia" w:eastAsiaTheme="minorEastAsia"/>
          <w:bCs/>
          <w:color w:val="auto"/>
          <w:sz w:val="72"/>
          <w:szCs w:val="72"/>
        </w:rPr>
        <w:t>建设项目环境影响报告表</w:t>
      </w:r>
    </w:p>
    <w:p w14:paraId="56FB84A0">
      <w:pPr>
        <w:adjustRightInd w:val="0"/>
        <w:snapToGrid w:val="0"/>
        <w:spacing w:before="192" w:beforeLines="80"/>
        <w:jc w:val="center"/>
        <w:rPr>
          <w:rFonts w:asciiTheme="minorEastAsia" w:hAnsiTheme="minorEastAsia" w:eastAsiaTheme="minorEastAsia"/>
          <w:bCs/>
          <w:color w:val="auto"/>
          <w:sz w:val="48"/>
          <w:szCs w:val="48"/>
        </w:rPr>
      </w:pPr>
      <w:r>
        <w:rPr>
          <w:rFonts w:hint="eastAsia" w:asciiTheme="minorEastAsia" w:hAnsiTheme="minorEastAsia" w:eastAsiaTheme="minorEastAsia"/>
          <w:bCs/>
          <w:color w:val="auto"/>
          <w:sz w:val="48"/>
          <w:szCs w:val="48"/>
        </w:rPr>
        <w:t>（污染影响类）</w:t>
      </w:r>
    </w:p>
    <w:p w14:paraId="7A9ADBCC">
      <w:pPr>
        <w:adjustRightInd w:val="0"/>
        <w:snapToGrid w:val="0"/>
        <w:spacing w:line="288" w:lineRule="auto"/>
        <w:jc w:val="center"/>
        <w:outlineLvl w:val="0"/>
        <w:rPr>
          <w:rFonts w:cs="华文仿宋" w:asciiTheme="minorEastAsia" w:hAnsiTheme="minorEastAsia" w:eastAsiaTheme="minorEastAsia"/>
          <w:color w:val="auto"/>
          <w:kern w:val="44"/>
          <w:sz w:val="44"/>
          <w:szCs w:val="44"/>
        </w:rPr>
      </w:pPr>
    </w:p>
    <w:p w14:paraId="3A3DED5E">
      <w:pPr>
        <w:jc w:val="center"/>
        <w:rPr>
          <w:rFonts w:asciiTheme="minorEastAsia" w:hAnsiTheme="minorEastAsia" w:eastAsiaTheme="minorEastAsia"/>
          <w:color w:val="auto"/>
          <w:sz w:val="52"/>
          <w:szCs w:val="52"/>
        </w:rPr>
      </w:pPr>
    </w:p>
    <w:p w14:paraId="4DCFB2B6">
      <w:pPr>
        <w:jc w:val="center"/>
        <w:rPr>
          <w:rFonts w:asciiTheme="minorEastAsia" w:hAnsiTheme="minorEastAsia" w:eastAsiaTheme="minorEastAsia"/>
          <w:color w:val="auto"/>
          <w:sz w:val="52"/>
          <w:szCs w:val="52"/>
        </w:rPr>
      </w:pPr>
    </w:p>
    <w:p w14:paraId="15EDFA92">
      <w:pPr>
        <w:jc w:val="center"/>
        <w:rPr>
          <w:rFonts w:asciiTheme="minorEastAsia" w:hAnsiTheme="minorEastAsia" w:eastAsiaTheme="minorEastAsia"/>
          <w:color w:val="auto"/>
          <w:sz w:val="52"/>
          <w:szCs w:val="52"/>
        </w:rPr>
      </w:pPr>
    </w:p>
    <w:p w14:paraId="13B46FB1">
      <w:pPr>
        <w:spacing w:line="480" w:lineRule="auto"/>
        <w:ind w:firstLine="1038"/>
        <w:rPr>
          <w:rFonts w:eastAsiaTheme="minorEastAsia"/>
          <w:color w:val="auto"/>
          <w:sz w:val="28"/>
          <w:szCs w:val="28"/>
        </w:rPr>
      </w:pPr>
    </w:p>
    <w:p w14:paraId="4F9D3A03">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eastAsiaTheme="minorEastAsia"/>
          <w:color w:val="auto"/>
          <w:sz w:val="28"/>
          <w:szCs w:val="28"/>
          <w:u w:val="single"/>
        </w:rPr>
      </w:pPr>
      <w:r>
        <w:rPr>
          <w:rFonts w:hAnsiTheme="minorEastAsia" w:eastAsiaTheme="minorEastAsia"/>
          <w:color w:val="auto"/>
          <w:sz w:val="28"/>
          <w:szCs w:val="28"/>
        </w:rPr>
        <w:t>项目名称</w:t>
      </w:r>
      <w:r>
        <w:rPr>
          <w:rFonts w:hAnsiTheme="minorEastAsia" w:eastAsiaTheme="minorEastAsia"/>
          <w:color w:val="auto"/>
          <w:sz w:val="28"/>
          <w:szCs w:val="28"/>
          <w:u w:val="single"/>
        </w:rPr>
        <w:t>：</w:t>
      </w:r>
      <w:r>
        <w:rPr>
          <w:rFonts w:hint="eastAsia" w:hAnsiTheme="minorEastAsia" w:eastAsiaTheme="minorEastAsia"/>
          <w:color w:val="auto"/>
          <w:sz w:val="28"/>
          <w:szCs w:val="28"/>
          <w:u w:val="single"/>
          <w:lang w:eastAsia="zh-CN"/>
        </w:rPr>
        <w:t>白山市坤元沃土农业科技有限公司再生腐殖土建设项目</w:t>
      </w:r>
      <w:r>
        <w:rPr>
          <w:rFonts w:hint="eastAsia" w:hAnsiTheme="minorEastAsia" w:eastAsiaTheme="minorEastAsia"/>
          <w:color w:val="auto"/>
          <w:sz w:val="28"/>
          <w:szCs w:val="28"/>
          <w:u w:val="single"/>
        </w:rPr>
        <w:t xml:space="preserve">                                             </w:t>
      </w:r>
    </w:p>
    <w:p w14:paraId="036C3F62">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eastAsiaTheme="minorEastAsia"/>
          <w:color w:val="auto"/>
          <w:sz w:val="28"/>
          <w:szCs w:val="28"/>
          <w:u w:val="single"/>
        </w:rPr>
      </w:pPr>
      <w:r>
        <w:rPr>
          <w:rFonts w:hAnsiTheme="minorEastAsia" w:eastAsiaTheme="minorEastAsia"/>
          <w:color w:val="auto"/>
          <w:sz w:val="28"/>
          <w:szCs w:val="28"/>
        </w:rPr>
        <w:t>建设单位（盖章）：</w:t>
      </w:r>
      <w:r>
        <w:rPr>
          <w:rFonts w:hint="eastAsia" w:hAnsiTheme="minorEastAsia" w:eastAsiaTheme="minorEastAsia"/>
          <w:color w:val="auto"/>
          <w:sz w:val="28"/>
          <w:szCs w:val="28"/>
          <w:u w:val="single"/>
          <w:lang w:eastAsia="zh-CN"/>
        </w:rPr>
        <w:t>白山市坤元沃土农业科技有限公司</w:t>
      </w:r>
      <w:r>
        <w:rPr>
          <w:rFonts w:hint="eastAsia" w:hAnsiTheme="minorEastAsia" w:eastAsiaTheme="minorEastAsia"/>
          <w:color w:val="auto"/>
          <w:sz w:val="28"/>
          <w:szCs w:val="28"/>
          <w:u w:val="single"/>
        </w:rPr>
        <w:t xml:space="preserve">     </w:t>
      </w:r>
      <w:r>
        <w:rPr>
          <w:rFonts w:hint="eastAsia" w:hAnsiTheme="minorEastAsia" w:eastAsiaTheme="minorEastAsia"/>
          <w:color w:val="auto"/>
          <w:sz w:val="28"/>
          <w:szCs w:val="28"/>
          <w:u w:val="single"/>
          <w:lang w:val="en-US" w:eastAsia="zh-CN"/>
        </w:rPr>
        <w:t xml:space="preserve">     </w:t>
      </w:r>
      <w:r>
        <w:rPr>
          <w:rFonts w:hint="eastAsia" w:hAnsiTheme="minorEastAsia" w:eastAsiaTheme="minorEastAsia"/>
          <w:color w:val="auto"/>
          <w:sz w:val="28"/>
          <w:szCs w:val="28"/>
          <w:u w:val="single"/>
        </w:rPr>
        <w:t xml:space="preserve">    </w:t>
      </w:r>
    </w:p>
    <w:p w14:paraId="0B8C8062">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eastAsiaTheme="minorEastAsia"/>
          <w:color w:val="auto"/>
          <w:sz w:val="28"/>
          <w:szCs w:val="28"/>
        </w:rPr>
      </w:pPr>
      <w:r>
        <w:rPr>
          <w:rFonts w:hAnsiTheme="minorEastAsia" w:eastAsiaTheme="minorEastAsia"/>
          <w:color w:val="auto"/>
          <w:sz w:val="28"/>
          <w:szCs w:val="28"/>
        </w:rPr>
        <w:t>编制日期：</w:t>
      </w:r>
      <w:r>
        <w:rPr>
          <w:rFonts w:eastAsiaTheme="minorEastAsia"/>
          <w:color w:val="auto"/>
          <w:sz w:val="28"/>
          <w:szCs w:val="28"/>
          <w:u w:val="single"/>
        </w:rPr>
        <w:t>20</w:t>
      </w:r>
      <w:r>
        <w:rPr>
          <w:rFonts w:hint="eastAsia" w:eastAsiaTheme="minorEastAsia"/>
          <w:color w:val="auto"/>
          <w:sz w:val="28"/>
          <w:szCs w:val="28"/>
          <w:u w:val="single"/>
        </w:rPr>
        <w:t>2</w:t>
      </w:r>
      <w:r>
        <w:rPr>
          <w:rFonts w:hint="eastAsia" w:eastAsiaTheme="minorEastAsia"/>
          <w:color w:val="auto"/>
          <w:sz w:val="28"/>
          <w:szCs w:val="28"/>
          <w:u w:val="single"/>
          <w:lang w:val="en-US" w:eastAsia="zh-CN"/>
        </w:rPr>
        <w:t>6</w:t>
      </w:r>
      <w:r>
        <w:rPr>
          <w:rFonts w:hint="eastAsia" w:eastAsiaTheme="minorEastAsia"/>
          <w:color w:val="auto"/>
          <w:sz w:val="28"/>
          <w:szCs w:val="28"/>
          <w:u w:val="single"/>
        </w:rPr>
        <w:t>年</w:t>
      </w:r>
      <w:r>
        <w:rPr>
          <w:rFonts w:hint="eastAsia" w:eastAsiaTheme="minorEastAsia"/>
          <w:color w:val="auto"/>
          <w:sz w:val="28"/>
          <w:szCs w:val="28"/>
          <w:u w:val="single"/>
          <w:lang w:val="en-US" w:eastAsia="zh-CN"/>
        </w:rPr>
        <w:t>1</w:t>
      </w:r>
      <w:r>
        <w:rPr>
          <w:rFonts w:hint="eastAsia" w:eastAsiaTheme="minorEastAsia"/>
          <w:color w:val="auto"/>
          <w:sz w:val="28"/>
          <w:szCs w:val="28"/>
          <w:u w:val="single"/>
        </w:rPr>
        <w:t xml:space="preserve">月         </w:t>
      </w:r>
      <w:r>
        <w:rPr>
          <w:rFonts w:hint="eastAsia" w:eastAsiaTheme="minorEastAsia"/>
          <w:color w:val="auto"/>
          <w:sz w:val="28"/>
          <w:szCs w:val="28"/>
          <w:u w:val="single"/>
          <w:lang w:val="en-US" w:eastAsia="zh-CN"/>
        </w:rPr>
        <w:t xml:space="preserve">        </w:t>
      </w:r>
      <w:r>
        <w:rPr>
          <w:rFonts w:hint="eastAsia" w:eastAsiaTheme="minorEastAsia"/>
          <w:color w:val="auto"/>
          <w:sz w:val="28"/>
          <w:szCs w:val="28"/>
          <w:u w:val="single"/>
        </w:rPr>
        <w:t xml:space="preserve">                </w:t>
      </w:r>
      <w:r>
        <w:rPr>
          <w:rFonts w:hint="eastAsia" w:eastAsiaTheme="minorEastAsia"/>
          <w:color w:val="auto"/>
          <w:sz w:val="28"/>
          <w:szCs w:val="28"/>
          <w:u w:val="single"/>
          <w:lang w:val="en-US" w:eastAsia="zh-CN"/>
        </w:rPr>
        <w:t xml:space="preserve">     </w:t>
      </w:r>
      <w:r>
        <w:rPr>
          <w:rFonts w:hint="eastAsia" w:eastAsiaTheme="minorEastAsia"/>
          <w:color w:val="auto"/>
          <w:sz w:val="28"/>
          <w:szCs w:val="28"/>
          <w:u w:val="single"/>
        </w:rPr>
        <w:t xml:space="preserve">    </w:t>
      </w:r>
    </w:p>
    <w:p w14:paraId="3C579F8C">
      <w:pPr>
        <w:adjustRightInd w:val="0"/>
        <w:snapToGrid w:val="0"/>
        <w:spacing w:line="288" w:lineRule="auto"/>
        <w:ind w:firstLine="1040"/>
        <w:rPr>
          <w:rFonts w:asciiTheme="minorEastAsia" w:hAnsiTheme="minorEastAsia" w:eastAsiaTheme="minorEastAsia"/>
          <w:color w:val="auto"/>
          <w:sz w:val="36"/>
          <w:szCs w:val="36"/>
        </w:rPr>
      </w:pPr>
      <w:bookmarkStart w:id="0" w:name="_Hlk57884087"/>
    </w:p>
    <w:p w14:paraId="24E99E82">
      <w:pPr>
        <w:adjustRightInd w:val="0"/>
        <w:snapToGrid w:val="0"/>
        <w:spacing w:line="288" w:lineRule="auto"/>
        <w:ind w:firstLine="1040"/>
        <w:rPr>
          <w:rFonts w:asciiTheme="minorEastAsia" w:hAnsiTheme="minorEastAsia" w:eastAsiaTheme="minorEastAsia"/>
          <w:color w:val="auto"/>
          <w:sz w:val="36"/>
          <w:szCs w:val="36"/>
        </w:rPr>
      </w:pPr>
    </w:p>
    <w:bookmarkEnd w:id="0"/>
    <w:p w14:paraId="44E5024A">
      <w:pPr>
        <w:adjustRightInd w:val="0"/>
        <w:snapToGrid w:val="0"/>
        <w:spacing w:line="288" w:lineRule="auto"/>
        <w:jc w:val="center"/>
        <w:rPr>
          <w:rFonts w:asciiTheme="minorEastAsia" w:hAnsiTheme="minorEastAsia" w:eastAsiaTheme="minorEastAsia"/>
          <w:color w:val="auto"/>
          <w:sz w:val="36"/>
          <w:szCs w:val="36"/>
        </w:rPr>
      </w:pPr>
      <w:r>
        <w:rPr>
          <w:rFonts w:hint="eastAsia" w:asciiTheme="minorEastAsia" w:hAnsiTheme="minorEastAsia" w:eastAsiaTheme="minorEastAsia"/>
          <w:color w:val="auto"/>
          <w:sz w:val="36"/>
          <w:szCs w:val="36"/>
        </w:rPr>
        <w:t>中华人民共和国生态环境部制</w:t>
      </w:r>
    </w:p>
    <w:p w14:paraId="525E080A">
      <w:pPr>
        <w:ind w:firstLine="3514" w:firstLineChars="1250"/>
        <w:rPr>
          <w:b/>
          <w:color w:val="auto"/>
          <w:sz w:val="28"/>
          <w:szCs w:val="28"/>
        </w:rPr>
      </w:pPr>
    </w:p>
    <w:p w14:paraId="552C90BF">
      <w:pPr>
        <w:ind w:firstLine="3514" w:firstLineChars="1250"/>
        <w:rPr>
          <w:b/>
          <w:color w:val="auto"/>
          <w:sz w:val="28"/>
          <w:szCs w:val="28"/>
        </w:rPr>
      </w:pPr>
    </w:p>
    <w:p w14:paraId="295025CC">
      <w:pPr>
        <w:ind w:firstLine="3514" w:firstLineChars="1250"/>
        <w:rPr>
          <w:b/>
          <w:color w:val="auto"/>
          <w:sz w:val="28"/>
          <w:szCs w:val="28"/>
        </w:rPr>
      </w:pPr>
    </w:p>
    <w:p w14:paraId="35DE26C6">
      <w:pPr>
        <w:rPr>
          <w:rFonts w:hint="eastAsia"/>
          <w:b/>
          <w:color w:val="auto"/>
          <w:sz w:val="28"/>
          <w:szCs w:val="28"/>
        </w:rPr>
      </w:pPr>
      <w:r>
        <w:rPr>
          <w:rFonts w:hint="eastAsia"/>
          <w:b/>
          <w:color w:val="auto"/>
          <w:sz w:val="28"/>
          <w:szCs w:val="28"/>
        </w:rPr>
        <w:br w:type="page"/>
      </w:r>
    </w:p>
    <w:p w14:paraId="0D79C30D">
      <w:pPr>
        <w:ind w:firstLine="3514" w:firstLineChars="1250"/>
        <w:rPr>
          <w:b/>
          <w:color w:val="auto"/>
          <w:sz w:val="28"/>
          <w:szCs w:val="28"/>
        </w:rPr>
      </w:pPr>
      <w:r>
        <w:rPr>
          <w:rFonts w:hint="eastAsia"/>
          <w:b/>
          <w:color w:val="auto"/>
          <w:sz w:val="28"/>
          <w:szCs w:val="28"/>
        </w:rPr>
        <w:t>修改清单</w:t>
      </w:r>
    </w:p>
    <w:tbl>
      <w:tblPr>
        <w:tblStyle w:val="29"/>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4979"/>
        <w:gridCol w:w="2277"/>
        <w:gridCol w:w="1246"/>
      </w:tblGrid>
      <w:tr w14:paraId="1547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5EC9A42E">
            <w:pPr>
              <w:adjustRightInd w:val="0"/>
              <w:snapToGrid w:val="0"/>
              <w:rPr>
                <w:rFonts w:eastAsiaTheme="minorEastAsia"/>
                <w:color w:val="auto"/>
                <w:sz w:val="21"/>
                <w:szCs w:val="21"/>
              </w:rPr>
            </w:pPr>
            <w:bookmarkStart w:id="6" w:name="_GoBack" w:colFirst="3" w:colLast="3"/>
            <w:r>
              <w:rPr>
                <w:rFonts w:hAnsiTheme="minorEastAsia" w:eastAsiaTheme="minorEastAsia"/>
                <w:color w:val="auto"/>
                <w:sz w:val="21"/>
                <w:szCs w:val="21"/>
              </w:rPr>
              <w:t>序号</w:t>
            </w:r>
          </w:p>
        </w:tc>
        <w:tc>
          <w:tcPr>
            <w:tcW w:w="4979" w:type="dxa"/>
            <w:tcBorders>
              <w:top w:val="single" w:color="auto" w:sz="4" w:space="0"/>
              <w:left w:val="single" w:color="auto" w:sz="4" w:space="0"/>
              <w:bottom w:val="single" w:color="auto" w:sz="4" w:space="0"/>
              <w:right w:val="single" w:color="auto" w:sz="4" w:space="0"/>
            </w:tcBorders>
            <w:vAlign w:val="center"/>
          </w:tcPr>
          <w:p w14:paraId="21762D87">
            <w:pPr>
              <w:adjustRightInd w:val="0"/>
              <w:snapToGrid w:val="0"/>
              <w:jc w:val="center"/>
              <w:rPr>
                <w:rFonts w:eastAsiaTheme="minorEastAsia"/>
                <w:color w:val="auto"/>
                <w:sz w:val="21"/>
                <w:szCs w:val="21"/>
              </w:rPr>
            </w:pPr>
            <w:r>
              <w:rPr>
                <w:rFonts w:hAnsiTheme="minorEastAsia" w:eastAsiaTheme="minorEastAsia"/>
                <w:color w:val="auto"/>
                <w:sz w:val="21"/>
                <w:szCs w:val="21"/>
              </w:rPr>
              <w:t>专家意见</w:t>
            </w:r>
          </w:p>
        </w:tc>
        <w:tc>
          <w:tcPr>
            <w:tcW w:w="2277" w:type="dxa"/>
            <w:tcBorders>
              <w:top w:val="single" w:color="auto" w:sz="4" w:space="0"/>
              <w:left w:val="single" w:color="auto" w:sz="4" w:space="0"/>
              <w:bottom w:val="single" w:color="auto" w:sz="4" w:space="0"/>
              <w:right w:val="single" w:color="auto" w:sz="4" w:space="0"/>
            </w:tcBorders>
            <w:vAlign w:val="center"/>
          </w:tcPr>
          <w:p w14:paraId="742CCD0F">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修改内容</w:t>
            </w:r>
          </w:p>
        </w:tc>
        <w:tc>
          <w:tcPr>
            <w:tcW w:w="1246" w:type="dxa"/>
            <w:tcBorders>
              <w:top w:val="single" w:color="auto" w:sz="4" w:space="0"/>
              <w:left w:val="single" w:color="auto" w:sz="4" w:space="0"/>
              <w:bottom w:val="single" w:color="auto" w:sz="4" w:space="0"/>
              <w:right w:val="single" w:color="auto" w:sz="4" w:space="0"/>
            </w:tcBorders>
            <w:vAlign w:val="center"/>
          </w:tcPr>
          <w:p w14:paraId="6BBE3547">
            <w:pPr>
              <w:adjustRightInd w:val="0"/>
              <w:snapToGrid w:val="0"/>
              <w:jc w:val="center"/>
              <w:rPr>
                <w:rFonts w:hAnsiTheme="minorEastAsia" w:eastAsiaTheme="minorEastAsia"/>
                <w:color w:val="0000FF"/>
                <w:sz w:val="21"/>
                <w:szCs w:val="21"/>
              </w:rPr>
            </w:pPr>
            <w:r>
              <w:rPr>
                <w:rFonts w:hAnsiTheme="minorEastAsia" w:eastAsiaTheme="minorEastAsia"/>
                <w:color w:val="0000FF"/>
                <w:sz w:val="21"/>
                <w:szCs w:val="21"/>
              </w:rPr>
              <w:t>页码</w:t>
            </w:r>
          </w:p>
        </w:tc>
      </w:tr>
      <w:tr w14:paraId="146C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0BC628F7">
            <w:pPr>
              <w:adjustRightInd w:val="0"/>
              <w:snapToGrid w:val="0"/>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一</w:t>
            </w:r>
          </w:p>
        </w:tc>
        <w:tc>
          <w:tcPr>
            <w:tcW w:w="4979" w:type="dxa"/>
            <w:tcBorders>
              <w:top w:val="single" w:color="auto" w:sz="4" w:space="0"/>
              <w:left w:val="single" w:color="auto" w:sz="4" w:space="0"/>
              <w:bottom w:val="single" w:color="auto" w:sz="4" w:space="0"/>
              <w:right w:val="single" w:color="auto" w:sz="4" w:space="0"/>
            </w:tcBorders>
            <w:vAlign w:val="center"/>
          </w:tcPr>
          <w:p w14:paraId="0DEA6837">
            <w:pPr>
              <w:adjustRightInd w:val="0"/>
              <w:snapToGrid w:val="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专家组意见</w:t>
            </w:r>
          </w:p>
        </w:tc>
        <w:tc>
          <w:tcPr>
            <w:tcW w:w="2277" w:type="dxa"/>
            <w:tcBorders>
              <w:top w:val="single" w:color="auto" w:sz="4" w:space="0"/>
              <w:left w:val="single" w:color="auto" w:sz="4" w:space="0"/>
              <w:bottom w:val="single" w:color="auto" w:sz="4" w:space="0"/>
              <w:right w:val="single" w:color="auto" w:sz="4" w:space="0"/>
            </w:tcBorders>
            <w:vAlign w:val="center"/>
          </w:tcPr>
          <w:p w14:paraId="47B69223">
            <w:pPr>
              <w:adjustRightInd w:val="0"/>
              <w:snapToGrid w:val="0"/>
              <w:jc w:val="center"/>
              <w:rPr>
                <w:rFonts w:hAnsiTheme="minorEastAsia" w:eastAsiaTheme="minorEastAsia"/>
                <w:color w:val="auto"/>
                <w:sz w:val="21"/>
                <w:szCs w:val="21"/>
              </w:rPr>
            </w:pPr>
          </w:p>
        </w:tc>
        <w:tc>
          <w:tcPr>
            <w:tcW w:w="1246" w:type="dxa"/>
            <w:tcBorders>
              <w:top w:val="single" w:color="auto" w:sz="4" w:space="0"/>
              <w:left w:val="single" w:color="auto" w:sz="4" w:space="0"/>
              <w:bottom w:val="single" w:color="auto" w:sz="4" w:space="0"/>
              <w:right w:val="single" w:color="auto" w:sz="4" w:space="0"/>
            </w:tcBorders>
            <w:vAlign w:val="center"/>
          </w:tcPr>
          <w:p w14:paraId="6E2633B9">
            <w:pPr>
              <w:adjustRightInd w:val="0"/>
              <w:snapToGrid w:val="0"/>
              <w:jc w:val="center"/>
              <w:rPr>
                <w:rFonts w:hAnsiTheme="minorEastAsia" w:eastAsiaTheme="minorEastAsia"/>
                <w:color w:val="0000FF"/>
                <w:sz w:val="21"/>
                <w:szCs w:val="21"/>
              </w:rPr>
            </w:pPr>
          </w:p>
        </w:tc>
      </w:tr>
      <w:tr w14:paraId="1567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39A233B5">
            <w:pPr>
              <w:adjustRightInd w:val="0"/>
              <w:snapToGrid w:val="0"/>
              <w:jc w:val="center"/>
              <w:rPr>
                <w:rFonts w:eastAsiaTheme="minorEastAsia"/>
                <w:color w:val="auto"/>
                <w:sz w:val="21"/>
                <w:szCs w:val="21"/>
              </w:rPr>
            </w:pPr>
            <w:r>
              <w:rPr>
                <w:rFonts w:eastAsiaTheme="minorEastAsia"/>
                <w:color w:val="auto"/>
                <w:sz w:val="21"/>
                <w:szCs w:val="21"/>
              </w:rPr>
              <w:t>1</w:t>
            </w:r>
          </w:p>
        </w:tc>
        <w:tc>
          <w:tcPr>
            <w:tcW w:w="4979" w:type="dxa"/>
            <w:tcBorders>
              <w:top w:val="single" w:color="auto" w:sz="4" w:space="0"/>
              <w:left w:val="single" w:color="auto" w:sz="4" w:space="0"/>
              <w:bottom w:val="single" w:color="auto" w:sz="4" w:space="0"/>
              <w:right w:val="single" w:color="auto" w:sz="4" w:space="0"/>
            </w:tcBorders>
            <w:vAlign w:val="center"/>
          </w:tcPr>
          <w:p w14:paraId="3867380B">
            <w:pPr>
              <w:adjustRightInd w:val="0"/>
              <w:snapToGrid w:val="0"/>
              <w:jc w:val="left"/>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核准项目行业类别；细化环境敏感保护目标分布情况调查内容；复核项目应执行的噪声排放标准。</w:t>
            </w:r>
            <w:r>
              <w:rPr>
                <w:rFonts w:hint="eastAsia" w:hAnsiTheme="minorEastAsia" w:eastAsiaTheme="minorEastAsia"/>
                <w:color w:val="auto"/>
                <w:sz w:val="21"/>
                <w:szCs w:val="21"/>
                <w:lang w:val="en-US" w:eastAsia="zh-CN"/>
              </w:rPr>
              <w:t>完</w:t>
            </w:r>
            <w:r>
              <w:rPr>
                <w:rFonts w:hint="eastAsia" w:hAnsiTheme="minorEastAsia" w:eastAsiaTheme="minorEastAsia"/>
                <w:color w:val="auto"/>
                <w:sz w:val="21"/>
                <w:szCs w:val="21"/>
                <w:lang w:eastAsia="zh-CN"/>
              </w:rPr>
              <w:t>善环境分区管</w:t>
            </w:r>
            <w:r>
              <w:rPr>
                <w:rFonts w:hint="eastAsia" w:hAnsiTheme="minorEastAsia" w:eastAsiaTheme="minorEastAsia"/>
                <w:color w:val="auto"/>
                <w:sz w:val="21"/>
                <w:szCs w:val="21"/>
                <w:lang w:val="en-US" w:eastAsia="zh-CN"/>
              </w:rPr>
              <w:t>管控符合性分析内容</w:t>
            </w:r>
            <w:r>
              <w:rPr>
                <w:rFonts w:hint="eastAsia" w:hAnsiTheme="minorEastAsia" w:eastAsiaTheme="minorEastAsia"/>
                <w:color w:val="auto"/>
                <w:sz w:val="21"/>
                <w:szCs w:val="21"/>
                <w:lang w:eastAsia="zh-CN"/>
              </w:rPr>
              <w:t>。</w:t>
            </w:r>
          </w:p>
        </w:tc>
        <w:tc>
          <w:tcPr>
            <w:tcW w:w="2277" w:type="dxa"/>
            <w:tcBorders>
              <w:top w:val="single" w:color="auto" w:sz="4" w:space="0"/>
              <w:left w:val="single" w:color="auto" w:sz="4" w:space="0"/>
              <w:bottom w:val="single" w:color="auto" w:sz="4" w:space="0"/>
              <w:right w:val="single" w:color="auto" w:sz="4" w:space="0"/>
            </w:tcBorders>
            <w:vAlign w:val="center"/>
          </w:tcPr>
          <w:p w14:paraId="0F13423F">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行业类别定为N7723固体废物治理；农村地区执行1类；细化了周边500m范围保护目标；完善了分区管控的符合性；</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7388CED1">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1</w:t>
            </w:r>
            <w:r>
              <w:rPr>
                <w:rFonts w:hint="eastAsia" w:eastAsiaTheme="minorEastAsia"/>
                <w:color w:val="0000FF"/>
                <w:sz w:val="21"/>
                <w:szCs w:val="21"/>
              </w:rPr>
              <w:t>、P</w:t>
            </w:r>
            <w:r>
              <w:rPr>
                <w:rFonts w:hint="eastAsia" w:eastAsiaTheme="minorEastAsia"/>
                <w:color w:val="0000FF"/>
                <w:sz w:val="21"/>
                <w:szCs w:val="21"/>
                <w:lang w:val="en-US" w:eastAsia="zh-CN"/>
              </w:rPr>
              <w:t>24</w:t>
            </w:r>
            <w:r>
              <w:rPr>
                <w:rFonts w:hint="eastAsia" w:eastAsiaTheme="minorEastAsia"/>
                <w:color w:val="0000FF"/>
                <w:sz w:val="21"/>
                <w:szCs w:val="21"/>
              </w:rPr>
              <w:t>、</w:t>
            </w:r>
            <w:r>
              <w:rPr>
                <w:rFonts w:eastAsiaTheme="minorEastAsia"/>
                <w:color w:val="0000FF"/>
                <w:sz w:val="21"/>
                <w:szCs w:val="21"/>
              </w:rPr>
              <w:t>P</w:t>
            </w:r>
            <w:r>
              <w:rPr>
                <w:rFonts w:hint="eastAsia" w:eastAsiaTheme="minorEastAsia"/>
                <w:color w:val="0000FF"/>
                <w:sz w:val="21"/>
                <w:szCs w:val="21"/>
                <w:lang w:val="en-US" w:eastAsia="zh-CN"/>
              </w:rPr>
              <w:t>25</w:t>
            </w:r>
            <w:r>
              <w:rPr>
                <w:rFonts w:hint="eastAsia" w:eastAsiaTheme="minorEastAsia"/>
                <w:color w:val="0000FF"/>
                <w:sz w:val="21"/>
                <w:szCs w:val="21"/>
              </w:rPr>
              <w:t>、P</w:t>
            </w:r>
            <w:r>
              <w:rPr>
                <w:rFonts w:hint="eastAsia" w:eastAsiaTheme="minorEastAsia"/>
                <w:color w:val="0000FF"/>
                <w:sz w:val="21"/>
                <w:szCs w:val="21"/>
                <w:lang w:val="en-US" w:eastAsia="zh-CN"/>
              </w:rPr>
              <w:t>2-5</w:t>
            </w:r>
          </w:p>
        </w:tc>
      </w:tr>
      <w:tr w14:paraId="2FC1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FD83024">
            <w:pPr>
              <w:adjustRightInd w:val="0"/>
              <w:snapToGrid w:val="0"/>
              <w:jc w:val="center"/>
              <w:rPr>
                <w:rFonts w:eastAsiaTheme="minorEastAsia"/>
                <w:color w:val="auto"/>
                <w:sz w:val="21"/>
                <w:szCs w:val="21"/>
              </w:rPr>
            </w:pPr>
            <w:r>
              <w:rPr>
                <w:rFonts w:eastAsiaTheme="minorEastAsia"/>
                <w:color w:val="auto"/>
                <w:sz w:val="21"/>
                <w:szCs w:val="21"/>
              </w:rPr>
              <w:t>2</w:t>
            </w:r>
          </w:p>
        </w:tc>
        <w:tc>
          <w:tcPr>
            <w:tcW w:w="4979" w:type="dxa"/>
            <w:tcBorders>
              <w:top w:val="single" w:color="auto" w:sz="4" w:space="0"/>
              <w:left w:val="single" w:color="auto" w:sz="4" w:space="0"/>
              <w:bottom w:val="single" w:color="auto" w:sz="4" w:space="0"/>
              <w:right w:val="single" w:color="auto" w:sz="4" w:space="0"/>
            </w:tcBorders>
            <w:vAlign w:val="center"/>
          </w:tcPr>
          <w:p w14:paraId="47C5ED09">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rPr>
              <w:t>细化工程分析内容，明确原料来源，核准原料属性（是否含有毒性中药材，建议结合原料厂家环评说明）及含水率，补充产品用途（P6页有用于农业生产内容），说明有无质量标准；补充每批次发酵量及发酵时间；核实项目冬季是否生产；核准原料混合过程是否添加水，复核水平衡；核准原料储存过程是否有渗滤液产生。复核物料</w:t>
            </w:r>
            <w:r>
              <w:rPr>
                <w:rFonts w:hint="eastAsia" w:hAnsiTheme="minorEastAsia" w:eastAsiaTheme="minorEastAsia"/>
                <w:color w:val="auto"/>
                <w:sz w:val="21"/>
                <w:szCs w:val="21"/>
                <w:lang w:val="en-US" w:eastAsia="zh-CN"/>
              </w:rPr>
              <w:t>平衡。</w:t>
            </w:r>
          </w:p>
        </w:tc>
        <w:tc>
          <w:tcPr>
            <w:tcW w:w="2277" w:type="dxa"/>
            <w:tcBorders>
              <w:top w:val="single" w:color="auto" w:sz="4" w:space="0"/>
              <w:left w:val="single" w:color="auto" w:sz="4" w:space="0"/>
              <w:bottom w:val="single" w:color="auto" w:sz="4" w:space="0"/>
              <w:right w:val="single" w:color="auto" w:sz="4" w:space="0"/>
            </w:tcBorders>
            <w:vAlign w:val="center"/>
          </w:tcPr>
          <w:p w14:paraId="63928271">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明确原料来至修正集团下属中药企业产生的废弃物；补充了产品标准；细化每批次发酵量及时间；冬季不生产；混料过程需要补充水；原料直接运入发酵区，不存贮；</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6E163F89">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9</w:t>
            </w:r>
            <w:r>
              <w:rPr>
                <w:rFonts w:hint="eastAsia" w:eastAsiaTheme="minorEastAsia"/>
                <w:color w:val="0000FF"/>
                <w:sz w:val="21"/>
                <w:szCs w:val="21"/>
              </w:rPr>
              <w:t>、P</w:t>
            </w:r>
            <w:r>
              <w:rPr>
                <w:rFonts w:hint="eastAsia" w:eastAsiaTheme="minorEastAsia"/>
                <w:color w:val="0000FF"/>
                <w:sz w:val="21"/>
                <w:szCs w:val="21"/>
                <w:lang w:val="en-US" w:eastAsia="zh-CN"/>
              </w:rPr>
              <w:t>8</w:t>
            </w:r>
            <w:r>
              <w:rPr>
                <w:rFonts w:hint="eastAsia" w:eastAsiaTheme="minorEastAsia"/>
                <w:color w:val="0000FF"/>
                <w:sz w:val="21"/>
                <w:szCs w:val="21"/>
              </w:rPr>
              <w:t>、P</w:t>
            </w:r>
            <w:r>
              <w:rPr>
                <w:rFonts w:hint="eastAsia" w:eastAsiaTheme="minorEastAsia"/>
                <w:color w:val="0000FF"/>
                <w:sz w:val="21"/>
                <w:szCs w:val="21"/>
                <w:lang w:val="en-US" w:eastAsia="zh-CN"/>
              </w:rPr>
              <w:t>11-12、</w:t>
            </w:r>
            <w:r>
              <w:rPr>
                <w:rFonts w:hint="eastAsia" w:eastAsiaTheme="minorEastAsia"/>
                <w:color w:val="0000FF"/>
                <w:sz w:val="21"/>
                <w:szCs w:val="21"/>
              </w:rPr>
              <w:t>P</w:t>
            </w:r>
            <w:r>
              <w:rPr>
                <w:rFonts w:hint="eastAsia" w:eastAsiaTheme="minorEastAsia"/>
                <w:color w:val="0000FF"/>
                <w:sz w:val="21"/>
                <w:szCs w:val="21"/>
                <w:lang w:val="en-US" w:eastAsia="zh-CN"/>
              </w:rPr>
              <w:t>10-11</w:t>
            </w:r>
            <w:r>
              <w:rPr>
                <w:rFonts w:hint="eastAsia" w:eastAsiaTheme="minorEastAsia"/>
                <w:color w:val="0000FF"/>
                <w:sz w:val="21"/>
                <w:szCs w:val="21"/>
              </w:rPr>
              <w:t>、P</w:t>
            </w:r>
            <w:r>
              <w:rPr>
                <w:rFonts w:hint="eastAsia" w:eastAsiaTheme="minorEastAsia"/>
                <w:color w:val="0000FF"/>
                <w:sz w:val="21"/>
                <w:szCs w:val="21"/>
                <w:lang w:val="en-US" w:eastAsia="zh-CN"/>
              </w:rPr>
              <w:t>14</w:t>
            </w:r>
          </w:p>
        </w:tc>
      </w:tr>
      <w:tr w14:paraId="6936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23EC7DA1">
            <w:pPr>
              <w:adjustRightInd w:val="0"/>
              <w:snapToGrid w:val="0"/>
              <w:jc w:val="center"/>
              <w:rPr>
                <w:rFonts w:eastAsiaTheme="minorEastAsia"/>
                <w:color w:val="auto"/>
                <w:sz w:val="21"/>
                <w:szCs w:val="21"/>
              </w:rPr>
            </w:pPr>
            <w:r>
              <w:rPr>
                <w:rFonts w:eastAsiaTheme="minorEastAsia"/>
                <w:color w:val="auto"/>
                <w:sz w:val="21"/>
                <w:szCs w:val="21"/>
              </w:rPr>
              <w:t>3</w:t>
            </w:r>
          </w:p>
        </w:tc>
        <w:tc>
          <w:tcPr>
            <w:tcW w:w="4979" w:type="dxa"/>
            <w:tcBorders>
              <w:top w:val="single" w:color="auto" w:sz="4" w:space="0"/>
              <w:left w:val="single" w:color="auto" w:sz="4" w:space="0"/>
              <w:bottom w:val="single" w:color="auto" w:sz="4" w:space="0"/>
              <w:right w:val="single" w:color="auto" w:sz="4" w:space="0"/>
            </w:tcBorders>
            <w:vAlign w:val="center"/>
          </w:tcPr>
          <w:p w14:paraId="523B47D0">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复核发酵废气污染物源强，细化生物滴滤塔工作原理，复核恶臭气体去除效率。明确滴滤塔运行过程是否有废水污染物产生。</w:t>
            </w:r>
          </w:p>
        </w:tc>
        <w:tc>
          <w:tcPr>
            <w:tcW w:w="2277" w:type="dxa"/>
            <w:tcBorders>
              <w:top w:val="single" w:color="auto" w:sz="4" w:space="0"/>
              <w:left w:val="single" w:color="auto" w:sz="4" w:space="0"/>
              <w:bottom w:val="single" w:color="auto" w:sz="4" w:space="0"/>
              <w:right w:val="single" w:color="auto" w:sz="4" w:space="0"/>
            </w:tcBorders>
            <w:vAlign w:val="center"/>
          </w:tcPr>
          <w:p w14:paraId="41E741FC">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重新核实发酵废气核算，采用生物除臭剂，不采用生物滴滤塔；</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350E80E5">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28</w:t>
            </w:r>
          </w:p>
        </w:tc>
      </w:tr>
      <w:tr w14:paraId="62F7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0DFFB1F5">
            <w:pPr>
              <w:adjustRightInd w:val="0"/>
              <w:snapToGrid w:val="0"/>
              <w:jc w:val="center"/>
              <w:rPr>
                <w:rFonts w:eastAsiaTheme="minorEastAsia"/>
                <w:color w:val="auto"/>
                <w:sz w:val="21"/>
                <w:szCs w:val="21"/>
              </w:rPr>
            </w:pPr>
            <w:r>
              <w:rPr>
                <w:rFonts w:eastAsiaTheme="minorEastAsia"/>
                <w:color w:val="auto"/>
                <w:sz w:val="21"/>
                <w:szCs w:val="21"/>
              </w:rPr>
              <w:t>4</w:t>
            </w:r>
          </w:p>
        </w:tc>
        <w:tc>
          <w:tcPr>
            <w:tcW w:w="4979" w:type="dxa"/>
            <w:tcBorders>
              <w:top w:val="single" w:color="auto" w:sz="4" w:space="0"/>
              <w:left w:val="single" w:color="auto" w:sz="4" w:space="0"/>
              <w:bottom w:val="single" w:color="auto" w:sz="4" w:space="0"/>
              <w:right w:val="single" w:color="auto" w:sz="4" w:space="0"/>
            </w:tcBorders>
            <w:vAlign w:val="center"/>
          </w:tcPr>
          <w:p w14:paraId="6F3137DA">
            <w:pPr>
              <w:adjustRightInd w:val="0"/>
              <w:snapToGrid w:val="0"/>
              <w:jc w:val="left"/>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复核设备噪声源强及噪声影响预测内容，细化噪声污染防治措施</w:t>
            </w:r>
          </w:p>
        </w:tc>
        <w:tc>
          <w:tcPr>
            <w:tcW w:w="2277" w:type="dxa"/>
            <w:tcBorders>
              <w:top w:val="single" w:color="auto" w:sz="4" w:space="0"/>
              <w:left w:val="single" w:color="auto" w:sz="4" w:space="0"/>
              <w:bottom w:val="single" w:color="auto" w:sz="4" w:space="0"/>
              <w:right w:val="single" w:color="auto" w:sz="4" w:space="0"/>
            </w:tcBorders>
            <w:vAlign w:val="center"/>
          </w:tcPr>
          <w:p w14:paraId="013AE0CA">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复核噪声源强及预测内容，细化了相关措施；</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3D4F1BC9">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32-35</w:t>
            </w:r>
          </w:p>
        </w:tc>
      </w:tr>
      <w:tr w14:paraId="6935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3DA8BAE5">
            <w:pPr>
              <w:adjustRightInd w:val="0"/>
              <w:snapToGrid w:val="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5</w:t>
            </w:r>
          </w:p>
        </w:tc>
        <w:tc>
          <w:tcPr>
            <w:tcW w:w="4979" w:type="dxa"/>
            <w:tcBorders>
              <w:top w:val="single" w:color="auto" w:sz="4" w:space="0"/>
              <w:left w:val="single" w:color="auto" w:sz="4" w:space="0"/>
              <w:bottom w:val="single" w:color="auto" w:sz="4" w:space="0"/>
              <w:right w:val="single" w:color="auto" w:sz="4" w:space="0"/>
            </w:tcBorders>
            <w:vAlign w:val="center"/>
          </w:tcPr>
          <w:p w14:paraId="34404593">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细化生产车间及原料储存车间防渗措施。</w:t>
            </w:r>
          </w:p>
        </w:tc>
        <w:tc>
          <w:tcPr>
            <w:tcW w:w="2277" w:type="dxa"/>
            <w:tcBorders>
              <w:top w:val="single" w:color="auto" w:sz="4" w:space="0"/>
              <w:left w:val="single" w:color="auto" w:sz="4" w:space="0"/>
              <w:bottom w:val="single" w:color="auto" w:sz="4" w:space="0"/>
              <w:right w:val="single" w:color="auto" w:sz="4" w:space="0"/>
            </w:tcBorders>
            <w:vAlign w:val="center"/>
          </w:tcPr>
          <w:p w14:paraId="03FA8ADB">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细化了整个生产车间的防渗措施</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1E238914">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36-37</w:t>
            </w:r>
          </w:p>
        </w:tc>
      </w:tr>
      <w:tr w14:paraId="644F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2B971732">
            <w:pPr>
              <w:adjustRightInd w:val="0"/>
              <w:snapToGrid w:val="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6</w:t>
            </w:r>
          </w:p>
        </w:tc>
        <w:tc>
          <w:tcPr>
            <w:tcW w:w="4979" w:type="dxa"/>
            <w:tcBorders>
              <w:top w:val="single" w:color="auto" w:sz="4" w:space="0"/>
              <w:left w:val="single" w:color="auto" w:sz="4" w:space="0"/>
              <w:bottom w:val="single" w:color="auto" w:sz="4" w:space="0"/>
              <w:right w:val="single" w:color="auto" w:sz="4" w:space="0"/>
            </w:tcBorders>
            <w:vAlign w:val="center"/>
          </w:tcPr>
          <w:p w14:paraId="28FDC648">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复核固体废物产生的种类及产生量。</w:t>
            </w:r>
          </w:p>
        </w:tc>
        <w:tc>
          <w:tcPr>
            <w:tcW w:w="2277" w:type="dxa"/>
            <w:tcBorders>
              <w:top w:val="single" w:color="auto" w:sz="4" w:space="0"/>
              <w:left w:val="single" w:color="auto" w:sz="4" w:space="0"/>
              <w:bottom w:val="single" w:color="auto" w:sz="4" w:space="0"/>
              <w:right w:val="single" w:color="auto" w:sz="4" w:space="0"/>
            </w:tcBorders>
            <w:vAlign w:val="center"/>
          </w:tcPr>
          <w:p w14:paraId="6F6603BE">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重新核算的固废种类及排放量</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3327E1AD">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hint="eastAsia" w:eastAsiaTheme="minorEastAsia"/>
                <w:color w:val="0000FF"/>
              </w:rPr>
              <w:t>P</w:t>
            </w:r>
            <w:r>
              <w:rPr>
                <w:rFonts w:hint="eastAsia" w:eastAsiaTheme="minorEastAsia"/>
                <w:color w:val="0000FF"/>
                <w:lang w:val="en-US" w:eastAsia="zh-CN"/>
              </w:rPr>
              <w:t>35</w:t>
            </w:r>
          </w:p>
        </w:tc>
      </w:tr>
      <w:tr w14:paraId="004A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3CA36479">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7</w:t>
            </w:r>
          </w:p>
        </w:tc>
        <w:tc>
          <w:tcPr>
            <w:tcW w:w="4979" w:type="dxa"/>
            <w:tcBorders>
              <w:top w:val="single" w:color="auto" w:sz="4" w:space="0"/>
              <w:left w:val="single" w:color="auto" w:sz="4" w:space="0"/>
              <w:bottom w:val="single" w:color="auto" w:sz="4" w:space="0"/>
              <w:right w:val="single" w:color="auto" w:sz="4" w:space="0"/>
            </w:tcBorders>
            <w:vAlign w:val="center"/>
          </w:tcPr>
          <w:p w14:paraId="7A259682">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完善环境风险分析评价内容，避免产品进入食物链。</w:t>
            </w:r>
          </w:p>
        </w:tc>
        <w:tc>
          <w:tcPr>
            <w:tcW w:w="2277" w:type="dxa"/>
            <w:tcBorders>
              <w:top w:val="single" w:color="auto" w:sz="4" w:space="0"/>
              <w:left w:val="single" w:color="auto" w:sz="4" w:space="0"/>
              <w:bottom w:val="single" w:color="auto" w:sz="4" w:space="0"/>
              <w:right w:val="single" w:color="auto" w:sz="4" w:space="0"/>
            </w:tcBorders>
            <w:vAlign w:val="center"/>
          </w:tcPr>
          <w:p w14:paraId="3111C7F0">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明确了产品不可进入食物链</w:t>
            </w:r>
          </w:p>
        </w:tc>
        <w:tc>
          <w:tcPr>
            <w:tcW w:w="1246" w:type="dxa"/>
            <w:tcBorders>
              <w:top w:val="single" w:color="auto" w:sz="4" w:space="0"/>
              <w:left w:val="single" w:color="auto" w:sz="4" w:space="0"/>
              <w:bottom w:val="single" w:color="auto" w:sz="4" w:space="0"/>
              <w:right w:val="single" w:color="auto" w:sz="4" w:space="0"/>
            </w:tcBorders>
            <w:vAlign w:val="center"/>
          </w:tcPr>
          <w:p w14:paraId="37256F65">
            <w:pPr>
              <w:adjustRightInd w:val="0"/>
              <w:snapToGrid w:val="0"/>
              <w:jc w:val="center"/>
              <w:rPr>
                <w:rFonts w:hint="eastAsia" w:eastAsiaTheme="minorEastAsia"/>
                <w:color w:val="0000FF"/>
                <w:sz w:val="21"/>
                <w:szCs w:val="21"/>
                <w:lang w:val="en-US" w:eastAsia="zh-CN"/>
              </w:rPr>
            </w:pPr>
            <w:r>
              <w:rPr>
                <w:rFonts w:hint="eastAsia" w:eastAsiaTheme="minorEastAsia"/>
                <w:color w:val="0000FF"/>
              </w:rPr>
              <w:t>P</w:t>
            </w:r>
            <w:r>
              <w:rPr>
                <w:rFonts w:hint="eastAsia" w:eastAsiaTheme="minorEastAsia"/>
                <w:color w:val="0000FF"/>
                <w:lang w:val="en-US" w:eastAsia="zh-CN"/>
              </w:rPr>
              <w:t>8</w:t>
            </w:r>
          </w:p>
        </w:tc>
      </w:tr>
      <w:tr w14:paraId="13FB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7B46CCC3">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8</w:t>
            </w:r>
          </w:p>
        </w:tc>
        <w:tc>
          <w:tcPr>
            <w:tcW w:w="4979" w:type="dxa"/>
            <w:tcBorders>
              <w:top w:val="single" w:color="auto" w:sz="4" w:space="0"/>
              <w:left w:val="single" w:color="auto" w:sz="4" w:space="0"/>
              <w:bottom w:val="single" w:color="auto" w:sz="4" w:space="0"/>
              <w:right w:val="single" w:color="auto" w:sz="4" w:space="0"/>
            </w:tcBorders>
            <w:vAlign w:val="center"/>
          </w:tcPr>
          <w:p w14:paraId="6E758440">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复核环境保护措施监督检查清单内容，规范附图附件。</w:t>
            </w:r>
          </w:p>
        </w:tc>
        <w:tc>
          <w:tcPr>
            <w:tcW w:w="2277" w:type="dxa"/>
            <w:tcBorders>
              <w:top w:val="single" w:color="auto" w:sz="4" w:space="0"/>
              <w:left w:val="single" w:color="auto" w:sz="4" w:space="0"/>
              <w:bottom w:val="single" w:color="auto" w:sz="4" w:space="0"/>
              <w:right w:val="single" w:color="auto" w:sz="4" w:space="0"/>
            </w:tcBorders>
            <w:vAlign w:val="center"/>
          </w:tcPr>
          <w:p w14:paraId="4DC77D8D">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w:t>
            </w:r>
          </w:p>
        </w:tc>
        <w:tc>
          <w:tcPr>
            <w:tcW w:w="1246" w:type="dxa"/>
            <w:tcBorders>
              <w:top w:val="single" w:color="auto" w:sz="4" w:space="0"/>
              <w:left w:val="single" w:color="auto" w:sz="4" w:space="0"/>
              <w:bottom w:val="single" w:color="auto" w:sz="4" w:space="0"/>
              <w:right w:val="single" w:color="auto" w:sz="4" w:space="0"/>
            </w:tcBorders>
            <w:vAlign w:val="center"/>
          </w:tcPr>
          <w:p w14:paraId="7F885550">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P38</w:t>
            </w:r>
          </w:p>
        </w:tc>
      </w:tr>
      <w:tr w14:paraId="7915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B8E8735">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9</w:t>
            </w:r>
          </w:p>
        </w:tc>
        <w:tc>
          <w:tcPr>
            <w:tcW w:w="4979" w:type="dxa"/>
            <w:tcBorders>
              <w:top w:val="single" w:color="auto" w:sz="4" w:space="0"/>
              <w:left w:val="single" w:color="auto" w:sz="4" w:space="0"/>
              <w:bottom w:val="single" w:color="auto" w:sz="4" w:space="0"/>
              <w:right w:val="single" w:color="auto" w:sz="4" w:space="0"/>
            </w:tcBorders>
            <w:vAlign w:val="center"/>
          </w:tcPr>
          <w:p w14:paraId="60FA93C3">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专家提出的其他合理化建议。</w:t>
            </w:r>
          </w:p>
        </w:tc>
        <w:tc>
          <w:tcPr>
            <w:tcW w:w="2277" w:type="dxa"/>
            <w:tcBorders>
              <w:top w:val="single" w:color="auto" w:sz="4" w:space="0"/>
              <w:left w:val="single" w:color="auto" w:sz="4" w:space="0"/>
              <w:bottom w:val="single" w:color="auto" w:sz="4" w:space="0"/>
              <w:right w:val="single" w:color="auto" w:sz="4" w:space="0"/>
            </w:tcBorders>
            <w:vAlign w:val="center"/>
          </w:tcPr>
          <w:p w14:paraId="1F57663B">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已经按意见修改</w:t>
            </w:r>
          </w:p>
        </w:tc>
        <w:tc>
          <w:tcPr>
            <w:tcW w:w="1246" w:type="dxa"/>
            <w:tcBorders>
              <w:top w:val="single" w:color="auto" w:sz="4" w:space="0"/>
              <w:left w:val="single" w:color="auto" w:sz="4" w:space="0"/>
              <w:bottom w:val="single" w:color="auto" w:sz="4" w:space="0"/>
              <w:right w:val="single" w:color="auto" w:sz="4" w:space="0"/>
            </w:tcBorders>
            <w:vAlign w:val="center"/>
          </w:tcPr>
          <w:p w14:paraId="7D080FC7">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w:t>
            </w:r>
          </w:p>
        </w:tc>
      </w:tr>
      <w:tr w14:paraId="7517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0F5F290C">
            <w:pPr>
              <w:adjustRightInd w:val="0"/>
              <w:snapToGrid w:val="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二</w:t>
            </w:r>
          </w:p>
        </w:tc>
        <w:tc>
          <w:tcPr>
            <w:tcW w:w="4979" w:type="dxa"/>
            <w:tcBorders>
              <w:top w:val="single" w:color="auto" w:sz="4" w:space="0"/>
              <w:left w:val="single" w:color="auto" w:sz="4" w:space="0"/>
              <w:bottom w:val="single" w:color="auto" w:sz="4" w:space="0"/>
              <w:right w:val="single" w:color="auto" w:sz="4" w:space="0"/>
            </w:tcBorders>
            <w:vAlign w:val="center"/>
          </w:tcPr>
          <w:p w14:paraId="70E3FF55">
            <w:pPr>
              <w:adjustRightInd w:val="0"/>
              <w:snapToGrid w:val="0"/>
              <w:jc w:val="left"/>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其他专家意见</w:t>
            </w:r>
          </w:p>
        </w:tc>
        <w:tc>
          <w:tcPr>
            <w:tcW w:w="2277" w:type="dxa"/>
            <w:tcBorders>
              <w:top w:val="single" w:color="auto" w:sz="4" w:space="0"/>
              <w:left w:val="single" w:color="auto" w:sz="4" w:space="0"/>
              <w:bottom w:val="single" w:color="auto" w:sz="4" w:space="0"/>
              <w:right w:val="single" w:color="auto" w:sz="4" w:space="0"/>
            </w:tcBorders>
            <w:vAlign w:val="center"/>
          </w:tcPr>
          <w:p w14:paraId="1410F413">
            <w:pPr>
              <w:adjustRightInd w:val="0"/>
              <w:snapToGrid w:val="0"/>
              <w:jc w:val="center"/>
              <w:rPr>
                <w:rFonts w:hint="eastAsia" w:eastAsiaTheme="minorEastAsia"/>
                <w:color w:val="auto"/>
                <w:sz w:val="21"/>
                <w:szCs w:val="21"/>
                <w:lang w:val="en-US" w:eastAsia="zh-CN"/>
              </w:rPr>
            </w:pPr>
          </w:p>
        </w:tc>
        <w:tc>
          <w:tcPr>
            <w:tcW w:w="1246" w:type="dxa"/>
            <w:tcBorders>
              <w:top w:val="single" w:color="auto" w:sz="4" w:space="0"/>
              <w:left w:val="single" w:color="auto" w:sz="4" w:space="0"/>
              <w:bottom w:val="single" w:color="auto" w:sz="4" w:space="0"/>
              <w:right w:val="single" w:color="auto" w:sz="4" w:space="0"/>
            </w:tcBorders>
            <w:vAlign w:val="center"/>
          </w:tcPr>
          <w:p w14:paraId="1BDF1D53">
            <w:pPr>
              <w:adjustRightInd w:val="0"/>
              <w:snapToGrid w:val="0"/>
              <w:jc w:val="center"/>
              <w:rPr>
                <w:rFonts w:hint="eastAsia" w:eastAsiaTheme="minorEastAsia"/>
                <w:color w:val="0000FF"/>
                <w:sz w:val="21"/>
                <w:szCs w:val="21"/>
                <w:lang w:val="en-US" w:eastAsia="zh-CN"/>
              </w:rPr>
            </w:pPr>
          </w:p>
        </w:tc>
      </w:tr>
      <w:tr w14:paraId="18AC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C7AC1AE">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w:t>
            </w:r>
          </w:p>
        </w:tc>
        <w:tc>
          <w:tcPr>
            <w:tcW w:w="4979" w:type="dxa"/>
            <w:tcBorders>
              <w:top w:val="single" w:color="auto" w:sz="4" w:space="0"/>
              <w:left w:val="single" w:color="auto" w:sz="4" w:space="0"/>
              <w:bottom w:val="single" w:color="auto" w:sz="4" w:space="0"/>
              <w:right w:val="single" w:color="auto" w:sz="4" w:space="0"/>
            </w:tcBorders>
            <w:vAlign w:val="center"/>
          </w:tcPr>
          <w:p w14:paraId="16054DDD">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梳理完善生态环境单元分区管控符合性分析，细化周围环境敏感分布情况。</w:t>
            </w:r>
          </w:p>
        </w:tc>
        <w:tc>
          <w:tcPr>
            <w:tcW w:w="2277" w:type="dxa"/>
            <w:tcBorders>
              <w:top w:val="single" w:color="auto" w:sz="4" w:space="0"/>
              <w:left w:val="single" w:color="auto" w:sz="4" w:space="0"/>
              <w:bottom w:val="single" w:color="auto" w:sz="4" w:space="0"/>
              <w:right w:val="single" w:color="auto" w:sz="4" w:space="0"/>
            </w:tcBorders>
            <w:vAlign w:val="center"/>
          </w:tcPr>
          <w:p w14:paraId="677C3A9B">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细化了分区管控符合性，细化周边500m范围保护目标；</w:t>
            </w:r>
          </w:p>
        </w:tc>
        <w:tc>
          <w:tcPr>
            <w:tcW w:w="1246" w:type="dxa"/>
            <w:tcBorders>
              <w:top w:val="single" w:color="auto" w:sz="4" w:space="0"/>
              <w:left w:val="single" w:color="auto" w:sz="4" w:space="0"/>
              <w:bottom w:val="single" w:color="auto" w:sz="4" w:space="0"/>
              <w:right w:val="single" w:color="auto" w:sz="4" w:space="0"/>
            </w:tcBorders>
            <w:vAlign w:val="center"/>
          </w:tcPr>
          <w:p w14:paraId="6BAC6BD1">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P2-5、P24</w:t>
            </w:r>
          </w:p>
        </w:tc>
      </w:tr>
      <w:tr w14:paraId="0313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20A7F396">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w:t>
            </w:r>
          </w:p>
        </w:tc>
        <w:tc>
          <w:tcPr>
            <w:tcW w:w="4979" w:type="dxa"/>
            <w:tcBorders>
              <w:top w:val="single" w:color="auto" w:sz="4" w:space="0"/>
              <w:left w:val="single" w:color="auto" w:sz="4" w:space="0"/>
              <w:bottom w:val="single" w:color="auto" w:sz="4" w:space="0"/>
              <w:right w:val="single" w:color="auto" w:sz="4" w:space="0"/>
            </w:tcBorders>
            <w:vAlign w:val="center"/>
          </w:tcPr>
          <w:p w14:paraId="743461D2">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细化工程分析，完善工艺流程及排污节点分析，补充物料平衡，完善条带式发酵工艺介绍，补充发酵后基料是否需要进行陈化，同时复核原辅料消耗，发酵过程会有大量水分等流失，目前原料能否达到2万吨产品需进一步论证；补充低温发酵是否会有渗滤液产生，如有应明确处理方案；建议按照条带式发酵批次及周期等核实车间面积与产品规模等匹配度。梳理现有发酵车间废气治理措施的管路连接内容，明确6台风机设置及排气筒的位置关系，给出车间高度、面积等参数，核准废气量及相关管径和匹配的环保设施，并进行效率分析，复核废气污染物源强及达标保证性分析，明确生物滴滤塔滤料废物属性及更换周期等，补充其是否涉及废水外排？补充产品质量标准及原辅材料成分分析，不建议采用有机溶剂提炼工艺药渣。</w:t>
            </w:r>
          </w:p>
        </w:tc>
        <w:tc>
          <w:tcPr>
            <w:tcW w:w="2277" w:type="dxa"/>
            <w:tcBorders>
              <w:top w:val="single" w:color="auto" w:sz="4" w:space="0"/>
              <w:left w:val="single" w:color="auto" w:sz="4" w:space="0"/>
              <w:bottom w:val="single" w:color="auto" w:sz="4" w:space="0"/>
              <w:right w:val="single" w:color="auto" w:sz="4" w:space="0"/>
            </w:tcBorders>
            <w:vAlign w:val="center"/>
          </w:tcPr>
          <w:p w14:paraId="6AFB2053">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细化工艺流程、物料平衡、条带式发酵工艺等内容，重新根据原辅材料核算产量，补充了匹配性分析等内容；不采用生物滴滤塔，采用生物除臭剂，补充了</w:t>
            </w:r>
            <w:r>
              <w:rPr>
                <w:rFonts w:hint="eastAsia" w:hAnsiTheme="minorEastAsia" w:eastAsiaTheme="minorEastAsia"/>
                <w:color w:val="auto"/>
                <w:sz w:val="21"/>
                <w:szCs w:val="21"/>
                <w:lang w:val="en-US" w:eastAsia="zh-CN"/>
              </w:rPr>
              <w:t>产品质量标准及原辅材料成分分析等内容；</w:t>
            </w:r>
          </w:p>
        </w:tc>
        <w:tc>
          <w:tcPr>
            <w:tcW w:w="1246" w:type="dxa"/>
            <w:tcBorders>
              <w:top w:val="single" w:color="auto" w:sz="4" w:space="0"/>
              <w:left w:val="single" w:color="auto" w:sz="4" w:space="0"/>
              <w:bottom w:val="single" w:color="auto" w:sz="4" w:space="0"/>
              <w:right w:val="single" w:color="auto" w:sz="4" w:space="0"/>
            </w:tcBorders>
            <w:vAlign w:val="center"/>
          </w:tcPr>
          <w:p w14:paraId="6CFF1EC6">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P11-12、</w:t>
            </w:r>
            <w:r>
              <w:rPr>
                <w:rFonts w:hint="eastAsia" w:eastAsiaTheme="minorEastAsia"/>
                <w:color w:val="0000FF"/>
                <w:sz w:val="21"/>
                <w:szCs w:val="21"/>
              </w:rPr>
              <w:t>P</w:t>
            </w:r>
            <w:r>
              <w:rPr>
                <w:rFonts w:hint="eastAsia" w:eastAsiaTheme="minorEastAsia"/>
                <w:color w:val="0000FF"/>
                <w:sz w:val="21"/>
                <w:szCs w:val="21"/>
                <w:lang w:val="en-US" w:eastAsia="zh-CN"/>
              </w:rPr>
              <w:t>8-9</w:t>
            </w:r>
            <w:r>
              <w:rPr>
                <w:rFonts w:hint="eastAsia" w:eastAsiaTheme="minorEastAsia"/>
                <w:color w:val="0000FF"/>
                <w:sz w:val="21"/>
                <w:szCs w:val="21"/>
              </w:rPr>
              <w:t>、</w:t>
            </w:r>
          </w:p>
        </w:tc>
      </w:tr>
      <w:tr w14:paraId="063F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B2F86A2">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3</w:t>
            </w:r>
          </w:p>
        </w:tc>
        <w:tc>
          <w:tcPr>
            <w:tcW w:w="4979" w:type="dxa"/>
            <w:tcBorders>
              <w:top w:val="single" w:color="auto" w:sz="4" w:space="0"/>
              <w:left w:val="single" w:color="auto" w:sz="4" w:space="0"/>
              <w:bottom w:val="single" w:color="auto" w:sz="4" w:space="0"/>
              <w:right w:val="single" w:color="auto" w:sz="4" w:space="0"/>
            </w:tcBorders>
            <w:vAlign w:val="center"/>
          </w:tcPr>
          <w:p w14:paraId="5901659F">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核实风机类噪声源强；按照物料平衡及发酵周期等核实固废量及处置去向；结合地下水导则及项目污染物特征，完善厂区硬化、防渗等内容，核实采用20mm水泥砂浆的防渗级别及可靠性。</w:t>
            </w:r>
          </w:p>
        </w:tc>
        <w:tc>
          <w:tcPr>
            <w:tcW w:w="2277" w:type="dxa"/>
            <w:tcBorders>
              <w:top w:val="single" w:color="auto" w:sz="4" w:space="0"/>
              <w:left w:val="single" w:color="auto" w:sz="4" w:space="0"/>
              <w:bottom w:val="single" w:color="auto" w:sz="4" w:space="0"/>
              <w:right w:val="single" w:color="auto" w:sz="4" w:space="0"/>
            </w:tcBorders>
            <w:vAlign w:val="center"/>
          </w:tcPr>
          <w:p w14:paraId="6BABA1CF">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核实了风机噪声源强及固废量、去向；细化防渗内容；</w:t>
            </w:r>
          </w:p>
        </w:tc>
        <w:tc>
          <w:tcPr>
            <w:tcW w:w="1246" w:type="dxa"/>
            <w:tcBorders>
              <w:top w:val="single" w:color="auto" w:sz="4" w:space="0"/>
              <w:left w:val="single" w:color="auto" w:sz="4" w:space="0"/>
              <w:bottom w:val="single" w:color="auto" w:sz="4" w:space="0"/>
              <w:right w:val="single" w:color="auto" w:sz="4" w:space="0"/>
            </w:tcBorders>
            <w:vAlign w:val="center"/>
          </w:tcPr>
          <w:p w14:paraId="56A42843">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rPr>
              <w:t>P</w:t>
            </w:r>
            <w:r>
              <w:rPr>
                <w:rFonts w:hint="eastAsia" w:eastAsiaTheme="minorEastAsia"/>
                <w:color w:val="0000FF"/>
                <w:sz w:val="21"/>
                <w:szCs w:val="21"/>
                <w:lang w:val="en-US" w:eastAsia="zh-CN"/>
              </w:rPr>
              <w:t>32</w:t>
            </w:r>
            <w:r>
              <w:rPr>
                <w:rFonts w:hint="eastAsia" w:eastAsiaTheme="minorEastAsia"/>
                <w:color w:val="0000FF"/>
                <w:sz w:val="21"/>
                <w:szCs w:val="21"/>
              </w:rPr>
              <w:t>、P</w:t>
            </w:r>
            <w:r>
              <w:rPr>
                <w:rFonts w:hint="eastAsia" w:eastAsiaTheme="minorEastAsia"/>
                <w:color w:val="0000FF"/>
                <w:sz w:val="21"/>
                <w:szCs w:val="21"/>
                <w:lang w:val="en-US" w:eastAsia="zh-CN"/>
              </w:rPr>
              <w:t>35</w:t>
            </w:r>
            <w:r>
              <w:rPr>
                <w:rFonts w:hint="eastAsia" w:eastAsiaTheme="minorEastAsia"/>
                <w:color w:val="0000FF"/>
                <w:sz w:val="21"/>
                <w:szCs w:val="21"/>
              </w:rPr>
              <w:t>、P</w:t>
            </w:r>
            <w:r>
              <w:rPr>
                <w:rFonts w:hint="eastAsia" w:eastAsiaTheme="minorEastAsia"/>
                <w:color w:val="0000FF"/>
                <w:sz w:val="21"/>
                <w:szCs w:val="21"/>
                <w:lang w:val="en-US" w:eastAsia="zh-CN"/>
              </w:rPr>
              <w:t>36-37</w:t>
            </w:r>
          </w:p>
        </w:tc>
      </w:tr>
      <w:tr w14:paraId="2C8B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2FD063E5">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w:t>
            </w:r>
          </w:p>
        </w:tc>
        <w:tc>
          <w:tcPr>
            <w:tcW w:w="4979" w:type="dxa"/>
            <w:tcBorders>
              <w:top w:val="single" w:color="auto" w:sz="4" w:space="0"/>
              <w:left w:val="single" w:color="auto" w:sz="4" w:space="0"/>
              <w:bottom w:val="single" w:color="auto" w:sz="4" w:space="0"/>
              <w:right w:val="single" w:color="auto" w:sz="4" w:space="0"/>
            </w:tcBorders>
            <w:vAlign w:val="center"/>
          </w:tcPr>
          <w:p w14:paraId="46135C36">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完善环境风险评价内容，并细化风险物质存储、处置过程的风险事故发生情势及防治措施等；完善项目污染物排放量汇总表，复核环保投资、项目环境保护措施监督检查清单等。</w:t>
            </w:r>
          </w:p>
        </w:tc>
        <w:tc>
          <w:tcPr>
            <w:tcW w:w="2277" w:type="dxa"/>
            <w:tcBorders>
              <w:top w:val="single" w:color="auto" w:sz="4" w:space="0"/>
              <w:left w:val="single" w:color="auto" w:sz="4" w:space="0"/>
              <w:bottom w:val="single" w:color="auto" w:sz="4" w:space="0"/>
              <w:right w:val="single" w:color="auto" w:sz="4" w:space="0"/>
            </w:tcBorders>
            <w:vAlign w:val="center"/>
          </w:tcPr>
          <w:p w14:paraId="224F4B8F">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项目不存在《建设项目环境风险评价技术导则》（HJ/T 169-2004）中的危险物质；</w:t>
            </w:r>
          </w:p>
        </w:tc>
        <w:tc>
          <w:tcPr>
            <w:tcW w:w="1246" w:type="dxa"/>
            <w:tcBorders>
              <w:top w:val="single" w:color="auto" w:sz="4" w:space="0"/>
              <w:left w:val="single" w:color="auto" w:sz="4" w:space="0"/>
              <w:bottom w:val="single" w:color="auto" w:sz="4" w:space="0"/>
              <w:right w:val="single" w:color="auto" w:sz="4" w:space="0"/>
            </w:tcBorders>
            <w:vAlign w:val="center"/>
          </w:tcPr>
          <w:p w14:paraId="61FCE1BE">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P43、P37、P38、</w:t>
            </w:r>
          </w:p>
        </w:tc>
      </w:tr>
      <w:tr w14:paraId="5FB4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028DD59A">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w:t>
            </w:r>
          </w:p>
        </w:tc>
        <w:tc>
          <w:tcPr>
            <w:tcW w:w="4979" w:type="dxa"/>
            <w:tcBorders>
              <w:top w:val="single" w:color="auto" w:sz="4" w:space="0"/>
              <w:left w:val="single" w:color="auto" w:sz="4" w:space="0"/>
              <w:bottom w:val="single" w:color="auto" w:sz="4" w:space="0"/>
              <w:right w:val="single" w:color="auto" w:sz="4" w:space="0"/>
            </w:tcBorders>
            <w:vAlign w:val="center"/>
          </w:tcPr>
          <w:p w14:paraId="0CF74997">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规范附图件，补充图例、比例尺等。</w:t>
            </w:r>
          </w:p>
        </w:tc>
        <w:tc>
          <w:tcPr>
            <w:tcW w:w="2277" w:type="dxa"/>
            <w:tcBorders>
              <w:top w:val="single" w:color="auto" w:sz="4" w:space="0"/>
              <w:left w:val="single" w:color="auto" w:sz="4" w:space="0"/>
              <w:bottom w:val="single" w:color="auto" w:sz="4" w:space="0"/>
              <w:right w:val="single" w:color="auto" w:sz="4" w:space="0"/>
            </w:tcBorders>
            <w:vAlign w:val="center"/>
          </w:tcPr>
          <w:p w14:paraId="2D608F46">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已经按照要求进行修改</w:t>
            </w:r>
          </w:p>
        </w:tc>
        <w:tc>
          <w:tcPr>
            <w:tcW w:w="1246" w:type="dxa"/>
            <w:tcBorders>
              <w:top w:val="single" w:color="auto" w:sz="4" w:space="0"/>
              <w:left w:val="single" w:color="auto" w:sz="4" w:space="0"/>
              <w:bottom w:val="single" w:color="auto" w:sz="4" w:space="0"/>
              <w:right w:val="single" w:color="auto" w:sz="4" w:space="0"/>
            </w:tcBorders>
            <w:vAlign w:val="center"/>
          </w:tcPr>
          <w:p w14:paraId="1BD4D432">
            <w:pPr>
              <w:adjustRightInd w:val="0"/>
              <w:snapToGrid w:val="0"/>
              <w:jc w:val="center"/>
              <w:rPr>
                <w:rFonts w:hint="eastAsia" w:eastAsiaTheme="minorEastAsia"/>
                <w:color w:val="0000FF"/>
                <w:sz w:val="21"/>
                <w:szCs w:val="21"/>
                <w:lang w:val="en-US" w:eastAsia="zh-CN"/>
              </w:rPr>
            </w:pPr>
          </w:p>
        </w:tc>
      </w:tr>
      <w:tr w14:paraId="78F0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B272DDD">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6</w:t>
            </w:r>
          </w:p>
        </w:tc>
        <w:tc>
          <w:tcPr>
            <w:tcW w:w="4979" w:type="dxa"/>
            <w:tcBorders>
              <w:top w:val="single" w:color="auto" w:sz="4" w:space="0"/>
              <w:left w:val="single" w:color="auto" w:sz="4" w:space="0"/>
              <w:bottom w:val="single" w:color="auto" w:sz="4" w:space="0"/>
              <w:right w:val="single" w:color="auto" w:sz="4" w:space="0"/>
            </w:tcBorders>
            <w:vAlign w:val="center"/>
          </w:tcPr>
          <w:p w14:paraId="6E12105B">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核准项目行业类别；细化环境敏感保护目标分布情况调查内容；复核项目应执行的噪声排放标准。</w:t>
            </w: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14:paraId="3275BD44">
            <w:pPr>
              <w:adjustRightInd w:val="0"/>
              <w:snapToGrid w:val="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行业类别定为N7723固体废物治理；农细化周边500m范围保护目标；村地区执行1类；</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438132A7">
            <w:pPr>
              <w:adjustRightInd w:val="0"/>
              <w:snapToGrid w:val="0"/>
              <w:jc w:val="center"/>
              <w:rPr>
                <w:rFonts w:hint="default"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1</w:t>
            </w:r>
            <w:r>
              <w:rPr>
                <w:rFonts w:hint="eastAsia" w:eastAsiaTheme="minorEastAsia"/>
                <w:color w:val="0000FF"/>
                <w:sz w:val="21"/>
                <w:szCs w:val="21"/>
              </w:rPr>
              <w:t>、P</w:t>
            </w:r>
            <w:r>
              <w:rPr>
                <w:rFonts w:hint="eastAsia" w:eastAsiaTheme="minorEastAsia"/>
                <w:color w:val="0000FF"/>
                <w:sz w:val="21"/>
                <w:szCs w:val="21"/>
                <w:lang w:val="en-US" w:eastAsia="zh-CN"/>
              </w:rPr>
              <w:t>24</w:t>
            </w:r>
            <w:r>
              <w:rPr>
                <w:rFonts w:hint="eastAsia" w:eastAsiaTheme="minorEastAsia"/>
                <w:color w:val="0000FF"/>
                <w:sz w:val="21"/>
                <w:szCs w:val="21"/>
              </w:rPr>
              <w:t>、P</w:t>
            </w:r>
            <w:r>
              <w:rPr>
                <w:rFonts w:hint="eastAsia" w:eastAsiaTheme="minorEastAsia"/>
                <w:color w:val="0000FF"/>
                <w:sz w:val="21"/>
                <w:szCs w:val="21"/>
                <w:lang w:val="en-US" w:eastAsia="zh-CN"/>
              </w:rPr>
              <w:t>25</w:t>
            </w:r>
          </w:p>
        </w:tc>
      </w:tr>
      <w:tr w14:paraId="4579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69FFB10">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7</w:t>
            </w:r>
          </w:p>
        </w:tc>
        <w:tc>
          <w:tcPr>
            <w:tcW w:w="4979" w:type="dxa"/>
            <w:tcBorders>
              <w:top w:val="single" w:color="auto" w:sz="4" w:space="0"/>
              <w:left w:val="single" w:color="auto" w:sz="4" w:space="0"/>
              <w:bottom w:val="single" w:color="auto" w:sz="4" w:space="0"/>
              <w:right w:val="single" w:color="auto" w:sz="4" w:space="0"/>
            </w:tcBorders>
            <w:vAlign w:val="center"/>
          </w:tcPr>
          <w:p w14:paraId="20FBDD33">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细化工程分析内容，明确原料来源，核准原料属性（是否含有毒性中药材，建议结合原料厂家环评说明）及含水率，补充产品用途（P6页有用于农业生产内容），说明有无质量标准；补充每批次发酵量及发酵时间；核实项目冬季是否生产；核准原料混合过程是否添加水，复核水平衡；核准原料储存过程是否有渗滤液产生。</w:t>
            </w: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14:paraId="15E64462">
            <w:pPr>
              <w:adjustRightInd w:val="0"/>
              <w:snapToGrid w:val="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明确原料来至修正集团下属中药企业产生的废弃物；补充了产品标准；细化每批次发酵量及时间；冬季不生产；混料过程需要补充水；原料直接运入发酵区，不存贮；</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702265DB">
            <w:pPr>
              <w:adjustRightInd w:val="0"/>
              <w:snapToGrid w:val="0"/>
              <w:jc w:val="center"/>
              <w:rPr>
                <w:rFonts w:hint="eastAsia"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9</w:t>
            </w:r>
            <w:r>
              <w:rPr>
                <w:rFonts w:hint="eastAsia" w:eastAsiaTheme="minorEastAsia"/>
                <w:color w:val="0000FF"/>
                <w:sz w:val="21"/>
                <w:szCs w:val="21"/>
              </w:rPr>
              <w:t>、P</w:t>
            </w:r>
            <w:r>
              <w:rPr>
                <w:rFonts w:hint="eastAsia" w:eastAsiaTheme="minorEastAsia"/>
                <w:color w:val="0000FF"/>
                <w:sz w:val="21"/>
                <w:szCs w:val="21"/>
                <w:lang w:val="en-US" w:eastAsia="zh-CN"/>
              </w:rPr>
              <w:t>8</w:t>
            </w:r>
            <w:r>
              <w:rPr>
                <w:rFonts w:hint="eastAsia" w:eastAsiaTheme="minorEastAsia"/>
                <w:color w:val="0000FF"/>
                <w:sz w:val="21"/>
                <w:szCs w:val="21"/>
              </w:rPr>
              <w:t>、P</w:t>
            </w:r>
            <w:r>
              <w:rPr>
                <w:rFonts w:hint="eastAsia" w:eastAsiaTheme="minorEastAsia"/>
                <w:color w:val="0000FF"/>
                <w:sz w:val="21"/>
                <w:szCs w:val="21"/>
                <w:lang w:val="en-US" w:eastAsia="zh-CN"/>
              </w:rPr>
              <w:t>11-12、</w:t>
            </w:r>
            <w:r>
              <w:rPr>
                <w:rFonts w:hint="eastAsia" w:eastAsiaTheme="minorEastAsia"/>
                <w:color w:val="0000FF"/>
                <w:sz w:val="21"/>
                <w:szCs w:val="21"/>
              </w:rPr>
              <w:t>P</w:t>
            </w:r>
            <w:r>
              <w:rPr>
                <w:rFonts w:hint="eastAsia" w:eastAsiaTheme="minorEastAsia"/>
                <w:color w:val="0000FF"/>
                <w:sz w:val="21"/>
                <w:szCs w:val="21"/>
                <w:lang w:val="en-US" w:eastAsia="zh-CN"/>
              </w:rPr>
              <w:t>10-11</w:t>
            </w:r>
            <w:r>
              <w:rPr>
                <w:rFonts w:hint="eastAsia" w:eastAsiaTheme="minorEastAsia"/>
                <w:color w:val="0000FF"/>
                <w:sz w:val="21"/>
                <w:szCs w:val="21"/>
              </w:rPr>
              <w:t>、P</w:t>
            </w:r>
            <w:r>
              <w:rPr>
                <w:rFonts w:hint="eastAsia" w:eastAsiaTheme="minorEastAsia"/>
                <w:color w:val="0000FF"/>
                <w:sz w:val="21"/>
                <w:szCs w:val="21"/>
                <w:lang w:val="en-US" w:eastAsia="zh-CN"/>
              </w:rPr>
              <w:t>13</w:t>
            </w:r>
          </w:p>
        </w:tc>
      </w:tr>
      <w:tr w14:paraId="6186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AFBF594">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8</w:t>
            </w:r>
          </w:p>
        </w:tc>
        <w:tc>
          <w:tcPr>
            <w:tcW w:w="4979" w:type="dxa"/>
            <w:tcBorders>
              <w:top w:val="single" w:color="auto" w:sz="4" w:space="0"/>
              <w:left w:val="single" w:color="auto" w:sz="4" w:space="0"/>
              <w:bottom w:val="single" w:color="auto" w:sz="4" w:space="0"/>
              <w:right w:val="single" w:color="auto" w:sz="4" w:space="0"/>
            </w:tcBorders>
            <w:vAlign w:val="center"/>
          </w:tcPr>
          <w:p w14:paraId="2432F523">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复核发酵废气污染物源强，细化生物滴滤塔工作原理，复核恶臭气体去除效率。</w:t>
            </w: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14:paraId="2DCBAF15">
            <w:pPr>
              <w:adjustRightInd w:val="0"/>
              <w:snapToGrid w:val="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重新核实发酵废气核算，采用生物除臭剂，不采用生物滴滤塔；</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6BA69B41">
            <w:pPr>
              <w:adjustRightInd w:val="0"/>
              <w:snapToGrid w:val="0"/>
              <w:jc w:val="center"/>
              <w:rPr>
                <w:rFonts w:hint="eastAsia"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28</w:t>
            </w:r>
          </w:p>
        </w:tc>
      </w:tr>
      <w:tr w14:paraId="44D4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1DD4068">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9</w:t>
            </w:r>
          </w:p>
        </w:tc>
        <w:tc>
          <w:tcPr>
            <w:tcW w:w="4979" w:type="dxa"/>
            <w:tcBorders>
              <w:top w:val="single" w:color="auto" w:sz="4" w:space="0"/>
              <w:left w:val="single" w:color="auto" w:sz="4" w:space="0"/>
              <w:bottom w:val="single" w:color="auto" w:sz="4" w:space="0"/>
              <w:right w:val="single" w:color="auto" w:sz="4" w:space="0"/>
            </w:tcBorders>
            <w:vAlign w:val="center"/>
          </w:tcPr>
          <w:p w14:paraId="6B2DD0F0">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复核设备噪声源强及噪声影响预测内容，细化噪声污染防治措施。</w:t>
            </w:r>
          </w:p>
          <w:p w14:paraId="0E6AE3E8">
            <w:pPr>
              <w:adjustRightInd w:val="0"/>
              <w:snapToGrid w:val="0"/>
              <w:jc w:val="left"/>
              <w:rPr>
                <w:rFonts w:hint="eastAsia" w:hAnsiTheme="minorEastAsia" w:eastAsiaTheme="minorEastAsia"/>
                <w:color w:val="auto"/>
                <w:sz w:val="21"/>
                <w:szCs w:val="21"/>
                <w:lang w:val="en-US" w:eastAsia="zh-CN"/>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14:paraId="6F407548">
            <w:pPr>
              <w:adjustRightInd w:val="0"/>
              <w:snapToGrid w:val="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复核噪声源强及预测内容，细化了相关措施；</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5D5A6479">
            <w:pPr>
              <w:adjustRightInd w:val="0"/>
              <w:snapToGrid w:val="0"/>
              <w:jc w:val="center"/>
              <w:rPr>
                <w:rFonts w:hint="eastAsia"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32-35</w:t>
            </w:r>
          </w:p>
        </w:tc>
      </w:tr>
      <w:tr w14:paraId="4818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08B05C2">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10</w:t>
            </w:r>
          </w:p>
        </w:tc>
        <w:tc>
          <w:tcPr>
            <w:tcW w:w="4979" w:type="dxa"/>
            <w:tcBorders>
              <w:top w:val="single" w:color="auto" w:sz="4" w:space="0"/>
              <w:left w:val="single" w:color="auto" w:sz="4" w:space="0"/>
              <w:bottom w:val="single" w:color="auto" w:sz="4" w:space="0"/>
              <w:right w:val="single" w:color="auto" w:sz="4" w:space="0"/>
            </w:tcBorders>
            <w:vAlign w:val="center"/>
          </w:tcPr>
          <w:p w14:paraId="21D5D7C0">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细化生产车间及原料储存车间防渗措施。</w:t>
            </w: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14:paraId="0BA84DDF">
            <w:pPr>
              <w:adjustRightInd w:val="0"/>
              <w:snapToGrid w:val="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细化了整个生产车间的防渗措施</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6D84BA0F">
            <w:pPr>
              <w:adjustRightInd w:val="0"/>
              <w:snapToGrid w:val="0"/>
              <w:jc w:val="center"/>
              <w:rPr>
                <w:rFonts w:hint="eastAsia" w:ascii="Times New Roman" w:hAnsi="Times New Roman" w:cs="Times New Roman" w:eastAsiaTheme="minorEastAsia"/>
                <w:color w:val="0000FF"/>
                <w:sz w:val="21"/>
                <w:szCs w:val="21"/>
                <w:lang w:val="en-US" w:eastAsia="zh-CN" w:bidi="ar-SA"/>
              </w:rPr>
            </w:pPr>
            <w:r>
              <w:rPr>
                <w:rFonts w:eastAsiaTheme="minorEastAsia"/>
                <w:color w:val="0000FF"/>
                <w:sz w:val="21"/>
                <w:szCs w:val="21"/>
              </w:rPr>
              <w:t>P</w:t>
            </w:r>
            <w:r>
              <w:rPr>
                <w:rFonts w:hint="eastAsia" w:eastAsiaTheme="minorEastAsia"/>
                <w:color w:val="0000FF"/>
                <w:sz w:val="21"/>
                <w:szCs w:val="21"/>
                <w:lang w:val="en-US" w:eastAsia="zh-CN"/>
              </w:rPr>
              <w:t>36-37</w:t>
            </w:r>
          </w:p>
        </w:tc>
      </w:tr>
      <w:tr w14:paraId="4CC9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7D63CB30">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11</w:t>
            </w:r>
          </w:p>
        </w:tc>
        <w:tc>
          <w:tcPr>
            <w:tcW w:w="4979" w:type="dxa"/>
            <w:tcBorders>
              <w:top w:val="single" w:color="auto" w:sz="4" w:space="0"/>
              <w:left w:val="single" w:color="auto" w:sz="4" w:space="0"/>
              <w:bottom w:val="single" w:color="auto" w:sz="4" w:space="0"/>
              <w:right w:val="single" w:color="auto" w:sz="4" w:space="0"/>
            </w:tcBorders>
            <w:vAlign w:val="center"/>
          </w:tcPr>
          <w:p w14:paraId="1C48AED2">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复核固体废物产生种类及产生量。</w:t>
            </w: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14:paraId="2C9DF0F3">
            <w:pPr>
              <w:adjustRightInd w:val="0"/>
              <w:snapToGrid w:val="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重新核算的固废种类及排放量</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1568E44C">
            <w:pPr>
              <w:adjustRightInd w:val="0"/>
              <w:snapToGrid w:val="0"/>
              <w:jc w:val="center"/>
              <w:rPr>
                <w:rFonts w:hint="eastAsia" w:ascii="Times New Roman" w:hAnsi="Times New Roman" w:cs="Times New Roman" w:eastAsiaTheme="minorEastAsia"/>
                <w:color w:val="0000FF"/>
                <w:sz w:val="21"/>
                <w:szCs w:val="21"/>
                <w:lang w:val="en-US" w:eastAsia="zh-CN" w:bidi="ar-SA"/>
              </w:rPr>
            </w:pPr>
            <w:r>
              <w:rPr>
                <w:rFonts w:hint="eastAsia" w:eastAsiaTheme="minorEastAsia"/>
                <w:color w:val="0000FF"/>
              </w:rPr>
              <w:t>P</w:t>
            </w:r>
            <w:r>
              <w:rPr>
                <w:rFonts w:hint="eastAsia" w:eastAsiaTheme="minorEastAsia"/>
                <w:color w:val="0000FF"/>
                <w:lang w:val="en-US" w:eastAsia="zh-CN"/>
              </w:rPr>
              <w:t>35</w:t>
            </w:r>
          </w:p>
        </w:tc>
      </w:tr>
      <w:tr w14:paraId="791F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193CD61">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12</w:t>
            </w:r>
          </w:p>
        </w:tc>
        <w:tc>
          <w:tcPr>
            <w:tcW w:w="4979" w:type="dxa"/>
            <w:tcBorders>
              <w:top w:val="single" w:color="auto" w:sz="4" w:space="0"/>
              <w:left w:val="single" w:color="auto" w:sz="4" w:space="0"/>
              <w:bottom w:val="single" w:color="auto" w:sz="4" w:space="0"/>
              <w:right w:val="single" w:color="auto" w:sz="4" w:space="0"/>
            </w:tcBorders>
            <w:vAlign w:val="center"/>
          </w:tcPr>
          <w:p w14:paraId="11433582">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核实原辅料及产品标准。说明中药残渣种类、提取方式及污染特性，明确药渣固废属性及固废编码，明确是否添加肥料成分或土壤等及如何确保肥力，明确产品类型及标准（是否属于肥料）。建议按基质考虑。</w:t>
            </w:r>
          </w:p>
        </w:tc>
        <w:tc>
          <w:tcPr>
            <w:tcW w:w="2277" w:type="dxa"/>
            <w:tcBorders>
              <w:top w:val="single" w:color="auto" w:sz="4" w:space="0"/>
              <w:left w:val="single" w:color="auto" w:sz="4" w:space="0"/>
              <w:bottom w:val="single" w:color="auto" w:sz="4" w:space="0"/>
              <w:right w:val="single" w:color="auto" w:sz="4" w:space="0"/>
            </w:tcBorders>
            <w:vAlign w:val="center"/>
          </w:tcPr>
          <w:p w14:paraId="52EA0B53">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产品执行</w:t>
            </w:r>
            <w:r>
              <w:rPr>
                <w:rFonts w:hint="eastAsia" w:hAnsi="宋体" w:cs="宋体" w:eastAsiaTheme="minorEastAsia"/>
                <w:color w:val="auto"/>
                <w:spacing w:val="6"/>
                <w:highlight w:val="none"/>
                <w:u w:val="none"/>
                <w:lang w:val="en-US" w:eastAsia="zh-CN"/>
              </w:rPr>
              <w:t>GB/T33891-2017；补充了中药残渣来源属性等内容</w:t>
            </w:r>
          </w:p>
        </w:tc>
        <w:tc>
          <w:tcPr>
            <w:tcW w:w="1246" w:type="dxa"/>
            <w:tcBorders>
              <w:top w:val="single" w:color="auto" w:sz="4" w:space="0"/>
              <w:left w:val="single" w:color="auto" w:sz="4" w:space="0"/>
              <w:bottom w:val="single" w:color="auto" w:sz="4" w:space="0"/>
              <w:right w:val="single" w:color="auto" w:sz="4" w:space="0"/>
            </w:tcBorders>
            <w:vAlign w:val="center"/>
          </w:tcPr>
          <w:p w14:paraId="559DCE39">
            <w:pPr>
              <w:adjustRightInd w:val="0"/>
              <w:snapToGrid w:val="0"/>
              <w:jc w:val="center"/>
              <w:rPr>
                <w:rFonts w:hint="default" w:eastAsiaTheme="minorEastAsia"/>
                <w:color w:val="0000FF"/>
                <w:sz w:val="21"/>
                <w:szCs w:val="21"/>
                <w:lang w:val="en-US" w:eastAsia="zh-CN"/>
              </w:rPr>
            </w:pPr>
            <w:r>
              <w:rPr>
                <w:rFonts w:hint="eastAsia" w:eastAsiaTheme="minorEastAsia"/>
                <w:color w:val="0000FF"/>
              </w:rPr>
              <w:t>P</w:t>
            </w:r>
            <w:r>
              <w:rPr>
                <w:rFonts w:hint="eastAsia" w:eastAsiaTheme="minorEastAsia"/>
                <w:color w:val="0000FF"/>
                <w:lang w:val="en-US" w:eastAsia="zh-CN"/>
              </w:rPr>
              <w:t>8-9</w:t>
            </w:r>
          </w:p>
        </w:tc>
      </w:tr>
      <w:tr w14:paraId="5390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7B1A032B">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13</w:t>
            </w:r>
          </w:p>
        </w:tc>
        <w:tc>
          <w:tcPr>
            <w:tcW w:w="4979" w:type="dxa"/>
            <w:tcBorders>
              <w:top w:val="single" w:color="auto" w:sz="4" w:space="0"/>
              <w:left w:val="single" w:color="auto" w:sz="4" w:space="0"/>
              <w:bottom w:val="single" w:color="auto" w:sz="4" w:space="0"/>
              <w:right w:val="single" w:color="auto" w:sz="4" w:space="0"/>
            </w:tcBorders>
            <w:vAlign w:val="center"/>
          </w:tcPr>
          <w:p w14:paraId="6AEF203E">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明确药渣及发酵过程中是否产生明显气味，报告中仅提出氨和硫化氢两种特征污染物并不能完全代表气味问题，由于项目选址距离西侧里岔沟村较近，且药渣成份难于明确说明，不能对村屯居民产生明显气味影响。核准发酵区废气处置措施（厂房负压收集，生物滴滤塔末端处理）及可行性。</w:t>
            </w:r>
          </w:p>
        </w:tc>
        <w:tc>
          <w:tcPr>
            <w:tcW w:w="2277" w:type="dxa"/>
            <w:tcBorders>
              <w:top w:val="single" w:color="auto" w:sz="4" w:space="0"/>
              <w:left w:val="single" w:color="auto" w:sz="4" w:space="0"/>
              <w:bottom w:val="single" w:color="auto" w:sz="4" w:space="0"/>
              <w:right w:val="single" w:color="auto" w:sz="4" w:space="0"/>
            </w:tcBorders>
            <w:vAlign w:val="center"/>
          </w:tcPr>
          <w:p w14:paraId="27CEAFC5">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项目为原料为中药渣，不参杂动物粪便等，异味产生不明显，采用喷洒生物除臭剂等措施；</w:t>
            </w:r>
          </w:p>
        </w:tc>
        <w:tc>
          <w:tcPr>
            <w:tcW w:w="1246" w:type="dxa"/>
            <w:tcBorders>
              <w:top w:val="single" w:color="auto" w:sz="4" w:space="0"/>
              <w:left w:val="single" w:color="auto" w:sz="4" w:space="0"/>
              <w:bottom w:val="single" w:color="auto" w:sz="4" w:space="0"/>
              <w:right w:val="single" w:color="auto" w:sz="4" w:space="0"/>
            </w:tcBorders>
            <w:vAlign w:val="center"/>
          </w:tcPr>
          <w:p w14:paraId="6A3FD631">
            <w:pPr>
              <w:adjustRightInd w:val="0"/>
              <w:snapToGrid w:val="0"/>
              <w:jc w:val="center"/>
              <w:rPr>
                <w:rFonts w:hint="default" w:eastAsiaTheme="minorEastAsia"/>
                <w:color w:val="0000FF"/>
                <w:sz w:val="21"/>
                <w:szCs w:val="21"/>
                <w:lang w:val="en-US" w:eastAsia="zh-CN"/>
              </w:rPr>
            </w:pPr>
            <w:r>
              <w:rPr>
                <w:rFonts w:hint="eastAsia" w:eastAsiaTheme="minorEastAsia"/>
                <w:color w:val="0000FF"/>
              </w:rPr>
              <w:t>P</w:t>
            </w:r>
            <w:r>
              <w:rPr>
                <w:rFonts w:hint="eastAsia" w:eastAsiaTheme="minorEastAsia"/>
                <w:color w:val="0000FF"/>
                <w:lang w:val="en-US" w:eastAsia="zh-CN"/>
              </w:rPr>
              <w:t>28</w:t>
            </w:r>
          </w:p>
        </w:tc>
      </w:tr>
      <w:tr w14:paraId="51BC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1BEEF81C">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14</w:t>
            </w:r>
          </w:p>
        </w:tc>
        <w:tc>
          <w:tcPr>
            <w:tcW w:w="4979" w:type="dxa"/>
            <w:tcBorders>
              <w:top w:val="single" w:color="auto" w:sz="4" w:space="0"/>
              <w:left w:val="single" w:color="auto" w:sz="4" w:space="0"/>
              <w:bottom w:val="single" w:color="auto" w:sz="4" w:space="0"/>
              <w:right w:val="single" w:color="auto" w:sz="4" w:space="0"/>
            </w:tcBorders>
            <w:vAlign w:val="center"/>
          </w:tcPr>
          <w:p w14:paraId="1FDE69A4">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复核用水量。用水量640t/a如何计算，文字描述调湿水用量是300t/a。</w:t>
            </w:r>
          </w:p>
        </w:tc>
        <w:tc>
          <w:tcPr>
            <w:tcW w:w="2277" w:type="dxa"/>
            <w:tcBorders>
              <w:top w:val="single" w:color="auto" w:sz="4" w:space="0"/>
              <w:left w:val="single" w:color="auto" w:sz="4" w:space="0"/>
              <w:bottom w:val="single" w:color="auto" w:sz="4" w:space="0"/>
              <w:right w:val="single" w:color="auto" w:sz="4" w:space="0"/>
            </w:tcBorders>
            <w:vAlign w:val="center"/>
          </w:tcPr>
          <w:p w14:paraId="51181285">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复核了用水量</w:t>
            </w:r>
          </w:p>
        </w:tc>
        <w:tc>
          <w:tcPr>
            <w:tcW w:w="1246" w:type="dxa"/>
            <w:tcBorders>
              <w:top w:val="single" w:color="auto" w:sz="4" w:space="0"/>
              <w:left w:val="single" w:color="auto" w:sz="4" w:space="0"/>
              <w:bottom w:val="single" w:color="auto" w:sz="4" w:space="0"/>
              <w:right w:val="single" w:color="auto" w:sz="4" w:space="0"/>
            </w:tcBorders>
            <w:vAlign w:val="center"/>
          </w:tcPr>
          <w:p w14:paraId="2D0041E0">
            <w:pPr>
              <w:adjustRightInd w:val="0"/>
              <w:snapToGrid w:val="0"/>
              <w:jc w:val="center"/>
              <w:rPr>
                <w:rFonts w:hint="default" w:eastAsiaTheme="minorEastAsia"/>
                <w:color w:val="0000FF"/>
                <w:sz w:val="21"/>
                <w:szCs w:val="21"/>
                <w:lang w:val="en-US" w:eastAsia="zh-CN"/>
              </w:rPr>
            </w:pPr>
            <w:r>
              <w:rPr>
                <w:rFonts w:hint="eastAsia" w:eastAsiaTheme="minorEastAsia"/>
                <w:color w:val="0000FF"/>
              </w:rPr>
              <w:t>P</w:t>
            </w:r>
            <w:r>
              <w:rPr>
                <w:rFonts w:hint="eastAsia" w:eastAsiaTheme="minorEastAsia"/>
                <w:color w:val="0000FF"/>
                <w:lang w:val="en-US" w:eastAsia="zh-CN"/>
              </w:rPr>
              <w:t>10-11</w:t>
            </w:r>
          </w:p>
        </w:tc>
      </w:tr>
      <w:tr w14:paraId="03FB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5E5A8FD8">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15</w:t>
            </w:r>
          </w:p>
        </w:tc>
        <w:tc>
          <w:tcPr>
            <w:tcW w:w="4979" w:type="dxa"/>
            <w:tcBorders>
              <w:top w:val="single" w:color="auto" w:sz="4" w:space="0"/>
              <w:left w:val="single" w:color="auto" w:sz="4" w:space="0"/>
              <w:bottom w:val="single" w:color="auto" w:sz="4" w:space="0"/>
              <w:right w:val="single" w:color="auto" w:sz="4" w:space="0"/>
            </w:tcBorders>
            <w:vAlign w:val="center"/>
          </w:tcPr>
          <w:p w14:paraId="36690F7A">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分析现状监测地下水及土壤的必要性和意义、监测点设置的合理性（仅1个土壤表层和地下水监测点），复核检测结果。</w:t>
            </w:r>
          </w:p>
        </w:tc>
        <w:tc>
          <w:tcPr>
            <w:tcW w:w="2277" w:type="dxa"/>
            <w:tcBorders>
              <w:top w:val="single" w:color="auto" w:sz="4" w:space="0"/>
              <w:left w:val="single" w:color="auto" w:sz="4" w:space="0"/>
              <w:bottom w:val="single" w:color="auto" w:sz="4" w:space="0"/>
              <w:right w:val="single" w:color="auto" w:sz="4" w:space="0"/>
            </w:tcBorders>
            <w:vAlign w:val="center"/>
          </w:tcPr>
          <w:p w14:paraId="1A4E0FC3">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根据《建设项目环境影响报告表编制技术指南（污染影响类）（试行）》，本项目地下水、土壤现状调查留作背景值。</w:t>
            </w:r>
          </w:p>
        </w:tc>
        <w:tc>
          <w:tcPr>
            <w:tcW w:w="1246" w:type="dxa"/>
            <w:tcBorders>
              <w:top w:val="single" w:color="auto" w:sz="4" w:space="0"/>
              <w:left w:val="single" w:color="auto" w:sz="4" w:space="0"/>
              <w:bottom w:val="single" w:color="auto" w:sz="4" w:space="0"/>
              <w:right w:val="single" w:color="auto" w:sz="4" w:space="0"/>
            </w:tcBorders>
            <w:vAlign w:val="center"/>
          </w:tcPr>
          <w:p w14:paraId="665C2805">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P18-22</w:t>
            </w:r>
          </w:p>
        </w:tc>
      </w:tr>
      <w:tr w14:paraId="38A2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1EA08C9B">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16</w:t>
            </w:r>
          </w:p>
        </w:tc>
        <w:tc>
          <w:tcPr>
            <w:tcW w:w="4979" w:type="dxa"/>
            <w:tcBorders>
              <w:top w:val="single" w:color="auto" w:sz="4" w:space="0"/>
              <w:left w:val="single" w:color="auto" w:sz="4" w:space="0"/>
              <w:bottom w:val="single" w:color="auto" w:sz="4" w:space="0"/>
              <w:right w:val="single" w:color="auto" w:sz="4" w:space="0"/>
            </w:tcBorders>
            <w:vAlign w:val="center"/>
          </w:tcPr>
          <w:p w14:paraId="4371357E">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农村地区生活垃圾由市政环卫部门统一处理的说法是否合适。</w:t>
            </w:r>
          </w:p>
        </w:tc>
        <w:tc>
          <w:tcPr>
            <w:tcW w:w="2277" w:type="dxa"/>
            <w:tcBorders>
              <w:top w:val="single" w:color="auto" w:sz="4" w:space="0"/>
              <w:left w:val="single" w:color="auto" w:sz="4" w:space="0"/>
              <w:bottom w:val="single" w:color="auto" w:sz="4" w:space="0"/>
              <w:right w:val="single" w:color="auto" w:sz="4" w:space="0"/>
            </w:tcBorders>
            <w:vAlign w:val="center"/>
          </w:tcPr>
          <w:p w14:paraId="04AAB316">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经过核实，区域生活垃圾均为环卫部门处理</w:t>
            </w:r>
          </w:p>
        </w:tc>
        <w:tc>
          <w:tcPr>
            <w:tcW w:w="1246" w:type="dxa"/>
            <w:tcBorders>
              <w:top w:val="single" w:color="auto" w:sz="4" w:space="0"/>
              <w:left w:val="single" w:color="auto" w:sz="4" w:space="0"/>
              <w:bottom w:val="single" w:color="auto" w:sz="4" w:space="0"/>
              <w:right w:val="single" w:color="auto" w:sz="4" w:space="0"/>
            </w:tcBorders>
            <w:vAlign w:val="center"/>
          </w:tcPr>
          <w:p w14:paraId="7C20FEA4">
            <w:pPr>
              <w:adjustRightInd w:val="0"/>
              <w:snapToGrid w:val="0"/>
              <w:jc w:val="center"/>
              <w:rPr>
                <w:rFonts w:hint="default" w:eastAsiaTheme="minorEastAsia"/>
                <w:color w:val="0000FF"/>
                <w:sz w:val="21"/>
                <w:szCs w:val="21"/>
                <w:lang w:val="en-US" w:eastAsia="zh-CN"/>
              </w:rPr>
            </w:pPr>
            <w:r>
              <w:rPr>
                <w:rFonts w:hint="eastAsia" w:eastAsiaTheme="minorEastAsia"/>
                <w:color w:val="0000FF"/>
                <w:sz w:val="21"/>
                <w:szCs w:val="21"/>
                <w:lang w:val="en-US" w:eastAsia="zh-CN"/>
              </w:rPr>
              <w:t>/</w:t>
            </w:r>
          </w:p>
        </w:tc>
      </w:tr>
      <w:tr w14:paraId="2360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ACC4B66">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17</w:t>
            </w:r>
          </w:p>
        </w:tc>
        <w:tc>
          <w:tcPr>
            <w:tcW w:w="4979" w:type="dxa"/>
            <w:tcBorders>
              <w:top w:val="single" w:color="auto" w:sz="4" w:space="0"/>
              <w:left w:val="single" w:color="auto" w:sz="4" w:space="0"/>
              <w:bottom w:val="single" w:color="auto" w:sz="4" w:space="0"/>
              <w:right w:val="single" w:color="auto" w:sz="4" w:space="0"/>
            </w:tcBorders>
            <w:vAlign w:val="center"/>
          </w:tcPr>
          <w:p w14:paraId="06799F93">
            <w:pPr>
              <w:adjustRightInd w:val="0"/>
              <w:snapToGrid w:val="0"/>
              <w:jc w:val="left"/>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完善附件。村委会证明房屋没人居住的附件没有意义，若要证明需证明是否为宅基地。</w:t>
            </w:r>
          </w:p>
        </w:tc>
        <w:tc>
          <w:tcPr>
            <w:tcW w:w="2277" w:type="dxa"/>
            <w:tcBorders>
              <w:top w:val="single" w:color="auto" w:sz="4" w:space="0"/>
              <w:left w:val="single" w:color="auto" w:sz="4" w:space="0"/>
              <w:bottom w:val="single" w:color="auto" w:sz="4" w:space="0"/>
              <w:right w:val="single" w:color="auto" w:sz="4" w:space="0"/>
            </w:tcBorders>
            <w:vAlign w:val="center"/>
          </w:tcPr>
          <w:p w14:paraId="6E047C17">
            <w:pPr>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按要求进行修改</w:t>
            </w:r>
          </w:p>
        </w:tc>
        <w:tc>
          <w:tcPr>
            <w:tcW w:w="1246" w:type="dxa"/>
            <w:tcBorders>
              <w:top w:val="single" w:color="auto" w:sz="4" w:space="0"/>
              <w:left w:val="single" w:color="auto" w:sz="4" w:space="0"/>
              <w:bottom w:val="single" w:color="auto" w:sz="4" w:space="0"/>
              <w:right w:val="single" w:color="auto" w:sz="4" w:space="0"/>
            </w:tcBorders>
            <w:vAlign w:val="center"/>
          </w:tcPr>
          <w:p w14:paraId="2E84D184">
            <w:pPr>
              <w:adjustRightInd w:val="0"/>
              <w:snapToGrid w:val="0"/>
              <w:jc w:val="center"/>
              <w:rPr>
                <w:rFonts w:hint="eastAsia" w:eastAsiaTheme="minorEastAsia"/>
                <w:color w:val="0000FF"/>
                <w:sz w:val="21"/>
                <w:szCs w:val="21"/>
                <w:lang w:val="en-US" w:eastAsia="zh-CN"/>
              </w:rPr>
            </w:pPr>
          </w:p>
        </w:tc>
      </w:tr>
      <w:bookmarkEnd w:id="6"/>
    </w:tbl>
    <w:p w14:paraId="39E0869B">
      <w:pPr>
        <w:adjustRightInd w:val="0"/>
        <w:snapToGrid w:val="0"/>
        <w:spacing w:line="288" w:lineRule="auto"/>
        <w:rPr>
          <w:rFonts w:ascii="楷体_GB2312" w:eastAsia="楷体_GB2312"/>
          <w:color w:val="auto"/>
          <w:sz w:val="36"/>
          <w:szCs w:val="36"/>
        </w:rPr>
      </w:pPr>
    </w:p>
    <w:p w14:paraId="6951652F">
      <w:pPr>
        <w:widowControl/>
        <w:jc w:val="left"/>
        <w:rPr>
          <w:rFonts w:ascii="楷体_GB2312" w:eastAsia="楷体_GB2312"/>
          <w:color w:val="auto"/>
          <w:sz w:val="36"/>
          <w:szCs w:val="36"/>
        </w:rPr>
      </w:pPr>
      <w:r>
        <w:rPr>
          <w:rFonts w:ascii="楷体_GB2312" w:eastAsia="楷体_GB2312"/>
          <w:color w:val="auto"/>
          <w:sz w:val="36"/>
          <w:szCs w:val="36"/>
        </w:rPr>
        <w:br w:type="page"/>
      </w:r>
    </w:p>
    <w:p w14:paraId="19E1DEBF">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4DAFD2">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11"/>
        <w:gridCol w:w="1571"/>
        <w:gridCol w:w="2429"/>
        <w:gridCol w:w="3359"/>
      </w:tblGrid>
      <w:tr w14:paraId="4AE00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5528898A">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建设项目名称</w:t>
            </w:r>
          </w:p>
        </w:tc>
        <w:tc>
          <w:tcPr>
            <w:tcW w:w="7359" w:type="dxa"/>
            <w:gridSpan w:val="3"/>
            <w:vAlign w:val="center"/>
          </w:tcPr>
          <w:p w14:paraId="5F6E29CF">
            <w:pPr>
              <w:adjustRightInd w:val="0"/>
              <w:snapToGrid w:val="0"/>
              <w:jc w:val="center"/>
              <w:rPr>
                <w:rFonts w:hint="eastAsia" w:eastAsia="宋体"/>
                <w:i w:val="0"/>
                <w:iCs w:val="0"/>
                <w:color w:val="auto"/>
                <w:u w:val="none" w:color="auto"/>
                <w:lang w:eastAsia="zh-CN"/>
              </w:rPr>
            </w:pPr>
            <w:r>
              <w:rPr>
                <w:rFonts w:hint="eastAsia"/>
                <w:i w:val="0"/>
                <w:iCs w:val="0"/>
                <w:color w:val="auto"/>
                <w:u w:val="none" w:color="auto"/>
                <w:lang w:eastAsia="zh-CN"/>
              </w:rPr>
              <w:t>白山市坤元沃土农业科技有限公司再生腐殖土建设项目</w:t>
            </w:r>
          </w:p>
        </w:tc>
      </w:tr>
      <w:tr w14:paraId="22155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798B32E9">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项目代码</w:t>
            </w:r>
          </w:p>
        </w:tc>
        <w:tc>
          <w:tcPr>
            <w:tcW w:w="7359" w:type="dxa"/>
            <w:gridSpan w:val="3"/>
            <w:vAlign w:val="center"/>
          </w:tcPr>
          <w:p w14:paraId="7E96D246">
            <w:pPr>
              <w:adjustRightInd w:val="0"/>
              <w:snapToGrid w:val="0"/>
              <w:jc w:val="center"/>
              <w:rPr>
                <w:rFonts w:hint="eastAsia" w:ascii="宋体" w:hAnsi="宋体" w:eastAsia="宋体" w:cs="宋体"/>
                <w:i w:val="0"/>
                <w:iCs w:val="0"/>
                <w:color w:val="auto"/>
                <w:u w:val="none" w:color="auto"/>
                <w:lang w:eastAsia="zh-CN"/>
              </w:rPr>
            </w:pPr>
            <w:r>
              <w:rPr>
                <w:rFonts w:hint="eastAsia"/>
                <w:i w:val="0"/>
                <w:iCs w:val="0"/>
                <w:color w:val="auto"/>
                <w:u w:val="none" w:color="auto"/>
                <w:lang w:val="en-US" w:eastAsia="zh-CN"/>
              </w:rPr>
              <w:t>无</w:t>
            </w:r>
          </w:p>
        </w:tc>
      </w:tr>
      <w:tr w14:paraId="5B85C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1E78DD33">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建设单位联系人</w:t>
            </w:r>
          </w:p>
        </w:tc>
        <w:tc>
          <w:tcPr>
            <w:tcW w:w="1571" w:type="dxa"/>
            <w:vAlign w:val="center"/>
          </w:tcPr>
          <w:p w14:paraId="66F4B246">
            <w:pPr>
              <w:adjustRightInd w:val="0"/>
              <w:snapToGrid w:val="0"/>
              <w:jc w:val="center"/>
              <w:rPr>
                <w:rFonts w:hint="eastAsia" w:ascii="宋体" w:hAnsi="宋体" w:eastAsia="宋体" w:cs="宋体"/>
                <w:i w:val="0"/>
                <w:iCs w:val="0"/>
                <w:color w:val="auto"/>
                <w:u w:val="none" w:color="auto"/>
                <w:lang w:val="en-US" w:eastAsia="zh-CN"/>
              </w:rPr>
            </w:pPr>
            <w:r>
              <w:rPr>
                <w:rFonts w:hint="eastAsia" w:ascii="宋体" w:hAnsi="宋体" w:cs="宋体"/>
                <w:i w:val="0"/>
                <w:iCs w:val="0"/>
                <w:color w:val="0000FF"/>
                <w:u w:val="none" w:color="auto"/>
                <w:lang w:val="en-US" w:eastAsia="zh-CN"/>
              </w:rPr>
              <w:t>付宝龙</w:t>
            </w:r>
          </w:p>
        </w:tc>
        <w:tc>
          <w:tcPr>
            <w:tcW w:w="2429" w:type="dxa"/>
            <w:vAlign w:val="center"/>
          </w:tcPr>
          <w:p w14:paraId="69143C66">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联系方式</w:t>
            </w:r>
          </w:p>
        </w:tc>
        <w:tc>
          <w:tcPr>
            <w:tcW w:w="3359" w:type="dxa"/>
            <w:vAlign w:val="center"/>
          </w:tcPr>
          <w:p w14:paraId="6E4BD548">
            <w:pPr>
              <w:adjustRightInd w:val="0"/>
              <w:snapToGrid w:val="0"/>
              <w:jc w:val="center"/>
              <w:rPr>
                <w:rFonts w:hint="default"/>
                <w:i w:val="0"/>
                <w:iCs w:val="0"/>
                <w:color w:val="auto"/>
                <w:u w:val="none" w:color="auto"/>
                <w:lang w:val="en-US"/>
              </w:rPr>
            </w:pPr>
            <w:r>
              <w:rPr>
                <w:rFonts w:hint="eastAsia"/>
                <w:color w:val="auto"/>
                <w:lang w:val="en-US" w:eastAsia="zh-CN"/>
              </w:rPr>
              <w:t>18904497759</w:t>
            </w:r>
          </w:p>
        </w:tc>
      </w:tr>
      <w:tr w14:paraId="2358D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287647F9">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建设地点</w:t>
            </w:r>
          </w:p>
        </w:tc>
        <w:tc>
          <w:tcPr>
            <w:tcW w:w="7359" w:type="dxa"/>
            <w:gridSpan w:val="3"/>
            <w:vAlign w:val="center"/>
          </w:tcPr>
          <w:p w14:paraId="352A3402">
            <w:pPr>
              <w:adjustRightInd w:val="0"/>
              <w:snapToGrid w:val="0"/>
              <w:jc w:val="center"/>
              <w:rPr>
                <w:rFonts w:hint="default" w:ascii="宋体" w:hAnsi="宋体" w:eastAsia="宋体" w:cs="宋体"/>
                <w:i w:val="0"/>
                <w:iCs w:val="0"/>
                <w:color w:val="auto"/>
                <w:u w:val="none" w:color="auto"/>
                <w:lang w:val="en-US" w:eastAsia="zh-CN"/>
              </w:rPr>
            </w:pPr>
            <w:r>
              <w:rPr>
                <w:rFonts w:hint="eastAsia" w:ascii="宋体" w:hAnsi="宋体" w:cs="宋体"/>
                <w:i w:val="0"/>
                <w:iCs w:val="0"/>
                <w:color w:val="auto"/>
                <w:u w:val="none" w:color="auto"/>
                <w:lang w:val="en-US" w:eastAsia="zh-CN"/>
              </w:rPr>
              <w:t>白山市浑江区河口街道里岔沟</w:t>
            </w:r>
          </w:p>
        </w:tc>
      </w:tr>
      <w:tr w14:paraId="6B712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2B22B70C">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地理坐标</w:t>
            </w:r>
          </w:p>
        </w:tc>
        <w:tc>
          <w:tcPr>
            <w:tcW w:w="7359" w:type="dxa"/>
            <w:gridSpan w:val="3"/>
            <w:vAlign w:val="center"/>
          </w:tcPr>
          <w:p w14:paraId="39EEC1DD">
            <w:pPr>
              <w:jc w:val="center"/>
              <w:rPr>
                <w:rFonts w:ascii="宋体" w:hAnsi="宋体" w:cs="宋体"/>
                <w:i w:val="0"/>
                <w:iCs w:val="0"/>
                <w:color w:val="auto"/>
                <w:u w:val="none" w:color="auto"/>
              </w:rPr>
            </w:pPr>
            <w:r>
              <w:rPr>
                <w:rFonts w:hint="eastAsia"/>
                <w:i w:val="0"/>
                <w:iCs w:val="0"/>
                <w:color w:val="auto"/>
                <w:highlight w:val="none"/>
                <w:u w:val="none" w:color="auto"/>
              </w:rPr>
              <w:t>（</w:t>
            </w:r>
            <w:r>
              <w:rPr>
                <w:i w:val="0"/>
                <w:iCs w:val="0"/>
                <w:color w:val="auto"/>
                <w:highlight w:val="none"/>
                <w:u w:val="none" w:color="auto"/>
              </w:rPr>
              <w:t>12</w:t>
            </w:r>
            <w:r>
              <w:rPr>
                <w:rFonts w:hint="eastAsia"/>
                <w:i w:val="0"/>
                <w:iCs w:val="0"/>
                <w:color w:val="auto"/>
                <w:highlight w:val="none"/>
                <w:u w:val="none" w:color="auto"/>
              </w:rPr>
              <w:t>6度</w:t>
            </w:r>
            <w:r>
              <w:rPr>
                <w:rFonts w:hint="eastAsia"/>
                <w:i w:val="0"/>
                <w:iCs w:val="0"/>
                <w:color w:val="auto"/>
                <w:highlight w:val="none"/>
                <w:u w:val="none" w:color="auto"/>
                <w:lang w:val="en-US" w:eastAsia="zh-CN"/>
              </w:rPr>
              <w:t>30</w:t>
            </w:r>
            <w:r>
              <w:rPr>
                <w:rFonts w:hint="eastAsia"/>
                <w:i w:val="0"/>
                <w:iCs w:val="0"/>
                <w:color w:val="auto"/>
                <w:highlight w:val="none"/>
                <w:u w:val="none" w:color="auto"/>
              </w:rPr>
              <w:t>分</w:t>
            </w:r>
            <w:r>
              <w:rPr>
                <w:rFonts w:hint="eastAsia"/>
                <w:i w:val="0"/>
                <w:iCs w:val="0"/>
                <w:color w:val="auto"/>
                <w:highlight w:val="none"/>
                <w:u w:val="none" w:color="auto"/>
                <w:lang w:val="en-US" w:eastAsia="zh-CN"/>
              </w:rPr>
              <w:t>22.157</w:t>
            </w:r>
            <w:r>
              <w:rPr>
                <w:rFonts w:hint="eastAsia"/>
                <w:i w:val="0"/>
                <w:iCs w:val="0"/>
                <w:color w:val="auto"/>
                <w:highlight w:val="none"/>
                <w:u w:val="none" w:color="auto"/>
              </w:rPr>
              <w:t>秒，</w:t>
            </w:r>
            <w:r>
              <w:rPr>
                <w:rFonts w:hint="eastAsia"/>
                <w:i w:val="0"/>
                <w:iCs w:val="0"/>
                <w:color w:val="auto"/>
                <w:highlight w:val="none"/>
                <w:u w:val="none" w:color="auto"/>
                <w:lang w:val="en-US" w:eastAsia="zh-CN"/>
              </w:rPr>
              <w:t>42</w:t>
            </w:r>
            <w:r>
              <w:rPr>
                <w:rFonts w:hint="eastAsia"/>
                <w:i w:val="0"/>
                <w:iCs w:val="0"/>
                <w:color w:val="auto"/>
                <w:highlight w:val="none"/>
                <w:u w:val="none" w:color="auto"/>
              </w:rPr>
              <w:t>度</w:t>
            </w:r>
            <w:r>
              <w:rPr>
                <w:rFonts w:hint="eastAsia"/>
                <w:i w:val="0"/>
                <w:iCs w:val="0"/>
                <w:color w:val="auto"/>
                <w:highlight w:val="none"/>
                <w:u w:val="none" w:color="auto"/>
                <w:lang w:val="en-US" w:eastAsia="zh-CN"/>
              </w:rPr>
              <w:t>1</w:t>
            </w:r>
            <w:r>
              <w:rPr>
                <w:rFonts w:hint="eastAsia"/>
                <w:i w:val="0"/>
                <w:iCs w:val="0"/>
                <w:color w:val="auto"/>
                <w:highlight w:val="none"/>
                <w:u w:val="none" w:color="auto"/>
              </w:rPr>
              <w:t>分</w:t>
            </w:r>
            <w:r>
              <w:rPr>
                <w:rFonts w:hint="eastAsia"/>
                <w:i w:val="0"/>
                <w:iCs w:val="0"/>
                <w:color w:val="auto"/>
                <w:highlight w:val="none"/>
                <w:u w:val="none" w:color="auto"/>
                <w:lang w:val="en-US" w:eastAsia="zh-CN"/>
              </w:rPr>
              <w:t>6.597</w:t>
            </w:r>
            <w:r>
              <w:rPr>
                <w:rFonts w:hint="eastAsia"/>
                <w:i w:val="0"/>
                <w:iCs w:val="0"/>
                <w:color w:val="auto"/>
                <w:highlight w:val="none"/>
                <w:u w:val="none" w:color="auto"/>
              </w:rPr>
              <w:t>秒）</w:t>
            </w:r>
          </w:p>
        </w:tc>
      </w:tr>
      <w:tr w14:paraId="169F9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11" w:type="dxa"/>
            <w:tcMar>
              <w:top w:w="16" w:type="dxa"/>
              <w:left w:w="16" w:type="dxa"/>
              <w:right w:w="16" w:type="dxa"/>
            </w:tcMar>
            <w:vAlign w:val="center"/>
          </w:tcPr>
          <w:p w14:paraId="1610AB40">
            <w:pPr>
              <w:adjustRightInd w:val="0"/>
              <w:snapToGrid w:val="0"/>
              <w:jc w:val="center"/>
              <w:rPr>
                <w:rFonts w:ascii="宋体" w:hAnsi="宋体" w:cs="宋体"/>
                <w:i w:val="0"/>
                <w:iCs w:val="0"/>
                <w:color w:val="auto"/>
                <w:u w:val="single" w:color="auto"/>
              </w:rPr>
            </w:pPr>
            <w:r>
              <w:rPr>
                <w:rFonts w:hint="eastAsia" w:ascii="宋体" w:hAnsi="宋体" w:cs="宋体"/>
                <w:i w:val="0"/>
                <w:iCs w:val="0"/>
                <w:color w:val="auto"/>
                <w:u w:val="single" w:color="auto"/>
              </w:rPr>
              <w:t>国民经济</w:t>
            </w:r>
          </w:p>
          <w:p w14:paraId="58522867">
            <w:pPr>
              <w:adjustRightInd w:val="0"/>
              <w:snapToGrid w:val="0"/>
              <w:jc w:val="center"/>
              <w:rPr>
                <w:rFonts w:ascii="宋体" w:hAnsi="宋体" w:cs="宋体"/>
                <w:i w:val="0"/>
                <w:iCs w:val="0"/>
                <w:color w:val="auto"/>
                <w:u w:val="single" w:color="auto"/>
              </w:rPr>
            </w:pPr>
            <w:r>
              <w:rPr>
                <w:rFonts w:hint="eastAsia" w:ascii="宋体" w:hAnsi="宋体" w:cs="宋体"/>
                <w:i w:val="0"/>
                <w:iCs w:val="0"/>
                <w:color w:val="auto"/>
                <w:u w:val="single" w:color="auto"/>
              </w:rPr>
              <w:t>行业类别</w:t>
            </w:r>
          </w:p>
        </w:tc>
        <w:tc>
          <w:tcPr>
            <w:tcW w:w="1571" w:type="dxa"/>
            <w:vAlign w:val="center"/>
          </w:tcPr>
          <w:p w14:paraId="7B424A0D">
            <w:pPr>
              <w:jc w:val="center"/>
              <w:rPr>
                <w:rFonts w:hint="default" w:ascii="Times New Roman" w:hAnsi="Times New Roman" w:eastAsia="宋体" w:cs="Times New Roman"/>
                <w:i w:val="0"/>
                <w:iCs w:val="0"/>
                <w:color w:val="auto"/>
                <w:u w:val="single" w:color="auto"/>
                <w:lang w:val="en-US" w:eastAsia="zh-CN"/>
              </w:rPr>
            </w:pPr>
            <w:r>
              <w:rPr>
                <w:rFonts w:hint="eastAsia" w:cs="Times New Roman"/>
                <w:i w:val="0"/>
                <w:iCs w:val="0"/>
                <w:color w:val="auto"/>
                <w:sz w:val="21"/>
                <w:szCs w:val="21"/>
                <w:highlight w:val="none"/>
                <w:u w:val="single" w:color="auto"/>
                <w:lang w:val="en-US" w:eastAsia="zh-CN" w:bidi="ar-SA"/>
              </w:rPr>
              <w:t>N7723</w:t>
            </w:r>
            <w:r>
              <w:rPr>
                <w:rFonts w:hint="eastAsia" w:cs="Times New Roman"/>
                <w:i w:val="0"/>
                <w:iCs w:val="0"/>
                <w:color w:val="auto"/>
                <w:u w:val="single" w:color="auto"/>
                <w:lang w:val="en-US" w:eastAsia="zh-CN"/>
              </w:rPr>
              <w:t>固体废物治理</w:t>
            </w:r>
          </w:p>
        </w:tc>
        <w:tc>
          <w:tcPr>
            <w:tcW w:w="2429" w:type="dxa"/>
            <w:vAlign w:val="center"/>
          </w:tcPr>
          <w:p w14:paraId="452D3529">
            <w:pPr>
              <w:adjustRightInd w:val="0"/>
              <w:snapToGrid w:val="0"/>
              <w:jc w:val="center"/>
              <w:rPr>
                <w:rFonts w:hint="default" w:ascii="Times New Roman" w:hAnsi="Times New Roman" w:cs="Times New Roman"/>
                <w:i w:val="0"/>
                <w:iCs w:val="0"/>
                <w:color w:val="auto"/>
                <w:u w:val="single" w:color="auto"/>
              </w:rPr>
            </w:pPr>
            <w:bookmarkStart w:id="1" w:name="_Hlk49843745"/>
            <w:r>
              <w:rPr>
                <w:rFonts w:hint="default" w:ascii="Times New Roman" w:hAnsi="Times New Roman" w:cs="Times New Roman"/>
                <w:i w:val="0"/>
                <w:iCs w:val="0"/>
                <w:color w:val="auto"/>
                <w:u w:val="single" w:color="auto"/>
              </w:rPr>
              <w:t>建设项目</w:t>
            </w:r>
          </w:p>
          <w:p w14:paraId="528844F8">
            <w:pPr>
              <w:adjustRightInd w:val="0"/>
              <w:snapToGrid w:val="0"/>
              <w:jc w:val="center"/>
              <w:rPr>
                <w:rFonts w:hint="default" w:ascii="Times New Roman" w:hAnsi="Times New Roman" w:cs="Times New Roman"/>
                <w:i w:val="0"/>
                <w:iCs w:val="0"/>
                <w:color w:val="auto"/>
                <w:u w:val="single" w:color="auto"/>
              </w:rPr>
            </w:pPr>
            <w:r>
              <w:rPr>
                <w:rFonts w:hint="default" w:ascii="Times New Roman" w:hAnsi="Times New Roman" w:cs="Times New Roman"/>
                <w:i w:val="0"/>
                <w:iCs w:val="0"/>
                <w:color w:val="auto"/>
                <w:u w:val="single" w:color="auto"/>
              </w:rPr>
              <w:t>行业类别</w:t>
            </w:r>
            <w:bookmarkEnd w:id="1"/>
          </w:p>
        </w:tc>
        <w:tc>
          <w:tcPr>
            <w:tcW w:w="3359" w:type="dxa"/>
            <w:vAlign w:val="center"/>
          </w:tcPr>
          <w:p w14:paraId="24A149E6">
            <w:pPr>
              <w:pStyle w:val="116"/>
              <w:spacing w:line="240" w:lineRule="auto"/>
              <w:ind w:firstLine="0" w:firstLineChars="0"/>
              <w:jc w:val="center"/>
              <w:rPr>
                <w:rFonts w:hint="eastAsia" w:ascii="Times New Roman" w:hAnsi="Times New Roman" w:cs="Times New Roman"/>
                <w:i w:val="0"/>
                <w:iCs w:val="0"/>
                <w:color w:val="auto"/>
                <w:sz w:val="21"/>
                <w:szCs w:val="21"/>
                <w:highlight w:val="none"/>
                <w:u w:val="single" w:color="auto"/>
                <w:lang w:val="en-US" w:eastAsia="zh-CN" w:bidi="ar-SA"/>
              </w:rPr>
            </w:pPr>
            <w:r>
              <w:rPr>
                <w:rFonts w:hint="eastAsia" w:ascii="Times New Roman" w:hAnsi="Times New Roman" w:cs="Times New Roman"/>
                <w:i w:val="0"/>
                <w:iCs w:val="0"/>
                <w:color w:val="auto"/>
                <w:sz w:val="21"/>
                <w:szCs w:val="21"/>
                <w:highlight w:val="none"/>
                <w:u w:val="single" w:color="auto"/>
                <w:lang w:val="en-US" w:eastAsia="zh-CN" w:bidi="ar-SA"/>
              </w:rPr>
              <w:t>四十七</w:t>
            </w:r>
            <w:r>
              <w:rPr>
                <w:rFonts w:hint="eastAsia" w:ascii="Times New Roman" w:hAnsi="Times New Roman" w:eastAsia="宋体" w:cs="Times New Roman"/>
                <w:i w:val="0"/>
                <w:iCs w:val="0"/>
                <w:color w:val="auto"/>
                <w:sz w:val="21"/>
                <w:szCs w:val="21"/>
                <w:highlight w:val="none"/>
                <w:u w:val="single" w:color="auto"/>
                <w:lang w:val="en-US" w:eastAsia="zh-CN" w:bidi="ar-SA"/>
              </w:rPr>
              <w:t>、</w:t>
            </w:r>
            <w:r>
              <w:rPr>
                <w:rFonts w:hint="eastAsia" w:ascii="Times New Roman" w:hAnsi="Times New Roman" w:cs="Times New Roman"/>
                <w:i w:val="0"/>
                <w:iCs w:val="0"/>
                <w:color w:val="auto"/>
                <w:sz w:val="21"/>
                <w:szCs w:val="21"/>
                <w:highlight w:val="none"/>
                <w:u w:val="single" w:color="auto"/>
                <w:lang w:val="en-US" w:eastAsia="zh-CN" w:bidi="ar-SA"/>
              </w:rPr>
              <w:t>生态保护和环境治理业</w:t>
            </w:r>
          </w:p>
          <w:p w14:paraId="38DAE074">
            <w:pPr>
              <w:pStyle w:val="116"/>
              <w:spacing w:line="240" w:lineRule="auto"/>
              <w:ind w:firstLine="0" w:firstLineChars="0"/>
              <w:jc w:val="center"/>
              <w:rPr>
                <w:rFonts w:hint="default" w:ascii="Times New Roman" w:hAnsi="Times New Roman" w:cs="Times New Roman"/>
                <w:i w:val="0"/>
                <w:iCs w:val="0"/>
                <w:color w:val="auto"/>
                <w:sz w:val="21"/>
                <w:szCs w:val="21"/>
                <w:highlight w:val="none"/>
                <w:u w:val="single" w:color="auto"/>
                <w:lang w:val="en-US" w:eastAsia="zh-CN" w:bidi="ar-SA"/>
              </w:rPr>
            </w:pPr>
            <w:r>
              <w:rPr>
                <w:rFonts w:hint="eastAsia" w:ascii="Times New Roman" w:hAnsi="Times New Roman" w:cs="Times New Roman"/>
                <w:i w:val="0"/>
                <w:iCs w:val="0"/>
                <w:color w:val="auto"/>
                <w:sz w:val="21"/>
                <w:szCs w:val="21"/>
                <w:highlight w:val="none"/>
                <w:u w:val="single" w:color="auto"/>
                <w:lang w:val="en-US" w:eastAsia="zh-CN" w:bidi="ar-SA"/>
              </w:rPr>
              <w:t>103一般工业固体废物（含污水处理污泥）、建筑施工废弃物处置及综合利用</w:t>
            </w:r>
          </w:p>
        </w:tc>
      </w:tr>
      <w:tr w14:paraId="4032F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11" w:type="dxa"/>
            <w:tcMar>
              <w:top w:w="16" w:type="dxa"/>
              <w:left w:w="16" w:type="dxa"/>
              <w:right w:w="16" w:type="dxa"/>
            </w:tcMar>
            <w:vAlign w:val="center"/>
          </w:tcPr>
          <w:p w14:paraId="67892DA8">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建设性质</w:t>
            </w:r>
          </w:p>
        </w:tc>
        <w:tc>
          <w:tcPr>
            <w:tcW w:w="1571" w:type="dxa"/>
            <w:vAlign w:val="center"/>
          </w:tcPr>
          <w:p w14:paraId="6B6704B5">
            <w:pPr>
              <w:jc w:val="left"/>
              <w:rPr>
                <w:rFonts w:ascii="宋体" w:hAnsi="宋体" w:cs="宋体"/>
                <w:i w:val="0"/>
                <w:iCs w:val="0"/>
                <w:color w:val="auto"/>
                <w:u w:val="none" w:color="auto"/>
              </w:rPr>
            </w:pPr>
            <w:r>
              <w:rPr>
                <w:rFonts w:hint="eastAsia" w:ascii="宋体" w:hAnsi="宋体" w:cs="宋体"/>
                <w:i w:val="0"/>
                <w:iCs w:val="0"/>
                <w:color w:val="auto"/>
                <w:u w:val="none" w:color="auto"/>
                <w:lang w:eastAsia="zh-CN"/>
              </w:rPr>
              <w:t>☑</w:t>
            </w:r>
            <w:r>
              <w:rPr>
                <w:rFonts w:hint="eastAsia" w:ascii="宋体" w:hAnsi="宋体" w:cs="宋体"/>
                <w:i w:val="0"/>
                <w:iCs w:val="0"/>
                <w:color w:val="auto"/>
                <w:u w:val="none" w:color="auto"/>
              </w:rPr>
              <w:t>新建（迁建）</w:t>
            </w:r>
          </w:p>
          <w:p w14:paraId="69866232">
            <w:pPr>
              <w:jc w:val="left"/>
              <w:rPr>
                <w:rFonts w:ascii="宋体" w:hAnsi="宋体" w:cs="宋体"/>
                <w:i w:val="0"/>
                <w:iCs w:val="0"/>
                <w:color w:val="auto"/>
                <w:u w:val="none" w:color="auto"/>
              </w:rPr>
            </w:pPr>
            <w:r>
              <w:rPr>
                <w:rFonts w:hint="eastAsia" w:ascii="宋体" w:hAnsi="宋体" w:cs="宋体"/>
                <w:i w:val="0"/>
                <w:iCs w:val="0"/>
                <w:color w:val="auto"/>
                <w:u w:val="none" w:color="auto"/>
              </w:rPr>
              <w:t>□改建</w:t>
            </w:r>
          </w:p>
          <w:p w14:paraId="05AC642F">
            <w:pPr>
              <w:jc w:val="left"/>
              <w:rPr>
                <w:rFonts w:ascii="宋体" w:hAnsi="宋体" w:cs="宋体"/>
                <w:i w:val="0"/>
                <w:iCs w:val="0"/>
                <w:color w:val="auto"/>
                <w:u w:val="none" w:color="auto"/>
              </w:rPr>
            </w:pPr>
            <w:r>
              <w:rPr>
                <w:rFonts w:hint="eastAsia" w:ascii="宋体" w:hAnsi="宋体" w:cs="宋体"/>
                <w:i w:val="0"/>
                <w:iCs w:val="0"/>
                <w:color w:val="auto"/>
                <w:u w:val="none" w:color="auto"/>
                <w:lang w:eastAsia="zh-CN"/>
              </w:rPr>
              <w:t>□</w:t>
            </w:r>
            <w:r>
              <w:rPr>
                <w:rFonts w:hint="eastAsia" w:ascii="宋体" w:hAnsi="宋体" w:cs="宋体"/>
                <w:i w:val="0"/>
                <w:iCs w:val="0"/>
                <w:color w:val="auto"/>
                <w:u w:val="none" w:color="auto"/>
              </w:rPr>
              <w:t>扩建</w:t>
            </w:r>
          </w:p>
          <w:p w14:paraId="1412BF84">
            <w:pPr>
              <w:jc w:val="left"/>
              <w:rPr>
                <w:rFonts w:ascii="宋体" w:hAnsi="宋体" w:cs="宋体"/>
                <w:i w:val="0"/>
                <w:iCs w:val="0"/>
                <w:color w:val="auto"/>
                <w:u w:val="none" w:color="auto"/>
              </w:rPr>
            </w:pPr>
            <w:r>
              <w:rPr>
                <w:rFonts w:hint="eastAsia" w:ascii="宋体" w:hAnsi="宋体" w:cs="宋体"/>
                <w:i w:val="0"/>
                <w:iCs w:val="0"/>
                <w:color w:val="auto"/>
                <w:u w:val="none" w:color="auto"/>
              </w:rPr>
              <w:t>□技术改造</w:t>
            </w:r>
          </w:p>
        </w:tc>
        <w:tc>
          <w:tcPr>
            <w:tcW w:w="2429" w:type="dxa"/>
            <w:vAlign w:val="center"/>
          </w:tcPr>
          <w:p w14:paraId="00B683BD">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建设项目</w:t>
            </w:r>
          </w:p>
          <w:p w14:paraId="3D96FE66">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申报情形</w:t>
            </w:r>
          </w:p>
        </w:tc>
        <w:tc>
          <w:tcPr>
            <w:tcW w:w="3359" w:type="dxa"/>
            <w:vAlign w:val="center"/>
          </w:tcPr>
          <w:p w14:paraId="61C87085">
            <w:pPr>
              <w:jc w:val="left"/>
              <w:rPr>
                <w:rFonts w:ascii="宋体" w:hAnsi="宋体" w:cs="宋体"/>
                <w:i w:val="0"/>
                <w:iCs w:val="0"/>
                <w:color w:val="auto"/>
                <w:u w:val="none" w:color="auto"/>
              </w:rPr>
            </w:pPr>
            <w:r>
              <w:rPr>
                <w:rFonts w:hint="eastAsia" w:ascii="宋体" w:hAnsi="宋体" w:cs="宋体"/>
                <w:i w:val="0"/>
                <w:iCs w:val="0"/>
                <w:color w:val="auto"/>
                <w:u w:val="none" w:color="auto"/>
              </w:rPr>
              <w:t>√首次申报项目</w:t>
            </w:r>
          </w:p>
          <w:p w14:paraId="4223F8D3">
            <w:pPr>
              <w:jc w:val="left"/>
              <w:rPr>
                <w:rFonts w:ascii="宋体" w:hAnsi="宋体" w:cs="宋体"/>
                <w:i w:val="0"/>
                <w:iCs w:val="0"/>
                <w:color w:val="auto"/>
                <w:u w:val="none" w:color="auto"/>
              </w:rPr>
            </w:pPr>
            <w:r>
              <w:rPr>
                <w:rFonts w:hint="eastAsia" w:ascii="宋体" w:hAnsi="宋体" w:cs="宋体"/>
                <w:i w:val="0"/>
                <w:iCs w:val="0"/>
                <w:color w:val="auto"/>
                <w:u w:val="none" w:color="auto"/>
              </w:rPr>
              <w:t>□不予批准后再次申报项目</w:t>
            </w:r>
          </w:p>
          <w:p w14:paraId="346F09B0">
            <w:pPr>
              <w:jc w:val="left"/>
              <w:rPr>
                <w:rFonts w:ascii="宋体" w:hAnsi="宋体" w:cs="宋体"/>
                <w:i w:val="0"/>
                <w:iCs w:val="0"/>
                <w:color w:val="auto"/>
                <w:u w:val="none" w:color="auto"/>
              </w:rPr>
            </w:pPr>
            <w:r>
              <w:rPr>
                <w:rFonts w:hint="eastAsia" w:ascii="宋体" w:hAnsi="宋体" w:cs="宋体"/>
                <w:i w:val="0"/>
                <w:iCs w:val="0"/>
                <w:color w:val="auto"/>
                <w:u w:val="none" w:color="auto"/>
              </w:rPr>
              <w:sym w:font="Wingdings 2" w:char="00A3"/>
            </w:r>
            <w:r>
              <w:rPr>
                <w:rFonts w:hint="eastAsia" w:ascii="宋体" w:hAnsi="宋体" w:cs="宋体"/>
                <w:i w:val="0"/>
                <w:iCs w:val="0"/>
                <w:color w:val="auto"/>
                <w:u w:val="none" w:color="auto"/>
              </w:rPr>
              <w:t>超五年重新审核项目</w:t>
            </w:r>
          </w:p>
          <w:p w14:paraId="744BE924">
            <w:pPr>
              <w:jc w:val="left"/>
              <w:rPr>
                <w:rFonts w:ascii="宋体" w:hAnsi="宋体" w:cs="宋体"/>
                <w:i w:val="0"/>
                <w:iCs w:val="0"/>
                <w:color w:val="auto"/>
                <w:u w:val="none" w:color="auto"/>
              </w:rPr>
            </w:pPr>
            <w:r>
              <w:rPr>
                <w:rFonts w:hint="eastAsia" w:ascii="宋体" w:hAnsi="宋体" w:cs="宋体"/>
                <w:i w:val="0"/>
                <w:iCs w:val="0"/>
                <w:color w:val="auto"/>
                <w:u w:val="none" w:color="auto"/>
              </w:rPr>
              <w:t>□重大变动重新报批项目</w:t>
            </w:r>
          </w:p>
        </w:tc>
      </w:tr>
      <w:tr w14:paraId="652B9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11" w:type="dxa"/>
            <w:tcMar>
              <w:top w:w="16" w:type="dxa"/>
              <w:left w:w="16" w:type="dxa"/>
              <w:right w:w="16" w:type="dxa"/>
            </w:tcMar>
            <w:vAlign w:val="center"/>
          </w:tcPr>
          <w:p w14:paraId="58CF2F11">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项目审批（核准</w:t>
            </w:r>
            <w:r>
              <w:rPr>
                <w:rFonts w:ascii="宋体" w:hAnsi="宋体" w:cs="宋体"/>
                <w:i w:val="0"/>
                <w:iCs w:val="0"/>
                <w:color w:val="auto"/>
                <w:u w:val="none" w:color="auto"/>
              </w:rPr>
              <w:t>/</w:t>
            </w:r>
          </w:p>
          <w:p w14:paraId="0267281C">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备案）部门（选填）</w:t>
            </w:r>
          </w:p>
        </w:tc>
        <w:tc>
          <w:tcPr>
            <w:tcW w:w="1571" w:type="dxa"/>
            <w:vAlign w:val="center"/>
          </w:tcPr>
          <w:p w14:paraId="0A45DE50">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w:t>
            </w:r>
          </w:p>
        </w:tc>
        <w:tc>
          <w:tcPr>
            <w:tcW w:w="2429" w:type="dxa"/>
            <w:vAlign w:val="center"/>
          </w:tcPr>
          <w:p w14:paraId="32A561EB">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项目审批（核准</w:t>
            </w:r>
            <w:r>
              <w:rPr>
                <w:rFonts w:ascii="宋体" w:hAnsi="宋体" w:cs="宋体"/>
                <w:i w:val="0"/>
                <w:iCs w:val="0"/>
                <w:color w:val="auto"/>
                <w:u w:val="none" w:color="auto"/>
              </w:rPr>
              <w:t>/</w:t>
            </w:r>
          </w:p>
          <w:p w14:paraId="5F443F8B">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备案）文号（选填）</w:t>
            </w:r>
          </w:p>
        </w:tc>
        <w:tc>
          <w:tcPr>
            <w:tcW w:w="3359" w:type="dxa"/>
            <w:vAlign w:val="center"/>
          </w:tcPr>
          <w:p w14:paraId="3A76F64A">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w:t>
            </w:r>
          </w:p>
        </w:tc>
      </w:tr>
      <w:tr w14:paraId="0CE8C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5248A327">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总投资（万元）</w:t>
            </w:r>
          </w:p>
        </w:tc>
        <w:tc>
          <w:tcPr>
            <w:tcW w:w="1571" w:type="dxa"/>
            <w:vAlign w:val="center"/>
          </w:tcPr>
          <w:p w14:paraId="6E3793CD">
            <w:pPr>
              <w:adjustRightInd w:val="0"/>
              <w:snapToGrid w:val="0"/>
              <w:jc w:val="center"/>
              <w:rPr>
                <w:rFonts w:hint="default" w:ascii="宋体" w:hAnsi="宋体" w:eastAsia="宋体" w:cs="宋体"/>
                <w:i w:val="0"/>
                <w:iCs w:val="0"/>
                <w:color w:val="auto"/>
                <w:highlight w:val="none"/>
                <w:u w:val="none" w:color="auto"/>
                <w:lang w:val="en-US" w:eastAsia="zh-CN"/>
              </w:rPr>
            </w:pPr>
            <w:r>
              <w:rPr>
                <w:rFonts w:hint="eastAsia"/>
                <w:i w:val="0"/>
                <w:iCs w:val="0"/>
                <w:color w:val="auto"/>
                <w:highlight w:val="none"/>
                <w:u w:val="none" w:color="auto"/>
                <w:lang w:val="en-US" w:eastAsia="zh-CN"/>
              </w:rPr>
              <w:t>100</w:t>
            </w:r>
          </w:p>
        </w:tc>
        <w:tc>
          <w:tcPr>
            <w:tcW w:w="2429" w:type="dxa"/>
            <w:tcMar>
              <w:top w:w="16" w:type="dxa"/>
              <w:left w:w="16" w:type="dxa"/>
              <w:right w:w="16" w:type="dxa"/>
            </w:tcMar>
            <w:vAlign w:val="center"/>
          </w:tcPr>
          <w:p w14:paraId="53BC330E">
            <w:pPr>
              <w:adjustRightInd w:val="0"/>
              <w:snapToGrid w:val="0"/>
              <w:jc w:val="center"/>
              <w:rPr>
                <w:rFonts w:ascii="宋体" w:hAnsi="宋体" w:cs="宋体"/>
                <w:i w:val="0"/>
                <w:iCs w:val="0"/>
                <w:color w:val="auto"/>
                <w:highlight w:val="none"/>
                <w:u w:val="none" w:color="auto"/>
              </w:rPr>
            </w:pPr>
            <w:r>
              <w:rPr>
                <w:rFonts w:hint="eastAsia" w:ascii="宋体" w:hAnsi="宋体" w:cs="宋体"/>
                <w:i w:val="0"/>
                <w:iCs w:val="0"/>
                <w:color w:val="auto"/>
                <w:highlight w:val="none"/>
                <w:u w:val="none" w:color="auto"/>
              </w:rPr>
              <w:t>环保投资（万元）</w:t>
            </w:r>
          </w:p>
        </w:tc>
        <w:tc>
          <w:tcPr>
            <w:tcW w:w="3359" w:type="dxa"/>
            <w:vAlign w:val="center"/>
          </w:tcPr>
          <w:p w14:paraId="17A16C21">
            <w:pPr>
              <w:adjustRightInd w:val="0"/>
              <w:snapToGrid w:val="0"/>
              <w:jc w:val="center"/>
              <w:rPr>
                <w:rFonts w:hint="default" w:ascii="宋体" w:hAnsi="宋体" w:eastAsia="宋体" w:cs="宋体"/>
                <w:i w:val="0"/>
                <w:iCs w:val="0"/>
                <w:color w:val="auto"/>
                <w:highlight w:val="none"/>
                <w:u w:val="none" w:color="auto"/>
                <w:lang w:val="en-US" w:eastAsia="zh-CN"/>
              </w:rPr>
            </w:pPr>
            <w:r>
              <w:rPr>
                <w:rFonts w:hint="eastAsia"/>
                <w:i w:val="0"/>
                <w:iCs w:val="0"/>
                <w:color w:val="auto"/>
                <w:highlight w:val="none"/>
                <w:u w:val="none" w:color="auto"/>
                <w:lang w:val="en-US" w:eastAsia="zh-CN"/>
              </w:rPr>
              <w:t>30</w:t>
            </w:r>
          </w:p>
        </w:tc>
      </w:tr>
      <w:tr w14:paraId="4EAA5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4D34E569">
            <w:pPr>
              <w:adjustRightInd w:val="0"/>
              <w:snapToGrid w:val="0"/>
              <w:jc w:val="center"/>
              <w:rPr>
                <w:i w:val="0"/>
                <w:iCs w:val="0"/>
                <w:color w:val="auto"/>
                <w:u w:val="none" w:color="auto"/>
              </w:rPr>
            </w:pPr>
            <w:r>
              <w:rPr>
                <w:rFonts w:hint="eastAsia"/>
                <w:i w:val="0"/>
                <w:iCs w:val="0"/>
                <w:color w:val="auto"/>
                <w:u w:val="none" w:color="auto"/>
              </w:rPr>
              <w:t>环保投资占比（</w:t>
            </w:r>
            <w:r>
              <w:rPr>
                <w:i w:val="0"/>
                <w:iCs w:val="0"/>
                <w:color w:val="auto"/>
                <w:u w:val="none" w:color="auto"/>
              </w:rPr>
              <w:t>%</w:t>
            </w:r>
            <w:r>
              <w:rPr>
                <w:rFonts w:hint="eastAsia"/>
                <w:i w:val="0"/>
                <w:iCs w:val="0"/>
                <w:color w:val="auto"/>
                <w:u w:val="none" w:color="auto"/>
              </w:rPr>
              <w:t>）</w:t>
            </w:r>
          </w:p>
        </w:tc>
        <w:tc>
          <w:tcPr>
            <w:tcW w:w="1571" w:type="dxa"/>
            <w:vAlign w:val="center"/>
          </w:tcPr>
          <w:p w14:paraId="2D90D183">
            <w:pPr>
              <w:adjustRightInd w:val="0"/>
              <w:snapToGrid w:val="0"/>
              <w:jc w:val="center"/>
              <w:rPr>
                <w:rFonts w:hint="default" w:eastAsia="宋体"/>
                <w:i w:val="0"/>
                <w:iCs w:val="0"/>
                <w:color w:val="auto"/>
                <w:highlight w:val="none"/>
                <w:u w:val="none" w:color="auto"/>
                <w:lang w:val="en-US" w:eastAsia="zh-CN"/>
              </w:rPr>
            </w:pPr>
            <w:r>
              <w:rPr>
                <w:rFonts w:hint="eastAsia" w:cs="Times New Roman"/>
                <w:i w:val="0"/>
                <w:iCs w:val="0"/>
                <w:color w:val="auto"/>
                <w:highlight w:val="none"/>
                <w:u w:val="none" w:color="auto"/>
                <w:lang w:val="en-US" w:eastAsia="zh-CN"/>
              </w:rPr>
              <w:t>30</w:t>
            </w:r>
          </w:p>
        </w:tc>
        <w:tc>
          <w:tcPr>
            <w:tcW w:w="2429" w:type="dxa"/>
            <w:tcMar>
              <w:top w:w="16" w:type="dxa"/>
              <w:left w:w="16" w:type="dxa"/>
              <w:right w:w="16" w:type="dxa"/>
            </w:tcMar>
            <w:vAlign w:val="center"/>
          </w:tcPr>
          <w:p w14:paraId="5B7426B6">
            <w:pPr>
              <w:adjustRightInd w:val="0"/>
              <w:snapToGrid w:val="0"/>
              <w:jc w:val="center"/>
              <w:rPr>
                <w:rFonts w:ascii="宋体" w:hAnsi="宋体" w:cs="宋体"/>
                <w:i w:val="0"/>
                <w:iCs w:val="0"/>
                <w:color w:val="auto"/>
                <w:highlight w:val="none"/>
                <w:u w:val="none" w:color="auto"/>
              </w:rPr>
            </w:pPr>
            <w:r>
              <w:rPr>
                <w:rFonts w:hint="eastAsia" w:ascii="宋体" w:hAnsi="宋体" w:cs="宋体"/>
                <w:i w:val="0"/>
                <w:iCs w:val="0"/>
                <w:color w:val="auto"/>
                <w:highlight w:val="none"/>
                <w:u w:val="none" w:color="auto"/>
              </w:rPr>
              <w:t>施工工期（月）</w:t>
            </w:r>
          </w:p>
        </w:tc>
        <w:tc>
          <w:tcPr>
            <w:tcW w:w="3359" w:type="dxa"/>
            <w:vAlign w:val="center"/>
          </w:tcPr>
          <w:p w14:paraId="4F53B8C9">
            <w:pPr>
              <w:adjustRightInd w:val="0"/>
              <w:snapToGrid w:val="0"/>
              <w:jc w:val="center"/>
              <w:rPr>
                <w:rFonts w:hint="eastAsia" w:ascii="宋体" w:hAnsi="宋体" w:eastAsia="宋体" w:cs="宋体"/>
                <w:i w:val="0"/>
                <w:iCs w:val="0"/>
                <w:color w:val="auto"/>
                <w:highlight w:val="none"/>
                <w:u w:val="none" w:color="auto"/>
                <w:lang w:eastAsia="zh-CN"/>
              </w:rPr>
            </w:pPr>
            <w:r>
              <w:rPr>
                <w:rFonts w:hint="eastAsia" w:cs="Times New Roman"/>
                <w:i w:val="0"/>
                <w:iCs w:val="0"/>
                <w:color w:val="auto"/>
                <w:highlight w:val="none"/>
                <w:u w:val="none" w:color="auto"/>
                <w:lang w:val="en-US" w:eastAsia="zh-CN"/>
              </w:rPr>
              <w:t>2</w:t>
            </w:r>
          </w:p>
        </w:tc>
      </w:tr>
      <w:tr w14:paraId="09326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1" w:type="dxa"/>
            <w:tcMar>
              <w:top w:w="16" w:type="dxa"/>
              <w:left w:w="16" w:type="dxa"/>
              <w:right w:w="16" w:type="dxa"/>
            </w:tcMar>
            <w:vAlign w:val="center"/>
          </w:tcPr>
          <w:p w14:paraId="0EC7F5A0">
            <w:pPr>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是否开工建设</w:t>
            </w:r>
          </w:p>
        </w:tc>
        <w:tc>
          <w:tcPr>
            <w:tcW w:w="1571" w:type="dxa"/>
            <w:vAlign w:val="center"/>
          </w:tcPr>
          <w:p w14:paraId="37D44018">
            <w:pPr>
              <w:adjustRightInd w:val="0"/>
              <w:snapToGrid w:val="0"/>
              <w:rPr>
                <w:rFonts w:ascii="宋体" w:hAnsi="宋体" w:cs="宋体"/>
                <w:i w:val="0"/>
                <w:iCs w:val="0"/>
                <w:color w:val="auto"/>
                <w:highlight w:val="none"/>
                <w:u w:val="none" w:color="auto"/>
              </w:rPr>
            </w:pPr>
            <w:r>
              <w:rPr>
                <w:rFonts w:hint="eastAsia" w:ascii="宋体" w:hAnsi="宋体" w:cs="宋体"/>
                <w:i w:val="0"/>
                <w:iCs w:val="0"/>
                <w:color w:val="auto"/>
                <w:highlight w:val="none"/>
                <w:u w:val="none" w:color="auto"/>
              </w:rPr>
              <w:t>√否</w:t>
            </w:r>
          </w:p>
          <w:p w14:paraId="05E584F8">
            <w:pPr>
              <w:adjustRightInd w:val="0"/>
              <w:snapToGrid w:val="0"/>
              <w:rPr>
                <w:rFonts w:ascii="宋体" w:hAnsi="宋体" w:cs="宋体"/>
                <w:i w:val="0"/>
                <w:iCs w:val="0"/>
                <w:color w:val="auto"/>
                <w:highlight w:val="none"/>
                <w:u w:val="none" w:color="auto"/>
              </w:rPr>
            </w:pPr>
            <w:r>
              <w:rPr>
                <w:rFonts w:hint="eastAsia" w:ascii="宋体" w:hAnsi="宋体" w:cs="宋体"/>
                <w:i w:val="0"/>
                <w:iCs w:val="0"/>
                <w:color w:val="auto"/>
                <w:highlight w:val="none"/>
                <w:u w:val="none" w:color="auto"/>
              </w:rPr>
              <w:sym w:font="Wingdings 2" w:char="00A3"/>
            </w:r>
            <w:r>
              <w:rPr>
                <w:rFonts w:hint="eastAsia" w:ascii="宋体" w:hAnsi="宋体" w:cs="宋体"/>
                <w:i w:val="0"/>
                <w:iCs w:val="0"/>
                <w:color w:val="auto"/>
                <w:highlight w:val="none"/>
                <w:u w:val="none" w:color="auto"/>
              </w:rPr>
              <w:t>是：</w:t>
            </w:r>
          </w:p>
        </w:tc>
        <w:tc>
          <w:tcPr>
            <w:tcW w:w="2429" w:type="dxa"/>
            <w:tcMar>
              <w:top w:w="16" w:type="dxa"/>
              <w:left w:w="16" w:type="dxa"/>
              <w:right w:w="16" w:type="dxa"/>
            </w:tcMar>
            <w:vAlign w:val="center"/>
          </w:tcPr>
          <w:p w14:paraId="09899A64">
            <w:pPr>
              <w:adjustRightInd w:val="0"/>
              <w:snapToGrid w:val="0"/>
              <w:jc w:val="center"/>
              <w:rPr>
                <w:rFonts w:ascii="宋体" w:hAnsi="宋体" w:cs="宋体"/>
                <w:i w:val="0"/>
                <w:iCs w:val="0"/>
                <w:color w:val="auto"/>
                <w:spacing w:val="-6"/>
                <w:highlight w:val="none"/>
                <w:u w:val="none" w:color="auto"/>
              </w:rPr>
            </w:pPr>
            <w:r>
              <w:rPr>
                <w:rFonts w:hint="eastAsia" w:ascii="宋体" w:hAnsi="宋体" w:cs="宋体"/>
                <w:i w:val="0"/>
                <w:iCs w:val="0"/>
                <w:color w:val="auto"/>
                <w:spacing w:val="-6"/>
                <w:highlight w:val="none"/>
                <w:u w:val="none" w:color="auto"/>
              </w:rPr>
              <w:t>用地（用海）</w:t>
            </w:r>
          </w:p>
          <w:p w14:paraId="4707DF7B">
            <w:pPr>
              <w:adjustRightInd w:val="0"/>
              <w:snapToGrid w:val="0"/>
              <w:jc w:val="center"/>
              <w:rPr>
                <w:rFonts w:ascii="宋体" w:hAnsi="宋体" w:cs="宋体"/>
                <w:i w:val="0"/>
                <w:iCs w:val="0"/>
                <w:color w:val="auto"/>
                <w:highlight w:val="none"/>
                <w:u w:val="none" w:color="auto"/>
              </w:rPr>
            </w:pPr>
            <w:r>
              <w:rPr>
                <w:rFonts w:hint="eastAsia" w:ascii="宋体" w:hAnsi="宋体" w:cs="宋体"/>
                <w:i w:val="0"/>
                <w:iCs w:val="0"/>
                <w:color w:val="auto"/>
                <w:spacing w:val="-6"/>
                <w:highlight w:val="none"/>
                <w:u w:val="none" w:color="auto"/>
              </w:rPr>
              <w:t>面积（</w:t>
            </w:r>
            <w:r>
              <w:rPr>
                <w:rFonts w:ascii="宋体" w:hAnsi="宋体" w:cs="宋体"/>
                <w:i w:val="0"/>
                <w:iCs w:val="0"/>
                <w:color w:val="auto"/>
                <w:spacing w:val="-6"/>
                <w:highlight w:val="none"/>
                <w:u w:val="none" w:color="auto"/>
              </w:rPr>
              <w:t>m</w:t>
            </w:r>
            <w:r>
              <w:rPr>
                <w:rFonts w:ascii="宋体" w:hAnsi="宋体" w:cs="宋体"/>
                <w:i w:val="0"/>
                <w:iCs w:val="0"/>
                <w:color w:val="auto"/>
                <w:spacing w:val="-6"/>
                <w:highlight w:val="none"/>
                <w:u w:val="none" w:color="auto"/>
                <w:vertAlign w:val="superscript"/>
              </w:rPr>
              <w:t>2</w:t>
            </w:r>
            <w:r>
              <w:rPr>
                <w:rFonts w:hint="eastAsia" w:ascii="宋体" w:hAnsi="宋体" w:cs="宋体"/>
                <w:i w:val="0"/>
                <w:iCs w:val="0"/>
                <w:color w:val="auto"/>
                <w:spacing w:val="-6"/>
                <w:highlight w:val="none"/>
                <w:u w:val="none" w:color="auto"/>
              </w:rPr>
              <w:t>）</w:t>
            </w:r>
          </w:p>
        </w:tc>
        <w:tc>
          <w:tcPr>
            <w:tcW w:w="3359" w:type="dxa"/>
            <w:vAlign w:val="center"/>
          </w:tcPr>
          <w:p w14:paraId="209EB984">
            <w:pPr>
              <w:adjustRightInd w:val="0"/>
              <w:snapToGrid w:val="0"/>
              <w:jc w:val="center"/>
              <w:rPr>
                <w:rFonts w:hint="default" w:hAnsi="宋体" w:cs="宋体" w:eastAsiaTheme="minorEastAsia"/>
                <w:i w:val="0"/>
                <w:iCs w:val="0"/>
                <w:color w:val="auto"/>
                <w:spacing w:val="6"/>
                <w:highlight w:val="none"/>
                <w:u w:val="none" w:color="auto"/>
                <w:lang w:val="en-US" w:eastAsia="zh-CN"/>
              </w:rPr>
            </w:pPr>
            <w:r>
              <w:rPr>
                <w:rFonts w:hint="eastAsia"/>
                <w:color w:val="auto"/>
                <w:highlight w:val="none"/>
                <w:lang w:val="en-US" w:eastAsia="zh-CN"/>
              </w:rPr>
              <w:t>5750</w:t>
            </w:r>
          </w:p>
        </w:tc>
      </w:tr>
      <w:tr w14:paraId="22CB3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11" w:type="dxa"/>
            <w:vAlign w:val="center"/>
          </w:tcPr>
          <w:p w14:paraId="6A66A11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宋体" w:hAnsi="宋体" w:cs="宋体"/>
                <w:i w:val="0"/>
                <w:iCs w:val="0"/>
                <w:color w:val="auto"/>
                <w:u w:val="none" w:color="auto"/>
              </w:rPr>
            </w:pPr>
            <w:r>
              <w:rPr>
                <w:rFonts w:hint="eastAsia" w:ascii="宋体" w:hAnsi="宋体" w:cs="宋体"/>
                <w:i w:val="0"/>
                <w:iCs w:val="0"/>
                <w:color w:val="auto"/>
                <w:u w:val="none" w:color="auto"/>
              </w:rPr>
              <w:t>专项评价设置情况</w:t>
            </w:r>
          </w:p>
        </w:tc>
        <w:tc>
          <w:tcPr>
            <w:tcW w:w="7359" w:type="dxa"/>
            <w:gridSpan w:val="3"/>
            <w:vAlign w:val="center"/>
          </w:tcPr>
          <w:p w14:paraId="5A94E71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宋体" w:hAnsi="宋体" w:cs="宋体"/>
                <w:i w:val="0"/>
                <w:iCs w:val="0"/>
                <w:color w:val="auto"/>
                <w:u w:val="none" w:color="auto"/>
              </w:rPr>
            </w:pPr>
            <w:r>
              <w:rPr>
                <w:rFonts w:ascii="宋体" w:hAnsi="宋体" w:cs="宋体"/>
                <w:i w:val="0"/>
                <w:iCs w:val="0"/>
                <w:color w:val="auto"/>
                <w:u w:val="none" w:color="auto"/>
              </w:rPr>
              <w:t>无</w:t>
            </w:r>
          </w:p>
        </w:tc>
      </w:tr>
      <w:tr w14:paraId="2E53A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1" w:type="dxa"/>
            <w:vAlign w:val="center"/>
          </w:tcPr>
          <w:p w14:paraId="398A575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宋体" w:hAnsi="宋体" w:cs="宋体"/>
                <w:i w:val="0"/>
                <w:iCs w:val="0"/>
                <w:color w:val="auto"/>
                <w:u w:val="none" w:color="auto"/>
              </w:rPr>
            </w:pPr>
            <w:r>
              <w:rPr>
                <w:rFonts w:hint="eastAsia" w:ascii="宋体" w:hAnsi="宋体" w:cs="宋体"/>
                <w:i w:val="0"/>
                <w:iCs w:val="0"/>
                <w:color w:val="auto"/>
                <w:u w:val="none" w:color="auto"/>
              </w:rPr>
              <w:t>规划情况</w:t>
            </w:r>
          </w:p>
        </w:tc>
        <w:tc>
          <w:tcPr>
            <w:tcW w:w="7359" w:type="dxa"/>
            <w:gridSpan w:val="3"/>
            <w:vAlign w:val="center"/>
          </w:tcPr>
          <w:p w14:paraId="2AF7758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eastAsia="宋体"/>
                <w:i w:val="0"/>
                <w:iCs w:val="0"/>
                <w:color w:val="auto"/>
                <w:u w:val="none" w:color="auto"/>
                <w:lang w:val="en-US" w:eastAsia="zh-CN"/>
              </w:rPr>
            </w:pPr>
            <w:r>
              <w:rPr>
                <w:rFonts w:hint="eastAsia" w:ascii="宋体" w:hAnsi="宋体" w:cs="宋体"/>
                <w:i w:val="0"/>
                <w:iCs w:val="0"/>
                <w:color w:val="auto"/>
                <w:u w:val="none" w:color="auto"/>
                <w:lang w:val="en-US" w:eastAsia="zh-CN"/>
              </w:rPr>
              <w:t>无</w:t>
            </w:r>
          </w:p>
        </w:tc>
      </w:tr>
      <w:tr w14:paraId="48B8E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11" w:type="dxa"/>
            <w:vAlign w:val="center"/>
          </w:tcPr>
          <w:p w14:paraId="1F035049">
            <w:pPr>
              <w:keepNext w:val="0"/>
              <w:keepLines w:val="0"/>
              <w:pageBreakBefore w:val="0"/>
              <w:widowControl w:val="0"/>
              <w:kinsoku/>
              <w:wordWrap/>
              <w:overflowPunct/>
              <w:topLinePunct w:val="0"/>
              <w:bidi w:val="0"/>
              <w:adjustRightInd w:val="0"/>
              <w:snapToGrid w:val="0"/>
              <w:jc w:val="center"/>
              <w:textAlignment w:val="auto"/>
              <w:rPr>
                <w:rFonts w:ascii="宋体" w:hAnsi="宋体" w:cs="宋体"/>
                <w:i w:val="0"/>
                <w:iCs w:val="0"/>
                <w:color w:val="auto"/>
                <w:u w:val="none" w:color="auto"/>
              </w:rPr>
            </w:pPr>
            <w:r>
              <w:rPr>
                <w:rFonts w:hint="eastAsia" w:ascii="宋体" w:hAnsi="宋体" w:cs="宋体"/>
                <w:i w:val="0"/>
                <w:iCs w:val="0"/>
                <w:color w:val="auto"/>
                <w:u w:val="none" w:color="auto"/>
              </w:rPr>
              <w:t>规划环境影响</w:t>
            </w:r>
          </w:p>
          <w:p w14:paraId="20C59AFF">
            <w:pPr>
              <w:keepNext w:val="0"/>
              <w:keepLines w:val="0"/>
              <w:pageBreakBefore w:val="0"/>
              <w:widowControl w:val="0"/>
              <w:kinsoku/>
              <w:wordWrap/>
              <w:overflowPunct/>
              <w:topLinePunct w:val="0"/>
              <w:bidi w:val="0"/>
              <w:adjustRightInd w:val="0"/>
              <w:snapToGrid w:val="0"/>
              <w:jc w:val="center"/>
              <w:textAlignment w:val="auto"/>
              <w:rPr>
                <w:rFonts w:ascii="宋体" w:hAnsi="宋体" w:cs="宋体"/>
                <w:i w:val="0"/>
                <w:iCs w:val="0"/>
                <w:color w:val="auto"/>
                <w:u w:val="none" w:color="auto"/>
              </w:rPr>
            </w:pPr>
            <w:r>
              <w:rPr>
                <w:rFonts w:hint="eastAsia" w:ascii="宋体" w:hAnsi="宋体" w:cs="宋体"/>
                <w:i w:val="0"/>
                <w:iCs w:val="0"/>
                <w:color w:val="auto"/>
                <w:u w:val="none" w:color="auto"/>
              </w:rPr>
              <w:t>评价情况</w:t>
            </w:r>
          </w:p>
        </w:tc>
        <w:tc>
          <w:tcPr>
            <w:tcW w:w="7359" w:type="dxa"/>
            <w:gridSpan w:val="3"/>
            <w:vAlign w:val="center"/>
          </w:tcPr>
          <w:p w14:paraId="5C0CB5C0">
            <w:pPr>
              <w:keepNext w:val="0"/>
              <w:keepLines w:val="0"/>
              <w:pageBreakBefore w:val="0"/>
              <w:widowControl w:val="0"/>
              <w:kinsoku/>
              <w:wordWrap/>
              <w:overflowPunct/>
              <w:topLinePunct w:val="0"/>
              <w:autoSpaceDE w:val="0"/>
              <w:autoSpaceDN w:val="0"/>
              <w:bidi w:val="0"/>
              <w:adjustRightInd w:val="0"/>
              <w:snapToGrid w:val="0"/>
              <w:spacing w:before="120" w:beforeLines="50" w:after="120" w:afterLines="50" w:line="360" w:lineRule="auto"/>
              <w:jc w:val="center"/>
              <w:textAlignment w:val="auto"/>
              <w:rPr>
                <w:rFonts w:hint="default" w:eastAsia="宋体"/>
                <w:i w:val="0"/>
                <w:iCs w:val="0"/>
                <w:color w:val="auto"/>
                <w:u w:val="none" w:color="auto"/>
                <w:lang w:val="en-US" w:eastAsia="zh-CN"/>
              </w:rPr>
            </w:pPr>
            <w:r>
              <w:rPr>
                <w:rFonts w:hint="eastAsia"/>
                <w:i w:val="0"/>
                <w:iCs w:val="0"/>
                <w:color w:val="auto"/>
                <w:u w:val="none" w:color="auto"/>
                <w:lang w:val="en-US" w:eastAsia="zh-CN"/>
              </w:rPr>
              <w:t>无</w:t>
            </w:r>
          </w:p>
        </w:tc>
      </w:tr>
      <w:tr w14:paraId="5059DA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511" w:type="dxa"/>
            <w:vAlign w:val="center"/>
          </w:tcPr>
          <w:p w14:paraId="09AA9CC0">
            <w:pPr>
              <w:autoSpaceDE w:val="0"/>
              <w:autoSpaceDN w:val="0"/>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规划及规划环境影响评价符合性分析</w:t>
            </w:r>
          </w:p>
        </w:tc>
        <w:tc>
          <w:tcPr>
            <w:tcW w:w="7359" w:type="dxa"/>
            <w:gridSpan w:val="3"/>
            <w:vAlign w:val="center"/>
          </w:tcPr>
          <w:p w14:paraId="64D6C6D4">
            <w:pPr>
              <w:pStyle w:val="37"/>
              <w:adjustRightInd w:val="0"/>
              <w:snapToGrid w:val="0"/>
              <w:spacing w:line="360" w:lineRule="auto"/>
              <w:ind w:left="0" w:leftChars="0" w:firstLine="0" w:firstLineChars="0"/>
              <w:jc w:val="center"/>
              <w:rPr>
                <w:rFonts w:hint="eastAsia" w:ascii="Times New Roman" w:hAnsi="Times New Roman" w:eastAsia="宋体" w:cs="Times New Roman"/>
                <w:i w:val="0"/>
                <w:iCs w:val="0"/>
                <w:color w:val="auto"/>
                <w:kern w:val="0"/>
                <w:sz w:val="21"/>
                <w:szCs w:val="21"/>
                <w:u w:val="none" w:color="auto"/>
                <w:lang w:val="en-US" w:eastAsia="zh-CN"/>
              </w:rPr>
            </w:pPr>
            <w:r>
              <w:rPr>
                <w:rFonts w:hint="eastAsia" w:ascii="Times New Roman" w:hAnsi="Times New Roman" w:cs="Times New Roman"/>
                <w:i w:val="0"/>
                <w:iCs w:val="0"/>
                <w:color w:val="auto"/>
                <w:kern w:val="0"/>
                <w:sz w:val="21"/>
                <w:szCs w:val="21"/>
                <w:u w:val="none" w:color="auto"/>
                <w:lang w:val="en-US" w:eastAsia="zh-CN"/>
              </w:rPr>
              <w:t>无</w:t>
            </w:r>
          </w:p>
        </w:tc>
      </w:tr>
      <w:tr w14:paraId="541A8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11" w:type="dxa"/>
            <w:vAlign w:val="center"/>
          </w:tcPr>
          <w:p w14:paraId="5AFAA209">
            <w:pPr>
              <w:autoSpaceDE w:val="0"/>
              <w:autoSpaceDN w:val="0"/>
              <w:adjustRightInd w:val="0"/>
              <w:snapToGrid w:val="0"/>
              <w:jc w:val="center"/>
              <w:rPr>
                <w:rFonts w:ascii="宋体" w:hAnsi="宋体" w:cs="宋体"/>
                <w:i w:val="0"/>
                <w:iCs w:val="0"/>
                <w:color w:val="auto"/>
                <w:u w:val="none" w:color="auto"/>
              </w:rPr>
            </w:pPr>
            <w:r>
              <w:rPr>
                <w:rFonts w:hint="eastAsia" w:ascii="宋体" w:hAnsi="宋体" w:cs="宋体"/>
                <w:i w:val="0"/>
                <w:iCs w:val="0"/>
                <w:color w:val="auto"/>
                <w:u w:val="none" w:color="auto"/>
              </w:rPr>
              <w:t>其他符合性分析</w:t>
            </w:r>
          </w:p>
        </w:tc>
        <w:tc>
          <w:tcPr>
            <w:tcW w:w="7359" w:type="dxa"/>
            <w:gridSpan w:val="3"/>
            <w:vAlign w:val="center"/>
          </w:tcPr>
          <w:p w14:paraId="56268E98">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Ansi="宋体"/>
                <w:i w:val="0"/>
                <w:iCs w:val="0"/>
                <w:color w:val="auto"/>
                <w:u w:val="none" w:color="auto"/>
              </w:rPr>
            </w:pPr>
            <w:r>
              <w:rPr>
                <w:rFonts w:hint="eastAsia" w:hAnsi="宋体"/>
                <w:i w:val="0"/>
                <w:iCs w:val="0"/>
                <w:color w:val="auto"/>
                <w:u w:val="none" w:color="auto"/>
              </w:rPr>
              <w:t>1、</w:t>
            </w:r>
            <w:r>
              <w:rPr>
                <w:rFonts w:hAnsi="宋体"/>
                <w:i w:val="0"/>
                <w:iCs w:val="0"/>
                <w:color w:val="auto"/>
                <w:u w:val="none" w:color="auto"/>
              </w:rPr>
              <w:t>产业政策相符性分析</w:t>
            </w:r>
          </w:p>
          <w:p w14:paraId="5C0D106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i w:val="0"/>
                <w:iCs w:val="0"/>
                <w:color w:val="auto"/>
                <w:sz w:val="21"/>
                <w:szCs w:val="21"/>
                <w:u w:val="none" w:color="auto"/>
                <w:lang w:val="en-US" w:eastAsia="zh-CN" w:bidi="ar-SA"/>
              </w:rPr>
            </w:pPr>
            <w:r>
              <w:rPr>
                <w:rFonts w:hint="eastAsia" w:ascii="Times New Roman" w:hAnsi="Times New Roman" w:eastAsia="宋体" w:cs="Times New Roman"/>
                <w:i w:val="0"/>
                <w:iCs w:val="0"/>
                <w:color w:val="auto"/>
                <w:sz w:val="21"/>
                <w:szCs w:val="21"/>
                <w:u w:val="none" w:color="auto"/>
                <w:lang w:val="en-US" w:eastAsia="zh-CN" w:bidi="ar-SA"/>
              </w:rPr>
              <w:t>根据《产业结构调整指导目录（2024年本）》中规定，本项目</w:t>
            </w:r>
            <w:r>
              <w:rPr>
                <w:rFonts w:hint="eastAsia" w:cs="Times New Roman"/>
                <w:i w:val="0"/>
                <w:iCs w:val="0"/>
                <w:color w:val="auto"/>
                <w:sz w:val="21"/>
                <w:szCs w:val="21"/>
                <w:u w:val="none" w:color="auto"/>
                <w:lang w:val="en-US" w:eastAsia="zh-CN" w:bidi="ar-SA"/>
              </w:rPr>
              <w:t>不属于鼓励类、限制类及淘汰类，为允许类</w:t>
            </w:r>
            <w:r>
              <w:rPr>
                <w:rFonts w:hint="eastAsia" w:ascii="Times New Roman" w:hAnsi="Times New Roman" w:eastAsia="宋体" w:cs="Times New Roman"/>
                <w:i w:val="0"/>
                <w:iCs w:val="0"/>
                <w:color w:val="auto"/>
                <w:sz w:val="21"/>
                <w:szCs w:val="21"/>
                <w:u w:val="none" w:color="auto"/>
                <w:lang w:val="en-US" w:eastAsia="zh-CN" w:bidi="ar-SA"/>
              </w:rPr>
              <w:t>。因此，本项目符合国家产业政策要求。</w:t>
            </w:r>
          </w:p>
          <w:p w14:paraId="0694EA8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Ansi="宋体"/>
                <w:i w:val="0"/>
                <w:iCs w:val="0"/>
                <w:color w:val="auto"/>
                <w:u w:val="none" w:color="auto"/>
              </w:rPr>
            </w:pPr>
            <w:r>
              <w:rPr>
                <w:rFonts w:hint="eastAsia"/>
                <w:i w:val="0"/>
                <w:iCs w:val="0"/>
                <w:color w:val="auto"/>
                <w:u w:val="none" w:color="auto"/>
              </w:rPr>
              <w:t>2</w:t>
            </w:r>
            <w:r>
              <w:rPr>
                <w:rFonts w:hAnsi="宋体"/>
                <w:i w:val="0"/>
                <w:iCs w:val="0"/>
                <w:color w:val="auto"/>
                <w:u w:val="none" w:color="auto"/>
              </w:rPr>
              <w:t>、与</w:t>
            </w:r>
            <w:r>
              <w:rPr>
                <w:rFonts w:hint="eastAsia" w:hAnsi="宋体"/>
                <w:i w:val="0"/>
                <w:iCs w:val="0"/>
                <w:color w:val="auto"/>
                <w:u w:val="none" w:color="auto"/>
              </w:rPr>
              <w:t>生态环境分区管控的意见符合性分析</w:t>
            </w:r>
          </w:p>
          <w:p w14:paraId="3C21A80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i w:val="0"/>
                <w:iCs w:val="0"/>
                <w:color w:val="auto"/>
                <w:sz w:val="21"/>
                <w:szCs w:val="21"/>
                <w:u w:val="none" w:color="auto"/>
                <w:lang w:val="en-US" w:eastAsia="zh-CN" w:bidi="ar-SA"/>
              </w:rPr>
            </w:pPr>
            <w:r>
              <w:rPr>
                <w:rFonts w:hint="eastAsia" w:ascii="Times New Roman" w:hAnsi="Times New Roman" w:eastAsia="宋体" w:cs="Times New Roman"/>
                <w:i w:val="0"/>
                <w:iCs w:val="0"/>
                <w:color w:val="auto"/>
                <w:sz w:val="21"/>
                <w:szCs w:val="21"/>
                <w:u w:val="none" w:color="auto"/>
                <w:lang w:val="en-US" w:eastAsia="zh-CN" w:bidi="ar-SA"/>
              </w:rPr>
              <w:t>2.1项目与省市总体准入符合性分析</w:t>
            </w:r>
          </w:p>
          <w:p w14:paraId="5B159A2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i w:val="0"/>
                <w:iCs w:val="0"/>
                <w:color w:val="auto"/>
                <w:sz w:val="21"/>
                <w:szCs w:val="21"/>
                <w:u w:val="single" w:color="auto"/>
                <w:lang w:val="en-US" w:eastAsia="zh-CN" w:bidi="ar-SA"/>
              </w:rPr>
            </w:pPr>
            <w:r>
              <w:rPr>
                <w:rFonts w:hint="eastAsia" w:ascii="Times New Roman" w:hAnsi="Times New Roman" w:eastAsia="宋体" w:cs="Times New Roman"/>
                <w:i w:val="0"/>
                <w:iCs w:val="0"/>
                <w:color w:val="auto"/>
                <w:sz w:val="21"/>
                <w:szCs w:val="21"/>
                <w:u w:val="single" w:color="auto"/>
                <w:lang w:val="en-US" w:eastAsia="zh-CN" w:bidi="ar-SA"/>
              </w:rPr>
              <w:t>根据《中共吉林省委办公厅、吉林省人民政府办公厅〈关于加强生态环 境分区管控的若干措施〉 》（吉办发〔2024〕12 号）、吉林省生态环境 厅关于印发《吉林省生态环境准入清单》的函（吉环函〔2024〕158 号），白山市人民政府办公厅印发《白山市生态环境分区管控实施方案的通知》（白山</w:t>
            </w:r>
            <w:r>
              <w:rPr>
                <w:rFonts w:hint="eastAsia" w:cs="Times New Roman"/>
                <w:i w:val="0"/>
                <w:iCs w:val="0"/>
                <w:color w:val="auto"/>
                <w:sz w:val="21"/>
                <w:szCs w:val="21"/>
                <w:u w:val="single" w:color="auto"/>
                <w:lang w:val="en-US" w:eastAsia="zh-CN" w:bidi="ar-SA"/>
              </w:rPr>
              <w:t>政办发〔2024〕11号</w:t>
            </w:r>
            <w:r>
              <w:rPr>
                <w:rFonts w:hint="eastAsia" w:ascii="Times New Roman" w:hAnsi="Times New Roman" w:eastAsia="宋体" w:cs="Times New Roman"/>
                <w:i w:val="0"/>
                <w:iCs w:val="0"/>
                <w:color w:val="auto"/>
                <w:sz w:val="21"/>
                <w:szCs w:val="21"/>
                <w:u w:val="single" w:color="auto"/>
                <w:lang w:val="en-US" w:eastAsia="zh-CN" w:bidi="ar-SA"/>
              </w:rPr>
              <w:t>），项目与省市总体准入清单的符合性分析详见下表。</w:t>
            </w:r>
          </w:p>
          <w:p w14:paraId="224872AC">
            <w:pPr>
              <w:pStyle w:val="85"/>
              <w:spacing w:line="240" w:lineRule="auto"/>
              <w:ind w:firstLine="420"/>
              <w:jc w:val="center"/>
              <w:rPr>
                <w:i w:val="0"/>
                <w:iCs w:val="0"/>
                <w:color w:val="auto"/>
                <w:u w:val="single" w:color="auto"/>
              </w:rPr>
            </w:pPr>
            <w:r>
              <w:rPr>
                <w:rFonts w:hint="eastAsia"/>
                <w:i w:val="0"/>
                <w:iCs w:val="0"/>
                <w:color w:val="auto"/>
                <w:u w:val="single" w:color="auto"/>
                <w:lang w:val="en-US" w:eastAsia="zh-CN"/>
              </w:rPr>
              <w:t>吉林省</w:t>
            </w:r>
            <w:r>
              <w:rPr>
                <w:rFonts w:hint="eastAsia"/>
                <w:i w:val="0"/>
                <w:iCs w:val="0"/>
                <w:color w:val="auto"/>
                <w:u w:val="single" w:color="auto"/>
              </w:rPr>
              <w:t>总体准入符合性分析一览表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5098"/>
              <w:gridCol w:w="1180"/>
            </w:tblGrid>
            <w:tr w14:paraId="0BEE9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05" w:type="pct"/>
                  <w:tcBorders>
                    <w:tl2br w:val="nil"/>
                    <w:tr2bl w:val="nil"/>
                  </w:tcBorders>
                  <w:noWrap w:val="0"/>
                  <w:vAlign w:val="center"/>
                </w:tcPr>
                <w:p w14:paraId="7CBF52D2">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管控</w:t>
                  </w:r>
                </w:p>
                <w:p w14:paraId="007A39F8">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领域</w:t>
                  </w:r>
                </w:p>
              </w:tc>
              <w:tc>
                <w:tcPr>
                  <w:tcW w:w="3568" w:type="pct"/>
                  <w:tcBorders>
                    <w:tl2br w:val="nil"/>
                    <w:tr2bl w:val="nil"/>
                  </w:tcBorders>
                  <w:noWrap w:val="0"/>
                  <w:vAlign w:val="center"/>
                </w:tcPr>
                <w:p w14:paraId="27CEBEBB">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环境准入及管控要求</w:t>
                  </w:r>
                </w:p>
              </w:tc>
              <w:tc>
                <w:tcPr>
                  <w:tcW w:w="825" w:type="pct"/>
                  <w:tcBorders>
                    <w:tl2br w:val="nil"/>
                    <w:tr2bl w:val="nil"/>
                  </w:tcBorders>
                  <w:noWrap w:val="0"/>
                  <w:vAlign w:val="center"/>
                </w:tcPr>
                <w:p w14:paraId="290A29B8">
                  <w:pPr>
                    <w:pStyle w:val="38"/>
                    <w:tabs>
                      <w:tab w:val="left" w:pos="0"/>
                    </w:tabs>
                    <w:jc w:val="center"/>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符合性分析</w:t>
                  </w:r>
                </w:p>
              </w:tc>
            </w:tr>
            <w:tr w14:paraId="6BCB3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05" w:type="pct"/>
                  <w:vMerge w:val="restart"/>
                  <w:tcBorders>
                    <w:tl2br w:val="nil"/>
                    <w:tr2bl w:val="nil"/>
                  </w:tcBorders>
                  <w:noWrap w:val="0"/>
                  <w:vAlign w:val="center"/>
                </w:tcPr>
                <w:p w14:paraId="68C8E763">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空间布局约束</w:t>
                  </w:r>
                </w:p>
              </w:tc>
              <w:tc>
                <w:tcPr>
                  <w:tcW w:w="3568" w:type="pct"/>
                  <w:tcBorders>
                    <w:tl2br w:val="nil"/>
                    <w:tr2bl w:val="nil"/>
                  </w:tcBorders>
                  <w:noWrap w:val="0"/>
                  <w:vAlign w:val="center"/>
                </w:tcPr>
                <w:p w14:paraId="4E41E24D">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禁止新建、扩建《产业结构调整指导</w:t>
                  </w:r>
                  <w:r>
                    <w:rPr>
                      <w:rFonts w:hint="eastAsia" w:ascii="Times New Roman" w:eastAsia="宋体" w:cs="Times New Roman"/>
                      <w:b w:val="0"/>
                      <w:bCs w:val="0"/>
                      <w:i w:val="0"/>
                      <w:iCs w:val="0"/>
                      <w:color w:val="auto"/>
                      <w:sz w:val="18"/>
                      <w:szCs w:val="18"/>
                      <w:highlight w:val="none"/>
                      <w:u w:val="single" w:color="auto"/>
                      <w:lang w:val="en-US" w:eastAsia="zh-CN" w:bidi="ar-SA"/>
                    </w:rPr>
                    <w:t>目录</w:t>
                  </w:r>
                  <w:r>
                    <w:rPr>
                      <w:rFonts w:ascii="Times New Roman" w:hAnsi="Times New Roman" w:eastAsia="宋体" w:cs="Times New Roman"/>
                      <w:b w:val="0"/>
                      <w:bCs w:val="0"/>
                      <w:i w:val="0"/>
                      <w:iCs w:val="0"/>
                      <w:color w:val="auto"/>
                      <w:sz w:val="18"/>
                      <w:szCs w:val="18"/>
                      <w:highlight w:val="none"/>
                      <w:u w:val="single" w:color="auto"/>
                      <w:lang w:val="en-US" w:eastAsia="zh-CN" w:bidi="ar-SA"/>
                    </w:rPr>
                    <w:t>》（现行）明确的淘汰类项目和引入《市场准入负面清单》（现行）禁止准入类事项，引入项目应符合园区规划、规划环境影响评价和区域产业准入负面清单要求。</w:t>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br w:type="textWrapping"/>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列入《产业结构调整指导目录》淘汰类的现状企业，应制定调整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tc>
              <w:tc>
                <w:tcPr>
                  <w:tcW w:w="825" w:type="pct"/>
                  <w:tcBorders>
                    <w:tl2br w:val="nil"/>
                    <w:tr2bl w:val="nil"/>
                  </w:tcBorders>
                  <w:noWrap w:val="0"/>
                  <w:vAlign w:val="center"/>
                </w:tcPr>
                <w:p w14:paraId="35C3BB91">
                  <w:pPr>
                    <w:pStyle w:val="38"/>
                    <w:tabs>
                      <w:tab w:val="left" w:pos="0"/>
                    </w:tabs>
                    <w:adjustRightInd w:val="0"/>
                    <w:snapToGrid w:val="0"/>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本项目属于《产业结构调整指导目录（2024年本）》中允许类项目，项目建设符合国家产业政策。</w:t>
                  </w:r>
                </w:p>
              </w:tc>
            </w:tr>
            <w:tr w14:paraId="07971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05" w:type="pct"/>
                  <w:vMerge w:val="continue"/>
                  <w:tcBorders>
                    <w:tl2br w:val="nil"/>
                    <w:tr2bl w:val="nil"/>
                  </w:tcBorders>
                  <w:noWrap w:val="0"/>
                  <w:vAlign w:val="center"/>
                </w:tcPr>
                <w:p w14:paraId="2C96B3C7">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5133F36F">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老工业城市和资源型城市在防止污染转移的基础上，应积极承接有利于延伸产业链、提高技术水平、促进资源综合利用、充分吸纳就业的产业，因地制宜发展优势特色产业。</w:t>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br w:type="textWrapping"/>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严格控制钢铁、焦化、电解铝、水泥和平板玻璃等行业新增产能，列入去产能的钢铁企业退出时须一并退出配套的烧结、球团、焦炉、高炉等设备。严格控制尿素、磷铵、电石、烧碱、聚氯乙烯、纯碱、黄磷等过剩行业新增产能，符合政策要求的先进工艺改造提升项目应实行等量或减量置换。</w:t>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br w:type="textWrapping"/>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严控新建燃煤锅炉，县级以上城市建成区原则上不再新建每小时35蒸吨以下燃煤锅炉。</w:t>
                  </w:r>
                </w:p>
              </w:tc>
              <w:tc>
                <w:tcPr>
                  <w:tcW w:w="825" w:type="pct"/>
                  <w:tcBorders>
                    <w:tl2br w:val="nil"/>
                    <w:tr2bl w:val="nil"/>
                  </w:tcBorders>
                  <w:noWrap w:val="0"/>
                  <w:vAlign w:val="center"/>
                </w:tcPr>
                <w:p w14:paraId="3B07F035">
                  <w:pPr>
                    <w:pStyle w:val="38"/>
                    <w:tabs>
                      <w:tab w:val="left" w:pos="0"/>
                    </w:tabs>
                    <w:adjustRightInd w:val="0"/>
                    <w:snapToGrid w:val="0"/>
                    <w:contextualSpacing/>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tc>
            </w:tr>
            <w:tr w14:paraId="6F469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5" w:type="pct"/>
                  <w:vMerge w:val="continue"/>
                  <w:tcBorders>
                    <w:tl2br w:val="nil"/>
                    <w:tr2bl w:val="nil"/>
                  </w:tcBorders>
                  <w:noWrap w:val="0"/>
                  <w:vAlign w:val="center"/>
                </w:tcPr>
                <w:p w14:paraId="65A3BBE1">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6CFA3888">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重大项目原则上应布局在优化开发区和重点开发区，并符合国土空间总体规划。</w:t>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br w:type="textWrapping"/>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化工石化、有色冶炼、制浆造纸等可能引发环境风险的项目，以及涉及石化、化工、工业涂装等重点行业高VOCs 排放的建设项目，在符合国家产业政策和清洁生产水平要求、满足污染物排放标准以及污染物排放总量控制指标前提下，应当在依法设立、基础设施齐全并具备有效规划、规划环境影响评价的产业园区内布设。</w:t>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br w:type="textWrapping"/>
                  </w: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严格落实规划环评及其批复文件环境准入条件，空气质量未达标地区制定更严格的产业准入门槛。</w:t>
                  </w:r>
                </w:p>
              </w:tc>
              <w:tc>
                <w:tcPr>
                  <w:tcW w:w="825" w:type="pct"/>
                  <w:tcBorders>
                    <w:tl2br w:val="nil"/>
                    <w:tr2bl w:val="nil"/>
                  </w:tcBorders>
                  <w:noWrap w:val="0"/>
                  <w:vAlign w:val="center"/>
                </w:tcPr>
                <w:p w14:paraId="68C7AEB1">
                  <w:pPr>
                    <w:pStyle w:val="38"/>
                    <w:tabs>
                      <w:tab w:val="left" w:pos="0"/>
                    </w:tabs>
                    <w:adjustRightInd w:val="0"/>
                    <w:snapToGrid w:val="0"/>
                    <w:contextualSpacing/>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tc>
            </w:tr>
            <w:tr w14:paraId="4EC64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05" w:type="pct"/>
                  <w:vMerge w:val="continue"/>
                  <w:tcBorders>
                    <w:tl2br w:val="nil"/>
                    <w:tr2bl w:val="nil"/>
                  </w:tcBorders>
                  <w:noWrap w:val="0"/>
                  <w:vAlign w:val="center"/>
                </w:tcPr>
                <w:p w14:paraId="789C1C3B">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3D72973C">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default" w:ascii="Times New Roman" w:hAnsi="Times New Roman" w:eastAsia="宋体" w:cs="Times New Roman"/>
                      <w:b w:val="0"/>
                      <w:bCs w:val="0"/>
                      <w:i w:val="0"/>
                      <w:iCs w:val="0"/>
                      <w:color w:val="auto"/>
                      <w:sz w:val="18"/>
                      <w:szCs w:val="18"/>
                      <w:highlight w:val="none"/>
                      <w:u w:val="single" w:color="auto"/>
                      <w:lang w:val="en-US" w:eastAsia="zh-CN" w:bidi="ar-SA"/>
                    </w:rPr>
                    <w:t>进一步优化全省化工产业布局，提高化工行业本质安全和绿色发展水平，引领化工园区从规范化发展到高质量发展、促进化工产业转型升级。</w:t>
                  </w:r>
                </w:p>
              </w:tc>
              <w:tc>
                <w:tcPr>
                  <w:tcW w:w="825" w:type="pct"/>
                  <w:tcBorders>
                    <w:tl2br w:val="nil"/>
                    <w:tr2bl w:val="nil"/>
                  </w:tcBorders>
                  <w:noWrap w:val="0"/>
                  <w:vAlign w:val="center"/>
                </w:tcPr>
                <w:p w14:paraId="49B59765">
                  <w:pPr>
                    <w:pStyle w:val="38"/>
                    <w:tabs>
                      <w:tab w:val="left" w:pos="0"/>
                    </w:tabs>
                    <w:adjustRightInd w:val="0"/>
                    <w:snapToGrid w:val="0"/>
                    <w:contextualSpacing/>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2D03D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05" w:type="pct"/>
                  <w:vMerge w:val="restart"/>
                  <w:tcBorders>
                    <w:tl2br w:val="nil"/>
                    <w:tr2bl w:val="nil"/>
                  </w:tcBorders>
                  <w:noWrap w:val="0"/>
                  <w:vAlign w:val="center"/>
                </w:tcPr>
                <w:p w14:paraId="7E83CFDA">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污染物</w:t>
                  </w:r>
                </w:p>
                <w:p w14:paraId="421DA551">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排放管控</w:t>
                  </w:r>
                </w:p>
              </w:tc>
              <w:tc>
                <w:tcPr>
                  <w:tcW w:w="3568" w:type="pct"/>
                  <w:tcBorders>
                    <w:tl2br w:val="nil"/>
                    <w:tr2bl w:val="nil"/>
                  </w:tcBorders>
                  <w:noWrap w:val="0"/>
                  <w:vAlign w:val="center"/>
                </w:tcPr>
                <w:p w14:paraId="04906345">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落实主要污染物总量控制和排污许可制度。新建、改建、扩建重点行业建设项目实行主要污染物排放等量或倍量削减替代。严格涉VOCs建设项目环境影响评价，逐步推进区域内VOCs排放等量或倍量削减替代。</w:t>
                  </w:r>
                </w:p>
              </w:tc>
              <w:tc>
                <w:tcPr>
                  <w:tcW w:w="825" w:type="pct"/>
                  <w:tcBorders>
                    <w:tl2br w:val="nil"/>
                    <w:tr2bl w:val="nil"/>
                  </w:tcBorders>
                  <w:noWrap w:val="0"/>
                  <w:vAlign w:val="center"/>
                </w:tcPr>
                <w:p w14:paraId="301749D7">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tc>
            </w:tr>
            <w:tr w14:paraId="4C9F5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30CA37D9">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07880AE7">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空气质量未达标地区新建项目涉及的二氧化硫、氮氧化物、颗粒物、挥发性有机物（VOCs）排放全面执行大气污染物特别排放限值。</w:t>
                  </w:r>
                </w:p>
              </w:tc>
              <w:tc>
                <w:tcPr>
                  <w:tcW w:w="825" w:type="pct"/>
                  <w:tcBorders>
                    <w:tl2br w:val="nil"/>
                    <w:tr2bl w:val="nil"/>
                  </w:tcBorders>
                  <w:noWrap w:val="0"/>
                  <w:vAlign w:val="center"/>
                </w:tcPr>
                <w:p w14:paraId="268F4DFB">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tc>
            </w:tr>
            <w:tr w14:paraId="37600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3020A8D4">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516B3B2A">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推行</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秸秆</w:t>
                  </w:r>
                  <w:r>
                    <w:rPr>
                      <w:rFonts w:ascii="Times New Roman" w:hAnsi="Times New Roman" w:eastAsia="宋体" w:cs="Times New Roman"/>
                      <w:b w:val="0"/>
                      <w:bCs w:val="0"/>
                      <w:i w:val="0"/>
                      <w:iCs w:val="0"/>
                      <w:color w:val="auto"/>
                      <w:sz w:val="18"/>
                      <w:szCs w:val="18"/>
                      <w:highlight w:val="none"/>
                      <w:u w:val="single" w:color="auto"/>
                      <w:lang w:val="en-US" w:eastAsia="zh-CN" w:bidi="ar-SA"/>
                    </w:rPr>
                    <w:t>全量化处置，持续推进</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秸秆</w:t>
                  </w:r>
                  <w:r>
                    <w:rPr>
                      <w:rFonts w:ascii="Times New Roman" w:hAnsi="Times New Roman" w:eastAsia="宋体" w:cs="Times New Roman"/>
                      <w:b w:val="0"/>
                      <w:bCs w:val="0"/>
                      <w:i w:val="0"/>
                      <w:iCs w:val="0"/>
                      <w:color w:val="auto"/>
                      <w:sz w:val="18"/>
                      <w:szCs w:val="18"/>
                      <w:highlight w:val="none"/>
                      <w:u w:val="single" w:color="auto"/>
                      <w:lang w:val="en-US" w:eastAsia="zh-CN" w:bidi="ar-SA"/>
                    </w:rPr>
                    <w:t>肥料化、饲料化、能源化、基料化和原料化</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w:t>
                  </w:r>
                  <w:r>
                    <w:rPr>
                      <w:rFonts w:ascii="Times New Roman" w:hAnsi="Times New Roman" w:eastAsia="宋体" w:cs="Times New Roman"/>
                      <w:b w:val="0"/>
                      <w:bCs w:val="0"/>
                      <w:i w:val="0"/>
                      <w:iCs w:val="0"/>
                      <w:color w:val="auto"/>
                      <w:sz w:val="18"/>
                      <w:szCs w:val="18"/>
                      <w:highlight w:val="none"/>
                      <w:u w:val="single" w:color="auto"/>
                      <w:lang w:val="en-US" w:eastAsia="zh-CN" w:bidi="ar-SA"/>
                    </w:rPr>
                    <w:t>逐步形成</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秸秆</w:t>
                  </w:r>
                  <w:r>
                    <w:rPr>
                      <w:rFonts w:ascii="Times New Roman" w:hAnsi="Times New Roman" w:eastAsia="宋体" w:cs="Times New Roman"/>
                      <w:b w:val="0"/>
                      <w:bCs w:val="0"/>
                      <w:i w:val="0"/>
                      <w:iCs w:val="0"/>
                      <w:color w:val="auto"/>
                      <w:sz w:val="18"/>
                      <w:szCs w:val="18"/>
                      <w:highlight w:val="none"/>
                      <w:u w:val="single" w:color="auto"/>
                      <w:lang w:val="en-US" w:eastAsia="zh-CN" w:bidi="ar-SA"/>
                    </w:rPr>
                    <w:t>综合利用的长效机制。</w:t>
                  </w:r>
                </w:p>
              </w:tc>
              <w:tc>
                <w:tcPr>
                  <w:tcW w:w="825" w:type="pct"/>
                  <w:tcBorders>
                    <w:tl2br w:val="nil"/>
                    <w:tr2bl w:val="nil"/>
                  </w:tcBorders>
                  <w:noWrap w:val="0"/>
                  <w:vAlign w:val="center"/>
                </w:tcPr>
                <w:p w14:paraId="3346A1B8">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351C5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0534BCE3">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248EC490">
                  <w:pPr>
                    <w:pStyle w:val="38"/>
                    <w:tabs>
                      <w:tab w:val="left" w:pos="0"/>
                    </w:tabs>
                    <w:contextualSpacing/>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推动城镇污水处理厂扩容工程和提标改造。超负荷、满负荷运行的污水处理厂要及时实施扩容，出水排入超标水域的污水处理厂要因地制宜提高出水标准。</w:t>
                  </w:r>
                </w:p>
              </w:tc>
              <w:tc>
                <w:tcPr>
                  <w:tcW w:w="825" w:type="pct"/>
                  <w:tcBorders>
                    <w:tl2br w:val="nil"/>
                    <w:tr2bl w:val="nil"/>
                  </w:tcBorders>
                  <w:noWrap w:val="0"/>
                  <w:vAlign w:val="center"/>
                </w:tcPr>
                <w:p w14:paraId="6837CB3B">
                  <w:pPr>
                    <w:pStyle w:val="38"/>
                    <w:tabs>
                      <w:tab w:val="left" w:pos="0"/>
                    </w:tabs>
                    <w:contextualSpacing/>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5D5BD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73A44D50">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0AF5FECB">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规模化畜禽养殖场（小区）应当保证畜禽粪污无害化处理和资源化利用设施的正常运转。</w:t>
                  </w:r>
                </w:p>
              </w:tc>
              <w:tc>
                <w:tcPr>
                  <w:tcW w:w="825" w:type="pct"/>
                  <w:tcBorders>
                    <w:tl2br w:val="nil"/>
                    <w:tr2bl w:val="nil"/>
                  </w:tcBorders>
                  <w:noWrap w:val="0"/>
                  <w:vAlign w:val="center"/>
                </w:tcPr>
                <w:p w14:paraId="63B6A06C">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tc>
            </w:tr>
            <w:tr w14:paraId="36A66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restart"/>
                  <w:tcBorders>
                    <w:tl2br w:val="nil"/>
                    <w:tr2bl w:val="nil"/>
                  </w:tcBorders>
                  <w:noWrap w:val="0"/>
                  <w:vAlign w:val="center"/>
                </w:tcPr>
                <w:p w14:paraId="062C86FB">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环境风险防控</w:t>
                  </w:r>
                </w:p>
              </w:tc>
              <w:tc>
                <w:tcPr>
                  <w:tcW w:w="3568" w:type="pct"/>
                  <w:tcBorders>
                    <w:tl2br w:val="nil"/>
                    <w:tr2bl w:val="nil"/>
                  </w:tcBorders>
                  <w:noWrap w:val="0"/>
                  <w:vAlign w:val="center"/>
                </w:tcPr>
                <w:p w14:paraId="1C35E485">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到2025年，城镇人口密集区现有不符合防护距离要求的危险化学品生产企业应就地改造达标、搬迁进入规范化工园区或关闭退出，企业安全和环境风险大幅降低。</w:t>
                  </w:r>
                </w:p>
              </w:tc>
              <w:tc>
                <w:tcPr>
                  <w:tcW w:w="825" w:type="pct"/>
                  <w:tcBorders>
                    <w:tl2br w:val="nil"/>
                    <w:tr2bl w:val="nil"/>
                  </w:tcBorders>
                  <w:noWrap w:val="0"/>
                  <w:vAlign w:val="center"/>
                </w:tcPr>
                <w:p w14:paraId="0D275EA7">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425B4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5" w:type="pct"/>
                  <w:vMerge w:val="continue"/>
                  <w:tcBorders>
                    <w:tl2br w:val="nil"/>
                    <w:tr2bl w:val="nil"/>
                  </w:tcBorders>
                  <w:noWrap w:val="0"/>
                  <w:vAlign w:val="center"/>
                </w:tcPr>
                <w:p w14:paraId="54675B75">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44081DCA">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巩固城市饮用水水源保护与治理成果，加强饮用水水源地规范化建设，完善风险防控与应急能力建设和相关管理措施，保证饮用水水源水质达标和水源安全。</w:t>
                  </w:r>
                </w:p>
              </w:tc>
              <w:tc>
                <w:tcPr>
                  <w:tcW w:w="825" w:type="pct"/>
                  <w:tcBorders>
                    <w:tl2br w:val="nil"/>
                    <w:tr2bl w:val="nil"/>
                  </w:tcBorders>
                  <w:noWrap w:val="0"/>
                  <w:vAlign w:val="center"/>
                </w:tcPr>
                <w:p w14:paraId="564C4062">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297BA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tcBorders>
                    <w:tl2br w:val="nil"/>
                    <w:tr2bl w:val="nil"/>
                  </w:tcBorders>
                  <w:noWrap w:val="0"/>
                  <w:vAlign w:val="center"/>
                </w:tcPr>
                <w:p w14:paraId="578CF250">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资源利用要求</w:t>
                  </w:r>
                </w:p>
              </w:tc>
              <w:tc>
                <w:tcPr>
                  <w:tcW w:w="3568" w:type="pct"/>
                  <w:tcBorders>
                    <w:tl2br w:val="nil"/>
                    <w:tr2bl w:val="nil"/>
                  </w:tcBorders>
                  <w:noWrap w:val="0"/>
                  <w:vAlign w:val="center"/>
                </w:tcPr>
                <w:p w14:paraId="739B1216">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825" w:type="pct"/>
                  <w:tcBorders>
                    <w:tl2br w:val="nil"/>
                    <w:tr2bl w:val="nil"/>
                  </w:tcBorders>
                  <w:noWrap w:val="0"/>
                  <w:vAlign w:val="center"/>
                </w:tcPr>
                <w:p w14:paraId="4033EE79">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6F612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0920BA65">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18902A80">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按照《中华人民共和国黑土地保护法》《吉林省黑土地保护条例》实施黑土地保护，加大黑土区水土流失治理力度，发展保护性耕作，促进黑土地可持续发展。</w:t>
                  </w:r>
                </w:p>
              </w:tc>
              <w:tc>
                <w:tcPr>
                  <w:tcW w:w="825" w:type="pct"/>
                  <w:tcBorders>
                    <w:tl2br w:val="nil"/>
                    <w:tr2bl w:val="nil"/>
                  </w:tcBorders>
                  <w:noWrap w:val="0"/>
                  <w:vAlign w:val="center"/>
                </w:tcPr>
                <w:p w14:paraId="01BDDA09">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67D1F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191F9B96">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19CFECB5">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严格控制煤炭消费。制定煤炭消费总量控制目标，规范实行煤炭消费控制目标管理和减量（等量）替代管理。</w:t>
                  </w:r>
                </w:p>
              </w:tc>
              <w:tc>
                <w:tcPr>
                  <w:tcW w:w="825" w:type="pct"/>
                  <w:tcBorders>
                    <w:tl2br w:val="nil"/>
                    <w:tr2bl w:val="nil"/>
                  </w:tcBorders>
                  <w:noWrap w:val="0"/>
                  <w:vAlign w:val="center"/>
                </w:tcPr>
                <w:p w14:paraId="5C825329">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3C64F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5B2D9A23">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568" w:type="pct"/>
                  <w:tcBorders>
                    <w:tl2br w:val="nil"/>
                    <w:tr2bl w:val="nil"/>
                  </w:tcBorders>
                  <w:noWrap w:val="0"/>
                  <w:vAlign w:val="center"/>
                </w:tcPr>
                <w:p w14:paraId="53F7B091">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高污染燃料禁燃区内，禁止销售、燃用高污染燃料；禁止新建、扩建燃用高污染燃料的设施。</w:t>
                  </w:r>
                </w:p>
              </w:tc>
              <w:tc>
                <w:tcPr>
                  <w:tcW w:w="825" w:type="pct"/>
                  <w:tcBorders>
                    <w:tl2br w:val="nil"/>
                    <w:tr2bl w:val="nil"/>
                  </w:tcBorders>
                  <w:noWrap w:val="0"/>
                  <w:vAlign w:val="center"/>
                </w:tcPr>
                <w:p w14:paraId="29342395">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bl>
          <w:p w14:paraId="4D98EB1B">
            <w:pPr>
              <w:pStyle w:val="85"/>
              <w:spacing w:line="240" w:lineRule="auto"/>
              <w:ind w:firstLine="200"/>
              <w:rPr>
                <w:rFonts w:cs="Times New Roman" w:eastAsiaTheme="minorEastAsia"/>
                <w:i w:val="0"/>
                <w:iCs w:val="0"/>
                <w:color w:val="auto"/>
                <w:sz w:val="10"/>
                <w:szCs w:val="10"/>
                <w:u w:val="single" w:color="auto"/>
              </w:rPr>
            </w:pPr>
          </w:p>
          <w:p w14:paraId="43758B54">
            <w:pPr>
              <w:pStyle w:val="85"/>
              <w:spacing w:line="240" w:lineRule="auto"/>
              <w:ind w:firstLine="420"/>
              <w:jc w:val="center"/>
              <w:rPr>
                <w:i w:val="0"/>
                <w:iCs w:val="0"/>
                <w:color w:val="auto"/>
                <w:u w:val="single" w:color="auto"/>
              </w:rPr>
            </w:pPr>
            <w:r>
              <w:rPr>
                <w:rFonts w:hint="eastAsia"/>
                <w:i w:val="0"/>
                <w:iCs w:val="0"/>
                <w:color w:val="auto"/>
                <w:u w:val="single" w:color="auto"/>
                <w:lang w:val="en-US" w:eastAsia="zh-CN"/>
              </w:rPr>
              <w:t>白山市</w:t>
            </w:r>
            <w:r>
              <w:rPr>
                <w:rFonts w:hint="eastAsia"/>
                <w:i w:val="0"/>
                <w:iCs w:val="0"/>
                <w:color w:val="auto"/>
                <w:u w:val="single" w:color="auto"/>
              </w:rPr>
              <w:t>总体准入符合性分析一览表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586"/>
              <w:gridCol w:w="10"/>
              <w:gridCol w:w="3940"/>
              <w:gridCol w:w="1742"/>
            </w:tblGrid>
            <w:tr w14:paraId="7D4D9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05" w:type="pct"/>
                  <w:tcBorders>
                    <w:tl2br w:val="nil"/>
                    <w:tr2bl w:val="nil"/>
                  </w:tcBorders>
                  <w:noWrap w:val="0"/>
                  <w:vAlign w:val="center"/>
                </w:tcPr>
                <w:p w14:paraId="748728E0">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管控</w:t>
                  </w:r>
                </w:p>
                <w:p w14:paraId="16255A9B">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领域</w:t>
                  </w:r>
                </w:p>
              </w:tc>
              <w:tc>
                <w:tcPr>
                  <w:tcW w:w="3175" w:type="pct"/>
                  <w:gridSpan w:val="3"/>
                  <w:tcBorders>
                    <w:tl2br w:val="nil"/>
                    <w:tr2bl w:val="nil"/>
                  </w:tcBorders>
                  <w:noWrap w:val="0"/>
                  <w:vAlign w:val="center"/>
                </w:tcPr>
                <w:p w14:paraId="731133E9">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环境准入及管控要求</w:t>
                  </w:r>
                </w:p>
              </w:tc>
              <w:tc>
                <w:tcPr>
                  <w:tcW w:w="1219" w:type="pct"/>
                  <w:tcBorders>
                    <w:tl2br w:val="nil"/>
                    <w:tr2bl w:val="nil"/>
                  </w:tcBorders>
                  <w:noWrap w:val="0"/>
                  <w:vAlign w:val="center"/>
                </w:tcPr>
                <w:p w14:paraId="1CEFDAF3">
                  <w:pPr>
                    <w:pStyle w:val="38"/>
                    <w:tabs>
                      <w:tab w:val="left" w:pos="0"/>
                    </w:tabs>
                    <w:jc w:val="center"/>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符合性分析</w:t>
                  </w:r>
                </w:p>
              </w:tc>
            </w:tr>
            <w:tr w14:paraId="6B717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605" w:type="pct"/>
                  <w:vMerge w:val="restart"/>
                  <w:tcBorders>
                    <w:tl2br w:val="nil"/>
                    <w:tr2bl w:val="nil"/>
                  </w:tcBorders>
                  <w:noWrap w:val="0"/>
                  <w:vAlign w:val="center"/>
                </w:tcPr>
                <w:p w14:paraId="2C1E090D">
                  <w:pPr>
                    <w:pStyle w:val="38"/>
                    <w:tabs>
                      <w:tab w:val="left" w:pos="0"/>
                    </w:tabs>
                    <w:jc w:val="center"/>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空间布局约束</w:t>
                  </w:r>
                </w:p>
              </w:tc>
              <w:tc>
                <w:tcPr>
                  <w:tcW w:w="3175" w:type="pct"/>
                  <w:gridSpan w:val="3"/>
                  <w:tcBorders>
                    <w:tl2br w:val="nil"/>
                    <w:tr2bl w:val="nil"/>
                  </w:tcBorders>
                  <w:noWrap w:val="0"/>
                  <w:vAlign w:val="center"/>
                </w:tcPr>
                <w:p w14:paraId="6C5D1A84">
                  <w:pPr>
                    <w:pStyle w:val="38"/>
                    <w:tabs>
                      <w:tab w:val="left" w:pos="0"/>
                    </w:tabs>
                    <w:adjustRightInd w:val="0"/>
                    <w:snapToGrid w:val="0"/>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禁止新建、扩建《产业结构调整指导目录》（现行）明确的淘汰类项目和引入《市场准入负面清单》（现行）禁止准入类事项，引入项目应符合园区规划、规划环境影响评价和区域产业准入负面清单要求。</w:t>
                  </w:r>
                </w:p>
              </w:tc>
              <w:tc>
                <w:tcPr>
                  <w:tcW w:w="1219" w:type="pct"/>
                  <w:tcBorders>
                    <w:tl2br w:val="nil"/>
                    <w:tr2bl w:val="nil"/>
                  </w:tcBorders>
                  <w:noWrap w:val="0"/>
                  <w:vAlign w:val="center"/>
                </w:tcPr>
                <w:p w14:paraId="47D8A6E5">
                  <w:pPr>
                    <w:pStyle w:val="38"/>
                    <w:tabs>
                      <w:tab w:val="left" w:pos="0"/>
                    </w:tabs>
                    <w:adjustRightInd w:val="0"/>
                    <w:snapToGrid w:val="0"/>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本项目属于《产业结构调整指导目录（2024年本）》中允许类项目，</w:t>
                  </w:r>
                  <w:r>
                    <w:rPr>
                      <w:rFonts w:hint="eastAsia" w:ascii="Times New Roman" w:eastAsia="宋体" w:cs="Times New Roman"/>
                      <w:b w:val="0"/>
                      <w:bCs w:val="0"/>
                      <w:i w:val="0"/>
                      <w:iCs w:val="0"/>
                      <w:color w:val="auto"/>
                      <w:sz w:val="18"/>
                      <w:szCs w:val="18"/>
                      <w:highlight w:val="none"/>
                      <w:u w:val="single" w:color="auto"/>
                      <w:lang w:val="en-US" w:eastAsia="zh-CN" w:bidi="ar-SA"/>
                    </w:rPr>
                    <w:t>不属于</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《市场准入负面清单》</w:t>
                  </w:r>
                  <w:r>
                    <w:rPr>
                      <w:rFonts w:hint="eastAsia" w:ascii="Times New Roman" w:eastAsia="宋体" w:cs="Times New Roman"/>
                      <w:b w:val="0"/>
                      <w:bCs w:val="0"/>
                      <w:i w:val="0"/>
                      <w:iCs w:val="0"/>
                      <w:color w:val="auto"/>
                      <w:sz w:val="18"/>
                      <w:szCs w:val="18"/>
                      <w:highlight w:val="none"/>
                      <w:u w:val="single" w:color="auto"/>
                      <w:lang w:val="en-US" w:eastAsia="zh-CN" w:bidi="ar-SA"/>
                    </w:rPr>
                    <w:t>中项目，故</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项目建设符合国家产业政策。</w:t>
                  </w:r>
                </w:p>
              </w:tc>
            </w:tr>
            <w:tr w14:paraId="0A663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05" w:type="pct"/>
                  <w:vMerge w:val="continue"/>
                  <w:tcBorders>
                    <w:tl2br w:val="nil"/>
                    <w:tr2bl w:val="nil"/>
                  </w:tcBorders>
                  <w:noWrap w:val="0"/>
                  <w:vAlign w:val="center"/>
                </w:tcPr>
                <w:p w14:paraId="22E212C9">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175" w:type="pct"/>
                  <w:gridSpan w:val="3"/>
                  <w:tcBorders>
                    <w:tl2br w:val="nil"/>
                    <w:tr2bl w:val="nil"/>
                  </w:tcBorders>
                  <w:noWrap w:val="0"/>
                  <w:vAlign w:val="center"/>
                </w:tcPr>
                <w:p w14:paraId="186E9B1C">
                  <w:pPr>
                    <w:pStyle w:val="38"/>
                    <w:tabs>
                      <w:tab w:val="left" w:pos="0"/>
                    </w:tabs>
                    <w:adjustRightInd w:val="0"/>
                    <w:snapToGrid w:val="0"/>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新建化工类“两高”项目必须进入已认定的化工园区，有色金属冶炼、平板玻璃项目应布局在依法合规设立并经规划环评的产业园区，在已认定的化工园区外，禁止新(扩)建危险化学品和化工项目；同时严禁“两高”项目盲目上马。</w:t>
                  </w:r>
                </w:p>
              </w:tc>
              <w:tc>
                <w:tcPr>
                  <w:tcW w:w="1219" w:type="pct"/>
                  <w:tcBorders>
                    <w:tl2br w:val="nil"/>
                    <w:tr2bl w:val="nil"/>
                  </w:tcBorders>
                  <w:noWrap w:val="0"/>
                  <w:vAlign w:val="center"/>
                </w:tcPr>
                <w:p w14:paraId="0F65E631">
                  <w:pPr>
                    <w:pStyle w:val="38"/>
                    <w:tabs>
                      <w:tab w:val="left" w:pos="0"/>
                    </w:tabs>
                    <w:adjustRightInd w:val="0"/>
                    <w:snapToGrid w:val="0"/>
                    <w:contextualSpacing/>
                    <w:jc w:val="left"/>
                    <w:rPr>
                      <w:rFonts w:hint="eastAsia" w:asci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p w14:paraId="58E49802">
                  <w:pPr>
                    <w:rPr>
                      <w:rFonts w:hint="default"/>
                      <w:color w:val="auto"/>
                      <w:u w:val="single" w:color="auto"/>
                      <w:lang w:val="en-US" w:eastAsia="zh-CN"/>
                    </w:rPr>
                  </w:pPr>
                  <w:r>
                    <w:rPr>
                      <w:rFonts w:hint="eastAsia" w:cs="Times New Roman"/>
                      <w:b w:val="0"/>
                      <w:bCs w:val="0"/>
                      <w:i w:val="0"/>
                      <w:iCs w:val="0"/>
                      <w:color w:val="auto"/>
                      <w:sz w:val="18"/>
                      <w:szCs w:val="18"/>
                      <w:highlight w:val="none"/>
                      <w:u w:val="single" w:color="auto"/>
                      <w:lang w:val="en-US" w:eastAsia="zh-CN" w:bidi="ar-SA"/>
                    </w:rPr>
                    <w:t>项目不属于“两高”项目，不属于有色金属冶炼、平板玻璃项目。</w:t>
                  </w:r>
                </w:p>
              </w:tc>
            </w:tr>
            <w:tr w14:paraId="13B0E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605" w:type="pct"/>
                  <w:vMerge w:val="continue"/>
                  <w:tcBorders>
                    <w:tl2br w:val="nil"/>
                    <w:tr2bl w:val="nil"/>
                  </w:tcBorders>
                  <w:noWrap w:val="0"/>
                  <w:vAlign w:val="center"/>
                </w:tcPr>
                <w:p w14:paraId="1AD757EB">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175" w:type="pct"/>
                  <w:gridSpan w:val="3"/>
                  <w:tcBorders>
                    <w:tl2br w:val="nil"/>
                    <w:tr2bl w:val="nil"/>
                  </w:tcBorders>
                  <w:noWrap w:val="0"/>
                  <w:vAlign w:val="center"/>
                </w:tcPr>
                <w:p w14:paraId="0E319B3D">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禁止在下列林地的采伐迹地种植人参：（1）自然保护区、森林公园、景区及其附近林地；（2）江河源头和两岸林地；（3）水库、湖泊周围等生态重要区位林地；（4）国道、省道、县道两侧第一层山脊内林地；（5）坡度在25度以上的林地；（6）山脊、沟壑等林地；（7）不符合人参种植标准和要求的其他林地。</w:t>
                  </w:r>
                </w:p>
              </w:tc>
              <w:tc>
                <w:tcPr>
                  <w:tcW w:w="1219" w:type="pct"/>
                  <w:tcBorders>
                    <w:tl2br w:val="nil"/>
                    <w:tr2bl w:val="nil"/>
                  </w:tcBorders>
                  <w:noWrap w:val="0"/>
                  <w:vAlign w:val="center"/>
                </w:tcPr>
                <w:p w14:paraId="70A2EE29">
                  <w:pPr>
                    <w:pStyle w:val="38"/>
                    <w:tabs>
                      <w:tab w:val="left" w:pos="0"/>
                    </w:tabs>
                    <w:adjustRightInd w:val="0"/>
                    <w:snapToGrid w:val="0"/>
                    <w:contextualSpacing/>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不涉及</w:t>
                  </w:r>
                </w:p>
              </w:tc>
            </w:tr>
            <w:tr w14:paraId="5F831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05" w:type="pct"/>
                  <w:vMerge w:val="restart"/>
                  <w:tcBorders>
                    <w:tl2br w:val="nil"/>
                    <w:tr2bl w:val="nil"/>
                  </w:tcBorders>
                  <w:noWrap w:val="0"/>
                  <w:vAlign w:val="center"/>
                </w:tcPr>
                <w:p w14:paraId="06BC91C9">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污染物</w:t>
                  </w:r>
                </w:p>
                <w:p w14:paraId="75556D6A">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排放管控</w:t>
                  </w:r>
                </w:p>
              </w:tc>
              <w:tc>
                <w:tcPr>
                  <w:tcW w:w="417" w:type="pct"/>
                  <w:gridSpan w:val="2"/>
                  <w:vMerge w:val="restart"/>
                  <w:tcBorders>
                    <w:tl2br w:val="nil"/>
                    <w:tr2bl w:val="nil"/>
                  </w:tcBorders>
                  <w:noWrap w:val="0"/>
                  <w:vAlign w:val="center"/>
                </w:tcPr>
                <w:p w14:paraId="75FBF9B9">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环境质量目标</w:t>
                  </w:r>
                </w:p>
              </w:tc>
              <w:tc>
                <w:tcPr>
                  <w:tcW w:w="2757" w:type="pct"/>
                  <w:tcBorders>
                    <w:tl2br w:val="nil"/>
                    <w:tr2bl w:val="nil"/>
                  </w:tcBorders>
                  <w:noWrap w:val="0"/>
                  <w:vAlign w:val="center"/>
                </w:tcPr>
                <w:p w14:paraId="7EAB5593">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大气环境质量持续改善。2025年全市PM</w:t>
                  </w:r>
                  <w:r>
                    <w:rPr>
                      <w:rFonts w:hint="eastAsia" w:ascii="Times New Roman" w:hAnsi="Times New Roman" w:eastAsia="宋体" w:cs="Times New Roman"/>
                      <w:b w:val="0"/>
                      <w:bCs w:val="0"/>
                      <w:i w:val="0"/>
                      <w:iCs w:val="0"/>
                      <w:color w:val="auto"/>
                      <w:sz w:val="18"/>
                      <w:szCs w:val="18"/>
                      <w:highlight w:val="none"/>
                      <w:u w:val="single" w:color="auto"/>
                      <w:vertAlign w:val="subscript"/>
                      <w:lang w:val="en-US" w:eastAsia="zh-CN" w:bidi="ar-SA"/>
                    </w:rPr>
                    <w:t>2.5</w:t>
                  </w: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年均浓度达到25微克/立方米，优良天数比例保持在98%左右；2035年允许波动，不能恶化（沙尘影响不计入）。</w:t>
                  </w:r>
                </w:p>
              </w:tc>
              <w:tc>
                <w:tcPr>
                  <w:tcW w:w="1219" w:type="pct"/>
                  <w:tcBorders>
                    <w:tl2br w:val="nil"/>
                    <w:tr2bl w:val="nil"/>
                  </w:tcBorders>
                  <w:noWrap w:val="0"/>
                  <w:vAlign w:val="center"/>
                </w:tcPr>
                <w:p w14:paraId="2B31B810">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项目废气经处理后达标排放，对大气环境质量影响有限</w:t>
                  </w:r>
                </w:p>
              </w:tc>
            </w:tr>
            <w:tr w14:paraId="5D423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492722AA">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417" w:type="pct"/>
                  <w:gridSpan w:val="2"/>
                  <w:vMerge w:val="continue"/>
                  <w:tcBorders>
                    <w:tl2br w:val="nil"/>
                    <w:tr2bl w:val="nil"/>
                  </w:tcBorders>
                  <w:noWrap w:val="0"/>
                  <w:vAlign w:val="center"/>
                </w:tcPr>
                <w:p w14:paraId="2E20BCD4">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2757" w:type="pct"/>
                  <w:tcBorders>
                    <w:tl2br w:val="nil"/>
                    <w:tr2bl w:val="nil"/>
                  </w:tcBorders>
                  <w:noWrap w:val="0"/>
                  <w:vAlign w:val="center"/>
                </w:tcPr>
                <w:p w14:paraId="252C43A5">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水环境质量持续改善。2025年地表水国控断面达到或优于Ⅲ类水体比例保持100%，饮用水水源地水质稳定达标。</w:t>
                  </w:r>
                </w:p>
              </w:tc>
              <w:tc>
                <w:tcPr>
                  <w:tcW w:w="1219" w:type="pct"/>
                  <w:tcBorders>
                    <w:tl2br w:val="nil"/>
                    <w:tr2bl w:val="nil"/>
                  </w:tcBorders>
                  <w:noWrap w:val="0"/>
                  <w:vAlign w:val="center"/>
                </w:tcPr>
                <w:p w14:paraId="5926EC5D">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eastAsia="宋体" w:cs="Times New Roman"/>
                      <w:b w:val="0"/>
                      <w:bCs w:val="0"/>
                      <w:i w:val="0"/>
                      <w:iCs w:val="0"/>
                      <w:color w:val="auto"/>
                      <w:sz w:val="18"/>
                      <w:szCs w:val="18"/>
                      <w:highlight w:val="none"/>
                      <w:u w:val="single" w:color="auto"/>
                      <w:lang w:val="en-US" w:eastAsia="zh-CN" w:bidi="ar-SA"/>
                    </w:rPr>
                    <w:t>项目废水不外排，不会对区域水环境质量产生影响</w:t>
                  </w:r>
                </w:p>
              </w:tc>
            </w:tr>
            <w:tr w14:paraId="321C1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restart"/>
                  <w:tcBorders>
                    <w:tl2br w:val="nil"/>
                    <w:tr2bl w:val="nil"/>
                  </w:tcBorders>
                  <w:noWrap w:val="0"/>
                  <w:vAlign w:val="center"/>
                </w:tcPr>
                <w:p w14:paraId="0E1293EE">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ascii="Times New Roman" w:hAnsi="Times New Roman" w:eastAsia="宋体" w:cs="Times New Roman"/>
                      <w:b w:val="0"/>
                      <w:bCs w:val="0"/>
                      <w:i w:val="0"/>
                      <w:iCs w:val="0"/>
                      <w:color w:val="auto"/>
                      <w:sz w:val="18"/>
                      <w:szCs w:val="18"/>
                      <w:highlight w:val="none"/>
                      <w:u w:val="single" w:color="auto"/>
                      <w:lang w:val="en-US" w:eastAsia="zh-CN" w:bidi="ar-SA"/>
                    </w:rPr>
                    <w:t>环境风险防控</w:t>
                  </w:r>
                </w:p>
              </w:tc>
              <w:tc>
                <w:tcPr>
                  <w:tcW w:w="3175" w:type="pct"/>
                  <w:gridSpan w:val="3"/>
                  <w:tcBorders>
                    <w:tl2br w:val="nil"/>
                    <w:tr2bl w:val="nil"/>
                  </w:tcBorders>
                  <w:noWrap w:val="0"/>
                  <w:vAlign w:val="center"/>
                </w:tcPr>
                <w:p w14:paraId="2026F7DF">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加强饮用水水源地环境风险管控，完善风险防控与应急能力建设和相关管理措施，保证饮用水水源水质达标和饮水安全。</w:t>
                  </w:r>
                </w:p>
              </w:tc>
              <w:tc>
                <w:tcPr>
                  <w:tcW w:w="1219" w:type="pct"/>
                  <w:tcBorders>
                    <w:tl2br w:val="nil"/>
                    <w:tr2bl w:val="nil"/>
                  </w:tcBorders>
                  <w:noWrap w:val="0"/>
                  <w:vAlign w:val="center"/>
                </w:tcPr>
                <w:p w14:paraId="3DD13379">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7E197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5" w:type="pct"/>
                  <w:vMerge w:val="continue"/>
                  <w:tcBorders>
                    <w:tl2br w:val="nil"/>
                    <w:tr2bl w:val="nil"/>
                  </w:tcBorders>
                  <w:noWrap w:val="0"/>
                  <w:vAlign w:val="center"/>
                </w:tcPr>
                <w:p w14:paraId="1491418D">
                  <w:pPr>
                    <w:pStyle w:val="38"/>
                    <w:tabs>
                      <w:tab w:val="left" w:pos="0"/>
                    </w:tabs>
                    <w:jc w:val="center"/>
                    <w:rPr>
                      <w:rFonts w:ascii="Times New Roman" w:hAnsi="Times New Roman" w:eastAsia="宋体" w:cs="Times New Roman"/>
                      <w:b w:val="0"/>
                      <w:bCs w:val="0"/>
                      <w:i w:val="0"/>
                      <w:iCs w:val="0"/>
                      <w:color w:val="auto"/>
                      <w:sz w:val="18"/>
                      <w:szCs w:val="18"/>
                      <w:highlight w:val="none"/>
                      <w:u w:val="single" w:color="auto"/>
                      <w:lang w:val="en-US" w:eastAsia="zh-CN" w:bidi="ar-SA"/>
                    </w:rPr>
                  </w:pPr>
                </w:p>
              </w:tc>
              <w:tc>
                <w:tcPr>
                  <w:tcW w:w="3175" w:type="pct"/>
                  <w:gridSpan w:val="3"/>
                  <w:tcBorders>
                    <w:tl2br w:val="nil"/>
                    <w:tr2bl w:val="nil"/>
                  </w:tcBorders>
                  <w:noWrap w:val="0"/>
                  <w:vAlign w:val="center"/>
                </w:tcPr>
                <w:p w14:paraId="7C49072C">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建立防渗层系统防止尾矿坝的渗滤液污染地表水和地下水，设置截洪沟、排水沟防止雨水进入尾矿坝和污染地表水，强化尾矿坝边坡的护坡、拦渣、植被措施防止尾矿坝滑坡等突发环境事件对水体的环境污染。</w:t>
                  </w:r>
                </w:p>
              </w:tc>
              <w:tc>
                <w:tcPr>
                  <w:tcW w:w="1219" w:type="pct"/>
                  <w:tcBorders>
                    <w:tl2br w:val="nil"/>
                    <w:tr2bl w:val="nil"/>
                  </w:tcBorders>
                  <w:noWrap w:val="0"/>
                  <w:vAlign w:val="center"/>
                </w:tcPr>
                <w:p w14:paraId="688D4386">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r w14:paraId="5235B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tcBorders>
                    <w:tl2br w:val="nil"/>
                    <w:tr2bl w:val="nil"/>
                  </w:tcBorders>
                  <w:noWrap w:val="0"/>
                  <w:vAlign w:val="center"/>
                </w:tcPr>
                <w:p w14:paraId="1B2C05F5">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资源利用要求</w:t>
                  </w:r>
                </w:p>
              </w:tc>
              <w:tc>
                <w:tcPr>
                  <w:tcW w:w="410" w:type="pct"/>
                  <w:tcBorders>
                    <w:tl2br w:val="nil"/>
                    <w:tr2bl w:val="nil"/>
                  </w:tcBorders>
                  <w:noWrap w:val="0"/>
                  <w:vAlign w:val="center"/>
                </w:tcPr>
                <w:p w14:paraId="711B2DC0">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水资源</w:t>
                  </w:r>
                </w:p>
              </w:tc>
              <w:tc>
                <w:tcPr>
                  <w:tcW w:w="2764" w:type="pct"/>
                  <w:gridSpan w:val="2"/>
                  <w:tcBorders>
                    <w:tl2br w:val="nil"/>
                    <w:tr2bl w:val="nil"/>
                  </w:tcBorders>
                  <w:noWrap w:val="0"/>
                  <w:vAlign w:val="center"/>
                </w:tcPr>
                <w:p w14:paraId="72E96CB2">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2025年用水量控制在2.24亿立方米，2035年用水量控制在4.8亿立方米。</w:t>
                  </w:r>
                </w:p>
              </w:tc>
              <w:tc>
                <w:tcPr>
                  <w:tcW w:w="1219" w:type="pct"/>
                  <w:tcBorders>
                    <w:tl2br w:val="nil"/>
                    <w:tr2bl w:val="nil"/>
                  </w:tcBorders>
                  <w:noWrap w:val="0"/>
                  <w:vAlign w:val="center"/>
                </w:tcPr>
                <w:p w14:paraId="779A9BE1">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项目用水量很小，不会对水资源利用产生重大影响</w:t>
                  </w:r>
                </w:p>
              </w:tc>
            </w:tr>
            <w:tr w14:paraId="0038F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noWrap w:val="0"/>
                  <w:vAlign w:val="center"/>
                </w:tcPr>
                <w:p w14:paraId="2B9A5ACF">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p>
              </w:tc>
              <w:tc>
                <w:tcPr>
                  <w:tcW w:w="410" w:type="pct"/>
                  <w:tcBorders>
                    <w:tl2br w:val="nil"/>
                    <w:tr2bl w:val="nil"/>
                  </w:tcBorders>
                  <w:noWrap w:val="0"/>
                  <w:vAlign w:val="center"/>
                </w:tcPr>
                <w:p w14:paraId="67136795">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土地资源</w:t>
                  </w:r>
                </w:p>
              </w:tc>
              <w:tc>
                <w:tcPr>
                  <w:tcW w:w="2764" w:type="pct"/>
                  <w:gridSpan w:val="2"/>
                  <w:tcBorders>
                    <w:tl2br w:val="nil"/>
                    <w:tr2bl w:val="nil"/>
                  </w:tcBorders>
                  <w:noWrap w:val="0"/>
                  <w:vAlign w:val="center"/>
                </w:tcPr>
                <w:p w14:paraId="727B0985">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2025年耕地保有量不低于1059.01平方千米；永久基本农田保护面积不低于708.71平方千米；城镇开发边界控制在184.25平方千米以内。</w:t>
                  </w:r>
                </w:p>
              </w:tc>
              <w:tc>
                <w:tcPr>
                  <w:tcW w:w="1219" w:type="pct"/>
                  <w:tcBorders>
                    <w:tl2br w:val="nil"/>
                    <w:tr2bl w:val="nil"/>
                  </w:tcBorders>
                  <w:noWrap w:val="0"/>
                  <w:vAlign w:val="center"/>
                </w:tcPr>
                <w:p w14:paraId="2E7EF802">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租用现有闲置厂房，不新增土地资源</w:t>
                  </w:r>
                </w:p>
              </w:tc>
            </w:tr>
            <w:tr w14:paraId="5713B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05" w:type="pct"/>
                  <w:vMerge w:val="continue"/>
                  <w:tcBorders>
                    <w:tl2br w:val="nil"/>
                    <w:tr2bl w:val="nil"/>
                  </w:tcBorders>
                  <w:noWrap w:val="0"/>
                  <w:vAlign w:val="center"/>
                </w:tcPr>
                <w:p w14:paraId="1D685DF2">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p>
              </w:tc>
              <w:tc>
                <w:tcPr>
                  <w:tcW w:w="410" w:type="pct"/>
                  <w:tcBorders>
                    <w:tl2br w:val="nil"/>
                    <w:tr2bl w:val="nil"/>
                  </w:tcBorders>
                  <w:noWrap w:val="0"/>
                  <w:vAlign w:val="center"/>
                </w:tcPr>
                <w:p w14:paraId="7A4E0811">
                  <w:pPr>
                    <w:pStyle w:val="38"/>
                    <w:tabs>
                      <w:tab w:val="left" w:pos="0"/>
                    </w:tabs>
                    <w:jc w:val="left"/>
                    <w:rPr>
                      <w:rFonts w:hint="default"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能源</w:t>
                  </w:r>
                </w:p>
              </w:tc>
              <w:tc>
                <w:tcPr>
                  <w:tcW w:w="2764" w:type="pct"/>
                  <w:gridSpan w:val="2"/>
                  <w:tcBorders>
                    <w:tl2br w:val="nil"/>
                    <w:tr2bl w:val="nil"/>
                  </w:tcBorders>
                  <w:noWrap w:val="0"/>
                  <w:vAlign w:val="center"/>
                </w:tcPr>
                <w:p w14:paraId="3132B8AD">
                  <w:pPr>
                    <w:pStyle w:val="38"/>
                    <w:tabs>
                      <w:tab w:val="left" w:pos="0"/>
                    </w:tabs>
                    <w:jc w:val="left"/>
                    <w:rPr>
                      <w:rFonts w:hint="eastAsia"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2025年煤炭消费总量控制在451.74万吨以内，非化石能源消费比重达到15%。</w:t>
                  </w:r>
                </w:p>
              </w:tc>
              <w:tc>
                <w:tcPr>
                  <w:tcW w:w="1219" w:type="pct"/>
                  <w:tcBorders>
                    <w:tl2br w:val="nil"/>
                    <w:tr2bl w:val="nil"/>
                  </w:tcBorders>
                  <w:noWrap w:val="0"/>
                  <w:vAlign w:val="center"/>
                </w:tcPr>
                <w:p w14:paraId="0B1CAEA3">
                  <w:pPr>
                    <w:pStyle w:val="38"/>
                    <w:tabs>
                      <w:tab w:val="left" w:pos="0"/>
                    </w:tabs>
                    <w:jc w:val="left"/>
                    <w:rPr>
                      <w:rFonts w:ascii="Times New Roman" w:hAnsi="Times New Roman" w:eastAsia="宋体" w:cs="Times New Roman"/>
                      <w:b w:val="0"/>
                      <w:bCs w:val="0"/>
                      <w:i w:val="0"/>
                      <w:iCs w:val="0"/>
                      <w:color w:val="auto"/>
                      <w:sz w:val="18"/>
                      <w:szCs w:val="18"/>
                      <w:highlight w:val="none"/>
                      <w:u w:val="single" w:color="auto"/>
                      <w:lang w:val="en-US" w:eastAsia="zh-CN" w:bidi="ar-SA"/>
                    </w:rPr>
                  </w:pPr>
                  <w:r>
                    <w:rPr>
                      <w:rFonts w:hint="eastAsia" w:ascii="Times New Roman" w:hAnsi="Times New Roman" w:eastAsia="宋体" w:cs="Times New Roman"/>
                      <w:b w:val="0"/>
                      <w:bCs w:val="0"/>
                      <w:i w:val="0"/>
                      <w:iCs w:val="0"/>
                      <w:color w:val="auto"/>
                      <w:sz w:val="18"/>
                      <w:szCs w:val="18"/>
                      <w:highlight w:val="none"/>
                      <w:u w:val="single" w:color="auto"/>
                      <w:lang w:val="en-US" w:eastAsia="zh-CN" w:bidi="ar-SA"/>
                    </w:rPr>
                    <w:t>不涉及</w:t>
                  </w:r>
                </w:p>
              </w:tc>
            </w:tr>
          </w:tbl>
          <w:p w14:paraId="7AB9DE70">
            <w:pPr>
              <w:pStyle w:val="85"/>
              <w:keepNext w:val="0"/>
              <w:keepLines w:val="0"/>
              <w:pageBreakBefore w:val="0"/>
              <w:widowControl/>
              <w:kinsoku/>
              <w:wordWrap/>
              <w:overflowPunct/>
              <w:topLinePunct w:val="0"/>
              <w:autoSpaceDE w:val="0"/>
              <w:autoSpaceDN w:val="0"/>
              <w:bidi w:val="0"/>
              <w:adjustRightInd w:val="0"/>
              <w:snapToGrid w:val="0"/>
              <w:spacing w:line="240" w:lineRule="auto"/>
              <w:ind w:firstLine="420"/>
              <w:textAlignment w:val="auto"/>
              <w:rPr>
                <w:rFonts w:hint="eastAsia" w:ascii="宋体" w:hAnsi="宋体" w:cs="Times New Roman"/>
                <w:i w:val="0"/>
                <w:iCs w:val="0"/>
                <w:color w:val="auto"/>
                <w:sz w:val="10"/>
                <w:szCs w:val="10"/>
                <w:u w:val="single" w:color="auto"/>
              </w:rPr>
            </w:pPr>
          </w:p>
          <w:p w14:paraId="5A30BF0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i w:val="0"/>
                <w:iCs w:val="0"/>
                <w:color w:val="auto"/>
                <w:sz w:val="21"/>
                <w:szCs w:val="21"/>
                <w:highlight w:val="none"/>
                <w:u w:val="single" w:color="auto"/>
                <w:lang w:val="en-US" w:eastAsia="zh-CN" w:bidi="ar-SA"/>
              </w:rPr>
            </w:pPr>
            <w:r>
              <w:rPr>
                <w:rFonts w:hint="eastAsia" w:ascii="Times New Roman" w:hAnsi="Times New Roman" w:eastAsia="宋体" w:cs="Times New Roman"/>
                <w:i w:val="0"/>
                <w:iCs w:val="0"/>
                <w:color w:val="auto"/>
                <w:sz w:val="21"/>
                <w:szCs w:val="21"/>
                <w:highlight w:val="none"/>
                <w:u w:val="single" w:color="auto"/>
                <w:lang w:val="en-US" w:eastAsia="zh-CN" w:bidi="ar-SA"/>
              </w:rPr>
              <w:t>2.2项目与所属管控单元符合性分析</w:t>
            </w:r>
          </w:p>
          <w:p w14:paraId="10C24FEC">
            <w:pPr>
              <w:pStyle w:val="85"/>
              <w:ind w:firstLine="420"/>
              <w:rPr>
                <w:rFonts w:hint="eastAsia" w:cs="Times New Roman" w:eastAsiaTheme="minorEastAsia"/>
                <w:i w:val="0"/>
                <w:iCs w:val="0"/>
                <w:color w:val="auto"/>
                <w:u w:val="single" w:color="auto"/>
              </w:rPr>
            </w:pPr>
            <w:r>
              <w:rPr>
                <w:rFonts w:hint="eastAsia" w:ascii="宋体" w:hAnsi="宋体" w:cs="Times New Roman"/>
                <w:i w:val="0"/>
                <w:iCs w:val="0"/>
                <w:color w:val="auto"/>
                <w:highlight w:val="none"/>
                <w:u w:val="single" w:color="auto"/>
              </w:rPr>
              <w:t>本项目选址位于</w:t>
            </w:r>
            <w:r>
              <w:rPr>
                <w:rFonts w:hint="eastAsia" w:ascii="宋体" w:hAnsi="宋体" w:cs="Times New Roman"/>
                <w:i w:val="0"/>
                <w:iCs w:val="0"/>
                <w:color w:val="auto"/>
                <w:highlight w:val="none"/>
                <w:u w:val="single" w:color="auto"/>
                <w:lang w:val="en-US" w:eastAsia="zh-CN"/>
              </w:rPr>
              <w:t>浑江区城镇开</w:t>
            </w:r>
            <w:r>
              <w:rPr>
                <w:rFonts w:hint="eastAsia" w:ascii="宋体" w:hAnsi="宋体" w:cs="Times New Roman"/>
                <w:i w:val="0"/>
                <w:iCs w:val="0"/>
                <w:color w:val="auto"/>
                <w:u w:val="single" w:color="auto"/>
                <w:lang w:val="en-US" w:eastAsia="zh-CN"/>
              </w:rPr>
              <w:t>发边界</w:t>
            </w:r>
            <w:r>
              <w:rPr>
                <w:rFonts w:hint="eastAsia" w:ascii="宋体" w:hAnsi="宋体" w:cs="Times New Roman"/>
                <w:i w:val="0"/>
                <w:iCs w:val="0"/>
                <w:color w:val="auto"/>
                <w:u w:val="single" w:color="auto"/>
              </w:rPr>
              <w:t>，环境管控单元编码为</w:t>
            </w:r>
          </w:p>
          <w:p w14:paraId="3BFB6F8F">
            <w:pPr>
              <w:pStyle w:val="85"/>
              <w:ind w:left="0" w:leftChars="0" w:firstLine="0" w:firstLineChars="0"/>
              <w:rPr>
                <w:rFonts w:cs="Times New Roman"/>
                <w:i w:val="0"/>
                <w:iCs w:val="0"/>
                <w:color w:val="auto"/>
                <w:u w:val="single" w:color="auto"/>
              </w:rPr>
            </w:pPr>
            <w:r>
              <w:rPr>
                <w:rFonts w:hint="default" w:ascii="Times New Roman" w:hAnsi="Times New Roman" w:eastAsia="宋体" w:cs="Times New Roman"/>
                <w:i w:val="0"/>
                <w:iCs w:val="0"/>
                <w:color w:val="auto"/>
                <w:u w:val="single" w:color="auto"/>
              </w:rPr>
              <w:t>ZH22060220002</w:t>
            </w:r>
            <w:r>
              <w:rPr>
                <w:rFonts w:cs="Times New Roman"/>
                <w:i w:val="0"/>
                <w:iCs w:val="0"/>
                <w:color w:val="auto"/>
                <w:u w:val="single" w:color="auto"/>
              </w:rPr>
              <w:t>，</w:t>
            </w:r>
            <w:r>
              <w:rPr>
                <w:rFonts w:hint="eastAsia" w:cs="Times New Roman"/>
                <w:i w:val="0"/>
                <w:iCs w:val="0"/>
                <w:color w:val="auto"/>
                <w:u w:val="single" w:color="auto"/>
              </w:rPr>
              <w:t>管控单元分类为重点管控，具体管控要求详见下表。</w:t>
            </w:r>
          </w:p>
          <w:p w14:paraId="1035DFDD">
            <w:pPr>
              <w:pStyle w:val="85"/>
              <w:spacing w:line="240" w:lineRule="auto"/>
              <w:ind w:firstLine="420"/>
              <w:jc w:val="center"/>
              <w:rPr>
                <w:rFonts w:ascii="宋体" w:hAnsi="宋体" w:cs="Times New Roman"/>
                <w:i w:val="0"/>
                <w:iCs w:val="0"/>
                <w:color w:val="auto"/>
                <w:u w:val="single" w:color="auto"/>
              </w:rPr>
            </w:pPr>
            <w:r>
              <w:rPr>
                <w:rFonts w:hint="eastAsia" w:cs="Times New Roman"/>
                <w:i w:val="0"/>
                <w:iCs w:val="0"/>
                <w:color w:val="auto"/>
                <w:u w:val="single" w:color="auto"/>
              </w:rPr>
              <w:t>项目所属管控单元符合性分析</w:t>
            </w:r>
          </w:p>
          <w:tbl>
            <w:tblPr>
              <w:tblStyle w:val="30"/>
              <w:tblW w:w="4997"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97"/>
              <w:gridCol w:w="844"/>
              <w:gridCol w:w="790"/>
              <w:gridCol w:w="644"/>
              <w:gridCol w:w="2376"/>
              <w:gridCol w:w="1588"/>
            </w:tblGrid>
            <w:tr w14:paraId="135298EE">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628" w:type="pct"/>
                  <w:vAlign w:val="center"/>
                </w:tcPr>
                <w:p w14:paraId="141AB327">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环境管控单元编码</w:t>
                  </w:r>
                </w:p>
              </w:tc>
              <w:tc>
                <w:tcPr>
                  <w:tcW w:w="591" w:type="pct"/>
                  <w:vAlign w:val="center"/>
                </w:tcPr>
                <w:p w14:paraId="3C582C12">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环境管</w:t>
                  </w:r>
                </w:p>
                <w:p w14:paraId="1570338C">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控单元名称</w:t>
                  </w:r>
                </w:p>
              </w:tc>
              <w:tc>
                <w:tcPr>
                  <w:tcW w:w="553" w:type="pct"/>
                  <w:vAlign w:val="center"/>
                </w:tcPr>
                <w:p w14:paraId="4BA98552">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管控单</w:t>
                  </w:r>
                </w:p>
                <w:p w14:paraId="73C9900B">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元分类</w:t>
                  </w:r>
                </w:p>
              </w:tc>
              <w:tc>
                <w:tcPr>
                  <w:tcW w:w="451" w:type="pct"/>
                  <w:vAlign w:val="center"/>
                </w:tcPr>
                <w:p w14:paraId="13FD2D2A">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管控</w:t>
                  </w:r>
                </w:p>
                <w:p w14:paraId="3D0367C3">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类型</w:t>
                  </w:r>
                </w:p>
              </w:tc>
              <w:tc>
                <w:tcPr>
                  <w:tcW w:w="1664" w:type="pct"/>
                  <w:tcBorders>
                    <w:right w:val="single" w:color="auto" w:sz="4" w:space="0"/>
                  </w:tcBorders>
                  <w:vAlign w:val="center"/>
                </w:tcPr>
                <w:p w14:paraId="0B1D31A7">
                  <w:pPr>
                    <w:pStyle w:val="85"/>
                    <w:spacing w:line="240" w:lineRule="auto"/>
                    <w:ind w:firstLine="0" w:firstLineChars="0"/>
                    <w:jc w:val="center"/>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管控要求</w:t>
                  </w:r>
                </w:p>
              </w:tc>
              <w:tc>
                <w:tcPr>
                  <w:tcW w:w="1112" w:type="pct"/>
                  <w:tcBorders>
                    <w:left w:val="single" w:color="auto" w:sz="4" w:space="0"/>
                  </w:tcBorders>
                  <w:vAlign w:val="center"/>
                </w:tcPr>
                <w:p w14:paraId="5C563C4A">
                  <w:pPr>
                    <w:pStyle w:val="85"/>
                    <w:spacing w:line="240" w:lineRule="auto"/>
                    <w:ind w:firstLine="0" w:firstLineChars="0"/>
                    <w:jc w:val="center"/>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符合性</w:t>
                  </w:r>
                </w:p>
              </w:tc>
            </w:tr>
            <w:tr w14:paraId="07026494">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c>
                <w:tcPr>
                  <w:tcW w:w="628" w:type="pct"/>
                  <w:vMerge w:val="restart"/>
                  <w:vAlign w:val="center"/>
                </w:tcPr>
                <w:p w14:paraId="2C391656">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lang w:val="en-US" w:eastAsia="zh-CN" w:bidi="ar-SA"/>
                    </w:rPr>
                  </w:pPr>
                  <w:r>
                    <w:rPr>
                      <w:rFonts w:hint="default" w:ascii="Times New Roman" w:hAnsi="Times New Roman" w:eastAsia="宋体" w:cs="Times New Roman"/>
                      <w:bCs/>
                      <w:i w:val="0"/>
                      <w:iCs w:val="0"/>
                      <w:color w:val="auto"/>
                      <w:sz w:val="18"/>
                      <w:szCs w:val="18"/>
                      <w:u w:val="single" w:color="auto"/>
                      <w:lang w:val="en-US" w:eastAsia="zh-CN" w:bidi="ar-SA"/>
                    </w:rPr>
                    <w:t>ZH22060220002</w:t>
                  </w:r>
                </w:p>
              </w:tc>
              <w:tc>
                <w:tcPr>
                  <w:tcW w:w="591" w:type="pct"/>
                  <w:vMerge w:val="restart"/>
                  <w:vAlign w:val="center"/>
                </w:tcPr>
                <w:p w14:paraId="791FB2F5">
                  <w:pPr>
                    <w:jc w:val="left"/>
                    <w:rPr>
                      <w:rFonts w:hint="default" w:ascii="Times New Roman" w:hAnsi="Times New Roman" w:eastAsia="宋体" w:cs="Times New Roman"/>
                      <w:bCs/>
                      <w:i w:val="0"/>
                      <w:iCs w:val="0"/>
                      <w:color w:val="auto"/>
                      <w:sz w:val="18"/>
                      <w:szCs w:val="18"/>
                      <w:u w:val="single" w:color="auto"/>
                      <w:lang w:val="en-US" w:eastAsia="zh-CN" w:bidi="ar-SA"/>
                    </w:rPr>
                  </w:pPr>
                  <w:r>
                    <w:rPr>
                      <w:rFonts w:hint="default" w:ascii="Times New Roman" w:hAnsi="Times New Roman" w:eastAsia="宋体" w:cs="Times New Roman"/>
                      <w:bCs/>
                      <w:i w:val="0"/>
                      <w:iCs w:val="0"/>
                      <w:color w:val="auto"/>
                      <w:sz w:val="18"/>
                      <w:szCs w:val="18"/>
                      <w:u w:val="single" w:color="auto"/>
                      <w:lang w:val="en-US" w:eastAsia="zh-CN" w:bidi="ar-SA"/>
                    </w:rPr>
                    <w:t>浑江区城镇开发边界</w:t>
                  </w:r>
                </w:p>
              </w:tc>
              <w:tc>
                <w:tcPr>
                  <w:tcW w:w="553" w:type="pct"/>
                  <w:vMerge w:val="restart"/>
                  <w:vAlign w:val="center"/>
                </w:tcPr>
                <w:p w14:paraId="65883CD1">
                  <w:pPr>
                    <w:jc w:val="left"/>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bCs/>
                      <w:i w:val="0"/>
                      <w:iCs w:val="0"/>
                      <w:color w:val="auto"/>
                      <w:sz w:val="18"/>
                      <w:szCs w:val="18"/>
                      <w:u w:val="single" w:color="auto"/>
                    </w:rPr>
                    <w:t>2-重点管控</w:t>
                  </w:r>
                </w:p>
              </w:tc>
              <w:tc>
                <w:tcPr>
                  <w:tcW w:w="451" w:type="pct"/>
                  <w:vAlign w:val="center"/>
                </w:tcPr>
                <w:p w14:paraId="74204D0D">
                  <w:pPr>
                    <w:jc w:val="left"/>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i w:val="0"/>
                      <w:iCs w:val="0"/>
                      <w:color w:val="auto"/>
                      <w:sz w:val="18"/>
                      <w:szCs w:val="18"/>
                      <w:u w:val="single" w:color="auto"/>
                    </w:rPr>
                    <w:t>空间布局约束</w:t>
                  </w:r>
                </w:p>
              </w:tc>
              <w:tc>
                <w:tcPr>
                  <w:tcW w:w="1664" w:type="pct"/>
                  <w:tcBorders>
                    <w:right w:val="single" w:color="auto" w:sz="4" w:space="0"/>
                  </w:tcBorders>
                  <w:vAlign w:val="center"/>
                </w:tcPr>
                <w:p w14:paraId="5AFF9CCB">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lang w:val="en-US" w:eastAsia="zh-CN" w:bidi="ar-SA"/>
                    </w:rPr>
                  </w:pPr>
                  <w:r>
                    <w:rPr>
                      <w:rFonts w:hint="default" w:ascii="Times New Roman" w:hAnsi="Times New Roman" w:eastAsia="宋体" w:cs="Times New Roman"/>
                      <w:bCs/>
                      <w:i w:val="0"/>
                      <w:iCs w:val="0"/>
                      <w:color w:val="auto"/>
                      <w:sz w:val="18"/>
                      <w:szCs w:val="18"/>
                      <w:highlight w:val="none"/>
                      <w:u w:val="single" w:color="auto"/>
                      <w:lang w:val="en-US" w:eastAsia="zh-CN" w:bidi="ar-SA"/>
                    </w:rPr>
                    <w:t>1城镇居民区、文化教育科学研究区等人口集中区域禁止畜禽养殖场、养殖小区等涉及氨排放</w:t>
                  </w:r>
                  <w:r>
                    <w:rPr>
                      <w:rFonts w:hint="default" w:ascii="Times New Roman" w:hAnsi="Times New Roman" w:eastAsia="宋体" w:cs="Times New Roman"/>
                      <w:bCs/>
                      <w:i w:val="0"/>
                      <w:iCs w:val="0"/>
                      <w:color w:val="auto"/>
                      <w:sz w:val="18"/>
                      <w:szCs w:val="18"/>
                      <w:u w:val="single" w:color="auto"/>
                      <w:lang w:val="en-US" w:eastAsia="zh-CN" w:bidi="ar-SA"/>
                    </w:rPr>
                    <w:t>的生产生活活动。 2除在安全或者产业布局等方面有特殊要求的项目外，原则上应避免大规模排放大气污染物的项目布局建设。 3除在安全或者产业布局等方面有特殊要求的项目外，应避免大规模排放水污染物的项目布局建设。 4推进城市建成区内现有钢铁、建材、有色金属、造纸、印染、原料药制造、化工等污染较重的企业有序搬迁改造或依法关闭。</w:t>
                  </w:r>
                </w:p>
              </w:tc>
              <w:tc>
                <w:tcPr>
                  <w:tcW w:w="1112" w:type="pct"/>
                  <w:tcBorders>
                    <w:left w:val="single" w:color="auto" w:sz="4" w:space="0"/>
                  </w:tcBorders>
                  <w:vAlign w:val="center"/>
                </w:tcPr>
                <w:p w14:paraId="2D416A72">
                  <w:pPr>
                    <w:jc w:val="left"/>
                    <w:rPr>
                      <w:rFonts w:hint="eastAsia" w:cs="Times New Roman"/>
                      <w:bCs/>
                      <w:i w:val="0"/>
                      <w:iCs w:val="0"/>
                      <w:color w:val="auto"/>
                      <w:sz w:val="18"/>
                      <w:szCs w:val="18"/>
                      <w:u w:val="single" w:color="auto"/>
                      <w:lang w:val="en-US" w:eastAsia="zh-CN"/>
                    </w:rPr>
                  </w:pPr>
                  <w:r>
                    <w:rPr>
                      <w:rFonts w:hint="eastAsia" w:cs="Times New Roman"/>
                      <w:bCs/>
                      <w:i w:val="0"/>
                      <w:iCs w:val="0"/>
                      <w:color w:val="auto"/>
                      <w:sz w:val="18"/>
                      <w:szCs w:val="18"/>
                      <w:u w:val="single" w:color="auto"/>
                      <w:lang w:val="en-US" w:eastAsia="zh-CN"/>
                    </w:rPr>
                    <w:t>符合</w:t>
                  </w:r>
                </w:p>
                <w:p w14:paraId="671D60FA">
                  <w:pPr>
                    <w:jc w:val="left"/>
                    <w:rPr>
                      <w:rFonts w:hint="default" w:ascii="Times New Roman" w:hAnsi="Times New Roman" w:eastAsia="宋体" w:cs="Times New Roman"/>
                      <w:bCs/>
                      <w:i w:val="0"/>
                      <w:iCs w:val="0"/>
                      <w:color w:val="auto"/>
                      <w:sz w:val="18"/>
                      <w:szCs w:val="18"/>
                      <w:u w:val="single" w:color="auto"/>
                      <w:lang w:val="en-US" w:eastAsia="zh-CN"/>
                    </w:rPr>
                  </w:pPr>
                  <w:r>
                    <w:rPr>
                      <w:rFonts w:hint="eastAsia" w:cs="Times New Roman"/>
                      <w:bCs/>
                      <w:i w:val="0"/>
                      <w:iCs w:val="0"/>
                      <w:color w:val="auto"/>
                      <w:sz w:val="18"/>
                      <w:szCs w:val="18"/>
                      <w:u w:val="single" w:color="auto"/>
                      <w:lang w:val="en-US" w:eastAsia="zh-CN"/>
                    </w:rPr>
                    <w:t>项目所在区域不属于城镇居民区、文化教育科学研究区等人口集中区域，项目不属于畜禽养殖场、养殖小区；项目产生少量的废气，无废水外排，不属于排放大规模大气污染物、水污染物项目；项目为一般固废处置项目，不属于钢铁、建材等污染较重企业。</w:t>
                  </w:r>
                </w:p>
              </w:tc>
            </w:tr>
            <w:tr w14:paraId="6129CB4D">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20" w:hRule="atLeast"/>
              </w:trPr>
              <w:tc>
                <w:tcPr>
                  <w:tcW w:w="628" w:type="pct"/>
                  <w:vMerge w:val="continue"/>
                </w:tcPr>
                <w:p w14:paraId="3C9D856A">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p>
              </w:tc>
              <w:tc>
                <w:tcPr>
                  <w:tcW w:w="591" w:type="pct"/>
                  <w:vMerge w:val="continue"/>
                </w:tcPr>
                <w:p w14:paraId="2E2195C1">
                  <w:pPr>
                    <w:jc w:val="left"/>
                    <w:rPr>
                      <w:rFonts w:hint="default" w:ascii="Times New Roman" w:hAnsi="Times New Roman" w:eastAsia="宋体" w:cs="Times New Roman"/>
                      <w:bCs/>
                      <w:i w:val="0"/>
                      <w:iCs w:val="0"/>
                      <w:color w:val="auto"/>
                      <w:sz w:val="18"/>
                      <w:szCs w:val="18"/>
                      <w:u w:val="single" w:color="auto"/>
                    </w:rPr>
                  </w:pPr>
                </w:p>
              </w:tc>
              <w:tc>
                <w:tcPr>
                  <w:tcW w:w="553" w:type="pct"/>
                  <w:vMerge w:val="continue"/>
                </w:tcPr>
                <w:p w14:paraId="122D601B">
                  <w:pPr>
                    <w:jc w:val="left"/>
                    <w:rPr>
                      <w:rFonts w:hint="default" w:ascii="Times New Roman" w:hAnsi="Times New Roman" w:eastAsia="宋体" w:cs="Times New Roman"/>
                      <w:bCs/>
                      <w:i w:val="0"/>
                      <w:iCs w:val="0"/>
                      <w:color w:val="auto"/>
                      <w:sz w:val="18"/>
                      <w:szCs w:val="18"/>
                      <w:u w:val="single" w:color="auto"/>
                    </w:rPr>
                  </w:pPr>
                </w:p>
              </w:tc>
              <w:tc>
                <w:tcPr>
                  <w:tcW w:w="451" w:type="pct"/>
                  <w:vAlign w:val="center"/>
                </w:tcPr>
                <w:p w14:paraId="674B2A7C">
                  <w:pPr>
                    <w:jc w:val="left"/>
                    <w:rPr>
                      <w:rFonts w:hint="default" w:ascii="Times New Roman" w:hAnsi="Times New Roman" w:eastAsia="宋体" w:cs="Times New Roman"/>
                      <w:bCs/>
                      <w:i w:val="0"/>
                      <w:iCs w:val="0"/>
                      <w:color w:val="auto"/>
                      <w:sz w:val="18"/>
                      <w:szCs w:val="18"/>
                      <w:u w:val="single" w:color="auto"/>
                    </w:rPr>
                  </w:pPr>
                  <w:r>
                    <w:rPr>
                      <w:rFonts w:hint="default" w:ascii="Times New Roman" w:hAnsi="Times New Roman" w:eastAsia="宋体" w:cs="Times New Roman"/>
                      <w:i w:val="0"/>
                      <w:iCs w:val="0"/>
                      <w:color w:val="auto"/>
                      <w:sz w:val="18"/>
                      <w:szCs w:val="18"/>
                      <w:u w:val="single" w:color="auto"/>
                    </w:rPr>
                    <w:t>污染物排放管控</w:t>
                  </w:r>
                </w:p>
              </w:tc>
              <w:tc>
                <w:tcPr>
                  <w:tcW w:w="1664" w:type="pct"/>
                  <w:tcBorders>
                    <w:right w:val="single" w:color="auto" w:sz="4" w:space="0"/>
                  </w:tcBorders>
                  <w:vAlign w:val="center"/>
                </w:tcPr>
                <w:p w14:paraId="0DF9F984">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lang w:val="en-US" w:eastAsia="zh-CN" w:bidi="ar-SA"/>
                    </w:rPr>
                  </w:pPr>
                  <w:r>
                    <w:rPr>
                      <w:rFonts w:hint="default" w:ascii="Times New Roman" w:hAnsi="Times New Roman" w:eastAsia="宋体" w:cs="Times New Roman"/>
                      <w:bCs/>
                      <w:i w:val="0"/>
                      <w:iCs w:val="0"/>
                      <w:color w:val="auto"/>
                      <w:sz w:val="18"/>
                      <w:szCs w:val="18"/>
                      <w:u w:val="single" w:color="auto"/>
                      <w:lang w:val="en-US" w:eastAsia="zh-CN" w:bidi="ar-SA"/>
                    </w:rPr>
                    <w:t>加大燃煤锅炉达标排放监管力度，推进清洁燃料供应体系建设，加快淘汰老旧车辆，加强城区建筑施工场所扬尘污染整治，加强对餐饮服务业油烟污染监管，强化对加油站、储油库、油罐车等油气回收设施运行监管。</w:t>
                  </w:r>
                </w:p>
              </w:tc>
              <w:tc>
                <w:tcPr>
                  <w:tcW w:w="1112" w:type="pct"/>
                  <w:tcBorders>
                    <w:left w:val="single" w:color="auto" w:sz="4" w:space="0"/>
                  </w:tcBorders>
                  <w:vAlign w:val="center"/>
                </w:tcPr>
                <w:p w14:paraId="75B59EE8">
                  <w:pPr>
                    <w:pStyle w:val="37"/>
                    <w:adjustRightInd w:val="0"/>
                    <w:snapToGrid w:val="0"/>
                    <w:spacing w:line="240" w:lineRule="auto"/>
                    <w:ind w:firstLine="0" w:firstLineChars="0"/>
                    <w:rPr>
                      <w:rFonts w:hint="eastAsia" w:ascii="Times New Roman" w:hAnsi="Times New Roman" w:eastAsia="宋体" w:cs="Times New Roman"/>
                      <w:i w:val="0"/>
                      <w:iCs w:val="0"/>
                      <w:color w:val="auto"/>
                      <w:sz w:val="18"/>
                      <w:szCs w:val="18"/>
                      <w:u w:val="single" w:color="auto"/>
                      <w:lang w:val="en-US" w:eastAsia="zh-CN"/>
                    </w:rPr>
                  </w:pPr>
                  <w:r>
                    <w:rPr>
                      <w:rFonts w:hint="eastAsia" w:ascii="Times New Roman" w:hAnsi="Times New Roman" w:cs="Times New Roman"/>
                      <w:i w:val="0"/>
                      <w:iCs w:val="0"/>
                      <w:color w:val="auto"/>
                      <w:sz w:val="18"/>
                      <w:szCs w:val="18"/>
                      <w:u w:val="single" w:color="auto"/>
                      <w:lang w:val="en-US" w:eastAsia="zh-CN"/>
                    </w:rPr>
                    <w:t>不涉及</w:t>
                  </w:r>
                </w:p>
              </w:tc>
            </w:tr>
            <w:tr w14:paraId="6EC94647">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63" w:hRule="atLeast"/>
              </w:trPr>
              <w:tc>
                <w:tcPr>
                  <w:tcW w:w="628" w:type="pct"/>
                  <w:vMerge w:val="continue"/>
                </w:tcPr>
                <w:p w14:paraId="535984BC">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p>
              </w:tc>
              <w:tc>
                <w:tcPr>
                  <w:tcW w:w="591" w:type="pct"/>
                  <w:vMerge w:val="continue"/>
                </w:tcPr>
                <w:p w14:paraId="41A7CE64">
                  <w:pPr>
                    <w:jc w:val="left"/>
                    <w:rPr>
                      <w:rFonts w:hint="default" w:ascii="Times New Roman" w:hAnsi="Times New Roman" w:eastAsia="宋体" w:cs="Times New Roman"/>
                      <w:bCs/>
                      <w:i w:val="0"/>
                      <w:iCs w:val="0"/>
                      <w:color w:val="auto"/>
                      <w:sz w:val="18"/>
                      <w:szCs w:val="18"/>
                      <w:u w:val="single" w:color="auto"/>
                    </w:rPr>
                  </w:pPr>
                </w:p>
              </w:tc>
              <w:tc>
                <w:tcPr>
                  <w:tcW w:w="553" w:type="pct"/>
                  <w:vMerge w:val="continue"/>
                </w:tcPr>
                <w:p w14:paraId="06AF3E19">
                  <w:pPr>
                    <w:jc w:val="left"/>
                    <w:rPr>
                      <w:rFonts w:hint="default" w:ascii="Times New Roman" w:hAnsi="Times New Roman" w:eastAsia="宋体" w:cs="Times New Roman"/>
                      <w:bCs/>
                      <w:i w:val="0"/>
                      <w:iCs w:val="0"/>
                      <w:color w:val="auto"/>
                      <w:sz w:val="18"/>
                      <w:szCs w:val="18"/>
                      <w:u w:val="single" w:color="auto"/>
                    </w:rPr>
                  </w:pPr>
                </w:p>
              </w:tc>
              <w:tc>
                <w:tcPr>
                  <w:tcW w:w="451" w:type="pct"/>
                  <w:tcBorders>
                    <w:bottom w:val="single" w:color="auto" w:sz="4" w:space="0"/>
                  </w:tcBorders>
                  <w:vAlign w:val="center"/>
                </w:tcPr>
                <w:p w14:paraId="69111CC8">
                  <w:pPr>
                    <w:widowControl/>
                    <w:jc w:val="left"/>
                    <w:rPr>
                      <w:rFonts w:hint="default" w:ascii="Times New Roman" w:hAnsi="Times New Roman" w:eastAsia="宋体" w:cs="Times New Roman"/>
                      <w:i w:val="0"/>
                      <w:iCs w:val="0"/>
                      <w:color w:val="auto"/>
                      <w:sz w:val="18"/>
                      <w:szCs w:val="18"/>
                      <w:u w:val="single" w:color="auto"/>
                    </w:rPr>
                  </w:pPr>
                  <w:r>
                    <w:rPr>
                      <w:rFonts w:hint="default" w:ascii="Times New Roman" w:hAnsi="Times New Roman" w:eastAsia="宋体" w:cs="Times New Roman"/>
                      <w:i w:val="0"/>
                      <w:iCs w:val="0"/>
                      <w:color w:val="auto"/>
                      <w:sz w:val="18"/>
                      <w:szCs w:val="18"/>
                      <w:u w:val="single" w:color="auto"/>
                      <w:lang w:bidi="ar"/>
                    </w:rPr>
                    <w:t>环境风险防控</w:t>
                  </w:r>
                </w:p>
              </w:tc>
              <w:tc>
                <w:tcPr>
                  <w:tcW w:w="1664" w:type="pct"/>
                  <w:tcBorders>
                    <w:bottom w:val="single" w:color="auto" w:sz="4" w:space="0"/>
                    <w:right w:val="single" w:color="auto" w:sz="4" w:space="0"/>
                  </w:tcBorders>
                  <w:vAlign w:val="center"/>
                </w:tcPr>
                <w:p w14:paraId="0A8ED01B">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lang w:val="en-US" w:eastAsia="zh-CN" w:bidi="ar-SA"/>
                    </w:rPr>
                  </w:pPr>
                  <w:r>
                    <w:rPr>
                      <w:rFonts w:hint="default" w:ascii="Times New Roman" w:hAnsi="Times New Roman" w:eastAsia="宋体" w:cs="Times New Roman"/>
                      <w:bCs/>
                      <w:i w:val="0"/>
                      <w:iCs w:val="0"/>
                      <w:color w:val="auto"/>
                      <w:sz w:val="18"/>
                      <w:szCs w:val="18"/>
                      <w:u w:val="single" w:color="auto"/>
                      <w:lang w:val="en-US" w:eastAsia="zh-CN" w:bidi="ar-SA"/>
                    </w:rPr>
                    <w:t>1严格管理涉及易导致环境风险的有毒有害和易燃易爆物质的生产、使用、排放、贮运等新建、改扩建项目。 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1112" w:type="pct"/>
                  <w:tcBorders>
                    <w:left w:val="single" w:color="auto" w:sz="4" w:space="0"/>
                    <w:bottom w:val="single" w:color="auto" w:sz="4" w:space="0"/>
                  </w:tcBorders>
                  <w:vAlign w:val="center"/>
                </w:tcPr>
                <w:p w14:paraId="37BA2A78">
                  <w:pPr>
                    <w:pStyle w:val="37"/>
                    <w:adjustRightInd w:val="0"/>
                    <w:snapToGrid w:val="0"/>
                    <w:spacing w:line="240" w:lineRule="auto"/>
                    <w:ind w:firstLine="0" w:firstLineChars="0"/>
                    <w:rPr>
                      <w:rFonts w:hint="default" w:ascii="Times New Roman" w:hAnsi="Times New Roman" w:eastAsia="宋体" w:cs="Times New Roman"/>
                      <w:i w:val="0"/>
                      <w:iCs w:val="0"/>
                      <w:color w:val="auto"/>
                      <w:sz w:val="18"/>
                      <w:szCs w:val="18"/>
                      <w:u w:val="single" w:color="auto"/>
                      <w:lang w:eastAsia="zh-CN"/>
                    </w:rPr>
                  </w:pPr>
                  <w:r>
                    <w:rPr>
                      <w:rFonts w:hint="default" w:ascii="Times New Roman" w:hAnsi="Times New Roman" w:eastAsia="宋体" w:cs="Times New Roman"/>
                      <w:i w:val="0"/>
                      <w:iCs w:val="0"/>
                      <w:color w:val="auto"/>
                      <w:sz w:val="18"/>
                      <w:szCs w:val="18"/>
                      <w:u w:val="single" w:color="auto"/>
                      <w:lang w:val="en-US" w:eastAsia="zh-CN"/>
                    </w:rPr>
                    <w:t>不涉及</w:t>
                  </w:r>
                </w:p>
              </w:tc>
            </w:tr>
            <w:tr w14:paraId="180C8E7C">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812" w:hRule="atLeast"/>
              </w:trPr>
              <w:tc>
                <w:tcPr>
                  <w:tcW w:w="628" w:type="pct"/>
                  <w:vMerge w:val="continue"/>
                </w:tcPr>
                <w:p w14:paraId="2F5C6975">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rPr>
                  </w:pPr>
                </w:p>
              </w:tc>
              <w:tc>
                <w:tcPr>
                  <w:tcW w:w="591" w:type="pct"/>
                  <w:vMerge w:val="continue"/>
                </w:tcPr>
                <w:p w14:paraId="2BCB5F0A">
                  <w:pPr>
                    <w:jc w:val="left"/>
                    <w:rPr>
                      <w:rFonts w:hint="default" w:ascii="Times New Roman" w:hAnsi="Times New Roman" w:eastAsia="宋体" w:cs="Times New Roman"/>
                      <w:bCs/>
                      <w:i w:val="0"/>
                      <w:iCs w:val="0"/>
                      <w:color w:val="auto"/>
                      <w:sz w:val="18"/>
                      <w:szCs w:val="18"/>
                      <w:u w:val="single" w:color="auto"/>
                    </w:rPr>
                  </w:pPr>
                </w:p>
              </w:tc>
              <w:tc>
                <w:tcPr>
                  <w:tcW w:w="553" w:type="pct"/>
                  <w:vMerge w:val="continue"/>
                </w:tcPr>
                <w:p w14:paraId="7ADC44C3">
                  <w:pPr>
                    <w:jc w:val="left"/>
                    <w:rPr>
                      <w:rFonts w:hint="default" w:ascii="Times New Roman" w:hAnsi="Times New Roman" w:eastAsia="宋体" w:cs="Times New Roman"/>
                      <w:bCs/>
                      <w:i w:val="0"/>
                      <w:iCs w:val="0"/>
                      <w:color w:val="auto"/>
                      <w:sz w:val="18"/>
                      <w:szCs w:val="18"/>
                      <w:u w:val="single" w:color="auto"/>
                    </w:rPr>
                  </w:pPr>
                </w:p>
              </w:tc>
              <w:tc>
                <w:tcPr>
                  <w:tcW w:w="451" w:type="pct"/>
                  <w:tcBorders>
                    <w:top w:val="single" w:color="auto" w:sz="4" w:space="0"/>
                  </w:tcBorders>
                  <w:vAlign w:val="center"/>
                </w:tcPr>
                <w:p w14:paraId="3C7C1541">
                  <w:pPr>
                    <w:jc w:val="left"/>
                    <w:rPr>
                      <w:rFonts w:hint="default" w:ascii="Times New Roman" w:hAnsi="Times New Roman" w:eastAsia="宋体" w:cs="Times New Roman"/>
                      <w:i w:val="0"/>
                      <w:iCs w:val="0"/>
                      <w:color w:val="auto"/>
                      <w:sz w:val="18"/>
                      <w:szCs w:val="18"/>
                      <w:u w:val="single" w:color="auto"/>
                      <w:lang w:val="en-US" w:eastAsia="zh-CN"/>
                    </w:rPr>
                  </w:pPr>
                  <w:r>
                    <w:rPr>
                      <w:rFonts w:hint="eastAsia" w:cs="Times New Roman"/>
                      <w:i w:val="0"/>
                      <w:iCs w:val="0"/>
                      <w:color w:val="auto"/>
                      <w:sz w:val="18"/>
                      <w:szCs w:val="18"/>
                      <w:u w:val="single" w:color="auto"/>
                      <w:lang w:val="en-US" w:eastAsia="zh-CN"/>
                    </w:rPr>
                    <w:t>资源开发效率</w:t>
                  </w:r>
                </w:p>
              </w:tc>
              <w:tc>
                <w:tcPr>
                  <w:tcW w:w="1664" w:type="pct"/>
                  <w:tcBorders>
                    <w:top w:val="single" w:color="auto" w:sz="4" w:space="0"/>
                    <w:right w:val="single" w:color="auto" w:sz="4" w:space="0"/>
                  </w:tcBorders>
                  <w:vAlign w:val="center"/>
                </w:tcPr>
                <w:p w14:paraId="67541F19">
                  <w:pPr>
                    <w:pStyle w:val="85"/>
                    <w:spacing w:line="240" w:lineRule="auto"/>
                    <w:ind w:firstLine="0" w:firstLineChars="0"/>
                    <w:rPr>
                      <w:rFonts w:hint="default" w:ascii="Times New Roman" w:hAnsi="Times New Roman" w:eastAsia="宋体" w:cs="Times New Roman"/>
                      <w:bCs/>
                      <w:i w:val="0"/>
                      <w:iCs w:val="0"/>
                      <w:color w:val="auto"/>
                      <w:sz w:val="18"/>
                      <w:szCs w:val="18"/>
                      <w:u w:val="single" w:color="auto"/>
                      <w:lang w:val="en-US" w:eastAsia="zh-CN" w:bidi="ar-SA"/>
                    </w:rPr>
                  </w:pPr>
                  <w:r>
                    <w:rPr>
                      <w:rFonts w:hint="default" w:ascii="Times New Roman" w:hAnsi="Times New Roman" w:eastAsia="宋体" w:cs="Times New Roman"/>
                      <w:bCs/>
                      <w:i w:val="0"/>
                      <w:iCs w:val="0"/>
                      <w:color w:val="auto"/>
                      <w:sz w:val="18"/>
                      <w:szCs w:val="18"/>
                      <w:u w:val="single" w:color="auto"/>
                      <w:lang w:val="en-US" w:eastAsia="zh-CN" w:bidi="ar-SA"/>
                    </w:rPr>
                    <w:t>禁燃区内禁止燃用的高污染燃料按照《高污染燃料目录》中的第Ⅱ类执行；禁止销售、使用、转运、存放高污染燃料；禁止新建、扩建燃用高污染燃料的锅炉、炉窑、炉灶等燃烧设施（集中供热锅炉除外）；禁燃区内现有使用高污染燃料的锅炉、炉窑、炉灶等燃烧设施（集中供热锅炉除外）应当在规定期限前改用天然气、液化石油气、电或者其他清洁能源。</w:t>
                  </w:r>
                </w:p>
              </w:tc>
              <w:tc>
                <w:tcPr>
                  <w:tcW w:w="1112" w:type="pct"/>
                  <w:tcBorders>
                    <w:top w:val="single" w:color="auto" w:sz="4" w:space="0"/>
                    <w:left w:val="single" w:color="auto" w:sz="4" w:space="0"/>
                  </w:tcBorders>
                  <w:vAlign w:val="center"/>
                </w:tcPr>
                <w:p w14:paraId="59E65958">
                  <w:pPr>
                    <w:pStyle w:val="37"/>
                    <w:adjustRightInd w:val="0"/>
                    <w:snapToGrid w:val="0"/>
                    <w:spacing w:line="240" w:lineRule="auto"/>
                    <w:ind w:firstLine="0" w:firstLineChars="0"/>
                    <w:rPr>
                      <w:rFonts w:hint="default" w:ascii="Times New Roman" w:hAnsi="Times New Roman" w:eastAsia="宋体" w:cs="Times New Roman"/>
                      <w:i w:val="0"/>
                      <w:iCs w:val="0"/>
                      <w:color w:val="auto"/>
                      <w:sz w:val="18"/>
                      <w:szCs w:val="18"/>
                      <w:u w:val="single" w:color="auto"/>
                      <w:lang w:val="en-US" w:eastAsia="zh-CN"/>
                    </w:rPr>
                  </w:pPr>
                  <w:r>
                    <w:rPr>
                      <w:rFonts w:hint="eastAsia" w:ascii="Times New Roman" w:hAnsi="Times New Roman" w:cs="Times New Roman"/>
                      <w:i w:val="0"/>
                      <w:iCs w:val="0"/>
                      <w:color w:val="auto"/>
                      <w:sz w:val="18"/>
                      <w:szCs w:val="18"/>
                      <w:u w:val="single" w:color="auto"/>
                      <w:lang w:val="en-US" w:eastAsia="zh-CN"/>
                    </w:rPr>
                    <w:t>不涉及</w:t>
                  </w:r>
                </w:p>
              </w:tc>
            </w:tr>
          </w:tbl>
          <w:p w14:paraId="086BC822">
            <w:pPr>
              <w:pStyle w:val="2"/>
              <w:adjustRightInd w:val="0"/>
              <w:snapToGrid w:val="0"/>
              <w:spacing w:before="0" w:after="0" w:line="240" w:lineRule="auto"/>
              <w:jc w:val="center"/>
              <w:rPr>
                <w:i w:val="0"/>
                <w:iCs w:val="0"/>
                <w:color w:val="auto"/>
                <w:sz w:val="10"/>
                <w:szCs w:val="10"/>
                <w:u w:val="single" w:color="auto"/>
              </w:rPr>
            </w:pPr>
          </w:p>
          <w:p w14:paraId="3123CC1F">
            <w:pPr>
              <w:pStyle w:val="2"/>
              <w:adjustRightInd w:val="0"/>
              <w:spacing w:before="0" w:after="0" w:line="360" w:lineRule="auto"/>
              <w:jc w:val="center"/>
              <w:rPr>
                <w:b w:val="0"/>
                <w:bCs w:val="0"/>
                <w:i w:val="0"/>
                <w:iCs w:val="0"/>
                <w:color w:val="auto"/>
                <w:kern w:val="0"/>
                <w:sz w:val="21"/>
                <w:szCs w:val="21"/>
                <w:u w:val="single" w:color="auto"/>
                <w:lang w:val="en-US"/>
              </w:rPr>
            </w:pPr>
            <w:r>
              <w:rPr>
                <w:color w:val="auto"/>
              </w:rPr>
              <w:drawing>
                <wp:inline distT="0" distB="0" distL="114300" distR="114300">
                  <wp:extent cx="4528820" cy="2143760"/>
                  <wp:effectExtent l="0" t="0" r="5080" b="889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4528820" cy="2143760"/>
                          </a:xfrm>
                          <a:prstGeom prst="rect">
                            <a:avLst/>
                          </a:prstGeom>
                          <a:noFill/>
                          <a:ln>
                            <a:noFill/>
                          </a:ln>
                        </pic:spPr>
                      </pic:pic>
                    </a:graphicData>
                  </a:graphic>
                </wp:inline>
              </w:drawing>
            </w:r>
          </w:p>
          <w:p w14:paraId="7C9AF3D6">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textAlignment w:val="auto"/>
              <w:rPr>
                <w:rFonts w:hint="eastAsia"/>
                <w:i w:val="0"/>
                <w:iCs w:val="0"/>
                <w:color w:val="auto"/>
                <w:u w:val="none" w:color="auto"/>
                <w:lang w:val="en-US" w:eastAsia="zh-CN"/>
              </w:rPr>
            </w:pPr>
            <w:r>
              <w:rPr>
                <w:rFonts w:hint="eastAsia"/>
                <w:i w:val="0"/>
                <w:iCs w:val="0"/>
                <w:color w:val="auto"/>
                <w:u w:val="none" w:color="auto"/>
                <w:lang w:val="en-US" w:eastAsia="zh-CN"/>
              </w:rPr>
              <w:t>与《白山市国土空间总体规划》（2021-2035年）符合性分析</w:t>
            </w:r>
          </w:p>
          <w:p w14:paraId="2296E530">
            <w:pPr>
              <w:spacing w:line="360" w:lineRule="auto"/>
              <w:ind w:firstLine="444" w:firstLineChars="200"/>
              <w:rPr>
                <w:rFonts w:hint="default" w:hAnsi="宋体" w:cs="宋体" w:eastAsiaTheme="minorEastAsia"/>
                <w:color w:val="auto"/>
                <w:spacing w:val="6"/>
                <w:lang w:val="en-US" w:eastAsia="zh-CN"/>
              </w:rPr>
            </w:pPr>
            <w:r>
              <w:rPr>
                <w:rFonts w:hint="eastAsia" w:hAnsi="宋体" w:cs="宋体" w:eastAsiaTheme="minorEastAsia"/>
                <w:color w:val="auto"/>
                <w:spacing w:val="6"/>
                <w:lang w:val="en-US" w:eastAsia="zh-CN"/>
              </w:rPr>
              <w:t>根据该规划，第五章打造山地特色农业空间，以浑江区、江源区为核心，重点建设特色浆果、</w:t>
            </w:r>
            <w:r>
              <w:rPr>
                <w:rFonts w:hint="default" w:hAnsi="宋体" w:cs="宋体" w:eastAsiaTheme="minorEastAsia"/>
                <w:color w:val="auto"/>
                <w:spacing w:val="6"/>
                <w:lang w:val="en-US" w:eastAsia="zh-CN"/>
              </w:rPr>
              <w:t>道地药材、长白山山野菜等为主的森林山地特色农业区</w:t>
            </w:r>
            <w:r>
              <w:rPr>
                <w:rFonts w:hint="eastAsia" w:hAnsi="宋体" w:cs="宋体" w:eastAsiaTheme="minorEastAsia"/>
                <w:color w:val="auto"/>
                <w:spacing w:val="6"/>
                <w:lang w:val="en-US" w:eastAsia="zh-CN"/>
              </w:rPr>
              <w:t>。通化作为全省闻名的医药城，坐落诸多全名知名的医药企业，每年会产生大量的中药残渣等残余物，故项目为解决医药企业中药残渣的去向，在里岔沟租用现有工业用地上，利用厂区及建筑物，采用中药残渣作为原料，进行再生腐殖土的生产，项目符合</w:t>
            </w:r>
            <w:r>
              <w:rPr>
                <w:rFonts w:hint="eastAsia"/>
                <w:i w:val="0"/>
                <w:iCs w:val="0"/>
                <w:color w:val="auto"/>
                <w:u w:val="none" w:color="auto"/>
                <w:lang w:val="en-US" w:eastAsia="zh-CN"/>
              </w:rPr>
              <w:t>《白山市国土空间总体规划》（2021-2035年）相关要求。</w:t>
            </w:r>
          </w:p>
          <w:p w14:paraId="2185573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i w:val="0"/>
                <w:iCs w:val="0"/>
                <w:color w:val="auto"/>
                <w:u w:val="none" w:color="auto"/>
                <w:lang w:val="en-US" w:eastAsia="zh-CN"/>
              </w:rPr>
            </w:pPr>
          </w:p>
          <w:p w14:paraId="4FC260D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i w:val="0"/>
                <w:iCs w:val="0"/>
                <w:color w:val="auto"/>
                <w:u w:val="none" w:color="auto"/>
                <w:lang w:val="en-US" w:eastAsia="zh-CN"/>
              </w:rPr>
            </w:pPr>
          </w:p>
        </w:tc>
      </w:tr>
    </w:tbl>
    <w:p w14:paraId="060FA2B6">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7BC21EB">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9"/>
        <w:tblW w:w="90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8093"/>
      </w:tblGrid>
      <w:tr w14:paraId="2FB24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9" w:type="dxa"/>
            <w:vAlign w:val="center"/>
          </w:tcPr>
          <w:p w14:paraId="5D49AA54">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093" w:type="dxa"/>
          </w:tcPr>
          <w:p w14:paraId="0B07196E">
            <w:pPr>
              <w:adjustRightInd w:val="0"/>
              <w:snapToGrid w:val="0"/>
              <w:spacing w:before="120" w:beforeLines="50" w:line="336" w:lineRule="auto"/>
              <w:jc w:val="left"/>
              <w:rPr>
                <w:rFonts w:hAnsi="宋体"/>
                <w:bCs/>
                <w:color w:val="auto"/>
              </w:rPr>
            </w:pPr>
            <w:r>
              <w:rPr>
                <w:rFonts w:hint="eastAsia" w:hAnsi="宋体"/>
                <w:bCs/>
                <w:color w:val="auto"/>
              </w:rPr>
              <w:t>1、项目由来</w:t>
            </w:r>
          </w:p>
          <w:p w14:paraId="184F5D6A">
            <w:pPr>
              <w:pStyle w:val="11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cs="宋体" w:hAnsiTheme="minorHAnsi" w:eastAsiaTheme="minorEastAsia"/>
                <w:b w:val="0"/>
                <w:bCs w:val="0"/>
                <w:color w:val="auto"/>
                <w:spacing w:val="0"/>
                <w:sz w:val="21"/>
                <w:szCs w:val="18"/>
                <w:highlight w:val="none"/>
                <w:lang w:val="en-US" w:eastAsia="zh-CN" w:bidi="ar-SA"/>
              </w:rPr>
            </w:pPr>
            <w:r>
              <w:rPr>
                <w:rFonts w:hint="eastAsia" w:ascii="Times New Roman" w:cs="宋体" w:hAnsiTheme="minorHAnsi" w:eastAsiaTheme="minorEastAsia"/>
                <w:b w:val="0"/>
                <w:bCs w:val="0"/>
                <w:color w:val="auto"/>
                <w:spacing w:val="0"/>
                <w:sz w:val="21"/>
                <w:szCs w:val="18"/>
                <w:highlight w:val="none"/>
                <w:lang w:val="en-US" w:eastAsia="zh-CN" w:bidi="ar-SA"/>
              </w:rPr>
              <w:t>白山市坤元沃土农业科技有限公司注册成立于2025年8月，建设单位拟租用白山金谷田园综合体有限公司位于白山市浑江区河口街道里岔沟的闲置厂区，并进行场地防渗硬化，厂房修缮，购置生产设备进行项目建设，采用中药残渣固废，并添加一些辅料，进行再生腐殖土生产，项目建成后年产再生腐殖土1.5万t/a。根据《建设项目环境影响评价分类管理名录（2021年版）》（生态环境部2020年第16号令），本项目属于“四十七、生态保护和环境治理业103一般工业固体废物（含污水处理污泥）、建筑施工废弃物处置及综合利用”，应当编制环境影响报告表。</w:t>
            </w:r>
          </w:p>
          <w:p w14:paraId="74647473">
            <w:pPr>
              <w:adjustRightInd w:val="0"/>
              <w:snapToGrid w:val="0"/>
              <w:spacing w:line="360" w:lineRule="auto"/>
              <w:jc w:val="left"/>
              <w:rPr>
                <w:rFonts w:hAnsi="宋体"/>
                <w:bCs/>
                <w:color w:val="auto"/>
              </w:rPr>
            </w:pPr>
            <w:r>
              <w:rPr>
                <w:rFonts w:hint="eastAsia" w:hAnsi="宋体"/>
                <w:bCs/>
                <w:color w:val="auto"/>
              </w:rPr>
              <w:t>2、项目概况</w:t>
            </w:r>
          </w:p>
          <w:p w14:paraId="435BD355">
            <w:pPr>
              <w:pStyle w:val="46"/>
              <w:keepNext w:val="0"/>
              <w:keepLines w:val="0"/>
              <w:pageBreakBefore w:val="0"/>
              <w:kinsoku/>
              <w:wordWrap/>
              <w:overflowPunct/>
              <w:topLinePunct w:val="0"/>
              <w:autoSpaceDE/>
              <w:autoSpaceDN/>
              <w:bidi w:val="0"/>
              <w:adjustRightInd w:val="0"/>
              <w:snapToGrid w:val="0"/>
              <w:spacing w:line="360" w:lineRule="auto"/>
              <w:ind w:firstLine="444"/>
              <w:rPr>
                <w:rFonts w:hint="eastAsia" w:ascii="Times New Roman" w:cs="宋体" w:eastAsiaTheme="minorEastAsia"/>
                <w:color w:val="auto"/>
                <w:spacing w:val="0"/>
                <w:sz w:val="21"/>
                <w:lang w:eastAsia="zh-CN"/>
              </w:rPr>
            </w:pPr>
            <w:r>
              <w:rPr>
                <w:rFonts w:hint="eastAsia" w:ascii="Times New Roman" w:hAnsi="宋体" w:cs="宋体"/>
                <w:color w:val="auto"/>
                <w:sz w:val="21"/>
              </w:rPr>
              <w:t>项目名称：</w:t>
            </w:r>
            <w:r>
              <w:rPr>
                <w:rFonts w:hint="eastAsia" w:ascii="Times New Roman" w:cs="宋体"/>
                <w:color w:val="auto"/>
                <w:spacing w:val="0"/>
                <w:sz w:val="21"/>
                <w:lang w:eastAsia="zh-CN"/>
              </w:rPr>
              <w:t>白山市坤元沃土农业科技有限公司再生腐殖土建设项目</w:t>
            </w:r>
          </w:p>
          <w:p w14:paraId="7CD553A9">
            <w:pPr>
              <w:pStyle w:val="46"/>
              <w:keepNext w:val="0"/>
              <w:keepLines w:val="0"/>
              <w:pageBreakBefore w:val="0"/>
              <w:kinsoku/>
              <w:wordWrap/>
              <w:overflowPunct/>
              <w:topLinePunct w:val="0"/>
              <w:autoSpaceDE/>
              <w:autoSpaceDN/>
              <w:bidi w:val="0"/>
              <w:adjustRightInd w:val="0"/>
              <w:snapToGrid w:val="0"/>
              <w:spacing w:line="360" w:lineRule="auto"/>
              <w:ind w:firstLine="420"/>
              <w:rPr>
                <w:rFonts w:hint="eastAsia" w:ascii="Times New Roman" w:eastAsiaTheme="minorEastAsia"/>
                <w:color w:val="auto"/>
                <w:spacing w:val="0"/>
                <w:sz w:val="21"/>
                <w:lang w:eastAsia="zh-CN"/>
              </w:rPr>
            </w:pPr>
            <w:r>
              <w:rPr>
                <w:rFonts w:hint="eastAsia" w:ascii="Times New Roman" w:cs="宋体"/>
                <w:color w:val="auto"/>
                <w:spacing w:val="0"/>
                <w:sz w:val="21"/>
              </w:rPr>
              <w:t>建设性质：</w:t>
            </w:r>
            <w:r>
              <w:rPr>
                <w:rFonts w:hint="eastAsia" w:ascii="Times New Roman" w:cs="宋体"/>
                <w:color w:val="auto"/>
                <w:spacing w:val="0"/>
                <w:sz w:val="21"/>
                <w:lang w:val="en-US" w:eastAsia="zh-CN"/>
              </w:rPr>
              <w:t>新建</w:t>
            </w:r>
          </w:p>
          <w:p w14:paraId="3608CB8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rPr>
                <w:rFonts w:hAnsi="宋体" w:cs="宋体"/>
                <w:color w:val="auto"/>
                <w:highlight w:val="none"/>
              </w:rPr>
            </w:pPr>
            <w:r>
              <w:rPr>
                <w:rFonts w:hint="eastAsia" w:ascii="Times New Roman" w:cs="宋体" w:hAnsiTheme="minorHAnsi" w:eastAsiaTheme="minorEastAsia"/>
                <w:b w:val="0"/>
                <w:bCs w:val="0"/>
                <w:color w:val="auto"/>
                <w:spacing w:val="0"/>
                <w:sz w:val="21"/>
                <w:szCs w:val="18"/>
                <w:lang w:val="en-US" w:eastAsia="zh-CN" w:bidi="ar-SA"/>
              </w:rPr>
              <w:t>建设地点及周</w:t>
            </w:r>
            <w:r>
              <w:rPr>
                <w:rFonts w:hint="eastAsia" w:ascii="Times New Roman" w:cs="宋体" w:hAnsiTheme="minorHAnsi" w:eastAsiaTheme="minorEastAsia"/>
                <w:b w:val="0"/>
                <w:bCs w:val="0"/>
                <w:color w:val="auto"/>
                <w:spacing w:val="0"/>
                <w:sz w:val="21"/>
                <w:szCs w:val="18"/>
                <w:highlight w:val="none"/>
                <w:lang w:val="en-US" w:eastAsia="zh-CN" w:bidi="ar-SA"/>
              </w:rPr>
              <w:t>围环境情况：</w:t>
            </w:r>
            <w:r>
              <w:rPr>
                <w:rFonts w:hint="eastAsia" w:ascii="Times New Roman" w:cs="宋体" w:hAnsiTheme="minorHAnsi" w:eastAsiaTheme="minorEastAsia"/>
                <w:b w:val="0"/>
                <w:bCs w:val="0"/>
                <w:color w:val="0000FF"/>
                <w:spacing w:val="0"/>
                <w:sz w:val="21"/>
                <w:szCs w:val="18"/>
                <w:highlight w:val="none"/>
                <w:lang w:val="en-US" w:eastAsia="zh-CN" w:bidi="ar-SA"/>
              </w:rPr>
              <w:t>本项目位于白山市浑江区河口街道里岔沟</w:t>
            </w:r>
            <w:r>
              <w:rPr>
                <w:rFonts w:hint="eastAsia" w:ascii="Times New Roman" w:cs="宋体" w:hAnsiTheme="minorHAnsi" w:eastAsiaTheme="minorEastAsia"/>
                <w:b w:val="0"/>
                <w:bCs w:val="0"/>
                <w:color w:val="auto"/>
                <w:spacing w:val="0"/>
                <w:sz w:val="21"/>
                <w:szCs w:val="18"/>
                <w:highlight w:val="none"/>
                <w:lang w:val="en-US" w:eastAsia="zh-CN" w:bidi="ar-SA"/>
              </w:rPr>
              <w:t>，用地性质为工业用地（详见附件），厂界东侧隔空地为山林地及耕地，西侧为隔路为空地，南侧为闲置厂房，北侧为白山市锦屹钛业有限公司。距离厂界最近的敏感目标为厂界西侧32m的民宅，无人居住，闲置十余年（现状详见附图，情况说明详见附件），</w:t>
            </w:r>
            <w:r>
              <w:rPr>
                <w:rFonts w:hint="eastAsia" w:ascii="Times New Roman" w:cs="宋体" w:hAnsiTheme="minorHAnsi" w:eastAsiaTheme="minorEastAsia"/>
                <w:b w:val="0"/>
                <w:bCs w:val="0"/>
                <w:color w:val="0000FF"/>
                <w:spacing w:val="0"/>
                <w:sz w:val="21"/>
                <w:szCs w:val="18"/>
                <w:highlight w:val="none"/>
                <w:lang w:val="en-US" w:eastAsia="zh-CN" w:bidi="ar-SA"/>
              </w:rPr>
              <w:t>距离有人居住的民宅距离约为92m，位于厂界西北侧，约5户。</w:t>
            </w:r>
            <w:r>
              <w:rPr>
                <w:rFonts w:hint="eastAsia" w:ascii="Times New Roman" w:cs="宋体" w:hAnsiTheme="minorHAnsi" w:eastAsiaTheme="minorEastAsia"/>
                <w:b w:val="0"/>
                <w:bCs w:val="0"/>
                <w:color w:val="auto"/>
                <w:spacing w:val="0"/>
                <w:sz w:val="21"/>
                <w:szCs w:val="18"/>
                <w:highlight w:val="none"/>
                <w:lang w:val="en-US" w:eastAsia="zh-CN" w:bidi="ar-SA"/>
              </w:rPr>
              <w:t>厂区地理位置详见附图</w:t>
            </w:r>
            <w:r>
              <w:rPr>
                <w:rFonts w:hint="default" w:ascii="Times New Roman" w:cs="宋体" w:hAnsiTheme="minorHAnsi" w:eastAsiaTheme="minorEastAsia"/>
                <w:b w:val="0"/>
                <w:bCs w:val="0"/>
                <w:color w:val="auto"/>
                <w:spacing w:val="0"/>
                <w:sz w:val="21"/>
                <w:szCs w:val="18"/>
                <w:highlight w:val="none"/>
                <w:lang w:val="en-US" w:eastAsia="zh-CN" w:bidi="ar-SA"/>
              </w:rPr>
              <w:t>1</w:t>
            </w:r>
            <w:r>
              <w:rPr>
                <w:rFonts w:hint="eastAsia" w:ascii="Times New Roman" w:cs="宋体" w:hAnsiTheme="minorHAnsi" w:eastAsiaTheme="minorEastAsia"/>
                <w:b w:val="0"/>
                <w:bCs w:val="0"/>
                <w:color w:val="auto"/>
                <w:spacing w:val="0"/>
                <w:sz w:val="21"/>
                <w:szCs w:val="18"/>
                <w:highlight w:val="none"/>
                <w:lang w:val="en-US" w:eastAsia="zh-CN" w:bidi="ar-SA"/>
              </w:rPr>
              <w:t>，厂区周围情况图详见附图2。</w:t>
            </w:r>
          </w:p>
          <w:p w14:paraId="494876EB">
            <w:pPr>
              <w:keepNext w:val="0"/>
              <w:keepLines w:val="0"/>
              <w:pageBreakBefore w:val="0"/>
              <w:kinsoku/>
              <w:wordWrap/>
              <w:overflowPunct/>
              <w:topLinePunct w:val="0"/>
              <w:autoSpaceDE/>
              <w:autoSpaceDN/>
              <w:bidi w:val="0"/>
              <w:adjustRightInd w:val="0"/>
              <w:snapToGrid w:val="0"/>
              <w:spacing w:line="360" w:lineRule="auto"/>
              <w:ind w:firstLine="420" w:firstLineChars="200"/>
              <w:jc w:val="left"/>
              <w:rPr>
                <w:color w:val="auto"/>
                <w:highlight w:val="none"/>
              </w:rPr>
            </w:pPr>
            <w:r>
              <w:rPr>
                <w:rFonts w:hint="eastAsia" w:hAnsi="宋体" w:cs="宋体"/>
                <w:color w:val="auto"/>
                <w:highlight w:val="none"/>
              </w:rPr>
              <w:t>项目总投资：本项目总投资</w:t>
            </w:r>
            <w:r>
              <w:rPr>
                <w:rFonts w:hint="eastAsia"/>
                <w:color w:val="auto"/>
                <w:highlight w:val="none"/>
                <w:lang w:val="en-US" w:eastAsia="zh-CN"/>
              </w:rPr>
              <w:t>100</w:t>
            </w:r>
            <w:r>
              <w:rPr>
                <w:rFonts w:hint="eastAsia" w:hAnsi="宋体" w:cs="宋体"/>
                <w:color w:val="auto"/>
                <w:highlight w:val="none"/>
              </w:rPr>
              <w:t>万元，环保投</w:t>
            </w:r>
            <w:r>
              <w:rPr>
                <w:rFonts w:hint="eastAsia" w:ascii="Times New Roman" w:hAnsi="Times New Roman" w:eastAsia="宋体" w:cs="宋体"/>
                <w:color w:val="auto"/>
                <w:highlight w:val="none"/>
              </w:rPr>
              <w:t>资</w:t>
            </w:r>
            <w:r>
              <w:rPr>
                <w:rFonts w:hint="eastAsia" w:cs="宋体"/>
                <w:color w:val="auto"/>
                <w:highlight w:val="none"/>
                <w:lang w:val="en-US" w:eastAsia="zh-CN"/>
              </w:rPr>
              <w:t>30</w:t>
            </w:r>
            <w:r>
              <w:rPr>
                <w:rFonts w:hint="eastAsia" w:ascii="Times New Roman" w:hAnsi="Times New Roman" w:eastAsia="宋体" w:cs="宋体"/>
                <w:color w:val="auto"/>
                <w:highlight w:val="none"/>
              </w:rPr>
              <w:t>万元，占总投资的</w:t>
            </w:r>
            <w:r>
              <w:rPr>
                <w:rFonts w:hint="eastAsia" w:cs="宋体"/>
                <w:color w:val="auto"/>
                <w:highlight w:val="none"/>
                <w:lang w:val="en-US" w:eastAsia="zh-CN"/>
              </w:rPr>
              <w:t>30</w:t>
            </w:r>
            <w:r>
              <w:rPr>
                <w:rFonts w:hint="eastAsia" w:ascii="Times New Roman" w:hAnsi="Times New Roman" w:eastAsia="宋体" w:cs="宋体"/>
                <w:color w:val="auto"/>
                <w:highlight w:val="none"/>
              </w:rPr>
              <w:t>%。</w:t>
            </w:r>
          </w:p>
          <w:p w14:paraId="1D185812">
            <w:pPr>
              <w:keepNext w:val="0"/>
              <w:keepLines w:val="0"/>
              <w:pageBreakBefore w:val="0"/>
              <w:kinsoku/>
              <w:wordWrap/>
              <w:overflowPunct/>
              <w:topLinePunct w:val="0"/>
              <w:autoSpaceDE/>
              <w:autoSpaceDN/>
              <w:bidi w:val="0"/>
              <w:adjustRightInd w:val="0"/>
              <w:snapToGrid w:val="0"/>
              <w:spacing w:line="360" w:lineRule="auto"/>
              <w:jc w:val="left"/>
              <w:rPr>
                <w:rFonts w:hAnsi="宋体"/>
                <w:bCs/>
                <w:color w:val="auto"/>
                <w:highlight w:val="none"/>
              </w:rPr>
            </w:pPr>
            <w:r>
              <w:rPr>
                <w:rFonts w:hint="eastAsia" w:hAnsi="宋体"/>
                <w:bCs/>
                <w:color w:val="auto"/>
                <w:highlight w:val="none"/>
              </w:rPr>
              <w:t>3、工程分析</w:t>
            </w:r>
          </w:p>
          <w:p w14:paraId="0620A947">
            <w:pPr>
              <w:adjustRightInd w:val="0"/>
              <w:snapToGrid w:val="0"/>
              <w:spacing w:line="360" w:lineRule="auto"/>
              <w:rPr>
                <w:rFonts w:hAnsi="宋体" w:cs="宋体"/>
                <w:color w:val="auto"/>
                <w:highlight w:val="none"/>
              </w:rPr>
            </w:pPr>
            <w:r>
              <w:rPr>
                <w:rFonts w:hint="eastAsia" w:hAnsi="宋体" w:cs="宋体"/>
                <w:color w:val="auto"/>
                <w:highlight w:val="none"/>
              </w:rPr>
              <w:t>3.1项目建设内容</w:t>
            </w:r>
          </w:p>
          <w:p w14:paraId="2E763DBC">
            <w:pPr>
              <w:adjustRightInd w:val="0"/>
              <w:snapToGrid w:val="0"/>
              <w:spacing w:line="360" w:lineRule="auto"/>
              <w:ind w:firstLine="420" w:firstLineChars="200"/>
              <w:rPr>
                <w:color w:val="auto"/>
                <w:highlight w:val="none"/>
              </w:rPr>
            </w:pPr>
            <w:r>
              <w:rPr>
                <w:rFonts w:hint="eastAsia"/>
                <w:color w:val="auto"/>
                <w:highlight w:val="none"/>
                <w:lang w:val="en-US" w:eastAsia="zh-CN"/>
              </w:rPr>
              <w:t>租赁厂区占地面积5750</w:t>
            </w:r>
            <w:r>
              <w:rPr>
                <w:rFonts w:hint="eastAsia" w:hAnsi="宋体" w:cs="宋体" w:eastAsiaTheme="minorEastAsia"/>
                <w:color w:val="auto"/>
                <w:spacing w:val="6"/>
                <w:highlight w:val="none"/>
                <w:lang w:val="en-US" w:eastAsia="zh-CN"/>
              </w:rPr>
              <w:t>m</w:t>
            </w:r>
            <w:r>
              <w:rPr>
                <w:rFonts w:hint="eastAsia" w:hAnsi="宋体" w:cs="宋体" w:eastAsiaTheme="minorEastAsia"/>
                <w:color w:val="auto"/>
                <w:spacing w:val="6"/>
                <w:highlight w:val="none"/>
                <w:vertAlign w:val="superscript"/>
                <w:lang w:val="en-US" w:eastAsia="zh-CN"/>
              </w:rPr>
              <w:t>2</w:t>
            </w:r>
            <w:r>
              <w:rPr>
                <w:rFonts w:hint="eastAsia" w:hAnsi="宋体" w:cs="宋体" w:eastAsiaTheme="minorEastAsia"/>
                <w:color w:val="auto"/>
                <w:spacing w:val="6"/>
                <w:highlight w:val="none"/>
                <w:lang w:val="en-US" w:eastAsia="zh-CN"/>
              </w:rPr>
              <w:t>，建筑物为综合车间、生产车间、粉碎车间，总建筑面积为4200m</w:t>
            </w:r>
            <w:r>
              <w:rPr>
                <w:rFonts w:hint="eastAsia" w:hAnsi="宋体" w:cs="宋体" w:eastAsiaTheme="minorEastAsia"/>
                <w:color w:val="auto"/>
                <w:spacing w:val="6"/>
                <w:highlight w:val="none"/>
                <w:vertAlign w:val="superscript"/>
                <w:lang w:val="en-US" w:eastAsia="zh-CN"/>
              </w:rPr>
              <w:t>2</w:t>
            </w:r>
            <w:r>
              <w:rPr>
                <w:rFonts w:hint="eastAsia" w:hAnsi="宋体" w:cs="宋体" w:eastAsiaTheme="minorEastAsia"/>
                <w:color w:val="auto"/>
                <w:spacing w:val="6"/>
                <w:highlight w:val="none"/>
                <w:lang w:val="en-US" w:eastAsia="zh-CN"/>
              </w:rPr>
              <w:t>，</w:t>
            </w:r>
            <w:r>
              <w:rPr>
                <w:rFonts w:hint="eastAsia" w:hAnsi="宋体" w:cs="宋体" w:eastAsiaTheme="minorEastAsia"/>
                <w:i w:val="0"/>
                <w:iCs w:val="0"/>
                <w:color w:val="auto"/>
                <w:spacing w:val="6"/>
                <w:highlight w:val="none"/>
                <w:u w:val="none"/>
                <w:lang w:val="en-US" w:eastAsia="zh-CN"/>
              </w:rPr>
              <w:t>现有厂房建筑需要进行维修，厂房地面需要进行防渗硬化，厂区地面需要进行硬化，硬化面积约1000m</w:t>
            </w:r>
            <w:r>
              <w:rPr>
                <w:rFonts w:hint="eastAsia" w:hAnsi="宋体" w:cs="宋体" w:eastAsiaTheme="minorEastAsia"/>
                <w:i w:val="0"/>
                <w:iCs w:val="0"/>
                <w:color w:val="auto"/>
                <w:spacing w:val="6"/>
                <w:highlight w:val="none"/>
                <w:u w:val="none"/>
                <w:vertAlign w:val="superscript"/>
                <w:lang w:val="en-US" w:eastAsia="zh-CN"/>
              </w:rPr>
              <w:t>2</w:t>
            </w:r>
            <w:r>
              <w:rPr>
                <w:rFonts w:hint="eastAsia"/>
                <w:color w:val="auto"/>
                <w:highlight w:val="none"/>
              </w:rPr>
              <w:t>。</w:t>
            </w:r>
          </w:p>
          <w:p w14:paraId="4733FBE2">
            <w:pPr>
              <w:pStyle w:val="37"/>
              <w:adjustRightInd w:val="0"/>
              <w:snapToGrid w:val="0"/>
              <w:spacing w:line="360" w:lineRule="auto"/>
              <w:ind w:firstLine="420"/>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项目组成情况详见下表。</w:t>
            </w:r>
          </w:p>
          <w:p w14:paraId="5215F4D1">
            <w:pPr>
              <w:pStyle w:val="48"/>
              <w:adjustRightInd w:val="0"/>
              <w:snapToGrid w:val="0"/>
              <w:spacing w:beforeLines="0" w:after="0" w:afterAutospacing="0"/>
              <w:rPr>
                <w:rFonts w:hint="eastAsia" w:ascii="Times New Roman" w:eastAsia="宋体"/>
                <w:b w:val="0"/>
                <w:color w:val="auto"/>
                <w:highlight w:val="none"/>
                <w:lang w:val="en-US" w:eastAsia="zh-CN"/>
              </w:rPr>
            </w:pPr>
            <w:r>
              <w:rPr>
                <w:rFonts w:hint="eastAsia" w:ascii="Times New Roman" w:eastAsia="宋体"/>
                <w:b w:val="0"/>
                <w:color w:val="auto"/>
                <w:highlight w:val="none"/>
                <w:lang w:val="en-US" w:eastAsia="zh-CN"/>
              </w:rPr>
              <w:t>本项目租赁现有建筑物情况一览表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119"/>
              <w:gridCol w:w="1062"/>
              <w:gridCol w:w="947"/>
              <w:gridCol w:w="862"/>
              <w:gridCol w:w="996"/>
              <w:gridCol w:w="2310"/>
            </w:tblGrid>
            <w:tr w14:paraId="39927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noWrap w:val="0"/>
                  <w:vAlign w:val="center"/>
                </w:tcPr>
                <w:p w14:paraId="114E789A">
                  <w:pPr>
                    <w:ind w:left="0" w:leftChars="0" w:right="0" w:rightChars="0" w:firstLine="0" w:firstLineChars="0"/>
                    <w:jc w:val="center"/>
                    <w:rPr>
                      <w:rFonts w:hint="eastAsia" w:ascii="Times New Roman" w:hAnsi="Times New Roman" w:eastAsia="宋体"/>
                      <w:smallCaps w:val="0"/>
                      <w:color w:val="auto"/>
                      <w:w w:val="100"/>
                      <w:sz w:val="18"/>
                      <w:szCs w:val="18"/>
                      <w:highlight w:val="none"/>
                    </w:rPr>
                  </w:pPr>
                  <w:r>
                    <w:rPr>
                      <w:rFonts w:hint="eastAsia"/>
                      <w:smallCaps w:val="0"/>
                      <w:color w:val="auto"/>
                      <w:w w:val="100"/>
                      <w:sz w:val="18"/>
                      <w:szCs w:val="18"/>
                      <w:highlight w:val="none"/>
                      <w:lang w:val="en-US" w:eastAsia="zh-CN"/>
                    </w:rPr>
                    <w:t>序号</w:t>
                  </w:r>
                </w:p>
              </w:tc>
              <w:tc>
                <w:tcPr>
                  <w:tcW w:w="710" w:type="pct"/>
                  <w:noWrap w:val="0"/>
                  <w:vAlign w:val="center"/>
                </w:tcPr>
                <w:p w14:paraId="41C8D35F">
                  <w:pPr>
                    <w:ind w:left="0" w:leftChars="0" w:right="0" w:rightChars="0" w:firstLine="0" w:firstLineChars="0"/>
                    <w:jc w:val="center"/>
                    <w:rPr>
                      <w:rFonts w:hint="default" w:ascii="Times New Roman" w:hAnsi="Times New Roman" w:eastAsia="宋体"/>
                      <w:smallCaps w:val="0"/>
                      <w:color w:val="auto"/>
                      <w:w w:val="100"/>
                      <w:sz w:val="18"/>
                      <w:szCs w:val="18"/>
                      <w:highlight w:val="none"/>
                      <w:lang w:val="en-US" w:eastAsia="zh-CN"/>
                    </w:rPr>
                  </w:pPr>
                  <w:r>
                    <w:rPr>
                      <w:rFonts w:hint="eastAsia"/>
                      <w:smallCaps w:val="0"/>
                      <w:color w:val="auto"/>
                      <w:w w:val="100"/>
                      <w:sz w:val="18"/>
                      <w:szCs w:val="18"/>
                      <w:highlight w:val="none"/>
                      <w:lang w:val="en-US" w:eastAsia="zh-CN"/>
                    </w:rPr>
                    <w:t>名称</w:t>
                  </w:r>
                </w:p>
              </w:tc>
              <w:tc>
                <w:tcPr>
                  <w:tcW w:w="674" w:type="pct"/>
                  <w:noWrap w:val="0"/>
                  <w:vAlign w:val="center"/>
                </w:tcPr>
                <w:p w14:paraId="4CF46DCF">
                  <w:pPr>
                    <w:ind w:left="0" w:leftChars="0" w:right="0" w:rightChars="0" w:firstLine="0" w:firstLineChars="0"/>
                    <w:jc w:val="center"/>
                    <w:rPr>
                      <w:rFonts w:hint="eastAsia"/>
                      <w:smallCaps w:val="0"/>
                      <w:color w:val="auto"/>
                      <w:w w:val="100"/>
                      <w:sz w:val="18"/>
                      <w:szCs w:val="18"/>
                      <w:highlight w:val="none"/>
                      <w:lang w:val="en-US" w:eastAsia="zh-CN"/>
                    </w:rPr>
                  </w:pPr>
                  <w:r>
                    <w:rPr>
                      <w:rFonts w:hint="eastAsia"/>
                      <w:smallCaps w:val="0"/>
                      <w:color w:val="auto"/>
                      <w:w w:val="100"/>
                      <w:sz w:val="18"/>
                      <w:szCs w:val="18"/>
                      <w:highlight w:val="none"/>
                      <w:lang w:val="en-US" w:eastAsia="zh-CN"/>
                    </w:rPr>
                    <w:t>占地面积</w:t>
                  </w:r>
                </w:p>
                <w:p w14:paraId="78310FE2">
                  <w:pPr>
                    <w:ind w:left="0" w:leftChars="0" w:right="0" w:rightChars="0" w:firstLine="0" w:firstLineChars="0"/>
                    <w:jc w:val="center"/>
                    <w:rPr>
                      <w:rFonts w:hint="default" w:ascii="Times New Roman" w:hAnsi="Times New Roman" w:eastAsia="宋体"/>
                      <w:smallCaps w:val="0"/>
                      <w:color w:val="auto"/>
                      <w:w w:val="100"/>
                      <w:sz w:val="18"/>
                      <w:szCs w:val="18"/>
                      <w:highlight w:val="none"/>
                      <w:lang w:val="en-US" w:eastAsia="zh-CN"/>
                    </w:rPr>
                  </w:pPr>
                  <w:r>
                    <w:rPr>
                      <w:rFonts w:hint="eastAsia"/>
                      <w:smallCaps w:val="0"/>
                      <w:color w:val="auto"/>
                      <w:w w:val="100"/>
                      <w:sz w:val="18"/>
                      <w:szCs w:val="18"/>
                      <w:highlight w:val="none"/>
                      <w:lang w:val="en-US" w:eastAsia="zh-CN"/>
                    </w:rPr>
                    <w:t>（m</w:t>
                  </w:r>
                  <w:r>
                    <w:rPr>
                      <w:rFonts w:hint="eastAsia"/>
                      <w:smallCaps w:val="0"/>
                      <w:color w:val="auto"/>
                      <w:w w:val="100"/>
                      <w:sz w:val="18"/>
                      <w:szCs w:val="18"/>
                      <w:highlight w:val="none"/>
                      <w:vertAlign w:val="superscript"/>
                      <w:lang w:val="en-US" w:eastAsia="zh-CN"/>
                    </w:rPr>
                    <w:t>2</w:t>
                  </w:r>
                  <w:r>
                    <w:rPr>
                      <w:rFonts w:hint="eastAsia"/>
                      <w:smallCaps w:val="0"/>
                      <w:color w:val="auto"/>
                      <w:w w:val="100"/>
                      <w:sz w:val="18"/>
                      <w:szCs w:val="18"/>
                      <w:highlight w:val="none"/>
                      <w:lang w:val="en-US" w:eastAsia="zh-CN"/>
                    </w:rPr>
                    <w:t>）</w:t>
                  </w:r>
                </w:p>
              </w:tc>
              <w:tc>
                <w:tcPr>
                  <w:tcW w:w="601" w:type="pct"/>
                  <w:noWrap w:val="0"/>
                  <w:vAlign w:val="center"/>
                </w:tcPr>
                <w:p w14:paraId="368E820A">
                  <w:pPr>
                    <w:ind w:left="0" w:leftChars="0" w:right="0" w:rightChars="0" w:firstLine="0" w:firstLineChars="0"/>
                    <w:jc w:val="center"/>
                    <w:rPr>
                      <w:rFonts w:hint="eastAsia" w:cs="Times New Roman"/>
                      <w:color w:val="auto"/>
                      <w:w w:val="100"/>
                      <w:sz w:val="18"/>
                      <w:szCs w:val="18"/>
                      <w:highlight w:val="none"/>
                      <w:lang w:val="en-US" w:eastAsia="zh-CN"/>
                    </w:rPr>
                  </w:pPr>
                  <w:r>
                    <w:rPr>
                      <w:rFonts w:hint="eastAsia" w:cs="Times New Roman"/>
                      <w:color w:val="auto"/>
                      <w:w w:val="100"/>
                      <w:sz w:val="18"/>
                      <w:szCs w:val="18"/>
                      <w:highlight w:val="none"/>
                      <w:lang w:val="en-US" w:eastAsia="zh-CN"/>
                    </w:rPr>
                    <w:t>建筑面积</w:t>
                  </w:r>
                </w:p>
                <w:p w14:paraId="06955F09">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smallCaps w:val="0"/>
                      <w:color w:val="auto"/>
                      <w:w w:val="100"/>
                      <w:sz w:val="18"/>
                      <w:szCs w:val="18"/>
                      <w:highlight w:val="none"/>
                      <w:lang w:val="en-US" w:eastAsia="zh-CN"/>
                    </w:rPr>
                    <w:t>（m</w:t>
                  </w:r>
                  <w:r>
                    <w:rPr>
                      <w:rFonts w:hint="eastAsia"/>
                      <w:smallCaps w:val="0"/>
                      <w:color w:val="auto"/>
                      <w:w w:val="100"/>
                      <w:sz w:val="18"/>
                      <w:szCs w:val="18"/>
                      <w:highlight w:val="none"/>
                      <w:vertAlign w:val="superscript"/>
                      <w:lang w:val="en-US" w:eastAsia="zh-CN"/>
                    </w:rPr>
                    <w:t>2</w:t>
                  </w:r>
                  <w:r>
                    <w:rPr>
                      <w:rFonts w:hint="eastAsia"/>
                      <w:smallCaps w:val="0"/>
                      <w:color w:val="auto"/>
                      <w:w w:val="100"/>
                      <w:sz w:val="18"/>
                      <w:szCs w:val="18"/>
                      <w:highlight w:val="none"/>
                      <w:lang w:val="en-US" w:eastAsia="zh-CN"/>
                    </w:rPr>
                    <w:t>）</w:t>
                  </w:r>
                </w:p>
              </w:tc>
              <w:tc>
                <w:tcPr>
                  <w:tcW w:w="547" w:type="pct"/>
                  <w:noWrap w:val="0"/>
                  <w:vAlign w:val="center"/>
                </w:tcPr>
                <w:p w14:paraId="0AD1BB48">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层数</w:t>
                  </w:r>
                </w:p>
              </w:tc>
              <w:tc>
                <w:tcPr>
                  <w:tcW w:w="632" w:type="pct"/>
                  <w:noWrap w:val="0"/>
                  <w:vAlign w:val="center"/>
                </w:tcPr>
                <w:p w14:paraId="0B0315CD">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结构形式</w:t>
                  </w:r>
                </w:p>
              </w:tc>
              <w:tc>
                <w:tcPr>
                  <w:tcW w:w="1466" w:type="pct"/>
                  <w:noWrap w:val="0"/>
                  <w:vAlign w:val="center"/>
                </w:tcPr>
                <w:p w14:paraId="6047A20A">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备注</w:t>
                  </w:r>
                </w:p>
              </w:tc>
            </w:tr>
            <w:tr w14:paraId="1D2D9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7" w:type="pct"/>
                  <w:noWrap w:val="0"/>
                  <w:vAlign w:val="center"/>
                </w:tcPr>
                <w:p w14:paraId="124DD036">
                  <w:pPr>
                    <w:ind w:left="0" w:leftChars="0" w:right="0" w:rightChars="0" w:firstLine="0" w:firstLineChars="0"/>
                    <w:jc w:val="center"/>
                    <w:rPr>
                      <w:rFonts w:hint="default" w:ascii="Times New Roman" w:hAnsi="Times New Roman" w:eastAsia="宋体"/>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1</w:t>
                  </w:r>
                </w:p>
              </w:tc>
              <w:tc>
                <w:tcPr>
                  <w:tcW w:w="710" w:type="pct"/>
                  <w:noWrap w:val="0"/>
                  <w:vAlign w:val="center"/>
                </w:tcPr>
                <w:p w14:paraId="34CB500A">
                  <w:pPr>
                    <w:ind w:left="0" w:leftChars="0" w:right="0" w:rightChars="0" w:firstLine="0" w:firstLineChars="0"/>
                    <w:jc w:val="center"/>
                    <w:rPr>
                      <w:rFonts w:hint="default"/>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综合车间</w:t>
                  </w:r>
                </w:p>
              </w:tc>
              <w:tc>
                <w:tcPr>
                  <w:tcW w:w="674" w:type="pct"/>
                  <w:noWrap w:val="0"/>
                  <w:vAlign w:val="center"/>
                </w:tcPr>
                <w:p w14:paraId="75C449ED">
                  <w:pPr>
                    <w:ind w:left="0" w:leftChars="0" w:right="0" w:rightChars="0" w:firstLine="0" w:firstLineChars="0"/>
                    <w:jc w:val="center"/>
                    <w:rPr>
                      <w:rFonts w:hint="default"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2200</w:t>
                  </w:r>
                </w:p>
              </w:tc>
              <w:tc>
                <w:tcPr>
                  <w:tcW w:w="601" w:type="pct"/>
                  <w:shd w:val="clear" w:color="auto" w:fill="auto"/>
                  <w:noWrap w:val="0"/>
                  <w:vAlign w:val="center"/>
                </w:tcPr>
                <w:p w14:paraId="2E0F30CE">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2200</w:t>
                  </w:r>
                </w:p>
              </w:tc>
              <w:tc>
                <w:tcPr>
                  <w:tcW w:w="547" w:type="pct"/>
                  <w:shd w:val="clear" w:color="auto" w:fill="auto"/>
                  <w:noWrap w:val="0"/>
                  <w:vAlign w:val="center"/>
                </w:tcPr>
                <w:p w14:paraId="014C15C6">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一层</w:t>
                  </w:r>
                </w:p>
              </w:tc>
              <w:tc>
                <w:tcPr>
                  <w:tcW w:w="632" w:type="pct"/>
                  <w:shd w:val="clear" w:color="auto" w:fill="auto"/>
                  <w:noWrap w:val="0"/>
                  <w:vAlign w:val="center"/>
                </w:tcPr>
                <w:p w14:paraId="0F31C805">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钢结构</w:t>
                  </w:r>
                </w:p>
              </w:tc>
              <w:tc>
                <w:tcPr>
                  <w:tcW w:w="1466" w:type="pct"/>
                  <w:shd w:val="clear" w:color="auto" w:fill="auto"/>
                  <w:noWrap w:val="0"/>
                  <w:vAlign w:val="center"/>
                </w:tcPr>
                <w:p w14:paraId="5B791047">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现有，闲置，项目拟用</w:t>
                  </w:r>
                </w:p>
              </w:tc>
            </w:tr>
            <w:tr w14:paraId="5F31E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7" w:type="pct"/>
                  <w:noWrap w:val="0"/>
                  <w:vAlign w:val="center"/>
                </w:tcPr>
                <w:p w14:paraId="6FF24D66">
                  <w:pPr>
                    <w:ind w:left="0" w:leftChars="0" w:right="0" w:rightChars="0" w:firstLine="0" w:firstLineChars="0"/>
                    <w:jc w:val="center"/>
                    <w:rPr>
                      <w:rFonts w:hint="default" w:ascii="Times New Roman" w:hAnsi="Times New Roman" w:eastAsia="宋体"/>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2</w:t>
                  </w:r>
                </w:p>
              </w:tc>
              <w:tc>
                <w:tcPr>
                  <w:tcW w:w="710" w:type="pct"/>
                  <w:noWrap w:val="0"/>
                  <w:vAlign w:val="center"/>
                </w:tcPr>
                <w:p w14:paraId="7BDD4FD6">
                  <w:pPr>
                    <w:ind w:left="0" w:leftChars="0" w:right="0" w:rightChars="0" w:firstLine="0" w:firstLineChars="0"/>
                    <w:jc w:val="center"/>
                    <w:rPr>
                      <w:rFonts w:hint="default"/>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生产车间</w:t>
                  </w:r>
                </w:p>
              </w:tc>
              <w:tc>
                <w:tcPr>
                  <w:tcW w:w="674" w:type="pct"/>
                  <w:noWrap w:val="0"/>
                  <w:vAlign w:val="center"/>
                </w:tcPr>
                <w:p w14:paraId="546EDE77">
                  <w:pPr>
                    <w:ind w:left="0" w:leftChars="0" w:right="0" w:rightChars="0" w:firstLine="0" w:firstLineChars="0"/>
                    <w:jc w:val="center"/>
                    <w:rPr>
                      <w:rFonts w:hint="default"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1700</w:t>
                  </w:r>
                </w:p>
              </w:tc>
              <w:tc>
                <w:tcPr>
                  <w:tcW w:w="601" w:type="pct"/>
                  <w:shd w:val="clear" w:color="auto" w:fill="auto"/>
                  <w:noWrap w:val="0"/>
                  <w:vAlign w:val="center"/>
                </w:tcPr>
                <w:p w14:paraId="679886F0">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1700</w:t>
                  </w:r>
                </w:p>
              </w:tc>
              <w:tc>
                <w:tcPr>
                  <w:tcW w:w="547" w:type="pct"/>
                  <w:noWrap w:val="0"/>
                  <w:vAlign w:val="center"/>
                </w:tcPr>
                <w:p w14:paraId="3A3A55AE">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一层</w:t>
                  </w:r>
                </w:p>
              </w:tc>
              <w:tc>
                <w:tcPr>
                  <w:tcW w:w="632" w:type="pct"/>
                  <w:noWrap w:val="0"/>
                  <w:vAlign w:val="center"/>
                </w:tcPr>
                <w:p w14:paraId="01E98121">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钢结构</w:t>
                  </w:r>
                </w:p>
              </w:tc>
              <w:tc>
                <w:tcPr>
                  <w:tcW w:w="1466" w:type="pct"/>
                  <w:noWrap w:val="0"/>
                  <w:vAlign w:val="center"/>
                </w:tcPr>
                <w:p w14:paraId="741A42BE">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现有，闲置，项目拟用</w:t>
                  </w:r>
                </w:p>
              </w:tc>
            </w:tr>
            <w:tr w14:paraId="507B0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7" w:type="pct"/>
                  <w:noWrap w:val="0"/>
                  <w:vAlign w:val="center"/>
                </w:tcPr>
                <w:p w14:paraId="66EA6C0E">
                  <w:pPr>
                    <w:ind w:left="0" w:leftChars="0" w:right="0" w:rightChars="0" w:firstLine="0" w:firstLineChars="0"/>
                    <w:jc w:val="center"/>
                    <w:rPr>
                      <w:rFonts w:hint="default" w:ascii="Times New Roman" w:hAnsi="Times New Roman" w:eastAsia="宋体"/>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3</w:t>
                  </w:r>
                </w:p>
              </w:tc>
              <w:tc>
                <w:tcPr>
                  <w:tcW w:w="710" w:type="pct"/>
                  <w:noWrap w:val="0"/>
                  <w:vAlign w:val="center"/>
                </w:tcPr>
                <w:p w14:paraId="7506CBA0">
                  <w:pPr>
                    <w:ind w:left="0" w:leftChars="0" w:right="0" w:rightChars="0" w:firstLine="0" w:firstLineChars="0"/>
                    <w:jc w:val="center"/>
                    <w:rPr>
                      <w:rFonts w:hint="default"/>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粉碎车间</w:t>
                  </w:r>
                </w:p>
              </w:tc>
              <w:tc>
                <w:tcPr>
                  <w:tcW w:w="674" w:type="pct"/>
                  <w:noWrap w:val="0"/>
                  <w:vAlign w:val="center"/>
                </w:tcPr>
                <w:p w14:paraId="3E3685A3">
                  <w:pPr>
                    <w:ind w:left="0" w:leftChars="0" w:right="0" w:rightChars="0" w:firstLine="0" w:firstLineChars="0"/>
                    <w:jc w:val="center"/>
                    <w:rPr>
                      <w:rFonts w:hint="default"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300</w:t>
                  </w:r>
                </w:p>
              </w:tc>
              <w:tc>
                <w:tcPr>
                  <w:tcW w:w="601" w:type="pct"/>
                  <w:shd w:val="clear" w:color="auto" w:fill="auto"/>
                  <w:noWrap w:val="0"/>
                  <w:vAlign w:val="center"/>
                </w:tcPr>
                <w:p w14:paraId="07B0B174">
                  <w:pPr>
                    <w:ind w:left="0" w:leftChars="0" w:right="0" w:rightChars="0" w:firstLine="0" w:firstLineChars="0"/>
                    <w:jc w:val="center"/>
                    <w:rPr>
                      <w:rFonts w:hint="default"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300</w:t>
                  </w:r>
                </w:p>
              </w:tc>
              <w:tc>
                <w:tcPr>
                  <w:tcW w:w="547" w:type="pct"/>
                  <w:noWrap w:val="0"/>
                  <w:vAlign w:val="center"/>
                </w:tcPr>
                <w:p w14:paraId="06C7A8C2">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一层</w:t>
                  </w:r>
                </w:p>
              </w:tc>
              <w:tc>
                <w:tcPr>
                  <w:tcW w:w="632" w:type="pct"/>
                  <w:noWrap w:val="0"/>
                  <w:vAlign w:val="center"/>
                </w:tcPr>
                <w:p w14:paraId="05621DB6">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钢结构</w:t>
                  </w:r>
                </w:p>
              </w:tc>
              <w:tc>
                <w:tcPr>
                  <w:tcW w:w="1466" w:type="pct"/>
                  <w:noWrap w:val="0"/>
                  <w:vAlign w:val="center"/>
                </w:tcPr>
                <w:p w14:paraId="5CD89A8F">
                  <w:pPr>
                    <w:ind w:left="0" w:leftChars="0" w:right="0" w:rightChars="0" w:firstLine="0" w:firstLineChars="0"/>
                    <w:jc w:val="center"/>
                    <w:rPr>
                      <w:rFonts w:hint="eastAsia" w:ascii="Times New Roman" w:hAnsi="Times New Roman" w:eastAsia="宋体"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现有，闲置，项目拟用</w:t>
                  </w:r>
                </w:p>
              </w:tc>
            </w:tr>
            <w:tr w14:paraId="7609C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77" w:type="pct"/>
                  <w:gridSpan w:val="2"/>
                  <w:noWrap w:val="0"/>
                  <w:vAlign w:val="center"/>
                </w:tcPr>
                <w:p w14:paraId="61EC5FDA">
                  <w:pPr>
                    <w:ind w:left="0" w:leftChars="0" w:right="0" w:rightChars="0" w:firstLine="0" w:firstLineChars="0"/>
                    <w:jc w:val="center"/>
                    <w:rPr>
                      <w:rFonts w:hint="default"/>
                      <w:i w:val="0"/>
                      <w:iCs w:val="0"/>
                      <w:smallCaps w:val="0"/>
                      <w:color w:val="auto"/>
                      <w:w w:val="100"/>
                      <w:sz w:val="18"/>
                      <w:szCs w:val="18"/>
                      <w:highlight w:val="none"/>
                      <w:u w:val="none"/>
                      <w:lang w:val="en-US" w:eastAsia="zh-CN"/>
                    </w:rPr>
                  </w:pPr>
                  <w:r>
                    <w:rPr>
                      <w:rFonts w:hint="eastAsia"/>
                      <w:i w:val="0"/>
                      <w:iCs w:val="0"/>
                      <w:smallCaps w:val="0"/>
                      <w:color w:val="auto"/>
                      <w:w w:val="100"/>
                      <w:sz w:val="18"/>
                      <w:szCs w:val="18"/>
                      <w:highlight w:val="none"/>
                      <w:u w:val="none"/>
                      <w:lang w:val="en-US" w:eastAsia="zh-CN"/>
                    </w:rPr>
                    <w:t>合计</w:t>
                  </w:r>
                </w:p>
              </w:tc>
              <w:tc>
                <w:tcPr>
                  <w:tcW w:w="674" w:type="pct"/>
                  <w:noWrap w:val="0"/>
                  <w:vAlign w:val="center"/>
                </w:tcPr>
                <w:p w14:paraId="0D538A42">
                  <w:pPr>
                    <w:ind w:left="0" w:leftChars="0" w:right="0" w:rightChars="0" w:firstLine="0" w:firstLineChars="0"/>
                    <w:jc w:val="center"/>
                    <w:rPr>
                      <w:rFonts w:hint="eastAsia" w:cs="宋体"/>
                      <w:color w:val="auto"/>
                      <w:w w:val="100"/>
                      <w:sz w:val="18"/>
                      <w:szCs w:val="18"/>
                      <w:highlight w:val="none"/>
                      <w:lang w:val="en-US" w:eastAsia="zh-CN" w:bidi="ar-SA"/>
                    </w:rPr>
                  </w:pPr>
                </w:p>
              </w:tc>
              <w:tc>
                <w:tcPr>
                  <w:tcW w:w="601" w:type="pct"/>
                  <w:shd w:val="clear" w:color="auto" w:fill="auto"/>
                  <w:noWrap w:val="0"/>
                  <w:vAlign w:val="center"/>
                </w:tcPr>
                <w:p w14:paraId="51B91DB3">
                  <w:pPr>
                    <w:ind w:left="0" w:leftChars="0" w:right="0" w:rightChars="0" w:firstLine="0" w:firstLineChars="0"/>
                    <w:jc w:val="center"/>
                    <w:rPr>
                      <w:rFonts w:hint="default" w:cs="宋体"/>
                      <w:color w:val="auto"/>
                      <w:w w:val="100"/>
                      <w:sz w:val="18"/>
                      <w:szCs w:val="18"/>
                      <w:highlight w:val="none"/>
                      <w:lang w:val="en-US" w:eastAsia="zh-CN" w:bidi="ar-SA"/>
                    </w:rPr>
                  </w:pPr>
                  <w:r>
                    <w:rPr>
                      <w:rFonts w:hint="eastAsia" w:cs="宋体"/>
                      <w:color w:val="auto"/>
                      <w:w w:val="100"/>
                      <w:sz w:val="18"/>
                      <w:szCs w:val="18"/>
                      <w:highlight w:val="none"/>
                      <w:lang w:val="en-US" w:eastAsia="zh-CN" w:bidi="ar-SA"/>
                    </w:rPr>
                    <w:t>4200</w:t>
                  </w:r>
                </w:p>
              </w:tc>
              <w:tc>
                <w:tcPr>
                  <w:tcW w:w="547" w:type="pct"/>
                  <w:noWrap w:val="0"/>
                  <w:vAlign w:val="center"/>
                </w:tcPr>
                <w:p w14:paraId="3CE4F4EF">
                  <w:pPr>
                    <w:ind w:left="0" w:leftChars="0" w:right="0" w:rightChars="0" w:firstLine="0" w:firstLineChars="0"/>
                    <w:jc w:val="center"/>
                    <w:rPr>
                      <w:rFonts w:hint="eastAsia" w:cs="宋体"/>
                      <w:color w:val="auto"/>
                      <w:w w:val="100"/>
                      <w:sz w:val="18"/>
                      <w:szCs w:val="18"/>
                      <w:highlight w:val="none"/>
                      <w:lang w:val="en-US" w:eastAsia="zh-CN" w:bidi="ar-SA"/>
                    </w:rPr>
                  </w:pPr>
                </w:p>
              </w:tc>
              <w:tc>
                <w:tcPr>
                  <w:tcW w:w="632" w:type="pct"/>
                  <w:noWrap w:val="0"/>
                  <w:vAlign w:val="center"/>
                </w:tcPr>
                <w:p w14:paraId="4D4E5AE3">
                  <w:pPr>
                    <w:ind w:left="0" w:leftChars="0" w:right="0" w:rightChars="0" w:firstLine="0" w:firstLineChars="0"/>
                    <w:jc w:val="center"/>
                    <w:rPr>
                      <w:rFonts w:hint="eastAsia" w:cs="宋体"/>
                      <w:color w:val="auto"/>
                      <w:w w:val="100"/>
                      <w:sz w:val="18"/>
                      <w:szCs w:val="18"/>
                      <w:highlight w:val="none"/>
                      <w:lang w:val="en-US" w:eastAsia="zh-CN" w:bidi="ar-SA"/>
                    </w:rPr>
                  </w:pPr>
                </w:p>
              </w:tc>
              <w:tc>
                <w:tcPr>
                  <w:tcW w:w="1466" w:type="pct"/>
                  <w:noWrap w:val="0"/>
                  <w:vAlign w:val="center"/>
                </w:tcPr>
                <w:p w14:paraId="775B54F7">
                  <w:pPr>
                    <w:ind w:left="0" w:leftChars="0" w:right="0" w:rightChars="0" w:firstLine="0" w:firstLineChars="0"/>
                    <w:jc w:val="center"/>
                    <w:rPr>
                      <w:rFonts w:hint="eastAsia" w:cs="宋体"/>
                      <w:color w:val="auto"/>
                      <w:w w:val="100"/>
                      <w:sz w:val="18"/>
                      <w:szCs w:val="18"/>
                      <w:highlight w:val="none"/>
                      <w:lang w:val="en-US" w:eastAsia="zh-CN" w:bidi="ar-SA"/>
                    </w:rPr>
                  </w:pPr>
                </w:p>
              </w:tc>
            </w:tr>
          </w:tbl>
          <w:p w14:paraId="6A18A621">
            <w:pPr>
              <w:pStyle w:val="48"/>
              <w:adjustRightInd w:val="0"/>
              <w:snapToGrid w:val="0"/>
              <w:spacing w:beforeLines="0" w:after="0" w:afterAutospacing="0"/>
              <w:rPr>
                <w:rFonts w:hint="eastAsia" w:ascii="Times New Roman" w:eastAsia="宋体"/>
                <w:b w:val="0"/>
                <w:color w:val="auto"/>
                <w:sz w:val="10"/>
                <w:szCs w:val="10"/>
                <w:highlight w:val="none"/>
              </w:rPr>
            </w:pPr>
          </w:p>
          <w:p w14:paraId="59EF6249">
            <w:pPr>
              <w:pStyle w:val="48"/>
              <w:adjustRightInd w:val="0"/>
              <w:snapToGrid w:val="0"/>
              <w:spacing w:beforeLines="0" w:after="0" w:afterAutospacing="0"/>
              <w:rPr>
                <w:rFonts w:hint="eastAsia" w:ascii="Times New Roman" w:eastAsia="宋体"/>
                <w:b w:val="0"/>
                <w:color w:val="auto"/>
                <w:highlight w:val="none"/>
              </w:rPr>
            </w:pPr>
          </w:p>
          <w:p w14:paraId="293CEFFD">
            <w:pPr>
              <w:pStyle w:val="48"/>
              <w:adjustRightInd w:val="0"/>
              <w:snapToGrid w:val="0"/>
              <w:spacing w:beforeLines="0" w:after="0" w:afterAutospacing="0"/>
              <w:rPr>
                <w:rFonts w:ascii="Times New Roman" w:eastAsia="宋体"/>
                <w:b w:val="0"/>
                <w:color w:val="auto"/>
                <w:highlight w:val="none"/>
              </w:rPr>
            </w:pPr>
            <w:r>
              <w:rPr>
                <w:rFonts w:hint="eastAsia" w:ascii="Times New Roman" w:eastAsia="宋体"/>
                <w:b w:val="0"/>
                <w:color w:val="auto"/>
                <w:highlight w:val="none"/>
              </w:rPr>
              <w:t>项目组成一览表</w:t>
            </w:r>
          </w:p>
          <w:tbl>
            <w:tblPr>
              <w:tblStyle w:val="2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8"/>
              <w:gridCol w:w="1313"/>
              <w:gridCol w:w="5053"/>
              <w:gridCol w:w="663"/>
            </w:tblGrid>
            <w:tr w14:paraId="7DCA3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38" w:type="pct"/>
                  <w:tcBorders>
                    <w:tl2br w:val="nil"/>
                    <w:tr2bl w:val="nil"/>
                  </w:tcBorders>
                  <w:noWrap w:val="0"/>
                  <w:vAlign w:val="center"/>
                </w:tcPr>
                <w:p w14:paraId="01C20769">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项目组成</w:t>
                  </w:r>
                </w:p>
              </w:tc>
              <w:tc>
                <w:tcPr>
                  <w:tcW w:w="833" w:type="pct"/>
                  <w:tcBorders>
                    <w:tl2br w:val="nil"/>
                    <w:tr2bl w:val="nil"/>
                  </w:tcBorders>
                  <w:noWrap w:val="0"/>
                  <w:vAlign w:val="center"/>
                </w:tcPr>
                <w:p w14:paraId="474FE4ED">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工程名称</w:t>
                  </w:r>
                </w:p>
              </w:tc>
              <w:tc>
                <w:tcPr>
                  <w:tcW w:w="3206" w:type="pct"/>
                  <w:tcBorders>
                    <w:tl2br w:val="nil"/>
                    <w:tr2bl w:val="nil"/>
                  </w:tcBorders>
                  <w:noWrap w:val="0"/>
                  <w:vAlign w:val="center"/>
                </w:tcPr>
                <w:p w14:paraId="7136E800">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建设规模</w:t>
                  </w:r>
                </w:p>
              </w:tc>
              <w:tc>
                <w:tcPr>
                  <w:tcW w:w="421" w:type="pct"/>
                  <w:tcBorders>
                    <w:tl2br w:val="nil"/>
                    <w:tr2bl w:val="nil"/>
                  </w:tcBorders>
                  <w:noWrap w:val="0"/>
                  <w:vAlign w:val="center"/>
                </w:tcPr>
                <w:p w14:paraId="673B9F14">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备注</w:t>
                  </w:r>
                </w:p>
              </w:tc>
            </w:tr>
            <w:tr w14:paraId="38F53F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restart"/>
                  <w:tcBorders>
                    <w:tl2br w:val="nil"/>
                    <w:tr2bl w:val="nil"/>
                  </w:tcBorders>
                  <w:noWrap w:val="0"/>
                  <w:vAlign w:val="center"/>
                </w:tcPr>
                <w:p w14:paraId="48CE5729">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主体工程</w:t>
                  </w:r>
                </w:p>
              </w:tc>
              <w:tc>
                <w:tcPr>
                  <w:tcW w:w="833" w:type="pct"/>
                  <w:tcBorders>
                    <w:tl2br w:val="nil"/>
                    <w:tr2bl w:val="nil"/>
                  </w:tcBorders>
                  <w:noWrap w:val="0"/>
                  <w:vAlign w:val="center"/>
                </w:tcPr>
                <w:p w14:paraId="751D1EA0">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生产车间</w:t>
                  </w:r>
                </w:p>
              </w:tc>
              <w:tc>
                <w:tcPr>
                  <w:tcW w:w="3206" w:type="pct"/>
                  <w:tcBorders>
                    <w:tl2br w:val="nil"/>
                    <w:tr2bl w:val="nil"/>
                  </w:tcBorders>
                  <w:noWrap w:val="0"/>
                  <w:vAlign w:val="center"/>
                </w:tcPr>
                <w:p w14:paraId="72B84482">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建筑</w:t>
                  </w:r>
                  <w:r>
                    <w:rPr>
                      <w:rFonts w:hint="eastAsia" w:ascii="Times New Roman" w:hAnsi="Times New Roman" w:eastAsia="宋体"/>
                      <w:color w:val="auto"/>
                      <w:w w:val="100"/>
                      <w:position w:val="0"/>
                      <w:sz w:val="18"/>
                      <w:szCs w:val="18"/>
                      <w:highlight w:val="none"/>
                      <w:u w:val="none" w:color="auto"/>
                      <w:lang w:val="en-US" w:eastAsia="zh-CN"/>
                    </w:rPr>
                    <w:t>面积</w:t>
                  </w:r>
                  <w:r>
                    <w:rPr>
                      <w:rFonts w:hint="eastAsia" w:ascii="Times New Roman" w:hAnsi="Times New Roman"/>
                      <w:color w:val="auto"/>
                      <w:w w:val="100"/>
                      <w:position w:val="0"/>
                      <w:sz w:val="18"/>
                      <w:szCs w:val="18"/>
                      <w:highlight w:val="none"/>
                      <w:u w:val="none" w:color="auto"/>
                      <w:lang w:val="en-US" w:eastAsia="zh-CN"/>
                    </w:rPr>
                    <w:t>1700</w:t>
                  </w:r>
                  <w:r>
                    <w:rPr>
                      <w:rFonts w:hint="eastAsia" w:ascii="Times New Roman" w:hAnsi="Times New Roman" w:eastAsia="宋体"/>
                      <w:color w:val="auto"/>
                      <w:w w:val="100"/>
                      <w:position w:val="0"/>
                      <w:sz w:val="18"/>
                      <w:szCs w:val="18"/>
                      <w:highlight w:val="none"/>
                      <w:u w:val="none" w:color="auto"/>
                      <w:lang w:val="en-US" w:eastAsia="zh-CN"/>
                    </w:rPr>
                    <w:t>m</w:t>
                  </w:r>
                  <w:r>
                    <w:rPr>
                      <w:rFonts w:hint="eastAsia" w:ascii="Times New Roman" w:hAnsi="Times New Roman" w:eastAsia="宋体"/>
                      <w:color w:val="auto"/>
                      <w:w w:val="100"/>
                      <w:position w:val="0"/>
                      <w:sz w:val="18"/>
                      <w:szCs w:val="18"/>
                      <w:highlight w:val="none"/>
                      <w:u w:val="none" w:color="auto"/>
                      <w:vertAlign w:val="superscript"/>
                      <w:lang w:val="en-US" w:eastAsia="zh-CN"/>
                    </w:rPr>
                    <w:t>2</w:t>
                  </w:r>
                  <w:r>
                    <w:rPr>
                      <w:rFonts w:hint="eastAsia" w:ascii="Times New Roman" w:hAnsi="Times New Roman" w:eastAsia="宋体"/>
                      <w:color w:val="auto"/>
                      <w:w w:val="100"/>
                      <w:position w:val="0"/>
                      <w:sz w:val="18"/>
                      <w:szCs w:val="18"/>
                      <w:highlight w:val="none"/>
                      <w:u w:val="none" w:color="auto"/>
                      <w:lang w:val="en-US" w:eastAsia="zh-CN"/>
                    </w:rPr>
                    <w:t>，</w:t>
                  </w:r>
                  <w:r>
                    <w:rPr>
                      <w:rFonts w:hint="eastAsia" w:ascii="Times New Roman" w:hAnsi="Times New Roman"/>
                      <w:color w:val="auto"/>
                      <w:w w:val="100"/>
                      <w:position w:val="0"/>
                      <w:sz w:val="18"/>
                      <w:szCs w:val="18"/>
                      <w:highlight w:val="none"/>
                      <w:u w:val="none" w:color="auto"/>
                      <w:lang w:val="en-US" w:eastAsia="zh-CN"/>
                    </w:rPr>
                    <w:t>内设晾晒区、辅料添加区及包装区；晾晒区将发酵好的物料进行摊开晾晒；辅料添加区进行按比例添加珍珠岩和蛭石；包装区进行成品包装；</w:t>
                  </w:r>
                </w:p>
              </w:tc>
              <w:tc>
                <w:tcPr>
                  <w:tcW w:w="421" w:type="pct"/>
                  <w:vMerge w:val="restart"/>
                  <w:tcBorders>
                    <w:tl2br w:val="nil"/>
                    <w:tr2bl w:val="nil"/>
                  </w:tcBorders>
                  <w:noWrap w:val="0"/>
                  <w:vAlign w:val="center"/>
                </w:tcPr>
                <w:p w14:paraId="65E999CA">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依托现有建筑</w:t>
                  </w:r>
                </w:p>
              </w:tc>
            </w:tr>
            <w:tr w14:paraId="7DFB21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continue"/>
                  <w:tcBorders>
                    <w:tl2br w:val="nil"/>
                    <w:tr2bl w:val="nil"/>
                  </w:tcBorders>
                  <w:noWrap w:val="0"/>
                  <w:vAlign w:val="center"/>
                </w:tcPr>
                <w:p w14:paraId="62535A11">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6E8259EC">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综合车间</w:t>
                  </w:r>
                </w:p>
              </w:tc>
              <w:tc>
                <w:tcPr>
                  <w:tcW w:w="3206" w:type="pct"/>
                  <w:tcBorders>
                    <w:tl2br w:val="nil"/>
                    <w:tr2bl w:val="nil"/>
                  </w:tcBorders>
                  <w:noWrap w:val="0"/>
                  <w:vAlign w:val="center"/>
                </w:tcPr>
                <w:p w14:paraId="7AE3BA9B">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建筑面积2200</w:t>
                  </w:r>
                  <w:r>
                    <w:rPr>
                      <w:rFonts w:hint="eastAsia" w:ascii="Times New Roman" w:hAnsi="Times New Roman" w:eastAsia="宋体"/>
                      <w:color w:val="auto"/>
                      <w:w w:val="100"/>
                      <w:position w:val="0"/>
                      <w:sz w:val="18"/>
                      <w:szCs w:val="18"/>
                      <w:highlight w:val="none"/>
                      <w:u w:val="none" w:color="auto"/>
                      <w:lang w:val="en-US" w:eastAsia="zh-CN"/>
                    </w:rPr>
                    <w:t>m</w:t>
                  </w:r>
                  <w:r>
                    <w:rPr>
                      <w:rFonts w:hint="eastAsia" w:ascii="Times New Roman" w:hAnsi="Times New Roman" w:eastAsia="宋体"/>
                      <w:color w:val="auto"/>
                      <w:w w:val="100"/>
                      <w:position w:val="0"/>
                      <w:sz w:val="18"/>
                      <w:szCs w:val="18"/>
                      <w:highlight w:val="none"/>
                      <w:u w:val="none" w:color="auto"/>
                      <w:vertAlign w:val="superscript"/>
                      <w:lang w:val="en-US" w:eastAsia="zh-CN"/>
                    </w:rPr>
                    <w:t>2</w:t>
                  </w:r>
                  <w:r>
                    <w:rPr>
                      <w:rFonts w:hint="eastAsia" w:ascii="Times New Roman" w:hAnsi="Times New Roman" w:eastAsia="宋体"/>
                      <w:color w:val="auto"/>
                      <w:w w:val="100"/>
                      <w:position w:val="0"/>
                      <w:sz w:val="18"/>
                      <w:szCs w:val="18"/>
                      <w:highlight w:val="none"/>
                      <w:u w:val="none" w:color="auto"/>
                      <w:lang w:val="en-US" w:eastAsia="zh-CN"/>
                    </w:rPr>
                    <w:t>，</w:t>
                  </w:r>
                  <w:r>
                    <w:rPr>
                      <w:rFonts w:hint="eastAsia" w:ascii="Times New Roman" w:hAnsi="Times New Roman"/>
                      <w:color w:val="auto"/>
                      <w:w w:val="100"/>
                      <w:position w:val="0"/>
                      <w:sz w:val="18"/>
                      <w:szCs w:val="18"/>
                      <w:highlight w:val="none"/>
                      <w:u w:val="none" w:color="auto"/>
                      <w:lang w:val="en-US" w:eastAsia="zh-CN"/>
                    </w:rPr>
                    <w:t>内设库房及发酵区，用于成品存放及发酵生产；其中：库房面积约400m</w:t>
                  </w:r>
                  <w:r>
                    <w:rPr>
                      <w:rFonts w:hint="eastAsia" w:ascii="Times New Roman" w:hAnsi="Times New Roman"/>
                      <w:color w:val="auto"/>
                      <w:w w:val="100"/>
                      <w:position w:val="0"/>
                      <w:sz w:val="18"/>
                      <w:szCs w:val="18"/>
                      <w:highlight w:val="none"/>
                      <w:u w:val="none" w:color="auto"/>
                      <w:vertAlign w:val="superscript"/>
                      <w:lang w:val="en-US" w:eastAsia="zh-CN"/>
                    </w:rPr>
                    <w:t>2</w:t>
                  </w:r>
                  <w:r>
                    <w:rPr>
                      <w:rFonts w:hint="eastAsia" w:ascii="Times New Roman" w:hAnsi="Times New Roman"/>
                      <w:color w:val="auto"/>
                      <w:w w:val="100"/>
                      <w:position w:val="0"/>
                      <w:sz w:val="18"/>
                      <w:szCs w:val="18"/>
                      <w:highlight w:val="none"/>
                      <w:u w:val="none" w:color="auto"/>
                      <w:lang w:val="en-US" w:eastAsia="zh-CN"/>
                    </w:rPr>
                    <w:t>，发酵区域约1800m</w:t>
                  </w:r>
                  <w:r>
                    <w:rPr>
                      <w:rFonts w:hint="eastAsia" w:ascii="Times New Roman" w:hAnsi="Times New Roman"/>
                      <w:color w:val="auto"/>
                      <w:w w:val="100"/>
                      <w:position w:val="0"/>
                      <w:sz w:val="18"/>
                      <w:szCs w:val="18"/>
                      <w:highlight w:val="none"/>
                      <w:u w:val="none" w:color="auto"/>
                      <w:vertAlign w:val="superscript"/>
                      <w:lang w:val="en-US" w:eastAsia="zh-CN"/>
                    </w:rPr>
                    <w:t>2</w:t>
                  </w:r>
                  <w:r>
                    <w:rPr>
                      <w:rFonts w:hint="eastAsia" w:ascii="Times New Roman" w:hAnsi="Times New Roman"/>
                      <w:color w:val="auto"/>
                      <w:w w:val="100"/>
                      <w:position w:val="0"/>
                      <w:sz w:val="18"/>
                      <w:szCs w:val="18"/>
                      <w:highlight w:val="none"/>
                      <w:u w:val="none" w:color="auto"/>
                      <w:lang w:val="en-US" w:eastAsia="zh-CN"/>
                    </w:rPr>
                    <w:t>，为单独实墙隔离区域；</w:t>
                  </w:r>
                </w:p>
              </w:tc>
              <w:tc>
                <w:tcPr>
                  <w:tcW w:w="421" w:type="pct"/>
                  <w:vMerge w:val="continue"/>
                  <w:tcBorders>
                    <w:tl2br w:val="nil"/>
                    <w:tr2bl w:val="nil"/>
                  </w:tcBorders>
                  <w:noWrap w:val="0"/>
                  <w:vAlign w:val="center"/>
                </w:tcPr>
                <w:p w14:paraId="50FA145C">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p>
              </w:tc>
            </w:tr>
            <w:tr w14:paraId="7D7F80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continue"/>
                  <w:tcBorders>
                    <w:tl2br w:val="nil"/>
                    <w:tr2bl w:val="nil"/>
                  </w:tcBorders>
                  <w:noWrap w:val="0"/>
                  <w:vAlign w:val="center"/>
                </w:tcPr>
                <w:p w14:paraId="365F8B4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6703665C">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粉碎车间</w:t>
                  </w:r>
                </w:p>
              </w:tc>
              <w:tc>
                <w:tcPr>
                  <w:tcW w:w="3206" w:type="pct"/>
                  <w:tcBorders>
                    <w:tl2br w:val="nil"/>
                    <w:tr2bl w:val="nil"/>
                  </w:tcBorders>
                  <w:noWrap w:val="0"/>
                  <w:vAlign w:val="center"/>
                </w:tcPr>
                <w:p w14:paraId="6447E7A0">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建筑面积300</w:t>
                  </w:r>
                  <w:r>
                    <w:rPr>
                      <w:rFonts w:hint="eastAsia" w:ascii="Times New Roman" w:hAnsi="Times New Roman" w:eastAsia="宋体"/>
                      <w:color w:val="auto"/>
                      <w:w w:val="100"/>
                      <w:position w:val="0"/>
                      <w:sz w:val="18"/>
                      <w:szCs w:val="18"/>
                      <w:highlight w:val="none"/>
                      <w:u w:val="none" w:color="auto"/>
                      <w:lang w:val="en-US" w:eastAsia="zh-CN"/>
                    </w:rPr>
                    <w:t>m</w:t>
                  </w:r>
                  <w:r>
                    <w:rPr>
                      <w:rFonts w:hint="eastAsia" w:ascii="Times New Roman" w:hAnsi="Times New Roman" w:eastAsia="宋体"/>
                      <w:color w:val="auto"/>
                      <w:w w:val="100"/>
                      <w:position w:val="0"/>
                      <w:sz w:val="18"/>
                      <w:szCs w:val="18"/>
                      <w:highlight w:val="none"/>
                      <w:u w:val="none" w:color="auto"/>
                      <w:vertAlign w:val="superscript"/>
                      <w:lang w:val="en-US" w:eastAsia="zh-CN"/>
                    </w:rPr>
                    <w:t>2</w:t>
                  </w:r>
                  <w:r>
                    <w:rPr>
                      <w:rFonts w:hint="eastAsia" w:ascii="Times New Roman" w:hAnsi="Times New Roman" w:eastAsia="宋体"/>
                      <w:color w:val="auto"/>
                      <w:w w:val="100"/>
                      <w:position w:val="0"/>
                      <w:sz w:val="18"/>
                      <w:szCs w:val="18"/>
                      <w:highlight w:val="none"/>
                      <w:u w:val="none" w:color="auto"/>
                      <w:lang w:val="en-US" w:eastAsia="zh-CN"/>
                    </w:rPr>
                    <w:t>，</w:t>
                  </w:r>
                  <w:r>
                    <w:rPr>
                      <w:rFonts w:hint="eastAsia" w:ascii="Times New Roman" w:hAnsi="Times New Roman"/>
                      <w:color w:val="auto"/>
                      <w:w w:val="100"/>
                      <w:position w:val="0"/>
                      <w:sz w:val="18"/>
                      <w:szCs w:val="18"/>
                      <w:highlight w:val="none"/>
                      <w:u w:val="none" w:color="auto"/>
                      <w:lang w:val="en-US" w:eastAsia="zh-CN"/>
                    </w:rPr>
                    <w:t>将晾晒完毕的物料进行破碎筛分；</w:t>
                  </w:r>
                </w:p>
              </w:tc>
              <w:tc>
                <w:tcPr>
                  <w:tcW w:w="421" w:type="pct"/>
                  <w:vMerge w:val="continue"/>
                  <w:tcBorders>
                    <w:tl2br w:val="nil"/>
                    <w:tr2bl w:val="nil"/>
                  </w:tcBorders>
                  <w:noWrap w:val="0"/>
                  <w:vAlign w:val="center"/>
                </w:tcPr>
                <w:p w14:paraId="0552556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p>
              </w:tc>
            </w:tr>
            <w:tr w14:paraId="48FDC4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tcBorders>
                    <w:tl2br w:val="nil"/>
                    <w:tr2bl w:val="nil"/>
                  </w:tcBorders>
                  <w:noWrap w:val="0"/>
                  <w:vAlign w:val="center"/>
                </w:tcPr>
                <w:p w14:paraId="3D75F5B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储运工程</w:t>
                  </w:r>
                </w:p>
              </w:tc>
              <w:tc>
                <w:tcPr>
                  <w:tcW w:w="833" w:type="pct"/>
                  <w:tcBorders>
                    <w:tl2br w:val="nil"/>
                    <w:tr2bl w:val="nil"/>
                  </w:tcBorders>
                  <w:noWrap w:val="0"/>
                  <w:vAlign w:val="center"/>
                </w:tcPr>
                <w:p w14:paraId="5C1B3C1B">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库房</w:t>
                  </w:r>
                </w:p>
              </w:tc>
              <w:tc>
                <w:tcPr>
                  <w:tcW w:w="3206" w:type="pct"/>
                  <w:tcBorders>
                    <w:tl2br w:val="nil"/>
                    <w:tr2bl w:val="nil"/>
                  </w:tcBorders>
                  <w:noWrap w:val="0"/>
                  <w:vAlign w:val="center"/>
                </w:tcPr>
                <w:p w14:paraId="30396891">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位于综合车间内，建筑面积400</w:t>
                  </w:r>
                  <w:r>
                    <w:rPr>
                      <w:rFonts w:hint="eastAsia" w:ascii="Times New Roman" w:hAnsi="Times New Roman" w:eastAsia="宋体"/>
                      <w:color w:val="auto"/>
                      <w:w w:val="100"/>
                      <w:position w:val="0"/>
                      <w:sz w:val="18"/>
                      <w:szCs w:val="18"/>
                      <w:highlight w:val="none"/>
                      <w:u w:val="none" w:color="auto"/>
                      <w:lang w:val="en-US" w:eastAsia="zh-CN"/>
                    </w:rPr>
                    <w:t>m</w:t>
                  </w:r>
                  <w:r>
                    <w:rPr>
                      <w:rFonts w:hint="eastAsia" w:ascii="Times New Roman" w:hAnsi="Times New Roman" w:eastAsia="宋体"/>
                      <w:color w:val="auto"/>
                      <w:w w:val="100"/>
                      <w:position w:val="0"/>
                      <w:sz w:val="18"/>
                      <w:szCs w:val="18"/>
                      <w:highlight w:val="none"/>
                      <w:u w:val="none" w:color="auto"/>
                      <w:vertAlign w:val="superscript"/>
                      <w:lang w:val="en-US" w:eastAsia="zh-CN"/>
                    </w:rPr>
                    <w:t>2</w:t>
                  </w:r>
                  <w:r>
                    <w:rPr>
                      <w:rFonts w:hint="eastAsia" w:ascii="Times New Roman" w:hAnsi="Times New Roman" w:eastAsia="宋体"/>
                      <w:color w:val="auto"/>
                      <w:w w:val="100"/>
                      <w:position w:val="0"/>
                      <w:sz w:val="18"/>
                      <w:szCs w:val="18"/>
                      <w:highlight w:val="none"/>
                      <w:u w:val="none" w:color="auto"/>
                      <w:lang w:val="en-US" w:eastAsia="zh-CN"/>
                    </w:rPr>
                    <w:t>，</w:t>
                  </w:r>
                  <w:r>
                    <w:rPr>
                      <w:rFonts w:hint="eastAsia" w:ascii="Times New Roman" w:hAnsi="Times New Roman"/>
                      <w:color w:val="auto"/>
                      <w:w w:val="100"/>
                      <w:position w:val="0"/>
                      <w:sz w:val="18"/>
                      <w:szCs w:val="18"/>
                      <w:highlight w:val="none"/>
                      <w:u w:val="none" w:color="auto"/>
                      <w:lang w:val="en-US" w:eastAsia="zh-CN"/>
                    </w:rPr>
                    <w:t>主要用于成品的临时贮存；</w:t>
                  </w:r>
                </w:p>
              </w:tc>
              <w:tc>
                <w:tcPr>
                  <w:tcW w:w="421" w:type="pct"/>
                  <w:vMerge w:val="continue"/>
                  <w:tcBorders>
                    <w:tl2br w:val="nil"/>
                    <w:tr2bl w:val="nil"/>
                  </w:tcBorders>
                  <w:noWrap w:val="0"/>
                  <w:vAlign w:val="center"/>
                </w:tcPr>
                <w:p w14:paraId="131CEC7F">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p>
              </w:tc>
            </w:tr>
            <w:tr w14:paraId="76B04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38" w:type="pct"/>
                  <w:tcBorders>
                    <w:tl2br w:val="nil"/>
                    <w:tr2bl w:val="nil"/>
                  </w:tcBorders>
                  <w:noWrap w:val="0"/>
                  <w:vAlign w:val="center"/>
                </w:tcPr>
                <w:p w14:paraId="4502722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辅助工程</w:t>
                  </w:r>
                </w:p>
              </w:tc>
              <w:tc>
                <w:tcPr>
                  <w:tcW w:w="833" w:type="pct"/>
                  <w:tcBorders>
                    <w:tl2br w:val="nil"/>
                    <w:tr2bl w:val="nil"/>
                  </w:tcBorders>
                  <w:noWrap w:val="0"/>
                  <w:vAlign w:val="center"/>
                </w:tcPr>
                <w:p w14:paraId="5F93AC29">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宋体"/>
                      <w:color w:val="auto"/>
                      <w:w w:val="100"/>
                      <w:position w:val="0"/>
                      <w:sz w:val="18"/>
                      <w:szCs w:val="18"/>
                      <w:highlight w:val="none"/>
                      <w:u w:val="none" w:color="auto"/>
                      <w:lang w:val="en-US" w:eastAsia="zh-CN"/>
                    </w:rPr>
                  </w:pPr>
                  <w:r>
                    <w:rPr>
                      <w:rFonts w:hint="eastAsia" w:ascii="Times New Roman" w:hAnsi="Times New Roman" w:cs="宋体"/>
                      <w:color w:val="auto"/>
                      <w:w w:val="100"/>
                      <w:position w:val="0"/>
                      <w:sz w:val="18"/>
                      <w:szCs w:val="18"/>
                      <w:highlight w:val="none"/>
                      <w:u w:val="none" w:color="auto"/>
                      <w:lang w:val="en-US" w:eastAsia="zh-CN"/>
                    </w:rPr>
                    <w:t>办公区</w:t>
                  </w:r>
                </w:p>
              </w:tc>
              <w:tc>
                <w:tcPr>
                  <w:tcW w:w="3206" w:type="pct"/>
                  <w:tcBorders>
                    <w:tl2br w:val="nil"/>
                    <w:tr2bl w:val="nil"/>
                  </w:tcBorders>
                  <w:noWrap w:val="0"/>
                  <w:vAlign w:val="center"/>
                </w:tcPr>
                <w:p w14:paraId="47DB875F">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left"/>
                    <w:textAlignment w:val="auto"/>
                    <w:rPr>
                      <w:rFonts w:hint="default" w:ascii="Times New Roman" w:hAnsi="Times New Roman" w:eastAsia="宋体" w:cs="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位于生产车间内，建筑面积35m</w:t>
                  </w:r>
                  <w:r>
                    <w:rPr>
                      <w:rFonts w:hint="eastAsia" w:ascii="Times New Roman" w:hAnsi="Times New Roman"/>
                      <w:color w:val="auto"/>
                      <w:w w:val="100"/>
                      <w:position w:val="0"/>
                      <w:sz w:val="18"/>
                      <w:szCs w:val="18"/>
                      <w:highlight w:val="none"/>
                      <w:u w:val="none" w:color="auto"/>
                      <w:vertAlign w:val="superscript"/>
                      <w:lang w:val="en-US" w:eastAsia="zh-CN"/>
                    </w:rPr>
                    <w:t>2</w:t>
                  </w:r>
                  <w:r>
                    <w:rPr>
                      <w:rFonts w:hint="eastAsia" w:ascii="Times New Roman" w:hAnsi="Times New Roman"/>
                      <w:color w:val="auto"/>
                      <w:w w:val="100"/>
                      <w:position w:val="0"/>
                      <w:sz w:val="18"/>
                      <w:szCs w:val="18"/>
                      <w:highlight w:val="none"/>
                      <w:u w:val="none" w:color="auto"/>
                      <w:lang w:val="en-US" w:eastAsia="zh-CN"/>
                    </w:rPr>
                    <w:t>，人员办公；</w:t>
                  </w:r>
                </w:p>
              </w:tc>
              <w:tc>
                <w:tcPr>
                  <w:tcW w:w="421" w:type="pct"/>
                  <w:vMerge w:val="continue"/>
                  <w:tcBorders>
                    <w:bottom w:val="single" w:color="auto" w:sz="4" w:space="0"/>
                    <w:tl2br w:val="nil"/>
                    <w:tr2bl w:val="nil"/>
                  </w:tcBorders>
                  <w:noWrap w:val="0"/>
                  <w:vAlign w:val="center"/>
                </w:tcPr>
                <w:p w14:paraId="48E8B1FF">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color w:val="auto"/>
                      <w:w w:val="100"/>
                      <w:position w:val="0"/>
                      <w:sz w:val="18"/>
                      <w:szCs w:val="18"/>
                      <w:highlight w:val="none"/>
                      <w:u w:val="none" w:color="auto"/>
                      <w:lang w:val="en-US" w:eastAsia="zh-CN"/>
                    </w:rPr>
                  </w:pPr>
                </w:p>
              </w:tc>
            </w:tr>
            <w:tr w14:paraId="4C6F2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restart"/>
                  <w:tcBorders>
                    <w:tl2br w:val="nil"/>
                    <w:tr2bl w:val="nil"/>
                  </w:tcBorders>
                  <w:noWrap w:val="0"/>
                  <w:vAlign w:val="center"/>
                </w:tcPr>
                <w:p w14:paraId="4D3130F9">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公用工程</w:t>
                  </w:r>
                </w:p>
              </w:tc>
              <w:tc>
                <w:tcPr>
                  <w:tcW w:w="833" w:type="pct"/>
                  <w:tcBorders>
                    <w:tl2br w:val="nil"/>
                    <w:tr2bl w:val="nil"/>
                  </w:tcBorders>
                  <w:noWrap w:val="0"/>
                  <w:vAlign w:val="center"/>
                </w:tcPr>
                <w:p w14:paraId="2B9FDA7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给水</w:t>
                  </w:r>
                </w:p>
              </w:tc>
              <w:tc>
                <w:tcPr>
                  <w:tcW w:w="3206" w:type="pct"/>
                  <w:tcBorders>
                    <w:tl2br w:val="nil"/>
                    <w:tr2bl w:val="nil"/>
                  </w:tcBorders>
                  <w:noWrap w:val="0"/>
                  <w:vAlign w:val="center"/>
                </w:tcPr>
                <w:p w14:paraId="2461599B">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依托现有深井提供；</w:t>
                  </w:r>
                </w:p>
              </w:tc>
              <w:tc>
                <w:tcPr>
                  <w:tcW w:w="421" w:type="pct"/>
                  <w:tcBorders>
                    <w:tl2br w:val="nil"/>
                    <w:tr2bl w:val="nil"/>
                  </w:tcBorders>
                  <w:noWrap w:val="0"/>
                  <w:vAlign w:val="center"/>
                </w:tcPr>
                <w:p w14:paraId="087B3960">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hint="eastAsia"/>
                      <w:color w:val="auto"/>
                      <w:w w:val="100"/>
                      <w:position w:val="0"/>
                      <w:sz w:val="18"/>
                      <w:szCs w:val="18"/>
                      <w:highlight w:val="none"/>
                      <w:u w:val="none" w:color="auto"/>
                      <w:lang w:val="en-US" w:eastAsia="zh-CN"/>
                    </w:rPr>
                    <w:t>依托</w:t>
                  </w:r>
                </w:p>
              </w:tc>
            </w:tr>
            <w:tr w14:paraId="7CD0CA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continue"/>
                  <w:tcBorders>
                    <w:tl2br w:val="nil"/>
                    <w:tr2bl w:val="nil"/>
                  </w:tcBorders>
                  <w:noWrap w:val="0"/>
                  <w:vAlign w:val="center"/>
                </w:tcPr>
                <w:p w14:paraId="3C5B80BC">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6C23BAD1">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排水</w:t>
                  </w:r>
                </w:p>
              </w:tc>
              <w:tc>
                <w:tcPr>
                  <w:tcW w:w="3206" w:type="pct"/>
                  <w:tcBorders>
                    <w:tl2br w:val="nil"/>
                    <w:tr2bl w:val="nil"/>
                  </w:tcBorders>
                  <w:noWrap w:val="0"/>
                  <w:vAlign w:val="center"/>
                </w:tcPr>
                <w:p w14:paraId="265F5363">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olor w:val="auto"/>
                      <w:w w:val="100"/>
                      <w:position w:val="0"/>
                      <w:sz w:val="18"/>
                      <w:szCs w:val="18"/>
                      <w:highlight w:val="none"/>
                      <w:u w:val="none" w:color="auto"/>
                      <w:lang w:eastAsia="zh-CN"/>
                    </w:rPr>
                  </w:pPr>
                  <w:r>
                    <w:rPr>
                      <w:rFonts w:hint="eastAsia" w:ascii="Times New Roman" w:hAnsi="Times New Roman" w:eastAsia="宋体"/>
                      <w:i w:val="0"/>
                      <w:iCs w:val="0"/>
                      <w:caps w:val="0"/>
                      <w:smallCaps w:val="0"/>
                      <w:color w:val="auto"/>
                      <w:spacing w:val="0"/>
                      <w:w w:val="100"/>
                      <w:position w:val="0"/>
                      <w:sz w:val="18"/>
                      <w:szCs w:val="18"/>
                      <w:highlight w:val="none"/>
                      <w:u w:val="none" w:color="auto"/>
                      <w:lang w:val="en-US" w:eastAsia="zh-CN"/>
                    </w:rPr>
                    <w:t>生活污水排入</w:t>
                  </w:r>
                  <w:r>
                    <w:rPr>
                      <w:rFonts w:hint="eastAsia" w:ascii="Times New Roman" w:hAnsi="Times New Roman"/>
                      <w:i w:val="0"/>
                      <w:iCs w:val="0"/>
                      <w:caps w:val="0"/>
                      <w:smallCaps w:val="0"/>
                      <w:color w:val="auto"/>
                      <w:spacing w:val="0"/>
                      <w:w w:val="100"/>
                      <w:position w:val="0"/>
                      <w:sz w:val="18"/>
                      <w:szCs w:val="18"/>
                      <w:highlight w:val="none"/>
                      <w:u w:val="none" w:color="auto"/>
                      <w:lang w:val="en-US" w:eastAsia="zh-CN"/>
                    </w:rPr>
                    <w:t>现有防渗旱厕，位于东北角，建筑面积20m</w:t>
                  </w:r>
                  <w:r>
                    <w:rPr>
                      <w:rFonts w:hint="eastAsia" w:ascii="Times New Roman" w:hAnsi="Times New Roman"/>
                      <w:i w:val="0"/>
                      <w:iCs w:val="0"/>
                      <w:caps w:val="0"/>
                      <w:smallCaps w:val="0"/>
                      <w:color w:val="auto"/>
                      <w:spacing w:val="0"/>
                      <w:w w:val="100"/>
                      <w:position w:val="0"/>
                      <w:sz w:val="18"/>
                      <w:szCs w:val="18"/>
                      <w:highlight w:val="none"/>
                      <w:u w:val="none" w:color="auto"/>
                      <w:vertAlign w:val="superscript"/>
                      <w:lang w:val="en-US" w:eastAsia="zh-CN"/>
                    </w:rPr>
                    <w:t>2</w:t>
                  </w:r>
                  <w:r>
                    <w:rPr>
                      <w:rFonts w:hint="eastAsia" w:ascii="Times New Roman" w:hAnsi="Times New Roman"/>
                      <w:i w:val="0"/>
                      <w:iCs w:val="0"/>
                      <w:caps w:val="0"/>
                      <w:smallCaps w:val="0"/>
                      <w:color w:val="auto"/>
                      <w:spacing w:val="0"/>
                      <w:w w:val="100"/>
                      <w:position w:val="0"/>
                      <w:sz w:val="18"/>
                      <w:szCs w:val="18"/>
                      <w:highlight w:val="none"/>
                      <w:u w:val="none" w:color="auto"/>
                      <w:lang w:val="en-US" w:eastAsia="zh-CN"/>
                    </w:rPr>
                    <w:t>，定期清掏做农肥</w:t>
                  </w:r>
                  <w:r>
                    <w:rPr>
                      <w:rFonts w:hint="eastAsia" w:ascii="Times New Roman" w:hAnsi="Times New Roman"/>
                      <w:color w:val="auto"/>
                      <w:w w:val="100"/>
                      <w:position w:val="0"/>
                      <w:sz w:val="18"/>
                      <w:szCs w:val="18"/>
                      <w:highlight w:val="none"/>
                      <w:u w:val="none" w:color="auto"/>
                      <w:lang w:eastAsia="zh-CN"/>
                    </w:rPr>
                    <w:t>。</w:t>
                  </w:r>
                </w:p>
              </w:tc>
              <w:tc>
                <w:tcPr>
                  <w:tcW w:w="421" w:type="pct"/>
                  <w:tcBorders>
                    <w:tl2br w:val="nil"/>
                    <w:tr2bl w:val="nil"/>
                  </w:tcBorders>
                  <w:noWrap w:val="0"/>
                  <w:vAlign w:val="center"/>
                </w:tcPr>
                <w:p w14:paraId="13B88891">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olor w:val="auto"/>
                      <w:w w:val="100"/>
                      <w:position w:val="0"/>
                      <w:sz w:val="18"/>
                      <w:szCs w:val="18"/>
                      <w:highlight w:val="none"/>
                      <w:u w:val="none" w:color="auto"/>
                      <w:lang w:val="en-US" w:eastAsia="zh-CN"/>
                    </w:rPr>
                  </w:pPr>
                  <w:r>
                    <w:rPr>
                      <w:rFonts w:hint="eastAsia"/>
                      <w:color w:val="auto"/>
                      <w:w w:val="100"/>
                      <w:position w:val="0"/>
                      <w:sz w:val="18"/>
                      <w:szCs w:val="18"/>
                      <w:highlight w:val="none"/>
                      <w:u w:val="none" w:color="auto"/>
                      <w:lang w:val="en-US" w:eastAsia="zh-CN"/>
                    </w:rPr>
                    <w:t>依托</w:t>
                  </w:r>
                </w:p>
              </w:tc>
            </w:tr>
            <w:tr w14:paraId="47B450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continue"/>
                  <w:tcBorders>
                    <w:tl2br w:val="nil"/>
                    <w:tr2bl w:val="nil"/>
                  </w:tcBorders>
                  <w:noWrap w:val="0"/>
                  <w:vAlign w:val="center"/>
                </w:tcPr>
                <w:p w14:paraId="50DF3209">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0EE3A6D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供电</w:t>
                  </w:r>
                </w:p>
              </w:tc>
              <w:tc>
                <w:tcPr>
                  <w:tcW w:w="3206" w:type="pct"/>
                  <w:tcBorders>
                    <w:tl2br w:val="nil"/>
                    <w:tr2bl w:val="nil"/>
                  </w:tcBorders>
                  <w:noWrap w:val="0"/>
                  <w:vAlign w:val="center"/>
                </w:tcPr>
                <w:p w14:paraId="32A3AF8E">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olor w:val="auto"/>
                      <w:w w:val="100"/>
                      <w:position w:val="0"/>
                      <w:sz w:val="18"/>
                      <w:szCs w:val="18"/>
                      <w:highlight w:val="none"/>
                      <w:u w:val="none" w:color="auto"/>
                      <w:lang w:eastAsia="zh-CN"/>
                    </w:rPr>
                  </w:pPr>
                  <w:r>
                    <w:rPr>
                      <w:rFonts w:hint="eastAsia" w:ascii="Times New Roman" w:hAnsi="Times New Roman"/>
                      <w:i w:val="0"/>
                      <w:iCs w:val="0"/>
                      <w:caps w:val="0"/>
                      <w:smallCaps w:val="0"/>
                      <w:color w:val="auto"/>
                      <w:spacing w:val="0"/>
                      <w:w w:val="100"/>
                      <w:position w:val="0"/>
                      <w:sz w:val="18"/>
                      <w:szCs w:val="18"/>
                      <w:highlight w:val="none"/>
                      <w:u w:val="none" w:color="auto"/>
                      <w:lang w:val="en-US" w:eastAsia="zh-CN"/>
                    </w:rPr>
                    <w:t>浑江区河口街道区</w:t>
                  </w:r>
                  <w:r>
                    <w:rPr>
                      <w:rFonts w:hint="eastAsia" w:ascii="Times New Roman" w:hAnsi="Times New Roman"/>
                      <w:color w:val="auto"/>
                      <w:w w:val="100"/>
                      <w:position w:val="0"/>
                      <w:sz w:val="18"/>
                      <w:szCs w:val="18"/>
                      <w:highlight w:val="none"/>
                      <w:u w:val="none" w:color="auto"/>
                      <w:lang w:val="en-US" w:eastAsia="zh-CN"/>
                    </w:rPr>
                    <w:t>域</w:t>
                  </w:r>
                  <w:r>
                    <w:rPr>
                      <w:rFonts w:ascii="Times New Roman" w:hAnsi="Times New Roman" w:eastAsia="宋体"/>
                      <w:color w:val="auto"/>
                      <w:w w:val="100"/>
                      <w:position w:val="0"/>
                      <w:sz w:val="18"/>
                      <w:szCs w:val="18"/>
                      <w:highlight w:val="none"/>
                      <w:u w:val="none" w:color="auto"/>
                    </w:rPr>
                    <w:t>电网供给</w:t>
                  </w:r>
                  <w:r>
                    <w:rPr>
                      <w:rFonts w:hint="eastAsia" w:ascii="Times New Roman" w:hAnsi="Times New Roman"/>
                      <w:color w:val="auto"/>
                      <w:w w:val="100"/>
                      <w:position w:val="0"/>
                      <w:sz w:val="18"/>
                      <w:szCs w:val="18"/>
                      <w:highlight w:val="none"/>
                      <w:u w:val="none" w:color="auto"/>
                      <w:lang w:eastAsia="zh-CN"/>
                    </w:rPr>
                    <w:t>。</w:t>
                  </w:r>
                </w:p>
              </w:tc>
              <w:tc>
                <w:tcPr>
                  <w:tcW w:w="421" w:type="pct"/>
                  <w:tcBorders>
                    <w:tl2br w:val="nil"/>
                    <w:tr2bl w:val="nil"/>
                  </w:tcBorders>
                  <w:noWrap w:val="0"/>
                  <w:vAlign w:val="center"/>
                </w:tcPr>
                <w:p w14:paraId="2452D039">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hint="eastAsia"/>
                      <w:color w:val="auto"/>
                      <w:w w:val="100"/>
                      <w:position w:val="0"/>
                      <w:sz w:val="18"/>
                      <w:szCs w:val="18"/>
                      <w:highlight w:val="none"/>
                      <w:u w:val="none" w:color="auto"/>
                      <w:lang w:val="en-US" w:eastAsia="zh-CN"/>
                    </w:rPr>
                    <w:t>依托</w:t>
                  </w:r>
                </w:p>
              </w:tc>
            </w:tr>
            <w:tr w14:paraId="6FB0FA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38" w:type="pct"/>
                  <w:vMerge w:val="continue"/>
                  <w:tcBorders>
                    <w:tl2br w:val="nil"/>
                    <w:tr2bl w:val="nil"/>
                  </w:tcBorders>
                  <w:noWrap w:val="0"/>
                  <w:vAlign w:val="center"/>
                </w:tcPr>
                <w:p w14:paraId="3D6B2967">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27D9419A">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供暖</w:t>
                  </w:r>
                </w:p>
              </w:tc>
              <w:tc>
                <w:tcPr>
                  <w:tcW w:w="3206" w:type="pct"/>
                  <w:tcBorders>
                    <w:tl2br w:val="nil"/>
                    <w:tr2bl w:val="nil"/>
                  </w:tcBorders>
                  <w:noWrap w:val="0"/>
                  <w:vAlign w:val="center"/>
                </w:tcPr>
                <w:p w14:paraId="0270123B">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冬季不生产，生产不需取暖，门卫值班人员采用电取暖。</w:t>
                  </w:r>
                </w:p>
              </w:tc>
              <w:tc>
                <w:tcPr>
                  <w:tcW w:w="421" w:type="pct"/>
                  <w:tcBorders>
                    <w:tl2br w:val="nil"/>
                    <w:tr2bl w:val="nil"/>
                  </w:tcBorders>
                  <w:noWrap w:val="0"/>
                  <w:vAlign w:val="center"/>
                </w:tcPr>
                <w:p w14:paraId="4B676B5C">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olor w:val="auto"/>
                      <w:w w:val="100"/>
                      <w:position w:val="0"/>
                      <w:sz w:val="18"/>
                      <w:szCs w:val="18"/>
                      <w:highlight w:val="none"/>
                      <w:u w:val="none" w:color="auto"/>
                      <w:lang w:val="en-US" w:eastAsia="zh-CN"/>
                    </w:rPr>
                  </w:pPr>
                  <w:r>
                    <w:rPr>
                      <w:rFonts w:hint="eastAsia"/>
                      <w:color w:val="auto"/>
                      <w:w w:val="100"/>
                      <w:position w:val="0"/>
                      <w:sz w:val="18"/>
                      <w:szCs w:val="18"/>
                      <w:highlight w:val="none"/>
                      <w:u w:val="none" w:color="auto"/>
                      <w:lang w:val="en-US" w:eastAsia="zh-CN"/>
                    </w:rPr>
                    <w:t>依托</w:t>
                  </w:r>
                </w:p>
              </w:tc>
            </w:tr>
            <w:tr w14:paraId="410982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38" w:type="pct"/>
                  <w:vMerge w:val="restart"/>
                  <w:tcBorders>
                    <w:tl2br w:val="nil"/>
                    <w:tr2bl w:val="nil"/>
                  </w:tcBorders>
                  <w:noWrap w:val="0"/>
                  <w:vAlign w:val="center"/>
                </w:tcPr>
                <w:p w14:paraId="703D7962">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环保工程</w:t>
                  </w:r>
                </w:p>
              </w:tc>
              <w:tc>
                <w:tcPr>
                  <w:tcW w:w="833" w:type="pct"/>
                  <w:tcBorders>
                    <w:tl2br w:val="nil"/>
                    <w:tr2bl w:val="nil"/>
                  </w:tcBorders>
                  <w:noWrap w:val="0"/>
                  <w:vAlign w:val="center"/>
                </w:tcPr>
                <w:p w14:paraId="7FBFE5AB">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废水</w:t>
                  </w:r>
                </w:p>
              </w:tc>
              <w:tc>
                <w:tcPr>
                  <w:tcW w:w="3206" w:type="pct"/>
                  <w:tcBorders>
                    <w:tl2br w:val="nil"/>
                    <w:tr2bl w:val="nil"/>
                  </w:tcBorders>
                  <w:noWrap w:val="0"/>
                  <w:vAlign w:val="center"/>
                </w:tcPr>
                <w:p w14:paraId="2AD83E71">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eastAsia" w:ascii="Times New Roman" w:hAnsi="Times New Roman" w:eastAsia="宋体"/>
                      <w:color w:val="auto"/>
                      <w:w w:val="100"/>
                      <w:position w:val="0"/>
                      <w:sz w:val="18"/>
                      <w:szCs w:val="18"/>
                      <w:highlight w:val="none"/>
                      <w:u w:val="none" w:color="auto"/>
                      <w:lang w:eastAsia="zh-CN"/>
                    </w:rPr>
                  </w:pPr>
                  <w:r>
                    <w:rPr>
                      <w:rFonts w:hint="eastAsia" w:ascii="Times New Roman" w:hAnsi="Times New Roman" w:eastAsia="宋体"/>
                      <w:i w:val="0"/>
                      <w:iCs w:val="0"/>
                      <w:caps w:val="0"/>
                      <w:smallCaps w:val="0"/>
                      <w:color w:val="auto"/>
                      <w:spacing w:val="0"/>
                      <w:w w:val="100"/>
                      <w:position w:val="0"/>
                      <w:sz w:val="18"/>
                      <w:szCs w:val="18"/>
                      <w:highlight w:val="none"/>
                      <w:u w:val="none" w:color="auto"/>
                      <w:lang w:val="en-US" w:eastAsia="zh-CN"/>
                    </w:rPr>
                    <w:t>生活污水排入</w:t>
                  </w:r>
                  <w:r>
                    <w:rPr>
                      <w:rFonts w:hint="eastAsia" w:ascii="Times New Roman" w:hAnsi="Times New Roman"/>
                      <w:i w:val="0"/>
                      <w:iCs w:val="0"/>
                      <w:caps w:val="0"/>
                      <w:smallCaps w:val="0"/>
                      <w:color w:val="auto"/>
                      <w:spacing w:val="0"/>
                      <w:w w:val="100"/>
                      <w:position w:val="0"/>
                      <w:sz w:val="18"/>
                      <w:szCs w:val="18"/>
                      <w:highlight w:val="none"/>
                      <w:u w:val="none" w:color="auto"/>
                      <w:lang w:val="en-US" w:eastAsia="zh-CN"/>
                    </w:rPr>
                    <w:t>防渗旱厕，定期清掏做农肥</w:t>
                  </w:r>
                  <w:r>
                    <w:rPr>
                      <w:rFonts w:hint="eastAsia" w:ascii="Times New Roman" w:hAnsi="Times New Roman" w:eastAsia="宋体"/>
                      <w:color w:val="auto"/>
                      <w:w w:val="100"/>
                      <w:position w:val="0"/>
                      <w:sz w:val="18"/>
                      <w:szCs w:val="18"/>
                      <w:highlight w:val="none"/>
                      <w:u w:val="none" w:color="auto"/>
                      <w:lang w:eastAsia="zh-CN"/>
                    </w:rPr>
                    <w:t>。</w:t>
                  </w:r>
                </w:p>
              </w:tc>
              <w:tc>
                <w:tcPr>
                  <w:tcW w:w="421" w:type="pct"/>
                  <w:tcBorders>
                    <w:tl2br w:val="nil"/>
                    <w:tr2bl w:val="nil"/>
                  </w:tcBorders>
                  <w:noWrap w:val="0"/>
                  <w:vAlign w:val="center"/>
                </w:tcPr>
                <w:p w14:paraId="3BD3899E">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olor w:val="auto"/>
                      <w:w w:val="100"/>
                      <w:position w:val="0"/>
                      <w:sz w:val="18"/>
                      <w:szCs w:val="18"/>
                      <w:highlight w:val="none"/>
                      <w:u w:val="none" w:color="auto"/>
                      <w:lang w:val="en-US" w:eastAsia="zh-CN"/>
                    </w:rPr>
                  </w:pPr>
                  <w:r>
                    <w:rPr>
                      <w:rFonts w:hint="eastAsia"/>
                      <w:color w:val="auto"/>
                      <w:w w:val="100"/>
                      <w:position w:val="0"/>
                      <w:sz w:val="18"/>
                      <w:szCs w:val="18"/>
                      <w:highlight w:val="none"/>
                      <w:u w:val="none" w:color="auto"/>
                      <w:lang w:val="en-US" w:eastAsia="zh-CN"/>
                    </w:rPr>
                    <w:t>依托</w:t>
                  </w:r>
                </w:p>
              </w:tc>
            </w:tr>
            <w:tr w14:paraId="3CD4EC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38" w:type="pct"/>
                  <w:vMerge w:val="continue"/>
                  <w:tcBorders>
                    <w:tl2br w:val="nil"/>
                    <w:tr2bl w:val="nil"/>
                  </w:tcBorders>
                  <w:noWrap w:val="0"/>
                  <w:vAlign w:val="center"/>
                </w:tcPr>
                <w:p w14:paraId="6AA89124">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138B8102">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i w:val="0"/>
                      <w:iCs w:val="0"/>
                      <w:color w:val="auto"/>
                      <w:w w:val="100"/>
                      <w:position w:val="0"/>
                      <w:sz w:val="18"/>
                      <w:szCs w:val="18"/>
                      <w:highlight w:val="none"/>
                      <w:u w:val="none" w:color="auto"/>
                      <w:lang w:val="en-US" w:eastAsia="zh-CN"/>
                    </w:rPr>
                  </w:pPr>
                  <w:r>
                    <w:rPr>
                      <w:rFonts w:hint="eastAsia" w:ascii="Times New Roman" w:hAnsi="Times New Roman"/>
                      <w:i w:val="0"/>
                      <w:iCs w:val="0"/>
                      <w:color w:val="auto"/>
                      <w:w w:val="100"/>
                      <w:position w:val="0"/>
                      <w:sz w:val="18"/>
                      <w:szCs w:val="18"/>
                      <w:highlight w:val="none"/>
                      <w:u w:val="none" w:color="auto"/>
                      <w:lang w:val="en-US" w:eastAsia="zh-CN"/>
                    </w:rPr>
                    <w:t>废气</w:t>
                  </w:r>
                </w:p>
              </w:tc>
              <w:tc>
                <w:tcPr>
                  <w:tcW w:w="3206" w:type="pct"/>
                  <w:tcBorders>
                    <w:tl2br w:val="nil"/>
                    <w:tr2bl w:val="nil"/>
                  </w:tcBorders>
                  <w:noWrap w:val="0"/>
                  <w:vAlign w:val="center"/>
                </w:tcPr>
                <w:p w14:paraId="5CF59F7B">
                  <w:pPr>
                    <w:adjustRightInd w:val="0"/>
                    <w:snapToGrid w:val="0"/>
                    <w:jc w:val="left"/>
                    <w:rPr>
                      <w:rFonts w:hint="default" w:ascii="Times New Roman" w:hAnsi="Times New Roman" w:cs="Times New Roman"/>
                      <w:iCs/>
                      <w:color w:val="auto"/>
                      <w:sz w:val="18"/>
                      <w:szCs w:val="18"/>
                      <w:highlight w:val="none"/>
                    </w:rPr>
                  </w:pPr>
                  <w:r>
                    <w:rPr>
                      <w:rFonts w:hint="eastAsia" w:ascii="Times New Roman" w:hAnsi="Times New Roman" w:cs="Times New Roman"/>
                      <w:iCs/>
                      <w:color w:val="auto"/>
                      <w:sz w:val="18"/>
                      <w:szCs w:val="18"/>
                      <w:highlight w:val="none"/>
                      <w:lang w:val="en-US" w:eastAsia="zh-CN"/>
                    </w:rPr>
                    <w:t>发酵废气：</w:t>
                  </w:r>
                  <w:r>
                    <w:rPr>
                      <w:rFonts w:hint="default" w:ascii="Times New Roman" w:hAnsi="Times New Roman" w:cs="Times New Roman"/>
                      <w:iCs/>
                      <w:color w:val="auto"/>
                      <w:sz w:val="18"/>
                      <w:szCs w:val="18"/>
                      <w:highlight w:val="none"/>
                    </w:rPr>
                    <w:t>生物除臭剂；</w:t>
                  </w:r>
                </w:p>
                <w:p w14:paraId="53C959CE">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i w:val="0"/>
                      <w:iCs w:val="0"/>
                      <w:color w:val="auto"/>
                      <w:w w:val="100"/>
                      <w:position w:val="0"/>
                      <w:sz w:val="18"/>
                      <w:szCs w:val="18"/>
                      <w:highlight w:val="none"/>
                      <w:u w:val="none" w:color="auto"/>
                      <w:lang w:val="en-US" w:eastAsia="zh-CN"/>
                    </w:rPr>
                  </w:pPr>
                  <w:r>
                    <w:rPr>
                      <w:rFonts w:hint="eastAsia" w:ascii="Times New Roman" w:hAnsi="Times New Roman" w:cs="Times New Roman"/>
                      <w:iCs/>
                      <w:color w:val="auto"/>
                      <w:sz w:val="18"/>
                      <w:szCs w:val="18"/>
                      <w:highlight w:val="none"/>
                      <w:lang w:val="en-US" w:eastAsia="zh-CN"/>
                    </w:rPr>
                    <w:t>破碎筛分废气：</w:t>
                  </w:r>
                  <w:r>
                    <w:rPr>
                      <w:rFonts w:hint="default" w:ascii="Times New Roman" w:hAnsi="Times New Roman" w:cs="Times New Roman"/>
                      <w:iCs/>
                      <w:color w:val="auto"/>
                      <w:sz w:val="18"/>
                      <w:szCs w:val="18"/>
                      <w:highlight w:val="none"/>
                      <w:lang w:val="en-US" w:eastAsia="zh-CN"/>
                    </w:rPr>
                    <w:t>布袋除尘器+15m高排气筒（DA00</w:t>
                  </w:r>
                  <w:r>
                    <w:rPr>
                      <w:rFonts w:hint="eastAsia" w:ascii="Times New Roman" w:hAnsi="Times New Roman" w:cs="Times New Roman"/>
                      <w:iCs/>
                      <w:color w:val="auto"/>
                      <w:sz w:val="18"/>
                      <w:szCs w:val="18"/>
                      <w:highlight w:val="none"/>
                      <w:lang w:val="en-US" w:eastAsia="zh-CN"/>
                    </w:rPr>
                    <w:t>1</w:t>
                  </w:r>
                  <w:r>
                    <w:rPr>
                      <w:rFonts w:hint="default" w:ascii="Times New Roman" w:hAnsi="Times New Roman" w:cs="Times New Roman"/>
                      <w:iCs/>
                      <w:color w:val="auto"/>
                      <w:sz w:val="18"/>
                      <w:szCs w:val="18"/>
                      <w:highlight w:val="none"/>
                      <w:lang w:val="en-US" w:eastAsia="zh-CN"/>
                    </w:rPr>
                    <w:t>）；</w:t>
                  </w:r>
                </w:p>
              </w:tc>
              <w:tc>
                <w:tcPr>
                  <w:tcW w:w="421" w:type="pct"/>
                  <w:tcBorders>
                    <w:tl2br w:val="nil"/>
                    <w:tr2bl w:val="nil"/>
                  </w:tcBorders>
                  <w:noWrap w:val="0"/>
                  <w:vAlign w:val="center"/>
                </w:tcPr>
                <w:p w14:paraId="64D6AC68">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新建</w:t>
                  </w:r>
                </w:p>
              </w:tc>
            </w:tr>
            <w:tr w14:paraId="3EF4DE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538" w:type="pct"/>
                  <w:vMerge w:val="continue"/>
                  <w:tcBorders>
                    <w:tl2br w:val="nil"/>
                    <w:tr2bl w:val="nil"/>
                  </w:tcBorders>
                  <w:noWrap w:val="0"/>
                  <w:vAlign w:val="center"/>
                </w:tcPr>
                <w:p w14:paraId="0EAB6086">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7AEC8C17">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r>
                    <w:rPr>
                      <w:rFonts w:ascii="Times New Roman" w:hAnsi="Times New Roman" w:eastAsia="宋体"/>
                      <w:color w:val="auto"/>
                      <w:w w:val="100"/>
                      <w:position w:val="0"/>
                      <w:sz w:val="18"/>
                      <w:szCs w:val="18"/>
                      <w:highlight w:val="none"/>
                      <w:u w:val="none" w:color="auto"/>
                    </w:rPr>
                    <w:t>噪声</w:t>
                  </w:r>
                </w:p>
              </w:tc>
              <w:tc>
                <w:tcPr>
                  <w:tcW w:w="3206" w:type="pct"/>
                  <w:tcBorders>
                    <w:tl2br w:val="nil"/>
                    <w:tr2bl w:val="nil"/>
                  </w:tcBorders>
                  <w:noWrap w:val="0"/>
                  <w:vAlign w:val="center"/>
                </w:tcPr>
                <w:p w14:paraId="7B1C5D20">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both"/>
                    <w:textAlignment w:val="auto"/>
                    <w:rPr>
                      <w:rFonts w:hint="eastAsia" w:ascii="Times New Roman" w:hAnsi="Times New Roman" w:eastAsia="宋体"/>
                      <w:color w:val="auto"/>
                      <w:w w:val="100"/>
                      <w:position w:val="0"/>
                      <w:sz w:val="18"/>
                      <w:szCs w:val="18"/>
                      <w:highlight w:val="none"/>
                      <w:u w:val="none" w:color="auto"/>
                      <w:lang w:eastAsia="zh-CN"/>
                    </w:rPr>
                  </w:pPr>
                  <w:r>
                    <w:rPr>
                      <w:rFonts w:ascii="Times New Roman" w:hAnsi="Times New Roman" w:eastAsia="宋体"/>
                      <w:color w:val="auto"/>
                      <w:w w:val="100"/>
                      <w:position w:val="0"/>
                      <w:sz w:val="18"/>
                      <w:szCs w:val="18"/>
                      <w:highlight w:val="none"/>
                      <w:u w:val="none" w:color="auto"/>
                    </w:rPr>
                    <w:t>采用隔音、减震、消声等措施</w:t>
                  </w:r>
                  <w:r>
                    <w:rPr>
                      <w:rFonts w:hint="eastAsia" w:ascii="Times New Roman" w:hAnsi="Times New Roman"/>
                      <w:color w:val="auto"/>
                      <w:w w:val="100"/>
                      <w:position w:val="0"/>
                      <w:sz w:val="18"/>
                      <w:szCs w:val="18"/>
                      <w:highlight w:val="none"/>
                      <w:u w:val="none" w:color="auto"/>
                      <w:lang w:eastAsia="zh-CN"/>
                    </w:rPr>
                    <w:t>；</w:t>
                  </w:r>
                </w:p>
              </w:tc>
              <w:tc>
                <w:tcPr>
                  <w:tcW w:w="421" w:type="pct"/>
                  <w:tcBorders>
                    <w:tl2br w:val="nil"/>
                    <w:tr2bl w:val="nil"/>
                  </w:tcBorders>
                  <w:noWrap w:val="0"/>
                  <w:vAlign w:val="center"/>
                </w:tcPr>
                <w:p w14:paraId="2BA36AE6">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新建</w:t>
                  </w:r>
                </w:p>
              </w:tc>
            </w:tr>
            <w:tr w14:paraId="3E07FA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538" w:type="pct"/>
                  <w:vMerge w:val="continue"/>
                  <w:tcBorders>
                    <w:tl2br w:val="nil"/>
                    <w:tr2bl w:val="nil"/>
                  </w:tcBorders>
                  <w:noWrap w:val="0"/>
                  <w:vAlign w:val="center"/>
                </w:tcPr>
                <w:p w14:paraId="471AEB6F">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eastAsia="宋体"/>
                      <w:color w:val="auto"/>
                      <w:w w:val="100"/>
                      <w:position w:val="0"/>
                      <w:sz w:val="18"/>
                      <w:szCs w:val="18"/>
                      <w:highlight w:val="none"/>
                      <w:u w:val="none" w:color="auto"/>
                    </w:rPr>
                  </w:pPr>
                </w:p>
              </w:tc>
              <w:tc>
                <w:tcPr>
                  <w:tcW w:w="833" w:type="pct"/>
                  <w:tcBorders>
                    <w:tl2br w:val="nil"/>
                    <w:tr2bl w:val="nil"/>
                  </w:tcBorders>
                  <w:noWrap w:val="0"/>
                  <w:vAlign w:val="center"/>
                </w:tcPr>
                <w:p w14:paraId="7A96CDB6">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固废</w:t>
                  </w:r>
                </w:p>
              </w:tc>
              <w:tc>
                <w:tcPr>
                  <w:tcW w:w="3206" w:type="pct"/>
                  <w:tcBorders>
                    <w:tl2br w:val="nil"/>
                    <w:tr2bl w:val="nil"/>
                  </w:tcBorders>
                  <w:noWrap w:val="0"/>
                  <w:vAlign w:val="center"/>
                </w:tcPr>
                <w:p w14:paraId="74B6E8C9">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left"/>
                    <w:textAlignment w:val="auto"/>
                    <w:rPr>
                      <w:rFonts w:hint="default" w:ascii="Times New Roman" w:hAnsi="Times New Roman" w:eastAsia="宋体"/>
                      <w:color w:val="auto"/>
                      <w:w w:val="100"/>
                      <w:position w:val="0"/>
                      <w:sz w:val="18"/>
                      <w:szCs w:val="18"/>
                      <w:highlight w:val="none"/>
                      <w:u w:val="none" w:color="auto"/>
                      <w:lang w:val="en-US" w:eastAsia="zh-CN"/>
                    </w:rPr>
                  </w:pPr>
                  <w:r>
                    <w:rPr>
                      <w:rFonts w:ascii="Times New Roman" w:hAnsi="Times New Roman" w:eastAsia="宋体" w:cs="Times New Roman"/>
                      <w:i w:val="0"/>
                      <w:iCs w:val="0"/>
                      <w:color w:val="auto"/>
                      <w:sz w:val="18"/>
                      <w:szCs w:val="18"/>
                      <w:u w:val="single"/>
                      <w:lang w:val="en-US" w:eastAsia="zh-CN" w:bidi="ar-SA"/>
                    </w:rPr>
                    <w:t>项目产生的生活垃圾</w:t>
                  </w:r>
                  <w:r>
                    <w:rPr>
                      <w:rFonts w:hint="eastAsia" w:ascii="Times New Roman" w:hAnsi="Times New Roman" w:eastAsia="宋体" w:cs="Times New Roman"/>
                      <w:i w:val="0"/>
                      <w:iCs w:val="0"/>
                      <w:color w:val="auto"/>
                      <w:sz w:val="18"/>
                      <w:szCs w:val="18"/>
                      <w:u w:val="single"/>
                      <w:lang w:val="en-US" w:eastAsia="zh-CN" w:bidi="ar-SA"/>
                    </w:rPr>
                    <w:t>集中收集，</w:t>
                  </w:r>
                  <w:r>
                    <w:rPr>
                      <w:rFonts w:ascii="Times New Roman" w:hAnsi="Times New Roman" w:eastAsia="宋体" w:cs="Times New Roman"/>
                      <w:i w:val="0"/>
                      <w:iCs w:val="0"/>
                      <w:color w:val="auto"/>
                      <w:sz w:val="18"/>
                      <w:szCs w:val="18"/>
                      <w:u w:val="single"/>
                      <w:lang w:val="en-US" w:eastAsia="zh-CN" w:bidi="ar-SA"/>
                    </w:rPr>
                    <w:t>由环卫部门定期统一处理</w:t>
                  </w:r>
                  <w:r>
                    <w:rPr>
                      <w:rFonts w:hint="eastAsia" w:ascii="Times New Roman" w:hAnsi="Times New Roman" w:eastAsia="宋体" w:cs="Times New Roman"/>
                      <w:i w:val="0"/>
                      <w:iCs w:val="0"/>
                      <w:color w:val="auto"/>
                      <w:sz w:val="18"/>
                      <w:szCs w:val="18"/>
                      <w:u w:val="single"/>
                      <w:lang w:val="en-US" w:eastAsia="zh-CN" w:bidi="ar-SA"/>
                    </w:rPr>
                    <w:t>；废包装物集中收集，外卖处理；除尘灰集中收集，回用于生产</w:t>
                  </w:r>
                  <w:r>
                    <w:rPr>
                      <w:rFonts w:hint="eastAsia" w:cs="Times New Roman"/>
                      <w:i w:val="0"/>
                      <w:iCs w:val="0"/>
                      <w:color w:val="auto"/>
                      <w:sz w:val="18"/>
                      <w:szCs w:val="18"/>
                      <w:u w:val="single"/>
                      <w:lang w:val="en-US" w:eastAsia="zh-CN" w:bidi="ar-SA"/>
                    </w:rPr>
                    <w:t>；</w:t>
                  </w:r>
                  <w:r>
                    <w:rPr>
                      <w:rFonts w:hint="eastAsia" w:cs="Times New Roman"/>
                      <w:i w:val="0"/>
                      <w:iCs w:val="0"/>
                      <w:color w:val="0000FF"/>
                      <w:sz w:val="18"/>
                      <w:szCs w:val="18"/>
                      <w:u w:val="single"/>
                      <w:lang w:val="en-US" w:eastAsia="zh-CN" w:bidi="ar-SA"/>
                    </w:rPr>
                    <w:t>废布袋由厂家负责更换处置</w:t>
                  </w:r>
                  <w:r>
                    <w:rPr>
                      <w:rFonts w:hint="eastAsia" w:ascii="Times New Roman" w:hAnsi="Times New Roman" w:eastAsia="宋体" w:cs="Times New Roman"/>
                      <w:i w:val="0"/>
                      <w:iCs w:val="0"/>
                      <w:color w:val="auto"/>
                      <w:sz w:val="18"/>
                      <w:szCs w:val="18"/>
                      <w:highlight w:val="none"/>
                      <w:u w:val="none"/>
                      <w:lang w:val="en-US" w:eastAsia="zh-CN" w:bidi="ar-SA"/>
                    </w:rPr>
                    <w:t>。</w:t>
                  </w:r>
                </w:p>
              </w:tc>
              <w:tc>
                <w:tcPr>
                  <w:tcW w:w="421" w:type="pct"/>
                  <w:tcBorders>
                    <w:tl2br w:val="nil"/>
                    <w:tr2bl w:val="nil"/>
                  </w:tcBorders>
                  <w:noWrap w:val="0"/>
                  <w:vAlign w:val="center"/>
                </w:tcPr>
                <w:p w14:paraId="71D4756E">
                  <w:pPr>
                    <w:pStyle w:val="43"/>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宋体"/>
                      <w:color w:val="auto"/>
                      <w:w w:val="100"/>
                      <w:position w:val="0"/>
                      <w:sz w:val="18"/>
                      <w:szCs w:val="18"/>
                      <w:highlight w:val="none"/>
                      <w:u w:val="none" w:color="auto"/>
                      <w:lang w:val="en-US" w:eastAsia="zh-CN"/>
                    </w:rPr>
                  </w:pPr>
                  <w:r>
                    <w:rPr>
                      <w:rFonts w:hint="eastAsia" w:ascii="Times New Roman" w:hAnsi="Times New Roman"/>
                      <w:color w:val="auto"/>
                      <w:w w:val="100"/>
                      <w:position w:val="0"/>
                      <w:sz w:val="18"/>
                      <w:szCs w:val="18"/>
                      <w:highlight w:val="none"/>
                      <w:u w:val="none" w:color="auto"/>
                      <w:lang w:val="en-US" w:eastAsia="zh-CN"/>
                    </w:rPr>
                    <w:t>新建</w:t>
                  </w:r>
                </w:p>
              </w:tc>
            </w:tr>
          </w:tbl>
          <w:p w14:paraId="19B2203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Ansi="宋体"/>
                <w:bCs/>
                <w:color w:val="auto"/>
                <w:sz w:val="10"/>
                <w:szCs w:val="10"/>
                <w:highlight w:val="none"/>
              </w:rPr>
            </w:pPr>
          </w:p>
          <w:p w14:paraId="6346068D">
            <w:pPr>
              <w:adjustRightInd w:val="0"/>
              <w:snapToGrid w:val="0"/>
              <w:spacing w:line="360" w:lineRule="auto"/>
              <w:jc w:val="left"/>
              <w:rPr>
                <w:rFonts w:hAnsi="宋体"/>
                <w:bCs/>
                <w:color w:val="auto"/>
                <w:highlight w:val="none"/>
              </w:rPr>
            </w:pPr>
            <w:r>
              <w:rPr>
                <w:rFonts w:hint="eastAsia" w:hAnsi="宋体"/>
                <w:bCs/>
                <w:color w:val="auto"/>
                <w:highlight w:val="none"/>
              </w:rPr>
              <w:t>3.</w:t>
            </w:r>
            <w:r>
              <w:rPr>
                <w:rFonts w:hAnsi="宋体"/>
                <w:bCs/>
                <w:color w:val="auto"/>
                <w:highlight w:val="none"/>
              </w:rPr>
              <w:t>2</w:t>
            </w:r>
            <w:r>
              <w:rPr>
                <w:rFonts w:hint="eastAsia" w:hAnsi="宋体"/>
                <w:bCs/>
                <w:color w:val="auto"/>
                <w:highlight w:val="none"/>
              </w:rPr>
              <w:t>产品方案</w:t>
            </w:r>
          </w:p>
          <w:p w14:paraId="6956E20A">
            <w:pPr>
              <w:adjustRightInd w:val="0"/>
              <w:snapToGrid w:val="0"/>
              <w:spacing w:line="360" w:lineRule="auto"/>
              <w:ind w:firstLine="444" w:firstLineChars="200"/>
              <w:rPr>
                <w:rFonts w:hint="default" w:hAnsi="宋体" w:cs="宋体" w:eastAsiaTheme="minorEastAsia"/>
                <w:color w:val="auto"/>
                <w:spacing w:val="6"/>
                <w:highlight w:val="none"/>
                <w:u w:val="single"/>
                <w:lang w:val="en-US" w:eastAsia="zh-CN"/>
              </w:rPr>
            </w:pPr>
            <w:r>
              <w:rPr>
                <w:rFonts w:hint="eastAsia" w:hAnsi="宋体" w:cs="宋体" w:eastAsiaTheme="minorEastAsia"/>
                <w:color w:val="auto"/>
                <w:spacing w:val="6"/>
                <w:highlight w:val="none"/>
                <w:u w:val="single"/>
                <w:lang w:val="en-US" w:eastAsia="zh-CN"/>
              </w:rPr>
              <w:t>项目建成投产后，年产再生腐殖土1.5万吨，产品用于盆栽、花坛、屋顶用栽培用途，不用于农作物种植活动，避免产品进入食物链。产品执行《绿化用有机基质》（GB/T33891-2017）中表1盆栽、花坛、屋顶用栽培基质技术指标。</w:t>
            </w:r>
          </w:p>
          <w:p w14:paraId="2D4F1992">
            <w:pPr>
              <w:adjustRightInd w:val="0"/>
              <w:snapToGrid w:val="0"/>
              <w:spacing w:line="360" w:lineRule="auto"/>
              <w:ind w:firstLine="444" w:firstLineChars="200"/>
              <w:rPr>
                <w:rFonts w:hint="eastAsia" w:hAnsi="宋体" w:cs="宋体" w:eastAsiaTheme="minorEastAsia"/>
                <w:color w:val="auto"/>
                <w:spacing w:val="6"/>
                <w:highlight w:val="none"/>
                <w:lang w:val="en-US" w:eastAsia="zh-CN"/>
              </w:rPr>
            </w:pPr>
            <w:r>
              <w:rPr>
                <w:rFonts w:hint="eastAsia" w:hAnsi="宋体" w:cs="宋体" w:eastAsiaTheme="minorEastAsia"/>
                <w:color w:val="auto"/>
                <w:spacing w:val="6"/>
                <w:highlight w:val="none"/>
                <w:lang w:val="en-US" w:eastAsia="zh-CN"/>
              </w:rPr>
              <w:t>具体包装形式按照客户需求定制。产品方案情况见下表。</w:t>
            </w:r>
          </w:p>
          <w:p w14:paraId="10F34DC2">
            <w:pPr>
              <w:pStyle w:val="48"/>
              <w:adjustRightInd w:val="0"/>
              <w:snapToGrid w:val="0"/>
              <w:spacing w:beforeLines="0" w:after="0" w:afterAutospacing="0"/>
              <w:rPr>
                <w:rFonts w:hint="eastAsia" w:ascii="Times New Roman" w:eastAsia="宋体"/>
                <w:b w:val="0"/>
                <w:color w:val="auto"/>
                <w:highlight w:val="none"/>
                <w:lang w:val="en-US" w:eastAsia="zh-CN"/>
              </w:rPr>
            </w:pPr>
            <w:r>
              <w:rPr>
                <w:rFonts w:hint="eastAsia" w:ascii="Times New Roman" w:eastAsia="宋体"/>
                <w:b w:val="0"/>
                <w:color w:val="auto"/>
                <w:highlight w:val="none"/>
                <w:lang w:val="en-US" w:eastAsia="zh-CN"/>
              </w:rPr>
              <w:t>产品方案一览表</w:t>
            </w:r>
          </w:p>
          <w:tbl>
            <w:tblPr>
              <w:tblStyle w:val="29"/>
              <w:tblW w:w="771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757"/>
              <w:gridCol w:w="1481"/>
              <w:gridCol w:w="2415"/>
              <w:gridCol w:w="2065"/>
            </w:tblGrid>
            <w:tr w14:paraId="401D13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14" w:hRule="atLeast"/>
                <w:tblHeader/>
                <w:jc w:val="center"/>
              </w:trPr>
              <w:tc>
                <w:tcPr>
                  <w:tcW w:w="1757" w:type="dxa"/>
                  <w:tcBorders>
                    <w:right w:val="single" w:color="000000" w:sz="4" w:space="0"/>
                  </w:tcBorders>
                  <w:noWrap w:val="0"/>
                  <w:vAlign w:val="center"/>
                </w:tcPr>
                <w:p w14:paraId="3F9E7703">
                  <w:pPr>
                    <w:snapToGrid w:val="0"/>
                    <w:jc w:val="center"/>
                    <w:rPr>
                      <w:color w:val="auto"/>
                      <w:sz w:val="18"/>
                      <w:szCs w:val="18"/>
                      <w:highlight w:val="none"/>
                    </w:rPr>
                  </w:pPr>
                  <w:r>
                    <w:rPr>
                      <w:rFonts w:hint="eastAsia"/>
                      <w:color w:val="auto"/>
                      <w:sz w:val="18"/>
                      <w:szCs w:val="18"/>
                      <w:highlight w:val="none"/>
                    </w:rPr>
                    <w:t>产品名称</w:t>
                  </w:r>
                </w:p>
              </w:tc>
              <w:tc>
                <w:tcPr>
                  <w:tcW w:w="3896" w:type="dxa"/>
                  <w:gridSpan w:val="2"/>
                  <w:tcBorders>
                    <w:left w:val="single" w:color="000000" w:sz="4" w:space="0"/>
                    <w:right w:val="single" w:color="000000" w:sz="4" w:space="0"/>
                  </w:tcBorders>
                  <w:noWrap w:val="0"/>
                  <w:vAlign w:val="center"/>
                </w:tcPr>
                <w:p w14:paraId="4049E89F">
                  <w:pPr>
                    <w:snapToGrid w:val="0"/>
                    <w:jc w:val="center"/>
                    <w:rPr>
                      <w:color w:val="auto"/>
                      <w:sz w:val="18"/>
                      <w:szCs w:val="18"/>
                      <w:highlight w:val="none"/>
                    </w:rPr>
                  </w:pPr>
                  <w:r>
                    <w:rPr>
                      <w:rFonts w:hint="eastAsia"/>
                      <w:color w:val="auto"/>
                      <w:sz w:val="18"/>
                      <w:szCs w:val="18"/>
                      <w:highlight w:val="none"/>
                    </w:rPr>
                    <w:t>规格</w:t>
                  </w:r>
                </w:p>
              </w:tc>
              <w:tc>
                <w:tcPr>
                  <w:tcW w:w="2065" w:type="dxa"/>
                  <w:tcBorders>
                    <w:left w:val="single" w:color="000000" w:sz="4" w:space="0"/>
                    <w:right w:val="nil"/>
                  </w:tcBorders>
                  <w:noWrap w:val="0"/>
                  <w:vAlign w:val="center"/>
                </w:tcPr>
                <w:p w14:paraId="3CA1697F">
                  <w:pPr>
                    <w:snapToGrid w:val="0"/>
                    <w:jc w:val="center"/>
                    <w:rPr>
                      <w:color w:val="auto"/>
                      <w:sz w:val="18"/>
                      <w:szCs w:val="18"/>
                      <w:highlight w:val="none"/>
                    </w:rPr>
                  </w:pPr>
                  <w:r>
                    <w:rPr>
                      <w:rFonts w:hint="eastAsia"/>
                      <w:color w:val="auto"/>
                      <w:sz w:val="18"/>
                      <w:szCs w:val="18"/>
                      <w:highlight w:val="none"/>
                    </w:rPr>
                    <w:t>产量（合计）</w:t>
                  </w:r>
                </w:p>
              </w:tc>
            </w:tr>
            <w:tr w14:paraId="2B0338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2" w:hRule="atLeast"/>
                <w:tblHeader/>
                <w:jc w:val="center"/>
              </w:trPr>
              <w:tc>
                <w:tcPr>
                  <w:tcW w:w="1757" w:type="dxa"/>
                  <w:vMerge w:val="restart"/>
                  <w:tcBorders>
                    <w:right w:val="single" w:color="000000" w:sz="4" w:space="0"/>
                  </w:tcBorders>
                  <w:noWrap w:val="0"/>
                  <w:vAlign w:val="center"/>
                </w:tcPr>
                <w:p w14:paraId="429C1704">
                  <w:pPr>
                    <w:snapToGrid w:val="0"/>
                    <w:jc w:val="center"/>
                    <w:rPr>
                      <w:color w:val="auto"/>
                      <w:sz w:val="18"/>
                      <w:szCs w:val="18"/>
                      <w:highlight w:val="none"/>
                    </w:rPr>
                  </w:pPr>
                  <w:r>
                    <w:rPr>
                      <w:rFonts w:hint="eastAsia"/>
                      <w:color w:val="auto"/>
                      <w:sz w:val="18"/>
                      <w:szCs w:val="18"/>
                      <w:highlight w:val="none"/>
                    </w:rPr>
                    <w:t>再生腐殖土</w:t>
                  </w:r>
                </w:p>
                <w:p w14:paraId="493182C9">
                  <w:pPr>
                    <w:snapToGrid w:val="0"/>
                    <w:jc w:val="center"/>
                    <w:rPr>
                      <w:color w:val="auto"/>
                      <w:sz w:val="18"/>
                      <w:szCs w:val="18"/>
                      <w:highlight w:val="none"/>
                    </w:rPr>
                  </w:pPr>
                  <w:r>
                    <w:rPr>
                      <w:rFonts w:hint="eastAsia"/>
                      <w:color w:val="auto"/>
                      <w:sz w:val="18"/>
                      <w:szCs w:val="18"/>
                      <w:highlight w:val="none"/>
                    </w:rPr>
                    <w:t>（营养土）</w:t>
                  </w:r>
                </w:p>
              </w:tc>
              <w:tc>
                <w:tcPr>
                  <w:tcW w:w="1481" w:type="dxa"/>
                  <w:vMerge w:val="restart"/>
                  <w:tcBorders>
                    <w:left w:val="single" w:color="000000" w:sz="4" w:space="0"/>
                    <w:right w:val="single" w:color="000000" w:sz="4" w:space="0"/>
                  </w:tcBorders>
                  <w:noWrap w:val="0"/>
                  <w:vAlign w:val="center"/>
                </w:tcPr>
                <w:p w14:paraId="41B49F73">
                  <w:pPr>
                    <w:pStyle w:val="98"/>
                    <w:ind w:left="0"/>
                    <w:jc w:val="center"/>
                    <w:rPr>
                      <w:rFonts w:hint="eastAsia"/>
                      <w:b w:val="0"/>
                      <w:bCs w:val="0"/>
                      <w:color w:val="auto"/>
                      <w:sz w:val="18"/>
                      <w:szCs w:val="18"/>
                      <w:highlight w:val="none"/>
                    </w:rPr>
                  </w:pPr>
                  <w:r>
                    <w:rPr>
                      <w:rFonts w:hint="eastAsia"/>
                      <w:b w:val="0"/>
                      <w:bCs w:val="0"/>
                      <w:color w:val="auto"/>
                      <w:sz w:val="18"/>
                      <w:szCs w:val="18"/>
                      <w:highlight w:val="none"/>
                    </w:rPr>
                    <w:t>袋装保存</w:t>
                  </w:r>
                </w:p>
                <w:p w14:paraId="218A8A68">
                  <w:pPr>
                    <w:pStyle w:val="98"/>
                    <w:ind w:left="0"/>
                    <w:jc w:val="center"/>
                    <w:rPr>
                      <w:rFonts w:hint="eastAsia" w:eastAsia="宋体"/>
                      <w:color w:val="auto"/>
                      <w:sz w:val="18"/>
                      <w:szCs w:val="18"/>
                      <w:highlight w:val="none"/>
                      <w:lang w:eastAsia="zh-CN"/>
                    </w:rPr>
                  </w:pPr>
                  <w:r>
                    <w:rPr>
                      <w:rFonts w:hint="eastAsia"/>
                      <w:b w:val="0"/>
                      <w:bCs w:val="0"/>
                      <w:color w:val="auto"/>
                      <w:sz w:val="18"/>
                      <w:szCs w:val="18"/>
                      <w:highlight w:val="none"/>
                      <w:lang w:eastAsia="zh-CN"/>
                    </w:rPr>
                    <w:t>（</w:t>
                  </w:r>
                  <w:r>
                    <w:rPr>
                      <w:rFonts w:hint="eastAsia"/>
                      <w:b w:val="0"/>
                      <w:bCs w:val="0"/>
                      <w:color w:val="auto"/>
                      <w:sz w:val="18"/>
                      <w:szCs w:val="18"/>
                      <w:highlight w:val="none"/>
                      <w:lang w:val="en-US" w:eastAsia="zh-CN"/>
                    </w:rPr>
                    <w:t>粒状</w:t>
                  </w:r>
                  <w:r>
                    <w:rPr>
                      <w:rFonts w:hint="eastAsia"/>
                      <w:b w:val="0"/>
                      <w:bCs w:val="0"/>
                      <w:color w:val="auto"/>
                      <w:sz w:val="18"/>
                      <w:szCs w:val="18"/>
                      <w:highlight w:val="none"/>
                      <w:lang w:eastAsia="zh-CN"/>
                    </w:rPr>
                    <w:t>）</w:t>
                  </w:r>
                </w:p>
              </w:tc>
              <w:tc>
                <w:tcPr>
                  <w:tcW w:w="2415" w:type="dxa"/>
                  <w:tcBorders>
                    <w:left w:val="single" w:color="000000" w:sz="4" w:space="0"/>
                    <w:right w:val="single" w:color="000000" w:sz="4" w:space="0"/>
                  </w:tcBorders>
                  <w:noWrap w:val="0"/>
                  <w:vAlign w:val="center"/>
                </w:tcPr>
                <w:p w14:paraId="013B31B3">
                  <w:pPr>
                    <w:snapToGrid w:val="0"/>
                    <w:jc w:val="center"/>
                    <w:rPr>
                      <w:color w:val="auto"/>
                      <w:sz w:val="18"/>
                      <w:szCs w:val="18"/>
                      <w:highlight w:val="none"/>
                    </w:rPr>
                  </w:pPr>
                  <w:r>
                    <w:rPr>
                      <w:rFonts w:hint="eastAsia"/>
                      <w:color w:val="auto"/>
                      <w:sz w:val="18"/>
                      <w:szCs w:val="18"/>
                      <w:highlight w:val="none"/>
                    </w:rPr>
                    <w:t>20kg/袋（大袋）</w:t>
                  </w:r>
                </w:p>
              </w:tc>
              <w:tc>
                <w:tcPr>
                  <w:tcW w:w="2065" w:type="dxa"/>
                  <w:vMerge w:val="restart"/>
                  <w:tcBorders>
                    <w:left w:val="single" w:color="000000" w:sz="4" w:space="0"/>
                    <w:right w:val="nil"/>
                  </w:tcBorders>
                  <w:noWrap w:val="0"/>
                  <w:vAlign w:val="center"/>
                </w:tcPr>
                <w:p w14:paraId="52A8DC0F">
                  <w:pPr>
                    <w:snapToGrid w:val="0"/>
                    <w:jc w:val="center"/>
                    <w:rPr>
                      <w:color w:val="auto"/>
                      <w:sz w:val="18"/>
                      <w:szCs w:val="18"/>
                      <w:highlight w:val="none"/>
                    </w:rPr>
                  </w:pPr>
                  <w:r>
                    <w:rPr>
                      <w:rFonts w:hint="eastAsia"/>
                      <w:color w:val="auto"/>
                      <w:sz w:val="18"/>
                      <w:szCs w:val="18"/>
                      <w:highlight w:val="none"/>
                      <w:lang w:val="en-US" w:eastAsia="zh-CN"/>
                    </w:rPr>
                    <w:t>1.5万</w:t>
                  </w:r>
                  <w:r>
                    <w:rPr>
                      <w:rFonts w:hint="eastAsia"/>
                      <w:color w:val="auto"/>
                      <w:sz w:val="18"/>
                      <w:szCs w:val="18"/>
                      <w:highlight w:val="none"/>
                    </w:rPr>
                    <w:t>t/a</w:t>
                  </w:r>
                </w:p>
              </w:tc>
            </w:tr>
            <w:tr w14:paraId="320A60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6" w:hRule="atLeast"/>
                <w:tblHeader/>
                <w:jc w:val="center"/>
              </w:trPr>
              <w:tc>
                <w:tcPr>
                  <w:tcW w:w="1757" w:type="dxa"/>
                  <w:vMerge w:val="continue"/>
                  <w:tcBorders>
                    <w:right w:val="single" w:color="000000" w:sz="4" w:space="0"/>
                  </w:tcBorders>
                  <w:noWrap w:val="0"/>
                  <w:vAlign w:val="center"/>
                </w:tcPr>
                <w:p w14:paraId="4A0D9485">
                  <w:pPr>
                    <w:snapToGrid w:val="0"/>
                    <w:jc w:val="center"/>
                    <w:rPr>
                      <w:color w:val="auto"/>
                      <w:sz w:val="18"/>
                      <w:szCs w:val="18"/>
                      <w:highlight w:val="none"/>
                    </w:rPr>
                  </w:pPr>
                </w:p>
              </w:tc>
              <w:tc>
                <w:tcPr>
                  <w:tcW w:w="1481" w:type="dxa"/>
                  <w:vMerge w:val="continue"/>
                  <w:tcBorders>
                    <w:left w:val="single" w:color="000000" w:sz="4" w:space="0"/>
                    <w:right w:val="single" w:color="000000" w:sz="4" w:space="0"/>
                  </w:tcBorders>
                  <w:noWrap w:val="0"/>
                  <w:vAlign w:val="center"/>
                </w:tcPr>
                <w:p w14:paraId="2F570098">
                  <w:pPr>
                    <w:pStyle w:val="96"/>
                    <w:jc w:val="center"/>
                    <w:rPr>
                      <w:color w:val="auto"/>
                      <w:sz w:val="18"/>
                      <w:szCs w:val="18"/>
                      <w:highlight w:val="none"/>
                    </w:rPr>
                  </w:pPr>
                </w:p>
              </w:tc>
              <w:tc>
                <w:tcPr>
                  <w:tcW w:w="2415" w:type="dxa"/>
                  <w:tcBorders>
                    <w:left w:val="single" w:color="000000" w:sz="4" w:space="0"/>
                    <w:right w:val="single" w:color="000000" w:sz="4" w:space="0"/>
                  </w:tcBorders>
                  <w:noWrap w:val="0"/>
                  <w:vAlign w:val="center"/>
                </w:tcPr>
                <w:p w14:paraId="2722DC76">
                  <w:pPr>
                    <w:pStyle w:val="96"/>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10kg/袋</w:t>
                  </w:r>
                  <w:r>
                    <w:rPr>
                      <w:rFonts w:hint="eastAsia"/>
                      <w:color w:val="auto"/>
                      <w:sz w:val="18"/>
                      <w:szCs w:val="18"/>
                      <w:highlight w:val="none"/>
                    </w:rPr>
                    <w:t>（中袋）</w:t>
                  </w:r>
                </w:p>
              </w:tc>
              <w:tc>
                <w:tcPr>
                  <w:tcW w:w="2065" w:type="dxa"/>
                  <w:vMerge w:val="continue"/>
                  <w:tcBorders>
                    <w:left w:val="single" w:color="000000" w:sz="4" w:space="0"/>
                    <w:right w:val="nil"/>
                  </w:tcBorders>
                  <w:noWrap w:val="0"/>
                  <w:vAlign w:val="center"/>
                </w:tcPr>
                <w:p w14:paraId="09F8CCCD">
                  <w:pPr>
                    <w:snapToGrid w:val="0"/>
                    <w:jc w:val="center"/>
                    <w:rPr>
                      <w:color w:val="auto"/>
                      <w:sz w:val="18"/>
                      <w:szCs w:val="18"/>
                      <w:highlight w:val="none"/>
                    </w:rPr>
                  </w:pPr>
                </w:p>
              </w:tc>
            </w:tr>
            <w:tr w14:paraId="159254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1757" w:type="dxa"/>
                  <w:vMerge w:val="continue"/>
                  <w:tcBorders>
                    <w:right w:val="single" w:color="000000" w:sz="4" w:space="0"/>
                  </w:tcBorders>
                  <w:noWrap w:val="0"/>
                  <w:vAlign w:val="center"/>
                </w:tcPr>
                <w:p w14:paraId="4CEB0F28">
                  <w:pPr>
                    <w:snapToGrid w:val="0"/>
                    <w:jc w:val="center"/>
                    <w:rPr>
                      <w:color w:val="auto"/>
                      <w:sz w:val="18"/>
                      <w:szCs w:val="18"/>
                      <w:highlight w:val="none"/>
                    </w:rPr>
                  </w:pPr>
                </w:p>
              </w:tc>
              <w:tc>
                <w:tcPr>
                  <w:tcW w:w="1481" w:type="dxa"/>
                  <w:vMerge w:val="continue"/>
                  <w:tcBorders>
                    <w:left w:val="single" w:color="000000" w:sz="4" w:space="0"/>
                    <w:right w:val="single" w:color="000000" w:sz="4" w:space="0"/>
                  </w:tcBorders>
                  <w:noWrap w:val="0"/>
                  <w:vAlign w:val="center"/>
                </w:tcPr>
                <w:p w14:paraId="7A7754F2">
                  <w:pPr>
                    <w:pStyle w:val="98"/>
                    <w:ind w:left="0"/>
                    <w:jc w:val="center"/>
                    <w:rPr>
                      <w:color w:val="auto"/>
                      <w:sz w:val="18"/>
                      <w:szCs w:val="18"/>
                      <w:highlight w:val="none"/>
                    </w:rPr>
                  </w:pPr>
                </w:p>
              </w:tc>
              <w:tc>
                <w:tcPr>
                  <w:tcW w:w="2415" w:type="dxa"/>
                  <w:tcBorders>
                    <w:left w:val="single" w:color="000000" w:sz="4" w:space="0"/>
                    <w:right w:val="single" w:color="000000" w:sz="4" w:space="0"/>
                  </w:tcBorders>
                  <w:noWrap w:val="0"/>
                  <w:vAlign w:val="center"/>
                </w:tcPr>
                <w:p w14:paraId="7F90356C">
                  <w:pPr>
                    <w:pStyle w:val="98"/>
                    <w:ind w:left="0"/>
                    <w:jc w:val="center"/>
                    <w:rPr>
                      <w:rFonts w:ascii="Times New Roman"/>
                      <w:b w:val="0"/>
                      <w:bCs w:val="0"/>
                      <w:color w:val="auto"/>
                      <w:sz w:val="18"/>
                      <w:szCs w:val="18"/>
                      <w:highlight w:val="none"/>
                    </w:rPr>
                  </w:pPr>
                  <w:r>
                    <w:rPr>
                      <w:rFonts w:hint="eastAsia" w:ascii="Times New Roman"/>
                      <w:b w:val="0"/>
                      <w:bCs w:val="0"/>
                      <w:color w:val="auto"/>
                      <w:sz w:val="18"/>
                      <w:szCs w:val="18"/>
                      <w:highlight w:val="none"/>
                    </w:rPr>
                    <w:t>5kg/袋（小袋）</w:t>
                  </w:r>
                </w:p>
              </w:tc>
              <w:tc>
                <w:tcPr>
                  <w:tcW w:w="2065" w:type="dxa"/>
                  <w:vMerge w:val="continue"/>
                  <w:tcBorders>
                    <w:left w:val="single" w:color="000000" w:sz="4" w:space="0"/>
                    <w:right w:val="nil"/>
                  </w:tcBorders>
                  <w:noWrap w:val="0"/>
                  <w:vAlign w:val="center"/>
                </w:tcPr>
                <w:p w14:paraId="3C00A1A5">
                  <w:pPr>
                    <w:snapToGrid w:val="0"/>
                    <w:jc w:val="center"/>
                    <w:rPr>
                      <w:color w:val="auto"/>
                      <w:sz w:val="18"/>
                      <w:szCs w:val="18"/>
                      <w:highlight w:val="none"/>
                    </w:rPr>
                  </w:pPr>
                </w:p>
              </w:tc>
            </w:tr>
          </w:tbl>
          <w:p w14:paraId="33E21ED6">
            <w:pPr>
              <w:adjustRightInd w:val="0"/>
              <w:snapToGrid w:val="0"/>
              <w:ind w:firstLine="200" w:firstLineChars="200"/>
              <w:jc w:val="left"/>
              <w:rPr>
                <w:color w:val="auto"/>
                <w:sz w:val="10"/>
                <w:szCs w:val="10"/>
                <w:highlight w:val="none"/>
              </w:rPr>
            </w:pPr>
          </w:p>
          <w:p w14:paraId="2013479D">
            <w:pPr>
              <w:adjustRightInd w:val="0"/>
              <w:snapToGrid w:val="0"/>
              <w:spacing w:line="360" w:lineRule="auto"/>
              <w:jc w:val="left"/>
              <w:rPr>
                <w:rFonts w:hAnsi="宋体"/>
                <w:bCs/>
                <w:color w:val="auto"/>
                <w:highlight w:val="none"/>
              </w:rPr>
            </w:pPr>
            <w:r>
              <w:rPr>
                <w:rFonts w:hint="eastAsia" w:hAnsi="宋体"/>
                <w:bCs/>
                <w:color w:val="auto"/>
                <w:highlight w:val="none"/>
              </w:rPr>
              <w:t>3.3主要生产设备</w:t>
            </w:r>
          </w:p>
          <w:p w14:paraId="4640BFFC">
            <w:pPr>
              <w:adjustRightInd w:val="0"/>
              <w:snapToGrid w:val="0"/>
              <w:spacing w:line="360" w:lineRule="auto"/>
              <w:ind w:firstLine="420" w:firstLineChars="200"/>
              <w:rPr>
                <w:color w:val="auto"/>
                <w:highlight w:val="none"/>
              </w:rPr>
            </w:pPr>
            <w:r>
              <w:rPr>
                <w:rFonts w:hint="eastAsia"/>
                <w:color w:val="auto"/>
                <w:highlight w:val="none"/>
                <w:lang w:bidi="ar"/>
              </w:rPr>
              <w:t>项目新增生产设备情况如下</w:t>
            </w:r>
            <w:r>
              <w:rPr>
                <w:color w:val="auto"/>
                <w:highlight w:val="none"/>
                <w:lang w:bidi="ar"/>
              </w:rPr>
              <w:t>。</w:t>
            </w:r>
          </w:p>
          <w:p w14:paraId="018A2FB3">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bCs/>
                <w:color w:val="auto"/>
                <w:highlight w:val="none"/>
              </w:rPr>
            </w:pPr>
            <w:r>
              <w:rPr>
                <w:bCs/>
                <w:color w:val="auto"/>
                <w:highlight w:val="none"/>
              </w:rPr>
              <w:t>项目主要生产设备一览表</w:t>
            </w:r>
          </w:p>
          <w:tbl>
            <w:tblPr>
              <w:tblStyle w:val="2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 w:type="dxa"/>
                <w:bottom w:w="0" w:type="dxa"/>
                <w:right w:w="10" w:type="dxa"/>
              </w:tblCellMar>
            </w:tblPr>
            <w:tblGrid>
              <w:gridCol w:w="1575"/>
              <w:gridCol w:w="1575"/>
              <w:gridCol w:w="1575"/>
              <w:gridCol w:w="1576"/>
              <w:gridCol w:w="1576"/>
            </w:tblGrid>
            <w:tr w14:paraId="576816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48" w:hRule="atLeast"/>
                <w:jc w:val="center"/>
              </w:trPr>
              <w:tc>
                <w:tcPr>
                  <w:tcW w:w="1576" w:type="dxa"/>
                  <w:tcBorders>
                    <w:tl2br w:val="nil"/>
                    <w:tr2bl w:val="nil"/>
                  </w:tcBorders>
                  <w:shd w:val="clear" w:color="000000" w:fill="FFFFFF"/>
                  <w:tcMar>
                    <w:left w:w="108" w:type="dxa"/>
                    <w:right w:w="108" w:type="dxa"/>
                  </w:tcMar>
                  <w:vAlign w:val="center"/>
                </w:tcPr>
                <w:p w14:paraId="10E8CA97">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序号</w:t>
                  </w:r>
                </w:p>
              </w:tc>
              <w:tc>
                <w:tcPr>
                  <w:tcW w:w="1576" w:type="dxa"/>
                  <w:tcBorders>
                    <w:tl2br w:val="nil"/>
                    <w:tr2bl w:val="nil"/>
                  </w:tcBorders>
                  <w:shd w:val="clear" w:color="000000" w:fill="FFFFFF"/>
                  <w:tcMar>
                    <w:left w:w="108" w:type="dxa"/>
                    <w:right w:w="108" w:type="dxa"/>
                  </w:tcMar>
                  <w:vAlign w:val="center"/>
                </w:tcPr>
                <w:p w14:paraId="50A05123">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设备名称</w:t>
                  </w:r>
                </w:p>
              </w:tc>
              <w:tc>
                <w:tcPr>
                  <w:tcW w:w="1576" w:type="dxa"/>
                  <w:tcBorders>
                    <w:tl2br w:val="nil"/>
                    <w:tr2bl w:val="nil"/>
                  </w:tcBorders>
                  <w:shd w:val="clear" w:color="000000" w:fill="FFFFFF"/>
                  <w:tcMar>
                    <w:left w:w="108" w:type="dxa"/>
                    <w:right w:w="108" w:type="dxa"/>
                  </w:tcMar>
                  <w:vAlign w:val="center"/>
                </w:tcPr>
                <w:p w14:paraId="57B688BA">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型号</w:t>
                  </w:r>
                </w:p>
              </w:tc>
              <w:tc>
                <w:tcPr>
                  <w:tcW w:w="1576" w:type="dxa"/>
                  <w:tcBorders>
                    <w:tl2br w:val="nil"/>
                    <w:tr2bl w:val="nil"/>
                  </w:tcBorders>
                  <w:shd w:val="clear" w:color="000000" w:fill="FFFFFF"/>
                  <w:tcMar>
                    <w:left w:w="108" w:type="dxa"/>
                    <w:right w:w="108" w:type="dxa"/>
                  </w:tcMar>
                  <w:vAlign w:val="center"/>
                </w:tcPr>
                <w:p w14:paraId="0323C803">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单位</w:t>
                  </w:r>
                </w:p>
              </w:tc>
              <w:tc>
                <w:tcPr>
                  <w:tcW w:w="1576" w:type="dxa"/>
                  <w:tcBorders>
                    <w:tl2br w:val="nil"/>
                    <w:tr2bl w:val="nil"/>
                  </w:tcBorders>
                  <w:shd w:val="clear" w:color="000000" w:fill="FFFFFF"/>
                  <w:tcMar>
                    <w:left w:w="108" w:type="dxa"/>
                    <w:right w:w="108" w:type="dxa"/>
                  </w:tcMar>
                  <w:vAlign w:val="center"/>
                </w:tcPr>
                <w:p w14:paraId="33EE458C">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数量</w:t>
                  </w:r>
                </w:p>
              </w:tc>
            </w:tr>
            <w:tr w14:paraId="48D6D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29" w:hRule="atLeast"/>
                <w:jc w:val="center"/>
              </w:trPr>
              <w:tc>
                <w:tcPr>
                  <w:tcW w:w="1576" w:type="dxa"/>
                  <w:tcBorders>
                    <w:tl2br w:val="nil"/>
                    <w:tr2bl w:val="nil"/>
                  </w:tcBorders>
                  <w:shd w:val="clear" w:color="000000" w:fill="FFFFFF"/>
                  <w:tcMar>
                    <w:left w:w="108" w:type="dxa"/>
                    <w:right w:w="108" w:type="dxa"/>
                  </w:tcMar>
                  <w:vAlign w:val="center"/>
                </w:tcPr>
                <w:p w14:paraId="4AE60A1D">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01</w:t>
                  </w:r>
                </w:p>
              </w:tc>
              <w:tc>
                <w:tcPr>
                  <w:tcW w:w="1576" w:type="dxa"/>
                  <w:tcBorders>
                    <w:tl2br w:val="nil"/>
                    <w:tr2bl w:val="nil"/>
                  </w:tcBorders>
                  <w:shd w:val="clear" w:color="000000" w:fill="FFFFFF"/>
                  <w:tcMar>
                    <w:left w:w="108" w:type="dxa"/>
                    <w:right w:w="108" w:type="dxa"/>
                  </w:tcMar>
                  <w:vAlign w:val="center"/>
                </w:tcPr>
                <w:p w14:paraId="0C5FA556">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粉料机</w:t>
                  </w:r>
                </w:p>
              </w:tc>
              <w:tc>
                <w:tcPr>
                  <w:tcW w:w="1576" w:type="dxa"/>
                  <w:tcBorders>
                    <w:tl2br w:val="nil"/>
                    <w:tr2bl w:val="nil"/>
                  </w:tcBorders>
                  <w:shd w:val="clear" w:color="000000" w:fill="FFFFFF"/>
                  <w:tcMar>
                    <w:left w:w="108" w:type="dxa"/>
                    <w:right w:w="108" w:type="dxa"/>
                  </w:tcMar>
                  <w:vAlign w:val="center"/>
                </w:tcPr>
                <w:p w14:paraId="56382113">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550</w:t>
                  </w:r>
                </w:p>
              </w:tc>
              <w:tc>
                <w:tcPr>
                  <w:tcW w:w="1576" w:type="dxa"/>
                  <w:tcBorders>
                    <w:tl2br w:val="nil"/>
                    <w:tr2bl w:val="nil"/>
                  </w:tcBorders>
                  <w:shd w:val="clear" w:color="000000" w:fill="FFFFFF"/>
                  <w:tcMar>
                    <w:left w:w="108" w:type="dxa"/>
                    <w:right w:w="108" w:type="dxa"/>
                  </w:tcMar>
                  <w:vAlign w:val="center"/>
                </w:tcPr>
                <w:p w14:paraId="1762664E">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台</w:t>
                  </w:r>
                </w:p>
              </w:tc>
              <w:tc>
                <w:tcPr>
                  <w:tcW w:w="1576" w:type="dxa"/>
                  <w:tcBorders>
                    <w:tl2br w:val="nil"/>
                    <w:tr2bl w:val="nil"/>
                  </w:tcBorders>
                  <w:shd w:val="clear" w:color="000000" w:fill="FFFFFF"/>
                  <w:tcMar>
                    <w:left w:w="108" w:type="dxa"/>
                    <w:right w:w="108" w:type="dxa"/>
                  </w:tcMar>
                  <w:vAlign w:val="center"/>
                </w:tcPr>
                <w:p w14:paraId="0D3AF236">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1</w:t>
                  </w:r>
                </w:p>
              </w:tc>
            </w:tr>
            <w:tr w14:paraId="4D1328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29" w:hRule="atLeast"/>
                <w:jc w:val="center"/>
              </w:trPr>
              <w:tc>
                <w:tcPr>
                  <w:tcW w:w="1576" w:type="dxa"/>
                  <w:tcBorders>
                    <w:tl2br w:val="nil"/>
                    <w:tr2bl w:val="nil"/>
                  </w:tcBorders>
                  <w:shd w:val="clear" w:color="000000" w:fill="FFFFFF"/>
                  <w:tcMar>
                    <w:left w:w="108" w:type="dxa"/>
                    <w:right w:w="108" w:type="dxa"/>
                  </w:tcMar>
                  <w:vAlign w:val="center"/>
                </w:tcPr>
                <w:p w14:paraId="6A50E093">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02</w:t>
                  </w:r>
                </w:p>
              </w:tc>
              <w:tc>
                <w:tcPr>
                  <w:tcW w:w="1576" w:type="dxa"/>
                  <w:tcBorders>
                    <w:tl2br w:val="nil"/>
                    <w:tr2bl w:val="nil"/>
                  </w:tcBorders>
                  <w:shd w:val="clear" w:color="000000" w:fill="FFFFFF"/>
                  <w:tcMar>
                    <w:left w:w="108" w:type="dxa"/>
                    <w:right w:w="108" w:type="dxa"/>
                  </w:tcMar>
                  <w:vAlign w:val="center"/>
                </w:tcPr>
                <w:p w14:paraId="64924FB6">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滚筒筛料机</w:t>
                  </w:r>
                </w:p>
              </w:tc>
              <w:tc>
                <w:tcPr>
                  <w:tcW w:w="1576" w:type="dxa"/>
                  <w:tcBorders>
                    <w:tl2br w:val="nil"/>
                    <w:tr2bl w:val="nil"/>
                  </w:tcBorders>
                  <w:shd w:val="clear" w:color="000000" w:fill="FFFFFF"/>
                  <w:tcMar>
                    <w:left w:w="108" w:type="dxa"/>
                    <w:right w:w="108" w:type="dxa"/>
                  </w:tcMar>
                  <w:vAlign w:val="center"/>
                </w:tcPr>
                <w:p w14:paraId="49AEB685">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锥形</w:t>
                  </w:r>
                </w:p>
              </w:tc>
              <w:tc>
                <w:tcPr>
                  <w:tcW w:w="1576" w:type="dxa"/>
                  <w:tcBorders>
                    <w:tl2br w:val="nil"/>
                    <w:tr2bl w:val="nil"/>
                  </w:tcBorders>
                  <w:shd w:val="clear" w:color="000000" w:fill="FFFFFF"/>
                  <w:tcMar>
                    <w:left w:w="108" w:type="dxa"/>
                    <w:right w:w="108" w:type="dxa"/>
                  </w:tcMar>
                  <w:vAlign w:val="center"/>
                </w:tcPr>
                <w:p w14:paraId="2330EEDA">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台</w:t>
                  </w:r>
                </w:p>
              </w:tc>
              <w:tc>
                <w:tcPr>
                  <w:tcW w:w="1576" w:type="dxa"/>
                  <w:tcBorders>
                    <w:tl2br w:val="nil"/>
                    <w:tr2bl w:val="nil"/>
                  </w:tcBorders>
                  <w:shd w:val="clear" w:color="000000" w:fill="FFFFFF"/>
                  <w:tcMar>
                    <w:left w:w="108" w:type="dxa"/>
                    <w:right w:w="108" w:type="dxa"/>
                  </w:tcMar>
                  <w:vAlign w:val="center"/>
                </w:tcPr>
                <w:p w14:paraId="6D7E9EA1">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1</w:t>
                  </w:r>
                </w:p>
              </w:tc>
            </w:tr>
            <w:tr w14:paraId="057204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29" w:hRule="atLeast"/>
                <w:jc w:val="center"/>
              </w:trPr>
              <w:tc>
                <w:tcPr>
                  <w:tcW w:w="1576" w:type="dxa"/>
                  <w:tcBorders>
                    <w:tl2br w:val="nil"/>
                    <w:tr2bl w:val="nil"/>
                  </w:tcBorders>
                  <w:shd w:val="clear" w:color="000000" w:fill="FFFFFF"/>
                  <w:tcMar>
                    <w:left w:w="108" w:type="dxa"/>
                    <w:right w:w="108" w:type="dxa"/>
                  </w:tcMar>
                  <w:vAlign w:val="center"/>
                </w:tcPr>
                <w:p w14:paraId="4408AD17">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03</w:t>
                  </w:r>
                </w:p>
              </w:tc>
              <w:tc>
                <w:tcPr>
                  <w:tcW w:w="1576" w:type="dxa"/>
                  <w:tcBorders>
                    <w:tl2br w:val="nil"/>
                    <w:tr2bl w:val="nil"/>
                  </w:tcBorders>
                  <w:shd w:val="clear" w:color="000000" w:fill="FFFFFF"/>
                  <w:tcMar>
                    <w:left w:w="108" w:type="dxa"/>
                    <w:right w:w="108" w:type="dxa"/>
                  </w:tcMar>
                  <w:vAlign w:val="center"/>
                </w:tcPr>
                <w:p w14:paraId="5A53D05A">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传送带</w:t>
                  </w:r>
                </w:p>
              </w:tc>
              <w:tc>
                <w:tcPr>
                  <w:tcW w:w="1576" w:type="dxa"/>
                  <w:tcBorders>
                    <w:tl2br w:val="nil"/>
                    <w:tr2bl w:val="nil"/>
                  </w:tcBorders>
                  <w:shd w:val="clear" w:color="000000" w:fill="FFFFFF"/>
                  <w:tcMar>
                    <w:left w:w="108" w:type="dxa"/>
                    <w:right w:w="108" w:type="dxa"/>
                  </w:tcMar>
                  <w:vAlign w:val="center"/>
                </w:tcPr>
                <w:p w14:paraId="1C4A4C14">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eastAsia" w:cs="Times New Roman"/>
                      <w:color w:val="auto"/>
                      <w:spacing w:val="0"/>
                      <w:position w:val="0"/>
                      <w:sz w:val="18"/>
                      <w:szCs w:val="18"/>
                      <w:highlight w:val="none"/>
                      <w:shd w:val="clear" w:fill="auto"/>
                      <w:lang w:val="en-US" w:eastAsia="zh-CN"/>
                    </w:rPr>
                    <w:t>/</w:t>
                  </w:r>
                </w:p>
              </w:tc>
              <w:tc>
                <w:tcPr>
                  <w:tcW w:w="1576" w:type="dxa"/>
                  <w:tcBorders>
                    <w:tl2br w:val="nil"/>
                    <w:tr2bl w:val="nil"/>
                  </w:tcBorders>
                  <w:shd w:val="clear" w:color="000000" w:fill="FFFFFF"/>
                  <w:tcMar>
                    <w:left w:w="108" w:type="dxa"/>
                    <w:right w:w="108" w:type="dxa"/>
                  </w:tcMar>
                  <w:vAlign w:val="center"/>
                </w:tcPr>
                <w:p w14:paraId="0F3DB1AF">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条</w:t>
                  </w:r>
                </w:p>
              </w:tc>
              <w:tc>
                <w:tcPr>
                  <w:tcW w:w="1576" w:type="dxa"/>
                  <w:tcBorders>
                    <w:tl2br w:val="nil"/>
                    <w:tr2bl w:val="nil"/>
                  </w:tcBorders>
                  <w:shd w:val="clear" w:color="000000" w:fill="FFFFFF"/>
                  <w:tcMar>
                    <w:left w:w="108" w:type="dxa"/>
                    <w:right w:w="108" w:type="dxa"/>
                  </w:tcMar>
                  <w:vAlign w:val="center"/>
                </w:tcPr>
                <w:p w14:paraId="369B7F8F">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lang w:val="en-US" w:eastAsia="zh-CN"/>
                    </w:rPr>
                  </w:pPr>
                  <w:r>
                    <w:rPr>
                      <w:rFonts w:hint="eastAsia" w:cs="Times New Roman"/>
                      <w:color w:val="auto"/>
                      <w:spacing w:val="0"/>
                      <w:position w:val="0"/>
                      <w:sz w:val="18"/>
                      <w:szCs w:val="18"/>
                      <w:highlight w:val="none"/>
                      <w:lang w:val="en-US" w:eastAsia="zh-CN"/>
                    </w:rPr>
                    <w:t>5</w:t>
                  </w:r>
                </w:p>
              </w:tc>
            </w:tr>
            <w:tr w14:paraId="3A06F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29" w:hRule="atLeast"/>
                <w:jc w:val="center"/>
              </w:trPr>
              <w:tc>
                <w:tcPr>
                  <w:tcW w:w="1576" w:type="dxa"/>
                  <w:tcBorders>
                    <w:tl2br w:val="nil"/>
                    <w:tr2bl w:val="nil"/>
                  </w:tcBorders>
                  <w:shd w:val="clear" w:color="000000" w:fill="FFFFFF"/>
                  <w:tcMar>
                    <w:left w:w="108" w:type="dxa"/>
                    <w:right w:w="108" w:type="dxa"/>
                  </w:tcMar>
                  <w:vAlign w:val="center"/>
                </w:tcPr>
                <w:p w14:paraId="290B9C55">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04</w:t>
                  </w:r>
                </w:p>
              </w:tc>
              <w:tc>
                <w:tcPr>
                  <w:tcW w:w="1576" w:type="dxa"/>
                  <w:tcBorders>
                    <w:tl2br w:val="nil"/>
                    <w:tr2bl w:val="nil"/>
                  </w:tcBorders>
                  <w:shd w:val="clear" w:color="000000" w:fill="FFFFFF"/>
                  <w:tcMar>
                    <w:left w:w="108" w:type="dxa"/>
                    <w:right w:w="108" w:type="dxa"/>
                  </w:tcMar>
                  <w:vAlign w:val="center"/>
                </w:tcPr>
                <w:p w14:paraId="78CEA44F">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lang w:val="en-US" w:eastAsia="zh-CN"/>
                    </w:rPr>
                  </w:pPr>
                  <w:r>
                    <w:rPr>
                      <w:rFonts w:hint="eastAsia" w:cs="Times New Roman"/>
                      <w:color w:val="auto"/>
                      <w:spacing w:val="0"/>
                      <w:position w:val="0"/>
                      <w:sz w:val="18"/>
                      <w:szCs w:val="18"/>
                      <w:highlight w:val="none"/>
                      <w:shd w:val="clear" w:fill="auto"/>
                      <w:lang w:val="en-US" w:eastAsia="zh-CN"/>
                    </w:rPr>
                    <w:t>三仓料斗</w:t>
                  </w:r>
                </w:p>
              </w:tc>
              <w:tc>
                <w:tcPr>
                  <w:tcW w:w="1576" w:type="dxa"/>
                  <w:tcBorders>
                    <w:tl2br w:val="nil"/>
                    <w:tr2bl w:val="nil"/>
                  </w:tcBorders>
                  <w:shd w:val="clear" w:color="000000" w:fill="FFFFFF"/>
                  <w:tcMar>
                    <w:left w:w="108" w:type="dxa"/>
                    <w:right w:w="108" w:type="dxa"/>
                  </w:tcMar>
                  <w:vAlign w:val="center"/>
                </w:tcPr>
                <w:p w14:paraId="71D13110">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highlight w:val="none"/>
                      <w:lang w:eastAsia="zh-CN"/>
                    </w:rPr>
                  </w:pPr>
                  <w:r>
                    <w:rPr>
                      <w:rFonts w:hint="eastAsia" w:cs="Times New Roman"/>
                      <w:color w:val="auto"/>
                      <w:spacing w:val="0"/>
                      <w:position w:val="0"/>
                      <w:sz w:val="18"/>
                      <w:szCs w:val="18"/>
                      <w:highlight w:val="none"/>
                      <w:shd w:val="clear" w:fill="auto"/>
                      <w:lang w:val="en-US" w:eastAsia="zh-CN"/>
                    </w:rPr>
                    <w:t>/</w:t>
                  </w:r>
                </w:p>
              </w:tc>
              <w:tc>
                <w:tcPr>
                  <w:tcW w:w="1576" w:type="dxa"/>
                  <w:tcBorders>
                    <w:tl2br w:val="nil"/>
                    <w:tr2bl w:val="nil"/>
                  </w:tcBorders>
                  <w:shd w:val="clear" w:color="000000" w:fill="FFFFFF"/>
                  <w:tcMar>
                    <w:left w:w="108" w:type="dxa"/>
                    <w:right w:w="108" w:type="dxa"/>
                  </w:tcMar>
                  <w:vAlign w:val="center"/>
                </w:tcPr>
                <w:p w14:paraId="27D21F14">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座</w:t>
                  </w:r>
                </w:p>
              </w:tc>
              <w:tc>
                <w:tcPr>
                  <w:tcW w:w="1576" w:type="dxa"/>
                  <w:tcBorders>
                    <w:tl2br w:val="nil"/>
                    <w:tr2bl w:val="nil"/>
                  </w:tcBorders>
                  <w:shd w:val="clear" w:color="000000" w:fill="FFFFFF"/>
                  <w:tcMar>
                    <w:left w:w="108" w:type="dxa"/>
                    <w:right w:w="108" w:type="dxa"/>
                  </w:tcMar>
                  <w:vAlign w:val="center"/>
                </w:tcPr>
                <w:p w14:paraId="64E7BD35">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1</w:t>
                  </w:r>
                </w:p>
              </w:tc>
            </w:tr>
            <w:tr w14:paraId="45422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29" w:hRule="atLeast"/>
                <w:jc w:val="center"/>
              </w:trPr>
              <w:tc>
                <w:tcPr>
                  <w:tcW w:w="1576" w:type="dxa"/>
                  <w:tcBorders>
                    <w:tl2br w:val="nil"/>
                    <w:tr2bl w:val="nil"/>
                  </w:tcBorders>
                  <w:shd w:val="clear" w:color="000000" w:fill="FFFFFF"/>
                  <w:tcMar>
                    <w:left w:w="108" w:type="dxa"/>
                    <w:right w:w="108" w:type="dxa"/>
                  </w:tcMar>
                  <w:vAlign w:val="center"/>
                </w:tcPr>
                <w:p w14:paraId="7BCB1105">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05</w:t>
                  </w:r>
                </w:p>
              </w:tc>
              <w:tc>
                <w:tcPr>
                  <w:tcW w:w="1576" w:type="dxa"/>
                  <w:tcBorders>
                    <w:tl2br w:val="nil"/>
                    <w:tr2bl w:val="nil"/>
                  </w:tcBorders>
                  <w:shd w:val="clear" w:color="000000" w:fill="FFFFFF"/>
                  <w:tcMar>
                    <w:left w:w="108" w:type="dxa"/>
                    <w:right w:w="108" w:type="dxa"/>
                  </w:tcMar>
                  <w:vAlign w:val="center"/>
                </w:tcPr>
                <w:p w14:paraId="4E1D01A7">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封袋机</w:t>
                  </w:r>
                </w:p>
              </w:tc>
              <w:tc>
                <w:tcPr>
                  <w:tcW w:w="1576" w:type="dxa"/>
                  <w:tcBorders>
                    <w:tl2br w:val="nil"/>
                    <w:tr2bl w:val="nil"/>
                  </w:tcBorders>
                  <w:shd w:val="clear" w:color="000000" w:fill="FFFFFF"/>
                  <w:tcMar>
                    <w:left w:w="108" w:type="dxa"/>
                    <w:right w:w="108" w:type="dxa"/>
                  </w:tcMar>
                  <w:vAlign w:val="center"/>
                </w:tcPr>
                <w:p w14:paraId="3960BDEF">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highlight w:val="none"/>
                      <w:lang w:val="en-US" w:eastAsia="zh-CN"/>
                    </w:rPr>
                  </w:pPr>
                  <w:r>
                    <w:rPr>
                      <w:rFonts w:hint="eastAsia" w:cs="Times New Roman"/>
                      <w:color w:val="auto"/>
                      <w:spacing w:val="0"/>
                      <w:position w:val="0"/>
                      <w:sz w:val="18"/>
                      <w:szCs w:val="18"/>
                      <w:highlight w:val="none"/>
                      <w:lang w:val="en-US" w:eastAsia="zh-CN"/>
                    </w:rPr>
                    <w:t>台式</w:t>
                  </w:r>
                </w:p>
              </w:tc>
              <w:tc>
                <w:tcPr>
                  <w:tcW w:w="1576" w:type="dxa"/>
                  <w:tcBorders>
                    <w:tl2br w:val="nil"/>
                    <w:tr2bl w:val="nil"/>
                  </w:tcBorders>
                  <w:shd w:val="clear" w:color="000000" w:fill="FFFFFF"/>
                  <w:tcMar>
                    <w:left w:w="108" w:type="dxa"/>
                    <w:right w:w="108" w:type="dxa"/>
                  </w:tcMar>
                  <w:vAlign w:val="center"/>
                </w:tcPr>
                <w:p w14:paraId="33816A3C">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highlight w:val="none"/>
                      <w:lang w:eastAsia="zh-CN"/>
                    </w:rPr>
                  </w:pPr>
                  <w:r>
                    <w:rPr>
                      <w:rFonts w:hint="eastAsia" w:cs="Times New Roman"/>
                      <w:color w:val="auto"/>
                      <w:spacing w:val="0"/>
                      <w:position w:val="0"/>
                      <w:sz w:val="18"/>
                      <w:szCs w:val="18"/>
                      <w:highlight w:val="none"/>
                      <w:shd w:val="clear" w:fill="auto"/>
                      <w:lang w:val="en-US" w:eastAsia="zh-CN"/>
                    </w:rPr>
                    <w:t>台</w:t>
                  </w:r>
                </w:p>
              </w:tc>
              <w:tc>
                <w:tcPr>
                  <w:tcW w:w="1576" w:type="dxa"/>
                  <w:tcBorders>
                    <w:tl2br w:val="nil"/>
                    <w:tr2bl w:val="nil"/>
                  </w:tcBorders>
                  <w:shd w:val="clear" w:color="000000" w:fill="FFFFFF"/>
                  <w:tcMar>
                    <w:left w:w="108" w:type="dxa"/>
                    <w:right w:w="108" w:type="dxa"/>
                  </w:tcMar>
                  <w:vAlign w:val="center"/>
                </w:tcPr>
                <w:p w14:paraId="0A9216BD">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highlight w:val="none"/>
                      <w:lang w:eastAsia="zh-CN"/>
                    </w:rPr>
                  </w:pPr>
                  <w:r>
                    <w:rPr>
                      <w:rFonts w:hint="eastAsia" w:cs="Times New Roman"/>
                      <w:color w:val="auto"/>
                      <w:spacing w:val="0"/>
                      <w:position w:val="0"/>
                      <w:sz w:val="18"/>
                      <w:szCs w:val="18"/>
                      <w:highlight w:val="none"/>
                      <w:shd w:val="clear" w:fill="auto"/>
                      <w:lang w:val="en-US" w:eastAsia="zh-CN"/>
                    </w:rPr>
                    <w:t>1</w:t>
                  </w:r>
                </w:p>
              </w:tc>
            </w:tr>
            <w:tr w14:paraId="02C81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57" w:hRule="atLeast"/>
                <w:jc w:val="center"/>
              </w:trPr>
              <w:tc>
                <w:tcPr>
                  <w:tcW w:w="1576" w:type="dxa"/>
                  <w:tcBorders>
                    <w:tl2br w:val="nil"/>
                    <w:tr2bl w:val="nil"/>
                  </w:tcBorders>
                  <w:shd w:val="clear" w:color="000000" w:fill="FFFFFF"/>
                  <w:tcMar>
                    <w:left w:w="108" w:type="dxa"/>
                    <w:right w:w="108" w:type="dxa"/>
                  </w:tcMar>
                  <w:vAlign w:val="center"/>
                </w:tcPr>
                <w:p w14:paraId="0938023C">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06</w:t>
                  </w:r>
                </w:p>
              </w:tc>
              <w:tc>
                <w:tcPr>
                  <w:tcW w:w="1576" w:type="dxa"/>
                  <w:tcBorders>
                    <w:tl2br w:val="nil"/>
                    <w:tr2bl w:val="nil"/>
                  </w:tcBorders>
                  <w:shd w:val="clear" w:color="000000" w:fill="FFFFFF"/>
                  <w:tcMar>
                    <w:left w:w="108" w:type="dxa"/>
                    <w:right w:w="108" w:type="dxa"/>
                  </w:tcMar>
                  <w:vAlign w:val="center"/>
                </w:tcPr>
                <w:p w14:paraId="4F793B6A">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lang w:val="en-US" w:eastAsia="zh-CN"/>
                    </w:rPr>
                  </w:pPr>
                  <w:r>
                    <w:rPr>
                      <w:rFonts w:hint="eastAsia" w:cs="Times New Roman"/>
                      <w:color w:val="auto"/>
                      <w:spacing w:val="0"/>
                      <w:position w:val="0"/>
                      <w:sz w:val="18"/>
                      <w:szCs w:val="18"/>
                      <w:highlight w:val="none"/>
                      <w:shd w:val="clear" w:fill="auto"/>
                      <w:lang w:val="en-US" w:eastAsia="zh-CN"/>
                    </w:rPr>
                    <w:t>单仓料斗</w:t>
                  </w:r>
                </w:p>
              </w:tc>
              <w:tc>
                <w:tcPr>
                  <w:tcW w:w="1576" w:type="dxa"/>
                  <w:tcBorders>
                    <w:tl2br w:val="nil"/>
                    <w:tr2bl w:val="nil"/>
                  </w:tcBorders>
                  <w:shd w:val="clear" w:color="000000" w:fill="FFFFFF"/>
                  <w:tcMar>
                    <w:left w:w="108" w:type="dxa"/>
                    <w:right w:w="108" w:type="dxa"/>
                  </w:tcMar>
                  <w:vAlign w:val="center"/>
                </w:tcPr>
                <w:p w14:paraId="7A56D7A9">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highlight w:val="none"/>
                      <w:lang w:eastAsia="zh-CN"/>
                    </w:rPr>
                  </w:pPr>
                  <w:r>
                    <w:rPr>
                      <w:rFonts w:hint="eastAsia" w:cs="Times New Roman"/>
                      <w:color w:val="auto"/>
                      <w:spacing w:val="0"/>
                      <w:position w:val="0"/>
                      <w:sz w:val="18"/>
                      <w:szCs w:val="18"/>
                      <w:highlight w:val="none"/>
                      <w:shd w:val="clear" w:fill="auto"/>
                      <w:lang w:val="en-US" w:eastAsia="zh-CN"/>
                    </w:rPr>
                    <w:t>/</w:t>
                  </w:r>
                </w:p>
              </w:tc>
              <w:tc>
                <w:tcPr>
                  <w:tcW w:w="1576" w:type="dxa"/>
                  <w:tcBorders>
                    <w:tl2br w:val="nil"/>
                    <w:tr2bl w:val="nil"/>
                  </w:tcBorders>
                  <w:shd w:val="clear" w:color="000000" w:fill="FFFFFF"/>
                  <w:tcMar>
                    <w:left w:w="108" w:type="dxa"/>
                    <w:right w:w="108" w:type="dxa"/>
                  </w:tcMar>
                  <w:vAlign w:val="center"/>
                </w:tcPr>
                <w:p w14:paraId="31DCFB48">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highlight w:val="none"/>
                      <w:lang w:eastAsia="zh-CN"/>
                    </w:rPr>
                  </w:pPr>
                  <w:r>
                    <w:rPr>
                      <w:rFonts w:hint="eastAsia" w:cs="Times New Roman"/>
                      <w:color w:val="auto"/>
                      <w:spacing w:val="0"/>
                      <w:position w:val="0"/>
                      <w:sz w:val="18"/>
                      <w:szCs w:val="18"/>
                      <w:highlight w:val="none"/>
                      <w:shd w:val="clear" w:fill="auto"/>
                      <w:lang w:val="en-US" w:eastAsia="zh-CN"/>
                    </w:rPr>
                    <w:t>座</w:t>
                  </w:r>
                </w:p>
              </w:tc>
              <w:tc>
                <w:tcPr>
                  <w:tcW w:w="1576" w:type="dxa"/>
                  <w:tcBorders>
                    <w:tl2br w:val="nil"/>
                    <w:tr2bl w:val="nil"/>
                  </w:tcBorders>
                  <w:shd w:val="clear" w:color="000000" w:fill="FFFFFF"/>
                  <w:tcMar>
                    <w:left w:w="108" w:type="dxa"/>
                    <w:right w:w="108" w:type="dxa"/>
                  </w:tcMar>
                  <w:vAlign w:val="center"/>
                </w:tcPr>
                <w:p w14:paraId="2510BFA1">
                  <w:pPr>
                    <w:spacing w:before="0" w:after="0" w:line="240" w:lineRule="auto"/>
                    <w:ind w:left="0" w:right="0" w:firstLine="0"/>
                    <w:jc w:val="center"/>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shd w:val="clear" w:fill="auto"/>
                    </w:rPr>
                    <w:t>1</w:t>
                  </w:r>
                </w:p>
              </w:tc>
            </w:tr>
            <w:tr w14:paraId="5A179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57" w:hRule="atLeast"/>
                <w:jc w:val="center"/>
              </w:trPr>
              <w:tc>
                <w:tcPr>
                  <w:tcW w:w="1576" w:type="dxa"/>
                  <w:tcBorders>
                    <w:tl2br w:val="nil"/>
                    <w:tr2bl w:val="nil"/>
                  </w:tcBorders>
                  <w:shd w:val="clear" w:color="000000" w:fill="FFFFFF"/>
                  <w:tcMar>
                    <w:left w:w="108" w:type="dxa"/>
                    <w:right w:w="108" w:type="dxa"/>
                  </w:tcMar>
                  <w:vAlign w:val="center"/>
                </w:tcPr>
                <w:p w14:paraId="66AA7E77">
                  <w:pPr>
                    <w:spacing w:before="0" w:after="0" w:line="240" w:lineRule="auto"/>
                    <w:ind w:left="0" w:right="0" w:firstLine="0"/>
                    <w:jc w:val="center"/>
                    <w:rPr>
                      <w:rFonts w:hint="default" w:ascii="Times New Roman" w:hAnsi="Times New Roman" w:eastAsia="宋体"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07</w:t>
                  </w:r>
                </w:p>
              </w:tc>
              <w:tc>
                <w:tcPr>
                  <w:tcW w:w="1576" w:type="dxa"/>
                  <w:tcBorders>
                    <w:tl2br w:val="nil"/>
                    <w:tr2bl w:val="nil"/>
                  </w:tcBorders>
                  <w:shd w:val="clear" w:color="000000" w:fill="FFFFFF"/>
                  <w:tcMar>
                    <w:left w:w="108" w:type="dxa"/>
                    <w:right w:w="108" w:type="dxa"/>
                  </w:tcMar>
                  <w:vAlign w:val="center"/>
                </w:tcPr>
                <w:p w14:paraId="23403662">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铲车</w:t>
                  </w:r>
                </w:p>
              </w:tc>
              <w:tc>
                <w:tcPr>
                  <w:tcW w:w="1576" w:type="dxa"/>
                  <w:tcBorders>
                    <w:tl2br w:val="nil"/>
                    <w:tr2bl w:val="nil"/>
                  </w:tcBorders>
                  <w:shd w:val="clear" w:color="000000" w:fill="FFFFFF"/>
                  <w:tcMar>
                    <w:left w:w="108" w:type="dxa"/>
                    <w:right w:w="108" w:type="dxa"/>
                  </w:tcMar>
                  <w:vAlign w:val="center"/>
                </w:tcPr>
                <w:p w14:paraId="06E77D8F">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w:t>
                  </w:r>
                </w:p>
              </w:tc>
              <w:tc>
                <w:tcPr>
                  <w:tcW w:w="1576" w:type="dxa"/>
                  <w:tcBorders>
                    <w:tl2br w:val="nil"/>
                    <w:tr2bl w:val="nil"/>
                  </w:tcBorders>
                  <w:shd w:val="clear" w:color="000000" w:fill="FFFFFF"/>
                  <w:tcMar>
                    <w:left w:w="108" w:type="dxa"/>
                    <w:right w:w="108" w:type="dxa"/>
                  </w:tcMar>
                  <w:vAlign w:val="center"/>
                </w:tcPr>
                <w:p w14:paraId="33473FEB">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台</w:t>
                  </w:r>
                </w:p>
              </w:tc>
              <w:tc>
                <w:tcPr>
                  <w:tcW w:w="1576" w:type="dxa"/>
                  <w:tcBorders>
                    <w:tl2br w:val="nil"/>
                    <w:tr2bl w:val="nil"/>
                  </w:tcBorders>
                  <w:shd w:val="clear" w:color="000000" w:fill="FFFFFF"/>
                  <w:tcMar>
                    <w:left w:w="108" w:type="dxa"/>
                    <w:right w:w="108" w:type="dxa"/>
                  </w:tcMar>
                  <w:vAlign w:val="center"/>
                </w:tcPr>
                <w:p w14:paraId="293DDF1F">
                  <w:pPr>
                    <w:spacing w:before="0" w:after="0" w:line="240" w:lineRule="auto"/>
                    <w:ind w:left="0" w:right="0" w:firstLine="0"/>
                    <w:jc w:val="center"/>
                    <w:rPr>
                      <w:rFonts w:hint="eastAsia" w:ascii="Times New Roman" w:hAnsi="Times New Roman" w:eastAsia="宋体"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2</w:t>
                  </w:r>
                </w:p>
              </w:tc>
            </w:tr>
            <w:tr w14:paraId="6830B2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257" w:hRule="atLeast"/>
                <w:jc w:val="center"/>
              </w:trPr>
              <w:tc>
                <w:tcPr>
                  <w:tcW w:w="1576" w:type="dxa"/>
                  <w:tcBorders>
                    <w:tl2br w:val="nil"/>
                    <w:tr2bl w:val="nil"/>
                  </w:tcBorders>
                  <w:shd w:val="clear" w:color="000000" w:fill="FFFFFF"/>
                  <w:tcMar>
                    <w:left w:w="108" w:type="dxa"/>
                    <w:right w:w="108" w:type="dxa"/>
                  </w:tcMar>
                  <w:vAlign w:val="center"/>
                </w:tcPr>
                <w:p w14:paraId="7B3492BD">
                  <w:pPr>
                    <w:spacing w:before="0" w:after="0" w:line="240" w:lineRule="auto"/>
                    <w:ind w:left="0" w:right="0" w:firstLine="0"/>
                    <w:jc w:val="center"/>
                    <w:rPr>
                      <w:rFonts w:hint="default"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08</w:t>
                  </w:r>
                </w:p>
              </w:tc>
              <w:tc>
                <w:tcPr>
                  <w:tcW w:w="1576" w:type="dxa"/>
                  <w:tcBorders>
                    <w:tl2br w:val="nil"/>
                    <w:tr2bl w:val="nil"/>
                  </w:tcBorders>
                  <w:shd w:val="clear" w:color="000000" w:fill="FFFFFF"/>
                  <w:tcMar>
                    <w:left w:w="108" w:type="dxa"/>
                    <w:right w:w="108" w:type="dxa"/>
                  </w:tcMar>
                  <w:vAlign w:val="center"/>
                </w:tcPr>
                <w:p w14:paraId="307698DA">
                  <w:pPr>
                    <w:spacing w:before="0" w:after="0" w:line="240" w:lineRule="auto"/>
                    <w:ind w:left="0" w:right="0" w:firstLine="0"/>
                    <w:jc w:val="center"/>
                    <w:rPr>
                      <w:rFonts w:hint="default"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风机</w:t>
                  </w:r>
                </w:p>
              </w:tc>
              <w:tc>
                <w:tcPr>
                  <w:tcW w:w="1576" w:type="dxa"/>
                  <w:tcBorders>
                    <w:tl2br w:val="nil"/>
                    <w:tr2bl w:val="nil"/>
                  </w:tcBorders>
                  <w:shd w:val="clear" w:color="000000" w:fill="FFFFFF"/>
                  <w:tcMar>
                    <w:left w:w="108" w:type="dxa"/>
                    <w:right w:w="108" w:type="dxa"/>
                  </w:tcMar>
                  <w:vAlign w:val="center"/>
                </w:tcPr>
                <w:p w14:paraId="2FBE2599">
                  <w:pPr>
                    <w:spacing w:before="0" w:after="0" w:line="240" w:lineRule="auto"/>
                    <w:ind w:left="0" w:right="0" w:firstLine="0"/>
                    <w:jc w:val="center"/>
                    <w:rPr>
                      <w:rFonts w:hint="default"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w:t>
                  </w:r>
                </w:p>
              </w:tc>
              <w:tc>
                <w:tcPr>
                  <w:tcW w:w="1576" w:type="dxa"/>
                  <w:tcBorders>
                    <w:tl2br w:val="nil"/>
                    <w:tr2bl w:val="nil"/>
                  </w:tcBorders>
                  <w:shd w:val="clear" w:color="000000" w:fill="FFFFFF"/>
                  <w:tcMar>
                    <w:left w:w="108" w:type="dxa"/>
                    <w:right w:w="108" w:type="dxa"/>
                  </w:tcMar>
                  <w:vAlign w:val="center"/>
                </w:tcPr>
                <w:p w14:paraId="7505A9E4">
                  <w:pPr>
                    <w:spacing w:before="0" w:after="0" w:line="240" w:lineRule="auto"/>
                    <w:ind w:left="0" w:right="0" w:firstLine="0"/>
                    <w:jc w:val="center"/>
                    <w:rPr>
                      <w:rFonts w:hint="default"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台</w:t>
                  </w:r>
                </w:p>
              </w:tc>
              <w:tc>
                <w:tcPr>
                  <w:tcW w:w="1576" w:type="dxa"/>
                  <w:tcBorders>
                    <w:tl2br w:val="nil"/>
                    <w:tr2bl w:val="nil"/>
                  </w:tcBorders>
                  <w:shd w:val="clear" w:color="000000" w:fill="FFFFFF"/>
                  <w:tcMar>
                    <w:left w:w="108" w:type="dxa"/>
                    <w:right w:w="108" w:type="dxa"/>
                  </w:tcMar>
                  <w:vAlign w:val="center"/>
                </w:tcPr>
                <w:p w14:paraId="580A4E82">
                  <w:pPr>
                    <w:spacing w:before="0" w:after="0" w:line="240" w:lineRule="auto"/>
                    <w:ind w:left="0" w:right="0" w:firstLine="0"/>
                    <w:jc w:val="center"/>
                    <w:rPr>
                      <w:rFonts w:hint="default" w:cs="Times New Roman"/>
                      <w:color w:val="auto"/>
                      <w:spacing w:val="0"/>
                      <w:position w:val="0"/>
                      <w:sz w:val="18"/>
                      <w:szCs w:val="18"/>
                      <w:shd w:val="clear" w:fill="auto"/>
                      <w:lang w:val="en-US" w:eastAsia="zh-CN"/>
                    </w:rPr>
                  </w:pPr>
                  <w:r>
                    <w:rPr>
                      <w:rFonts w:hint="eastAsia" w:cs="Times New Roman"/>
                      <w:color w:val="auto"/>
                      <w:spacing w:val="0"/>
                      <w:position w:val="0"/>
                      <w:sz w:val="18"/>
                      <w:szCs w:val="18"/>
                      <w:shd w:val="clear" w:fill="auto"/>
                      <w:lang w:val="en-US" w:eastAsia="zh-CN"/>
                    </w:rPr>
                    <w:t>4</w:t>
                  </w:r>
                </w:p>
              </w:tc>
            </w:tr>
          </w:tbl>
          <w:p w14:paraId="4840FED0">
            <w:pPr>
              <w:adjustRightInd w:val="0"/>
              <w:snapToGrid w:val="0"/>
              <w:spacing w:line="312" w:lineRule="auto"/>
              <w:jc w:val="left"/>
              <w:rPr>
                <w:rFonts w:hint="eastAsia" w:hAnsi="宋体"/>
                <w:bCs/>
                <w:color w:val="auto"/>
                <w:sz w:val="10"/>
                <w:szCs w:val="10"/>
              </w:rPr>
            </w:pPr>
          </w:p>
          <w:p w14:paraId="08904A41">
            <w:pPr>
              <w:adjustRightInd w:val="0"/>
              <w:snapToGrid w:val="0"/>
              <w:spacing w:line="312" w:lineRule="auto"/>
              <w:jc w:val="left"/>
              <w:rPr>
                <w:rFonts w:hAnsi="宋体"/>
                <w:bCs/>
                <w:color w:val="auto"/>
              </w:rPr>
            </w:pPr>
            <w:r>
              <w:rPr>
                <w:rFonts w:hint="eastAsia" w:hAnsi="宋体"/>
                <w:bCs/>
                <w:color w:val="auto"/>
              </w:rPr>
              <w:t>3.4原辅材料</w:t>
            </w:r>
          </w:p>
          <w:p w14:paraId="65952CE7">
            <w:pPr>
              <w:adjustRightInd w:val="0"/>
              <w:snapToGrid w:val="0"/>
              <w:spacing w:line="360" w:lineRule="auto"/>
              <w:rPr>
                <w:rFonts w:hint="default"/>
                <w:color w:val="auto"/>
                <w:u w:val="none"/>
                <w:lang w:val="en-US" w:eastAsia="zh-CN" w:bidi="ar"/>
              </w:rPr>
            </w:pPr>
            <w:r>
              <w:rPr>
                <w:rFonts w:hint="eastAsia"/>
                <w:color w:val="auto"/>
                <w:u w:val="none"/>
                <w:lang w:val="en-US" w:eastAsia="zh-CN" w:bidi="ar"/>
              </w:rPr>
              <w:t>3.4.1原辅材料消耗量</w:t>
            </w:r>
          </w:p>
          <w:p w14:paraId="296E5D02">
            <w:pPr>
              <w:adjustRightInd w:val="0"/>
              <w:snapToGrid w:val="0"/>
              <w:spacing w:line="360" w:lineRule="auto"/>
              <w:ind w:firstLine="420" w:firstLineChars="200"/>
              <w:rPr>
                <w:rFonts w:ascii="Times New Roman" w:hAnsi="Times New Roman"/>
                <w:i w:val="0"/>
                <w:iCs w:val="0"/>
                <w:color w:val="auto"/>
                <w:sz w:val="21"/>
                <w:szCs w:val="21"/>
                <w:u w:val="none"/>
              </w:rPr>
            </w:pPr>
            <w:r>
              <w:rPr>
                <w:rFonts w:hint="eastAsia"/>
                <w:color w:val="auto"/>
                <w:u w:val="none"/>
                <w:lang w:val="en-US" w:eastAsia="zh-CN" w:bidi="ar"/>
              </w:rPr>
              <w:t>项目主要原料为中药残渣，主要来自修正集团旗下中药企业（通药制药集团股份有限公司）。原料无需在企业厂界内进行粉碎，其余辅助材料为</w:t>
            </w:r>
            <w:r>
              <w:rPr>
                <w:rFonts w:hint="eastAsia"/>
                <w:color w:val="auto"/>
                <w:szCs w:val="21"/>
                <w:highlight w:val="none"/>
              </w:rPr>
              <w:t>珍珠岩</w:t>
            </w:r>
            <w:r>
              <w:rPr>
                <w:rFonts w:hint="eastAsia"/>
                <w:color w:val="auto"/>
                <w:u w:val="none"/>
                <w:lang w:val="en-US" w:eastAsia="zh-CN" w:bidi="ar"/>
              </w:rPr>
              <w:t>、</w:t>
            </w:r>
            <w:r>
              <w:rPr>
                <w:rFonts w:ascii="宋体" w:hAnsi="宋体" w:cs="宋体"/>
                <w:color w:val="auto"/>
                <w:highlight w:val="none"/>
              </w:rPr>
              <w:t>蛭石</w:t>
            </w:r>
            <w:r>
              <w:rPr>
                <w:rFonts w:hint="eastAsia"/>
                <w:color w:val="auto"/>
                <w:u w:val="none"/>
                <w:lang w:val="en-US" w:eastAsia="zh-CN" w:bidi="ar"/>
              </w:rPr>
              <w:t>、</w:t>
            </w:r>
            <w:r>
              <w:rPr>
                <w:rFonts w:ascii="宋体" w:hAnsi="宋体" w:cs="宋体"/>
                <w:color w:val="auto"/>
                <w:highlight w:val="none"/>
              </w:rPr>
              <w:t>生物发酵菌剂</w:t>
            </w:r>
            <w:r>
              <w:rPr>
                <w:rFonts w:hint="eastAsia"/>
                <w:color w:val="auto"/>
                <w:u w:val="none"/>
                <w:lang w:val="en-US" w:eastAsia="zh-CN" w:bidi="ar"/>
              </w:rPr>
              <w:t>等，原料由厂家负责运至企业原料库内，详见</w:t>
            </w:r>
            <w:r>
              <w:rPr>
                <w:rFonts w:hint="eastAsia" w:eastAsia="宋体"/>
                <w:i w:val="0"/>
                <w:iCs w:val="0"/>
                <w:color w:val="auto"/>
                <w:u w:val="none"/>
                <w:lang w:bidi="ar"/>
              </w:rPr>
              <w:t>下表。</w:t>
            </w:r>
          </w:p>
          <w:p w14:paraId="3FFE0357">
            <w:pPr>
              <w:pStyle w:val="83"/>
              <w:spacing w:line="240" w:lineRule="auto"/>
              <w:ind w:left="0" w:firstLine="0"/>
              <w:rPr>
                <w:rFonts w:cs="宋体"/>
                <w:b w:val="0"/>
                <w:i w:val="0"/>
                <w:iCs w:val="0"/>
                <w:color w:val="auto"/>
                <w:sz w:val="21"/>
                <w:u w:val="none"/>
              </w:rPr>
            </w:pPr>
            <w:r>
              <w:rPr>
                <w:rFonts w:cs="宋体"/>
                <w:b w:val="0"/>
                <w:i w:val="0"/>
                <w:iCs w:val="0"/>
                <w:color w:val="auto"/>
                <w:sz w:val="21"/>
                <w:u w:val="none"/>
              </w:rPr>
              <w:t>项目原辅材料及能源消耗情况表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435"/>
              <w:gridCol w:w="841"/>
              <w:gridCol w:w="974"/>
              <w:gridCol w:w="3844"/>
            </w:tblGrid>
            <w:tr w14:paraId="77D04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406" w:type="pct"/>
                  <w:gridSpan w:val="2"/>
                  <w:noWrap w:val="0"/>
                  <w:vAlign w:val="top"/>
                </w:tcPr>
                <w:p w14:paraId="156B7EB7">
                  <w:pPr>
                    <w:snapToGrid w:val="0"/>
                    <w:jc w:val="center"/>
                    <w:rPr>
                      <w:color w:val="auto"/>
                      <w:sz w:val="18"/>
                      <w:szCs w:val="18"/>
                      <w:highlight w:val="none"/>
                    </w:rPr>
                  </w:pPr>
                  <w:r>
                    <w:rPr>
                      <w:rFonts w:hint="eastAsia"/>
                      <w:color w:val="auto"/>
                      <w:sz w:val="18"/>
                      <w:szCs w:val="18"/>
                      <w:highlight w:val="none"/>
                    </w:rPr>
                    <w:t>名称</w:t>
                  </w:r>
                </w:p>
              </w:tc>
              <w:tc>
                <w:tcPr>
                  <w:tcW w:w="534" w:type="pct"/>
                  <w:noWrap w:val="0"/>
                  <w:vAlign w:val="top"/>
                </w:tcPr>
                <w:p w14:paraId="0303026C">
                  <w:pPr>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单位</w:t>
                  </w:r>
                </w:p>
              </w:tc>
              <w:tc>
                <w:tcPr>
                  <w:tcW w:w="618" w:type="pct"/>
                  <w:noWrap w:val="0"/>
                  <w:vAlign w:val="top"/>
                </w:tcPr>
                <w:p w14:paraId="444F6C46">
                  <w:pPr>
                    <w:snapToGrid w:val="0"/>
                    <w:jc w:val="center"/>
                    <w:rPr>
                      <w:rFonts w:hint="eastAsia" w:eastAsia="宋体"/>
                      <w:color w:val="auto"/>
                      <w:sz w:val="18"/>
                      <w:szCs w:val="18"/>
                      <w:highlight w:val="none"/>
                      <w:lang w:eastAsia="zh-CN"/>
                    </w:rPr>
                  </w:pPr>
                  <w:r>
                    <w:rPr>
                      <w:rFonts w:hint="eastAsia"/>
                      <w:color w:val="auto"/>
                      <w:sz w:val="18"/>
                      <w:szCs w:val="18"/>
                      <w:highlight w:val="none"/>
                    </w:rPr>
                    <w:t>消耗量</w:t>
                  </w:r>
                </w:p>
              </w:tc>
              <w:tc>
                <w:tcPr>
                  <w:tcW w:w="2440" w:type="pct"/>
                  <w:noWrap w:val="0"/>
                  <w:vAlign w:val="top"/>
                </w:tcPr>
                <w:p w14:paraId="028185B8">
                  <w:pPr>
                    <w:snapToGrid w:val="0"/>
                    <w:jc w:val="center"/>
                    <w:rPr>
                      <w:color w:val="auto"/>
                      <w:sz w:val="18"/>
                      <w:szCs w:val="18"/>
                      <w:highlight w:val="none"/>
                    </w:rPr>
                  </w:pPr>
                  <w:r>
                    <w:rPr>
                      <w:rFonts w:hint="eastAsia"/>
                      <w:color w:val="auto"/>
                      <w:sz w:val="18"/>
                      <w:szCs w:val="18"/>
                      <w:highlight w:val="none"/>
                    </w:rPr>
                    <w:t>备注</w:t>
                  </w:r>
                </w:p>
              </w:tc>
            </w:tr>
            <w:tr w14:paraId="44C27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95" w:type="pct"/>
                  <w:vMerge w:val="restart"/>
                  <w:noWrap w:val="0"/>
                  <w:vAlign w:val="center"/>
                </w:tcPr>
                <w:p w14:paraId="2ECB4B40">
                  <w:pPr>
                    <w:snapToGrid w:val="0"/>
                    <w:jc w:val="center"/>
                    <w:rPr>
                      <w:color w:val="auto"/>
                      <w:sz w:val="18"/>
                      <w:szCs w:val="18"/>
                      <w:highlight w:val="none"/>
                    </w:rPr>
                  </w:pPr>
                  <w:r>
                    <w:rPr>
                      <w:rFonts w:hint="eastAsia"/>
                      <w:color w:val="auto"/>
                      <w:sz w:val="18"/>
                      <w:szCs w:val="18"/>
                      <w:highlight w:val="none"/>
                    </w:rPr>
                    <w:t>原料</w:t>
                  </w:r>
                </w:p>
              </w:tc>
              <w:tc>
                <w:tcPr>
                  <w:tcW w:w="910" w:type="pct"/>
                  <w:noWrap w:val="0"/>
                  <w:vAlign w:val="center"/>
                </w:tcPr>
                <w:p w14:paraId="5BA37673">
                  <w:pPr>
                    <w:snapToGrid w:val="0"/>
                    <w:jc w:val="center"/>
                    <w:rPr>
                      <w:color w:val="auto"/>
                      <w:sz w:val="18"/>
                      <w:szCs w:val="18"/>
                      <w:highlight w:val="none"/>
                    </w:rPr>
                  </w:pPr>
                  <w:r>
                    <w:rPr>
                      <w:rFonts w:hint="eastAsia"/>
                      <w:color w:val="auto"/>
                      <w:sz w:val="18"/>
                      <w:szCs w:val="18"/>
                      <w:highlight w:val="none"/>
                    </w:rPr>
                    <w:t>中药残渣</w:t>
                  </w:r>
                </w:p>
              </w:tc>
              <w:tc>
                <w:tcPr>
                  <w:tcW w:w="534" w:type="pct"/>
                  <w:noWrap w:val="0"/>
                  <w:vAlign w:val="center"/>
                </w:tcPr>
                <w:p w14:paraId="380AB79F">
                  <w:pPr>
                    <w:keepNext w:val="0"/>
                    <w:keepLines w:val="0"/>
                    <w:widowControl/>
                    <w:suppressLineNumbers w:val="0"/>
                    <w:jc w:val="center"/>
                    <w:textAlignment w:val="center"/>
                    <w:rPr>
                      <w:rFonts w:hint="default"/>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t/a</w:t>
                  </w:r>
                </w:p>
              </w:tc>
              <w:tc>
                <w:tcPr>
                  <w:tcW w:w="618" w:type="pct"/>
                  <w:noWrap w:val="0"/>
                  <w:vAlign w:val="center"/>
                </w:tcPr>
                <w:p w14:paraId="4072E14E">
                  <w:pPr>
                    <w:jc w:val="center"/>
                    <w:rPr>
                      <w:rFonts w:hint="default"/>
                      <w:color w:val="auto"/>
                      <w:sz w:val="18"/>
                      <w:szCs w:val="18"/>
                      <w:highlight w:val="none"/>
                      <w:lang w:val="en-US" w:eastAsia="zh-CN"/>
                    </w:rPr>
                  </w:pPr>
                  <w:r>
                    <w:rPr>
                      <w:rFonts w:hint="eastAsia"/>
                      <w:color w:val="auto"/>
                      <w:sz w:val="18"/>
                      <w:szCs w:val="18"/>
                      <w:highlight w:val="none"/>
                      <w:lang w:val="en-US" w:eastAsia="zh-CN"/>
                    </w:rPr>
                    <w:t>20000</w:t>
                  </w:r>
                </w:p>
              </w:tc>
              <w:tc>
                <w:tcPr>
                  <w:tcW w:w="2440" w:type="pct"/>
                  <w:noWrap w:val="0"/>
                  <w:vAlign w:val="center"/>
                </w:tcPr>
                <w:p w14:paraId="3FB8E464">
                  <w:pPr>
                    <w:jc w:val="center"/>
                    <w:rPr>
                      <w:rFonts w:ascii="宋体" w:hAnsi="宋体" w:cs="宋体"/>
                      <w:color w:val="auto"/>
                      <w:sz w:val="18"/>
                      <w:szCs w:val="18"/>
                      <w:highlight w:val="none"/>
                    </w:rPr>
                  </w:pPr>
                  <w:r>
                    <w:rPr>
                      <w:rFonts w:ascii="宋体" w:hAnsi="宋体" w:cs="宋体"/>
                      <w:color w:val="auto"/>
                      <w:sz w:val="18"/>
                      <w:szCs w:val="18"/>
                      <w:highlight w:val="none"/>
                    </w:rPr>
                    <w:t>外购</w:t>
                  </w:r>
                  <w:r>
                    <w:rPr>
                      <w:rFonts w:hint="eastAsia" w:ascii="宋体" w:hAnsi="宋体" w:cs="宋体"/>
                      <w:color w:val="auto"/>
                      <w:sz w:val="18"/>
                      <w:szCs w:val="18"/>
                      <w:highlight w:val="none"/>
                      <w:lang w:eastAsia="zh-CN"/>
                    </w:rPr>
                    <w:t>，</w:t>
                  </w:r>
                  <w:r>
                    <w:rPr>
                      <w:rFonts w:ascii="宋体" w:hAnsi="宋体" w:cs="宋体"/>
                      <w:color w:val="auto"/>
                      <w:sz w:val="18"/>
                      <w:szCs w:val="18"/>
                      <w:highlight w:val="none"/>
                    </w:rPr>
                    <w:t>仓库内常温存储</w:t>
                  </w:r>
                  <w:r>
                    <w:rPr>
                      <w:rFonts w:hint="eastAsia" w:ascii="宋体" w:hAnsi="宋体" w:cs="宋体"/>
                      <w:color w:val="auto"/>
                      <w:sz w:val="18"/>
                      <w:szCs w:val="18"/>
                      <w:highlight w:val="none"/>
                    </w:rPr>
                    <w:t>，含水率</w:t>
                  </w:r>
                  <w:r>
                    <w:rPr>
                      <w:rFonts w:hint="eastAsia" w:ascii="宋体" w:hAnsi="宋体" w:cs="宋体"/>
                      <w:color w:val="auto"/>
                      <w:sz w:val="18"/>
                      <w:szCs w:val="18"/>
                      <w:highlight w:val="none"/>
                      <w:lang w:val="en-US" w:eastAsia="zh-CN"/>
                    </w:rPr>
                    <w:t>约为</w:t>
                  </w:r>
                  <w:r>
                    <w:rPr>
                      <w:rFonts w:hint="eastAsia"/>
                      <w:color w:val="auto"/>
                      <w:sz w:val="18"/>
                      <w:szCs w:val="18"/>
                      <w:highlight w:val="none"/>
                      <w:lang w:val="en-US" w:eastAsia="zh-CN"/>
                    </w:rPr>
                    <w:t>40</w:t>
                  </w:r>
                  <w:r>
                    <w:rPr>
                      <w:color w:val="auto"/>
                      <w:sz w:val="18"/>
                      <w:szCs w:val="18"/>
                      <w:highlight w:val="none"/>
                    </w:rPr>
                    <w:t>%</w:t>
                  </w:r>
                </w:p>
              </w:tc>
            </w:tr>
            <w:tr w14:paraId="67771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95" w:type="pct"/>
                  <w:vMerge w:val="restart"/>
                  <w:noWrap w:val="0"/>
                  <w:vAlign w:val="center"/>
                </w:tcPr>
                <w:p w14:paraId="5B5CCCDF">
                  <w:pPr>
                    <w:snapToGrid w:val="0"/>
                    <w:jc w:val="center"/>
                    <w:rPr>
                      <w:color w:val="auto"/>
                      <w:sz w:val="18"/>
                      <w:szCs w:val="18"/>
                      <w:highlight w:val="none"/>
                    </w:rPr>
                  </w:pPr>
                  <w:r>
                    <w:rPr>
                      <w:rFonts w:hint="eastAsia"/>
                      <w:color w:val="auto"/>
                      <w:sz w:val="18"/>
                      <w:szCs w:val="18"/>
                      <w:highlight w:val="none"/>
                    </w:rPr>
                    <w:t>辅料</w:t>
                  </w:r>
                </w:p>
              </w:tc>
              <w:tc>
                <w:tcPr>
                  <w:tcW w:w="910" w:type="pct"/>
                  <w:noWrap w:val="0"/>
                  <w:vAlign w:val="center"/>
                </w:tcPr>
                <w:p w14:paraId="3B2029A8">
                  <w:pPr>
                    <w:snapToGrid w:val="0"/>
                    <w:jc w:val="center"/>
                    <w:rPr>
                      <w:color w:val="auto"/>
                      <w:sz w:val="18"/>
                      <w:szCs w:val="18"/>
                      <w:highlight w:val="none"/>
                    </w:rPr>
                  </w:pPr>
                  <w:r>
                    <w:rPr>
                      <w:rFonts w:hint="eastAsia"/>
                      <w:color w:val="auto"/>
                      <w:sz w:val="18"/>
                      <w:szCs w:val="18"/>
                      <w:highlight w:val="none"/>
                    </w:rPr>
                    <w:t>珍珠岩</w:t>
                  </w:r>
                </w:p>
              </w:tc>
              <w:tc>
                <w:tcPr>
                  <w:tcW w:w="534" w:type="pct"/>
                  <w:noWrap w:val="0"/>
                  <w:vAlign w:val="center"/>
                </w:tcPr>
                <w:p w14:paraId="6B8945DA">
                  <w:pPr>
                    <w:jc w:val="center"/>
                    <w:rPr>
                      <w:color w:val="auto"/>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t/a</w:t>
                  </w:r>
                </w:p>
              </w:tc>
              <w:tc>
                <w:tcPr>
                  <w:tcW w:w="618" w:type="pct"/>
                  <w:noWrap w:val="0"/>
                  <w:vAlign w:val="center"/>
                </w:tcPr>
                <w:p w14:paraId="41ABEE43">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112</w:t>
                  </w:r>
                </w:p>
              </w:tc>
              <w:tc>
                <w:tcPr>
                  <w:tcW w:w="2440" w:type="pct"/>
                  <w:noWrap w:val="0"/>
                  <w:vAlign w:val="center"/>
                </w:tcPr>
                <w:p w14:paraId="571ECDB6">
                  <w:pPr>
                    <w:jc w:val="center"/>
                    <w:rPr>
                      <w:color w:val="auto"/>
                      <w:sz w:val="18"/>
                      <w:szCs w:val="18"/>
                      <w:highlight w:val="none"/>
                    </w:rPr>
                  </w:pPr>
                  <w:r>
                    <w:rPr>
                      <w:color w:val="auto"/>
                      <w:sz w:val="18"/>
                      <w:szCs w:val="18"/>
                      <w:highlight w:val="none"/>
                    </w:rPr>
                    <w:t>外购，</w:t>
                  </w:r>
                  <w:r>
                    <w:rPr>
                      <w:rFonts w:hint="eastAsia"/>
                      <w:color w:val="auto"/>
                      <w:sz w:val="18"/>
                      <w:szCs w:val="18"/>
                      <w:highlight w:val="none"/>
                      <w:lang w:val="en-US" w:eastAsia="zh-CN"/>
                    </w:rPr>
                    <w:t>颗粒物装，5kg/袋，</w:t>
                  </w:r>
                  <w:r>
                    <w:rPr>
                      <w:color w:val="auto"/>
                      <w:sz w:val="18"/>
                      <w:szCs w:val="18"/>
                      <w:highlight w:val="none"/>
                    </w:rPr>
                    <w:t>仓库内常温存储</w:t>
                  </w:r>
                </w:p>
              </w:tc>
            </w:tr>
            <w:tr w14:paraId="1DA0A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95" w:type="pct"/>
                  <w:vMerge w:val="continue"/>
                  <w:noWrap w:val="0"/>
                  <w:vAlign w:val="center"/>
                </w:tcPr>
                <w:p w14:paraId="6F2882FD">
                  <w:pPr>
                    <w:snapToGrid w:val="0"/>
                    <w:jc w:val="center"/>
                    <w:rPr>
                      <w:color w:val="auto"/>
                      <w:sz w:val="18"/>
                      <w:szCs w:val="18"/>
                      <w:highlight w:val="none"/>
                    </w:rPr>
                  </w:pPr>
                </w:p>
              </w:tc>
              <w:tc>
                <w:tcPr>
                  <w:tcW w:w="910" w:type="pct"/>
                  <w:noWrap w:val="0"/>
                  <w:vAlign w:val="center"/>
                </w:tcPr>
                <w:p w14:paraId="1119174D">
                  <w:pPr>
                    <w:jc w:val="center"/>
                    <w:rPr>
                      <w:color w:val="auto"/>
                      <w:sz w:val="18"/>
                      <w:szCs w:val="18"/>
                      <w:highlight w:val="none"/>
                    </w:rPr>
                  </w:pPr>
                  <w:r>
                    <w:rPr>
                      <w:rFonts w:ascii="宋体" w:hAnsi="宋体" w:cs="宋体"/>
                      <w:color w:val="auto"/>
                      <w:sz w:val="18"/>
                      <w:szCs w:val="18"/>
                      <w:highlight w:val="none"/>
                    </w:rPr>
                    <w:t>蛭石</w:t>
                  </w:r>
                </w:p>
              </w:tc>
              <w:tc>
                <w:tcPr>
                  <w:tcW w:w="534" w:type="pct"/>
                  <w:noWrap w:val="0"/>
                  <w:vAlign w:val="center"/>
                </w:tcPr>
                <w:p w14:paraId="099272A7">
                  <w:pPr>
                    <w:jc w:val="center"/>
                    <w:rPr>
                      <w:color w:val="auto"/>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t/a</w:t>
                  </w:r>
                </w:p>
              </w:tc>
              <w:tc>
                <w:tcPr>
                  <w:tcW w:w="618" w:type="pct"/>
                  <w:noWrap w:val="0"/>
                  <w:vAlign w:val="center"/>
                </w:tcPr>
                <w:p w14:paraId="629C4E19">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112</w:t>
                  </w:r>
                </w:p>
              </w:tc>
              <w:tc>
                <w:tcPr>
                  <w:tcW w:w="2440" w:type="pct"/>
                  <w:noWrap w:val="0"/>
                  <w:vAlign w:val="center"/>
                </w:tcPr>
                <w:p w14:paraId="19BF3BFC">
                  <w:pPr>
                    <w:jc w:val="center"/>
                    <w:rPr>
                      <w:color w:val="auto"/>
                      <w:sz w:val="18"/>
                      <w:szCs w:val="18"/>
                      <w:highlight w:val="none"/>
                    </w:rPr>
                  </w:pPr>
                  <w:r>
                    <w:rPr>
                      <w:color w:val="auto"/>
                      <w:sz w:val="18"/>
                      <w:szCs w:val="18"/>
                      <w:highlight w:val="none"/>
                    </w:rPr>
                    <w:t>外购，</w:t>
                  </w:r>
                  <w:r>
                    <w:rPr>
                      <w:rFonts w:hint="eastAsia"/>
                      <w:color w:val="auto"/>
                      <w:sz w:val="18"/>
                      <w:szCs w:val="18"/>
                      <w:highlight w:val="none"/>
                      <w:lang w:val="en-US" w:eastAsia="zh-CN"/>
                    </w:rPr>
                    <w:t>颗粒物装，5kg/袋，</w:t>
                  </w:r>
                  <w:r>
                    <w:rPr>
                      <w:color w:val="auto"/>
                      <w:sz w:val="18"/>
                      <w:szCs w:val="18"/>
                      <w:highlight w:val="none"/>
                    </w:rPr>
                    <w:t>仓库内常温存储</w:t>
                  </w:r>
                </w:p>
              </w:tc>
            </w:tr>
            <w:tr w14:paraId="2D24C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95" w:type="pct"/>
                  <w:vMerge w:val="continue"/>
                  <w:noWrap w:val="0"/>
                  <w:vAlign w:val="center"/>
                </w:tcPr>
                <w:p w14:paraId="7884C6C0">
                  <w:pPr>
                    <w:snapToGrid w:val="0"/>
                    <w:jc w:val="center"/>
                    <w:rPr>
                      <w:color w:val="auto"/>
                      <w:sz w:val="18"/>
                      <w:szCs w:val="18"/>
                      <w:highlight w:val="none"/>
                    </w:rPr>
                  </w:pPr>
                </w:p>
              </w:tc>
              <w:tc>
                <w:tcPr>
                  <w:tcW w:w="910" w:type="pct"/>
                  <w:noWrap w:val="0"/>
                  <w:vAlign w:val="center"/>
                </w:tcPr>
                <w:p w14:paraId="5A184442">
                  <w:pPr>
                    <w:jc w:val="center"/>
                    <w:rPr>
                      <w:color w:val="auto"/>
                      <w:sz w:val="18"/>
                      <w:szCs w:val="18"/>
                      <w:highlight w:val="none"/>
                    </w:rPr>
                  </w:pPr>
                  <w:r>
                    <w:rPr>
                      <w:rFonts w:ascii="宋体" w:hAnsi="宋体" w:cs="宋体"/>
                      <w:color w:val="auto"/>
                      <w:sz w:val="18"/>
                      <w:szCs w:val="18"/>
                      <w:highlight w:val="none"/>
                    </w:rPr>
                    <w:t>生物发酵菌剂</w:t>
                  </w:r>
                </w:p>
              </w:tc>
              <w:tc>
                <w:tcPr>
                  <w:tcW w:w="534" w:type="pct"/>
                  <w:noWrap w:val="0"/>
                  <w:vAlign w:val="center"/>
                </w:tcPr>
                <w:p w14:paraId="5709B9E5">
                  <w:pPr>
                    <w:jc w:val="center"/>
                    <w:rPr>
                      <w:color w:val="auto"/>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t/a</w:t>
                  </w:r>
                </w:p>
              </w:tc>
              <w:tc>
                <w:tcPr>
                  <w:tcW w:w="618" w:type="pct"/>
                  <w:noWrap w:val="0"/>
                  <w:vAlign w:val="center"/>
                </w:tcPr>
                <w:p w14:paraId="6C9B62FD">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140</w:t>
                  </w:r>
                </w:p>
              </w:tc>
              <w:tc>
                <w:tcPr>
                  <w:tcW w:w="2440" w:type="pct"/>
                  <w:noWrap w:val="0"/>
                  <w:vAlign w:val="center"/>
                </w:tcPr>
                <w:p w14:paraId="10661F00">
                  <w:pPr>
                    <w:jc w:val="center"/>
                    <w:rPr>
                      <w:color w:val="auto"/>
                      <w:sz w:val="18"/>
                      <w:szCs w:val="18"/>
                      <w:highlight w:val="none"/>
                    </w:rPr>
                  </w:pPr>
                  <w:r>
                    <w:rPr>
                      <w:rFonts w:ascii="宋体" w:hAnsi="宋体" w:cs="宋体"/>
                      <w:color w:val="auto"/>
                      <w:sz w:val="18"/>
                      <w:szCs w:val="18"/>
                      <w:highlight w:val="none"/>
                    </w:rPr>
                    <w:t>外购，仓库内常温存储</w:t>
                  </w:r>
                </w:p>
              </w:tc>
            </w:tr>
            <w:tr w14:paraId="5545B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06" w:type="pct"/>
                  <w:gridSpan w:val="2"/>
                  <w:noWrap w:val="0"/>
                  <w:vAlign w:val="center"/>
                </w:tcPr>
                <w:p w14:paraId="169D1A5C">
                  <w:pPr>
                    <w:jc w:val="center"/>
                    <w:rPr>
                      <w:rFonts w:ascii="宋体" w:hAnsi="宋体" w:cs="宋体"/>
                      <w:color w:val="auto"/>
                      <w:sz w:val="18"/>
                      <w:szCs w:val="18"/>
                      <w:highlight w:val="none"/>
                    </w:rPr>
                  </w:pPr>
                  <w:r>
                    <w:rPr>
                      <w:rFonts w:hint="eastAsia" w:ascii="宋体" w:hAnsi="宋体" w:cs="宋体"/>
                      <w:color w:val="auto"/>
                      <w:sz w:val="18"/>
                      <w:szCs w:val="18"/>
                      <w:highlight w:val="none"/>
                    </w:rPr>
                    <w:t>植物型除臭剂</w:t>
                  </w:r>
                </w:p>
              </w:tc>
              <w:tc>
                <w:tcPr>
                  <w:tcW w:w="534" w:type="pct"/>
                  <w:noWrap w:val="0"/>
                  <w:vAlign w:val="center"/>
                </w:tcPr>
                <w:p w14:paraId="57B69C12">
                  <w:pPr>
                    <w:jc w:val="center"/>
                    <w:rPr>
                      <w:color w:val="auto"/>
                      <w:sz w:val="18"/>
                      <w:szCs w:val="18"/>
                      <w:highlight w:val="none"/>
                    </w:rPr>
                  </w:pPr>
                  <w:r>
                    <w:rPr>
                      <w:rFonts w:hint="eastAsia"/>
                      <w:color w:val="auto"/>
                      <w:sz w:val="18"/>
                      <w:szCs w:val="18"/>
                      <w:highlight w:val="none"/>
                    </w:rPr>
                    <w:t>t/a</w:t>
                  </w:r>
                </w:p>
              </w:tc>
              <w:tc>
                <w:tcPr>
                  <w:tcW w:w="618" w:type="pct"/>
                  <w:noWrap w:val="0"/>
                  <w:vAlign w:val="center"/>
                </w:tcPr>
                <w:p w14:paraId="4C2632B4">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2440" w:type="pct"/>
                  <w:noWrap w:val="0"/>
                  <w:vAlign w:val="center"/>
                </w:tcPr>
                <w:p w14:paraId="2BB68037">
                  <w:pPr>
                    <w:jc w:val="center"/>
                    <w:rPr>
                      <w:rFonts w:ascii="宋体" w:hAnsi="宋体" w:cs="宋体"/>
                      <w:color w:val="auto"/>
                      <w:sz w:val="18"/>
                      <w:szCs w:val="18"/>
                      <w:highlight w:val="none"/>
                    </w:rPr>
                  </w:pPr>
                  <w:r>
                    <w:rPr>
                      <w:rFonts w:hint="eastAsia" w:ascii="宋体" w:hAnsi="宋体" w:cs="宋体"/>
                      <w:color w:val="auto"/>
                      <w:sz w:val="18"/>
                      <w:szCs w:val="18"/>
                      <w:highlight w:val="none"/>
                    </w:rPr>
                    <w:t>外购</w:t>
                  </w:r>
                </w:p>
              </w:tc>
            </w:tr>
            <w:tr w14:paraId="273F9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06" w:type="pct"/>
                  <w:gridSpan w:val="2"/>
                  <w:noWrap w:val="0"/>
                  <w:vAlign w:val="center"/>
                </w:tcPr>
                <w:p w14:paraId="3D89AB54">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塑料薄膜</w:t>
                  </w:r>
                </w:p>
              </w:tc>
              <w:tc>
                <w:tcPr>
                  <w:tcW w:w="534" w:type="pct"/>
                  <w:noWrap w:val="0"/>
                  <w:vAlign w:val="center"/>
                </w:tcPr>
                <w:p w14:paraId="4BAD4EB1">
                  <w:pPr>
                    <w:jc w:val="center"/>
                    <w:rPr>
                      <w:rFonts w:hint="eastAsia"/>
                      <w:color w:val="auto"/>
                      <w:sz w:val="18"/>
                      <w:szCs w:val="18"/>
                      <w:highlight w:val="none"/>
                    </w:rPr>
                  </w:pPr>
                  <w:r>
                    <w:rPr>
                      <w:rFonts w:hint="eastAsia"/>
                      <w:color w:val="auto"/>
                      <w:sz w:val="18"/>
                      <w:szCs w:val="18"/>
                      <w:highlight w:val="none"/>
                    </w:rPr>
                    <w:t>t/a</w:t>
                  </w:r>
                </w:p>
              </w:tc>
              <w:tc>
                <w:tcPr>
                  <w:tcW w:w="618" w:type="pct"/>
                  <w:noWrap w:val="0"/>
                  <w:vAlign w:val="center"/>
                </w:tcPr>
                <w:p w14:paraId="415B2029">
                  <w:pPr>
                    <w:jc w:val="center"/>
                    <w:rPr>
                      <w:rFonts w:hint="default"/>
                      <w:color w:val="auto"/>
                      <w:sz w:val="18"/>
                      <w:szCs w:val="18"/>
                      <w:highlight w:val="none"/>
                      <w:lang w:val="en-US" w:eastAsia="zh-CN"/>
                    </w:rPr>
                  </w:pPr>
                  <w:r>
                    <w:rPr>
                      <w:rFonts w:hint="eastAsia"/>
                      <w:color w:val="auto"/>
                      <w:sz w:val="18"/>
                      <w:szCs w:val="18"/>
                      <w:highlight w:val="none"/>
                      <w:lang w:val="en-US" w:eastAsia="zh-CN"/>
                    </w:rPr>
                    <w:t>0.15</w:t>
                  </w:r>
                </w:p>
              </w:tc>
              <w:tc>
                <w:tcPr>
                  <w:tcW w:w="2440" w:type="pct"/>
                  <w:noWrap w:val="0"/>
                  <w:vAlign w:val="center"/>
                </w:tcPr>
                <w:p w14:paraId="0B080639">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外购</w:t>
                  </w:r>
                </w:p>
              </w:tc>
            </w:tr>
          </w:tbl>
          <w:p w14:paraId="065562C5">
            <w:pPr>
              <w:rPr>
                <w:i w:val="0"/>
                <w:iCs w:val="0"/>
                <w:color w:val="auto"/>
                <w:sz w:val="10"/>
                <w:szCs w:val="10"/>
                <w:u w:val="none"/>
              </w:rPr>
            </w:pPr>
          </w:p>
          <w:p w14:paraId="4ED1541A">
            <w:pPr>
              <w:pStyle w:val="46"/>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default" w:ascii="Times New Roman" w:hAnsi="Times New Roman" w:eastAsia="宋体" w:cs="Times New Roman"/>
                <w:color w:val="auto"/>
                <w:spacing w:val="0"/>
                <w:sz w:val="21"/>
                <w:szCs w:val="21"/>
                <w:u w:val="none"/>
                <w:lang w:val="en-US" w:eastAsia="zh-CN" w:bidi="ar"/>
              </w:rPr>
            </w:pPr>
            <w:r>
              <w:rPr>
                <w:rFonts w:hint="eastAsia" w:ascii="Times New Roman" w:hAnsi="Times New Roman" w:eastAsia="宋体" w:cs="Times New Roman"/>
                <w:color w:val="auto"/>
                <w:spacing w:val="0"/>
                <w:sz w:val="21"/>
                <w:szCs w:val="21"/>
                <w:u w:val="none"/>
                <w:lang w:val="en-US" w:eastAsia="zh-CN" w:bidi="ar"/>
              </w:rPr>
              <w:t>3.4.2中药残渣情况介绍</w:t>
            </w:r>
          </w:p>
          <w:p w14:paraId="1D0BA7CB">
            <w:pPr>
              <w:pStyle w:val="46"/>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default" w:ascii="Times New Roman" w:hAnsi="Times New Roman" w:eastAsia="宋体" w:cs="Times New Roman"/>
                <w:color w:val="auto"/>
                <w:spacing w:val="0"/>
                <w:sz w:val="21"/>
                <w:szCs w:val="21"/>
                <w:u w:val="single"/>
                <w:lang w:val="en-US" w:eastAsia="zh-CN" w:bidi="ar"/>
              </w:rPr>
            </w:pPr>
            <w:r>
              <w:rPr>
                <w:rFonts w:hint="eastAsia" w:ascii="Times New Roman" w:hAnsi="Times New Roman" w:eastAsia="宋体" w:cs="Times New Roman"/>
                <w:color w:val="auto"/>
                <w:spacing w:val="0"/>
                <w:sz w:val="21"/>
                <w:szCs w:val="21"/>
                <w:u w:val="none"/>
                <w:lang w:val="en-US" w:eastAsia="zh-CN" w:bidi="ar"/>
              </w:rPr>
              <w:t xml:space="preserve">     </w:t>
            </w:r>
            <w:r>
              <w:rPr>
                <w:rFonts w:hint="eastAsia" w:ascii="Times New Roman" w:hAnsi="Times New Roman" w:eastAsia="宋体" w:cs="Times New Roman"/>
                <w:color w:val="auto"/>
                <w:spacing w:val="0"/>
                <w:sz w:val="21"/>
                <w:szCs w:val="21"/>
                <w:u w:val="single"/>
                <w:lang w:val="en-US" w:eastAsia="zh-CN" w:bidi="ar"/>
              </w:rPr>
              <w:t>（1）原料来源</w:t>
            </w:r>
          </w:p>
          <w:p w14:paraId="5C48775D">
            <w:pPr>
              <w:pStyle w:val="4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baseline"/>
              <w:rPr>
                <w:rFonts w:hint="eastAsia" w:ascii="Times New Roman" w:hAnsi="Times New Roman" w:eastAsia="宋体" w:cs="Times New Roman"/>
                <w:color w:val="auto"/>
                <w:spacing w:val="0"/>
                <w:sz w:val="21"/>
                <w:szCs w:val="21"/>
                <w:u w:val="single"/>
                <w:lang w:val="en-US" w:eastAsia="zh-CN" w:bidi="ar"/>
              </w:rPr>
            </w:pPr>
            <w:r>
              <w:rPr>
                <w:rFonts w:hint="eastAsia" w:ascii="Times New Roman" w:hAnsi="Times New Roman" w:eastAsia="宋体" w:cs="Times New Roman"/>
                <w:color w:val="auto"/>
                <w:spacing w:val="0"/>
                <w:sz w:val="21"/>
                <w:szCs w:val="21"/>
                <w:u w:val="single"/>
                <w:lang w:val="en-US" w:eastAsia="zh-CN" w:bidi="ar"/>
              </w:rPr>
              <w:t>项目原料中药残渣来至修正药业集团下属中药生产企业生产过程中产的废弃物，由该公司运输至企业综合车间发酵区，基本不进行堆存，不会产生渗滤液。根据《吉林修正药业集团通化市制药有限公司GMP改造项目环境影响报告表》，生产过程采用的中草药为五味子、党参、黄芪、白术、当归、陈皮、制首乌、生地等纯植物中草药，采用生产工艺为水提/醇提，报告中明确中药残渣为一般固废。</w:t>
            </w:r>
          </w:p>
          <w:p w14:paraId="221CC407">
            <w:pPr>
              <w:pStyle w:val="4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baseline"/>
              <w:rPr>
                <w:rFonts w:hint="eastAsia" w:ascii="Times New Roman" w:hAnsi="Times New Roman" w:eastAsia="宋体" w:cs="Times New Roman"/>
                <w:color w:val="auto"/>
                <w:spacing w:val="0"/>
                <w:sz w:val="21"/>
                <w:szCs w:val="21"/>
                <w:u w:val="single"/>
                <w:lang w:val="en-US" w:eastAsia="zh-CN" w:bidi="ar"/>
              </w:rPr>
            </w:pPr>
            <w:r>
              <w:rPr>
                <w:rFonts w:hint="eastAsia" w:ascii="Times New Roman" w:hAnsi="Times New Roman" w:eastAsia="宋体" w:cs="Times New Roman"/>
                <w:color w:val="auto"/>
                <w:spacing w:val="0"/>
                <w:sz w:val="21"/>
                <w:szCs w:val="21"/>
                <w:u w:val="single"/>
                <w:lang w:val="en-US" w:eastAsia="zh-CN" w:bidi="ar"/>
              </w:rPr>
              <w:t>（2）原料属性核准</w:t>
            </w:r>
          </w:p>
          <w:p w14:paraId="5E31BF6D">
            <w:pPr>
              <w:pStyle w:val="4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baseline"/>
              <w:rPr>
                <w:rFonts w:hint="eastAsia" w:ascii="Times New Roman" w:hAnsi="Times New Roman" w:eastAsia="宋体" w:cs="Times New Roman"/>
                <w:color w:val="auto"/>
                <w:spacing w:val="0"/>
                <w:sz w:val="21"/>
                <w:szCs w:val="21"/>
                <w:u w:val="single"/>
                <w:lang w:val="en-US" w:eastAsia="zh-CN" w:bidi="ar"/>
              </w:rPr>
            </w:pPr>
            <w:r>
              <w:rPr>
                <w:rFonts w:hint="eastAsia" w:ascii="Times New Roman" w:hAnsi="Times New Roman" w:eastAsia="宋体" w:cs="Times New Roman"/>
                <w:color w:val="auto"/>
                <w:spacing w:val="0"/>
                <w:sz w:val="21"/>
                <w:szCs w:val="21"/>
                <w:u w:val="single"/>
                <w:lang w:val="en-US" w:eastAsia="zh-CN" w:bidi="ar"/>
              </w:rPr>
              <w:t>毒性中药材排查</w:t>
            </w:r>
            <w:r>
              <w:rPr>
                <w:rFonts w:hint="default" w:ascii="Times New Roman" w:hAnsi="Times New Roman" w:eastAsia="宋体" w:cs="Times New Roman"/>
                <w:color w:val="auto"/>
                <w:spacing w:val="0"/>
                <w:sz w:val="21"/>
                <w:szCs w:val="21"/>
                <w:u w:val="single"/>
                <w:lang w:val="en-US" w:eastAsia="zh-CN" w:bidi="ar"/>
              </w:rPr>
              <w:t>：根据通药制药环评报告及原料成分清单，其生产涉及的中药材以普通药用品种为主（如黄芪、当归、党参等），不含《医疗用毒性药品管理办法》中列明的毒性中药材（如附子、乌头、砒霜等），且通药制药生产过程中未使用有毒辅料或添加剂，中药残渣经压榨脱水后主要成分为纤维素、半纤维素、木质素及少量残留药用成分（含量＜0.1%），无毒性物质积累。</w:t>
            </w:r>
          </w:p>
          <w:p w14:paraId="1C4791E2">
            <w:pPr>
              <w:pStyle w:val="4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baseline"/>
              <w:rPr>
                <w:rFonts w:hint="eastAsia" w:ascii="Times New Roman" w:hAnsi="Times New Roman" w:eastAsia="宋体" w:cs="Times New Roman"/>
                <w:color w:val="auto"/>
                <w:spacing w:val="0"/>
                <w:sz w:val="21"/>
                <w:szCs w:val="21"/>
                <w:u w:val="single"/>
                <w:lang w:val="en-US" w:eastAsia="zh-CN" w:bidi="ar"/>
              </w:rPr>
            </w:pPr>
            <w:r>
              <w:rPr>
                <w:rFonts w:hint="default" w:ascii="Times New Roman" w:hAnsi="Times New Roman" w:eastAsia="宋体" w:cs="Times New Roman"/>
                <w:color w:val="auto"/>
                <w:spacing w:val="0"/>
                <w:sz w:val="21"/>
                <w:szCs w:val="21"/>
                <w:u w:val="single"/>
                <w:lang w:val="en-US" w:eastAsia="zh-CN" w:bidi="ar"/>
              </w:rPr>
              <w:t>含水率参数：中药残渣在通药制药厂区内已通过板框压滤机完成脱水处理，出厂含水率稳定控制在 35%-40% ；进场后无需额外预处理，直接进入混合工序，在混合阶段通过添加调湿水补充至工艺要求的 45%-50%（确保发酵微生物活性）。</w:t>
            </w:r>
          </w:p>
          <w:p w14:paraId="34373489">
            <w:pPr>
              <w:pStyle w:val="46"/>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default" w:ascii="Times New Roman" w:hAnsi="Times New Roman" w:eastAsia="宋体" w:cs="Times New Roman"/>
                <w:color w:val="auto"/>
                <w:spacing w:val="0"/>
                <w:sz w:val="21"/>
                <w:szCs w:val="21"/>
                <w:u w:val="none"/>
                <w:lang w:val="en-US" w:eastAsia="zh-CN" w:bidi="ar"/>
              </w:rPr>
            </w:pPr>
            <w:r>
              <w:rPr>
                <w:rFonts w:hint="eastAsia" w:ascii="Times New Roman" w:hAnsi="Times New Roman" w:eastAsia="宋体" w:cs="Times New Roman"/>
                <w:color w:val="auto"/>
                <w:spacing w:val="0"/>
                <w:sz w:val="21"/>
                <w:szCs w:val="21"/>
                <w:u w:val="none"/>
                <w:lang w:val="en-US" w:eastAsia="zh-CN" w:bidi="ar"/>
              </w:rPr>
              <w:t>3.4.2主要物料理化性质</w:t>
            </w:r>
          </w:p>
          <w:p w14:paraId="66F509C6">
            <w:pPr>
              <w:snapToGrid w:val="0"/>
              <w:spacing w:line="360" w:lineRule="auto"/>
              <w:ind w:firstLine="420" w:firstLineChars="200"/>
              <w:rPr>
                <w:color w:val="auto"/>
                <w:sz w:val="21"/>
                <w:szCs w:val="21"/>
                <w:highlight w:val="none"/>
              </w:rPr>
            </w:pPr>
            <w:r>
              <w:rPr>
                <w:rFonts w:hint="eastAsia"/>
                <w:color w:val="auto"/>
                <w:sz w:val="21"/>
                <w:szCs w:val="21"/>
                <w:highlight w:val="none"/>
              </w:rPr>
              <w:t>珍珠岩：珍珠岩颗粒平均直径为3mm，呈白色或浅灰色，具有多孔的蜂窝状结构，质地轻盈，吸水性强（可吸收自身重量2-3倍的水分）；同时，其透气性和透水性能优异，有助于土壤中的气体交换和水分渗透。珍珠岩掺入土壤中，能有效改善土壤通气性和保水性，防止土壤板结，有利于植物根系的呼吸和生长。对于黏重土壤，珍珠岩的加入能显著增加土壤孔隙度，提高土壤通气性。珍珠岩的多孔结构为植物根系提供了良好的生长环境，有助于根系吸收水分和养分。同时，其保温隔热性能有助于稳定土壤温度，减少极端天气对植物根系的影响。</w:t>
            </w:r>
          </w:p>
          <w:p w14:paraId="15397E73">
            <w:pPr>
              <w:pStyle w:val="116"/>
              <w:rPr>
                <w:rFonts w:ascii="Times New Roman" w:hAnsi="Times New Roman"/>
                <w:color w:val="auto"/>
                <w:sz w:val="21"/>
                <w:szCs w:val="21"/>
                <w:highlight w:val="none"/>
              </w:rPr>
            </w:pPr>
            <w:r>
              <w:rPr>
                <w:rFonts w:ascii="Times New Roman" w:hAnsi="Times New Roman"/>
                <w:color w:val="auto"/>
                <w:sz w:val="21"/>
                <w:szCs w:val="21"/>
                <w:highlight w:val="none"/>
              </w:rPr>
              <w:t>蛭石：蛭石是由黑（金）云母等矿物经热液蚀变作用或风化后，再经过高温加热膨胀而成的。在这个过程中，蛭石片的水分迅速失去，体积迅速膨胀，膨胀后的体积相当于原来体积的8-20倍，从而增加了通气孔隙和保水能力。</w:t>
            </w:r>
          </w:p>
          <w:p w14:paraId="6423DAF7">
            <w:pPr>
              <w:pStyle w:val="116"/>
              <w:rPr>
                <w:rFonts w:ascii="Times New Roman" w:hAnsi="Times New Roman"/>
                <w:color w:val="auto"/>
                <w:sz w:val="21"/>
                <w:szCs w:val="21"/>
                <w:highlight w:val="none"/>
              </w:rPr>
            </w:pPr>
            <w:r>
              <w:rPr>
                <w:rFonts w:hint="eastAsia" w:ascii="Times New Roman" w:hAnsi="Times New Roman"/>
                <w:color w:val="auto"/>
                <w:sz w:val="21"/>
                <w:szCs w:val="21"/>
                <w:highlight w:val="none"/>
              </w:rPr>
              <w:t>a.</w:t>
            </w:r>
            <w:r>
              <w:rPr>
                <w:rFonts w:ascii="Times New Roman" w:hAnsi="Times New Roman"/>
                <w:color w:val="auto"/>
                <w:sz w:val="21"/>
                <w:szCs w:val="21"/>
                <w:highlight w:val="none"/>
              </w:rPr>
              <w:t>化学组成：蛭石是一种含镁的水铝硅酸盐次生变质矿物，具有良好的矿物学特性。</w:t>
            </w:r>
          </w:p>
          <w:p w14:paraId="1CA800C6">
            <w:pPr>
              <w:pStyle w:val="116"/>
              <w:rPr>
                <w:rFonts w:ascii="Times New Roman" w:hAnsi="Times New Roman"/>
                <w:color w:val="auto"/>
                <w:sz w:val="21"/>
                <w:szCs w:val="21"/>
                <w:highlight w:val="none"/>
              </w:rPr>
            </w:pPr>
            <w:r>
              <w:rPr>
                <w:rFonts w:hint="eastAsia" w:ascii="Times New Roman" w:hAnsi="Times New Roman"/>
                <w:color w:val="auto"/>
                <w:sz w:val="21"/>
                <w:szCs w:val="21"/>
                <w:highlight w:val="none"/>
              </w:rPr>
              <w:t>b.</w:t>
            </w:r>
            <w:r>
              <w:rPr>
                <w:rFonts w:ascii="Times New Roman" w:hAnsi="Times New Roman"/>
                <w:color w:val="auto"/>
                <w:sz w:val="21"/>
                <w:szCs w:val="21"/>
                <w:highlight w:val="none"/>
              </w:rPr>
              <w:t>外观</w:t>
            </w:r>
            <w:r>
              <w:rPr>
                <w:rFonts w:hint="eastAsia" w:ascii="Times New Roman" w:hAnsi="Times New Roman"/>
                <w:color w:val="auto"/>
                <w:sz w:val="21"/>
                <w:szCs w:val="21"/>
                <w:highlight w:val="none"/>
              </w:rPr>
              <w:t>形态</w:t>
            </w:r>
            <w:r>
              <w:rPr>
                <w:rFonts w:ascii="Times New Roman" w:hAnsi="Times New Roman"/>
                <w:color w:val="auto"/>
                <w:sz w:val="21"/>
                <w:szCs w:val="21"/>
                <w:highlight w:val="none"/>
              </w:rPr>
              <w:t>：蛭石在膨胀后，形态酷似水蛭，因而得名。其颜色多为灰色、浅黄色或浅绿色，质地轻盈，颗粒均匀，采购蛭石颗粒平均直径约为3mm。</w:t>
            </w:r>
          </w:p>
          <w:p w14:paraId="6298B502">
            <w:pPr>
              <w:pStyle w:val="116"/>
              <w:rPr>
                <w:rFonts w:ascii="Times New Roman" w:hAnsi="Times New Roman"/>
                <w:color w:val="auto"/>
                <w:sz w:val="21"/>
                <w:szCs w:val="21"/>
                <w:highlight w:val="none"/>
              </w:rPr>
            </w:pPr>
            <w:r>
              <w:rPr>
                <w:rFonts w:hint="eastAsia" w:ascii="Times New Roman" w:hAnsi="Times New Roman"/>
                <w:color w:val="auto"/>
                <w:sz w:val="21"/>
                <w:szCs w:val="21"/>
                <w:highlight w:val="none"/>
              </w:rPr>
              <w:t>c.</w:t>
            </w:r>
            <w:r>
              <w:rPr>
                <w:rFonts w:ascii="Times New Roman" w:hAnsi="Times New Roman"/>
                <w:color w:val="auto"/>
                <w:sz w:val="21"/>
                <w:szCs w:val="21"/>
                <w:highlight w:val="none"/>
              </w:rPr>
              <w:t>结构：蛭石具有层状结构，这种结构使得其具有良好的保水性、透气性和保温性。同时，膨胀后的蛭石颗粒间形成了大量的微孔结构，有利于根系的生长和养分的吸收。</w:t>
            </w:r>
          </w:p>
          <w:p w14:paraId="63C3B26B">
            <w:pPr>
              <w:pStyle w:val="116"/>
              <w:rPr>
                <w:color w:val="auto"/>
                <w:sz w:val="21"/>
                <w:szCs w:val="21"/>
                <w:highlight w:val="none"/>
              </w:rPr>
            </w:pPr>
            <w:r>
              <w:rPr>
                <w:rFonts w:hint="eastAsia"/>
                <w:color w:val="auto"/>
                <w:sz w:val="21"/>
                <w:szCs w:val="21"/>
                <w:highlight w:val="none"/>
              </w:rPr>
              <w:t>生物发酵菌剂：是一种专为加速和优化腐殖土制作而研发的微生物制剂</w:t>
            </w:r>
            <w:r>
              <w:rPr>
                <w:rFonts w:hint="eastAsia"/>
                <w:color w:val="auto"/>
                <w:sz w:val="21"/>
                <w:szCs w:val="21"/>
                <w:highlight w:val="none"/>
                <w:lang w:eastAsia="zh-CN"/>
              </w:rPr>
              <w:t>，</w:t>
            </w:r>
            <w:r>
              <w:rPr>
                <w:rFonts w:hint="eastAsia"/>
                <w:color w:val="auto"/>
                <w:sz w:val="21"/>
                <w:szCs w:val="21"/>
                <w:highlight w:val="none"/>
              </w:rPr>
              <w:t>富含多种高效益生菌、酶类及有机营养物质，通过科学配比和先进技术制备而成。该菌剂旨在促进植物残体、动物粪便等有机废弃物的快速分解和转化，生成富含有机质、养分丰富的腐殖土，为农业生产提供高质量的土壤改良材料。</w:t>
            </w:r>
          </w:p>
          <w:p w14:paraId="59F172ED">
            <w:pPr>
              <w:pStyle w:val="117"/>
              <w:jc w:val="both"/>
              <w:rPr>
                <w:color w:val="auto"/>
                <w:sz w:val="21"/>
                <w:szCs w:val="21"/>
                <w:highlight w:val="none"/>
              </w:rPr>
            </w:pPr>
            <w:r>
              <w:rPr>
                <w:color w:val="auto"/>
                <w:sz w:val="21"/>
                <w:szCs w:val="21"/>
                <w:highlight w:val="none"/>
              </w:rPr>
              <w:t>除臭剂</w:t>
            </w:r>
            <w:r>
              <w:rPr>
                <w:b/>
                <w:bCs/>
                <w:color w:val="auto"/>
                <w:sz w:val="21"/>
                <w:szCs w:val="21"/>
                <w:highlight w:val="none"/>
              </w:rPr>
              <w:t>：</w:t>
            </w:r>
            <w:r>
              <w:rPr>
                <w:color w:val="auto"/>
                <w:sz w:val="21"/>
                <w:szCs w:val="21"/>
                <w:highlight w:val="none"/>
              </w:rPr>
              <w:t>本项目使用的除臭药剂为植物型除臭剂，采用植物提取技术，在薄荷，香茅，银杏叶，茶多酚，葡萄籽，樟科植物，桉叶油，艾草，荷花，薰衣草等30多种植物中提取有效成分为主要原料，能与各种有害异味分子快速发生聚合、取代、置换、吸附等气相反应，使之变成无害无味分子。植物除臭剂用来消除空气中的氨氮、硫化氢等异味，尤其是由有机物散发的恶臭具有优异的效果。该除臭剂与臭味因子接触后瞬间分解臭味分子和产生臭味的各种有机物，将其转化为二氧化碳和水以及微生物细胞成分，从而达到去除臭味的目的。</w:t>
            </w:r>
          </w:p>
          <w:p w14:paraId="1DDA7108">
            <w:pPr>
              <w:pStyle w:val="46"/>
              <w:ind w:firstLine="0" w:firstLineChars="0"/>
              <w:rPr>
                <w:rFonts w:hint="eastAsia" w:ascii="方正仿宋_GB18030" w:hAnsi="方正仿宋_GB18030" w:eastAsia="方正仿宋_GB18030" w:cs="方正仿宋_GB18030"/>
                <w:color w:val="auto"/>
                <w:sz w:val="21"/>
              </w:rPr>
            </w:pPr>
            <w:r>
              <w:rPr>
                <w:rFonts w:hint="eastAsia" w:ascii="Times New Roman" w:hAnsi="Times New Roman" w:eastAsia="宋体" w:cs="Times New Roman"/>
                <w:i w:val="0"/>
                <w:iCs w:val="0"/>
                <w:smallCaps w:val="0"/>
                <w:color w:val="auto"/>
                <w:spacing w:val="0"/>
                <w:sz w:val="21"/>
                <w:szCs w:val="21"/>
                <w:highlight w:val="none"/>
                <w:u w:val="none"/>
                <w:lang w:val="en-US" w:eastAsia="zh-CN" w:bidi="ar-SA"/>
              </w:rPr>
              <w:t>3.</w:t>
            </w:r>
            <w:r>
              <w:rPr>
                <w:rFonts w:hint="eastAsia" w:ascii="Times New Roman"/>
                <w:color w:val="auto"/>
                <w:sz w:val="21"/>
              </w:rPr>
              <w:t>5</w:t>
            </w:r>
            <w:r>
              <w:rPr>
                <w:rFonts w:ascii="Times New Roman"/>
                <w:color w:val="auto"/>
                <w:sz w:val="21"/>
              </w:rPr>
              <w:t>公用工程</w:t>
            </w:r>
          </w:p>
          <w:p w14:paraId="0AEA7DB3">
            <w:pPr>
              <w:pStyle w:val="46"/>
              <w:ind w:firstLine="222" w:firstLineChars="100"/>
              <w:rPr>
                <w:rFonts w:ascii="Times New Roman"/>
                <w:color w:val="auto"/>
                <w:sz w:val="21"/>
              </w:rPr>
            </w:pPr>
            <w:r>
              <w:rPr>
                <w:rFonts w:hint="eastAsia" w:ascii="Times New Roman"/>
                <w:color w:val="auto"/>
                <w:sz w:val="21"/>
              </w:rPr>
              <w:t>（1）</w:t>
            </w:r>
            <w:r>
              <w:rPr>
                <w:rFonts w:ascii="Times New Roman"/>
                <w:color w:val="auto"/>
                <w:sz w:val="21"/>
              </w:rPr>
              <w:t>给水</w:t>
            </w:r>
          </w:p>
          <w:p w14:paraId="59887FB1">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Times New Roman"/>
                <w:i w:val="0"/>
                <w:iCs w:val="0"/>
                <w:smallCaps w:val="0"/>
                <w:color w:val="auto"/>
                <w:sz w:val="21"/>
                <w:szCs w:val="21"/>
                <w:highlight w:val="none"/>
                <w:u w:val="none"/>
                <w:lang w:val="en-US" w:eastAsia="zh-CN"/>
              </w:rPr>
            </w:pPr>
            <w:r>
              <w:rPr>
                <w:rFonts w:hint="eastAsia" w:ascii="Times New Roman" w:hAnsi="Times New Roman" w:eastAsia="宋体" w:cs="Times New Roman"/>
                <w:i w:val="0"/>
                <w:iCs w:val="0"/>
                <w:smallCaps w:val="0"/>
                <w:color w:val="auto"/>
                <w:sz w:val="21"/>
                <w:szCs w:val="21"/>
                <w:highlight w:val="none"/>
                <w:u w:val="none"/>
                <w:lang w:val="en-US" w:eastAsia="zh-CN"/>
              </w:rPr>
              <w:t>项目用水主要为职工生活用</w:t>
            </w:r>
            <w:r>
              <w:rPr>
                <w:rFonts w:hint="eastAsia" w:cs="Times New Roman"/>
                <w:i w:val="0"/>
                <w:iCs w:val="0"/>
                <w:smallCaps w:val="0"/>
                <w:color w:val="auto"/>
                <w:sz w:val="21"/>
                <w:szCs w:val="21"/>
                <w:highlight w:val="none"/>
                <w:u w:val="none"/>
                <w:lang w:val="en-US" w:eastAsia="zh-CN"/>
              </w:rPr>
              <w:t>水及物料调湿用水，用水来源为厂区内深井水</w:t>
            </w:r>
            <w:r>
              <w:rPr>
                <w:rFonts w:hint="eastAsia" w:ascii="Times New Roman" w:hAnsi="Times New Roman" w:eastAsia="宋体" w:cs="Times New Roman"/>
                <w:i w:val="0"/>
                <w:iCs w:val="0"/>
                <w:smallCaps w:val="0"/>
                <w:color w:val="auto"/>
                <w:sz w:val="21"/>
                <w:szCs w:val="21"/>
                <w:highlight w:val="none"/>
                <w:u w:val="none"/>
                <w:lang w:val="en-US" w:eastAsia="zh-CN"/>
              </w:rPr>
              <w:t>。</w:t>
            </w:r>
          </w:p>
          <w:p w14:paraId="623FB833">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Times New Roman"/>
                <w:i w:val="0"/>
                <w:iCs w:val="0"/>
                <w:smallCaps w:val="0"/>
                <w:color w:val="auto"/>
                <w:sz w:val="21"/>
                <w:szCs w:val="21"/>
                <w:highlight w:val="none"/>
                <w:u w:val="none"/>
                <w:lang w:val="en-US" w:eastAsia="zh-CN"/>
              </w:rPr>
            </w:pPr>
            <w:r>
              <w:rPr>
                <w:rFonts w:hint="eastAsia" w:cs="Times New Roman"/>
                <w:i w:val="0"/>
                <w:iCs w:val="0"/>
                <w:smallCaps w:val="0"/>
                <w:color w:val="auto"/>
                <w:sz w:val="21"/>
                <w:szCs w:val="21"/>
                <w:highlight w:val="none"/>
                <w:u w:val="none"/>
                <w:lang w:val="en-US" w:eastAsia="zh-CN"/>
              </w:rPr>
              <w:t>项目</w:t>
            </w:r>
            <w:r>
              <w:rPr>
                <w:rFonts w:hint="eastAsia" w:ascii="Times New Roman" w:hAnsi="Times New Roman" w:eastAsia="宋体" w:cs="Times New Roman"/>
                <w:i w:val="0"/>
                <w:iCs w:val="0"/>
                <w:smallCaps w:val="0"/>
                <w:color w:val="auto"/>
                <w:sz w:val="21"/>
                <w:szCs w:val="21"/>
                <w:highlight w:val="none"/>
                <w:u w:val="none"/>
                <w:lang w:val="en-US" w:eastAsia="zh-CN"/>
              </w:rPr>
              <w:t>劳动定员为</w:t>
            </w:r>
            <w:r>
              <w:rPr>
                <w:rFonts w:hint="eastAsia" w:cs="Times New Roman"/>
                <w:i w:val="0"/>
                <w:iCs w:val="0"/>
                <w:smallCaps w:val="0"/>
                <w:color w:val="auto"/>
                <w:sz w:val="21"/>
                <w:szCs w:val="21"/>
                <w:highlight w:val="none"/>
                <w:u w:val="none"/>
                <w:lang w:val="en-US" w:eastAsia="zh-CN"/>
              </w:rPr>
              <w:t>5</w:t>
            </w:r>
            <w:r>
              <w:rPr>
                <w:rFonts w:hint="eastAsia" w:ascii="Times New Roman" w:hAnsi="Times New Roman" w:eastAsia="宋体" w:cs="Times New Roman"/>
                <w:i w:val="0"/>
                <w:iCs w:val="0"/>
                <w:smallCaps w:val="0"/>
                <w:color w:val="auto"/>
                <w:sz w:val="21"/>
                <w:szCs w:val="21"/>
                <w:highlight w:val="none"/>
                <w:u w:val="none"/>
                <w:lang w:val="en-US" w:eastAsia="zh-CN"/>
              </w:rPr>
              <w:t>人，职工均为附近居民，不在厂区内食宿，职工生活用水量按</w:t>
            </w:r>
            <w:r>
              <w:rPr>
                <w:rFonts w:hint="eastAsia" w:eastAsia="宋体" w:cs="Times New Roman"/>
                <w:i w:val="0"/>
                <w:iCs w:val="0"/>
                <w:smallCaps w:val="0"/>
                <w:color w:val="auto"/>
                <w:sz w:val="21"/>
                <w:szCs w:val="21"/>
                <w:highlight w:val="none"/>
                <w:u w:val="none"/>
                <w:lang w:val="en-US" w:eastAsia="zh-CN"/>
              </w:rPr>
              <w:t>4</w:t>
            </w:r>
            <w:r>
              <w:rPr>
                <w:rFonts w:hint="eastAsia" w:ascii="Times New Roman" w:hAnsi="Times New Roman" w:eastAsia="宋体" w:cs="Times New Roman"/>
                <w:i w:val="0"/>
                <w:iCs w:val="0"/>
                <w:smallCaps w:val="0"/>
                <w:color w:val="auto"/>
                <w:sz w:val="21"/>
                <w:szCs w:val="21"/>
                <w:highlight w:val="none"/>
                <w:u w:val="none"/>
                <w:lang w:val="en-US" w:eastAsia="zh-CN"/>
              </w:rPr>
              <w:t>0L/d•人计，则职工生活用水量为0.2</w:t>
            </w:r>
            <w:r>
              <w:rPr>
                <w:rFonts w:hint="eastAsia" w:cs="Times New Roman"/>
                <w:i w:val="0"/>
                <w:iCs w:val="0"/>
                <w:smallCaps w:val="0"/>
                <w:color w:val="auto"/>
                <w:sz w:val="21"/>
                <w:szCs w:val="21"/>
                <w:highlight w:val="none"/>
                <w:u w:val="none"/>
                <w:lang w:val="en-US" w:eastAsia="zh-CN"/>
              </w:rPr>
              <w:t>0</w:t>
            </w:r>
            <w:r>
              <w:rPr>
                <w:rFonts w:hint="eastAsia" w:ascii="Times New Roman" w:hAnsi="Times New Roman" w:eastAsia="宋体" w:cs="Times New Roman"/>
                <w:i w:val="0"/>
                <w:iCs w:val="0"/>
                <w:smallCaps w:val="0"/>
                <w:color w:val="auto"/>
                <w:sz w:val="21"/>
                <w:szCs w:val="21"/>
                <w:highlight w:val="none"/>
                <w:u w:val="none"/>
                <w:lang w:val="en-US" w:eastAsia="zh-CN"/>
              </w:rPr>
              <w:t>m</w:t>
            </w:r>
            <w:r>
              <w:rPr>
                <w:rFonts w:hint="eastAsia" w:ascii="Times New Roman" w:hAnsi="Times New Roman" w:eastAsia="宋体" w:cs="Times New Roman"/>
                <w:i w:val="0"/>
                <w:iCs w:val="0"/>
                <w:smallCaps w:val="0"/>
                <w:color w:val="auto"/>
                <w:sz w:val="21"/>
                <w:szCs w:val="21"/>
                <w:highlight w:val="none"/>
                <w:u w:val="none"/>
                <w:vertAlign w:val="superscript"/>
                <w:lang w:val="en-US" w:eastAsia="zh-CN"/>
              </w:rPr>
              <w:t>3</w:t>
            </w:r>
            <w:r>
              <w:rPr>
                <w:rFonts w:hint="eastAsia" w:ascii="Times New Roman" w:hAnsi="Times New Roman" w:eastAsia="宋体" w:cs="Times New Roman"/>
                <w:i w:val="0"/>
                <w:iCs w:val="0"/>
                <w:smallCaps w:val="0"/>
                <w:color w:val="auto"/>
                <w:sz w:val="21"/>
                <w:szCs w:val="21"/>
                <w:highlight w:val="none"/>
                <w:u w:val="none"/>
                <w:lang w:val="en-US" w:eastAsia="zh-CN"/>
              </w:rPr>
              <w:t>/d（</w:t>
            </w:r>
            <w:r>
              <w:rPr>
                <w:rFonts w:hint="eastAsia" w:cs="Times New Roman"/>
                <w:i w:val="0"/>
                <w:iCs w:val="0"/>
                <w:smallCaps w:val="0"/>
                <w:color w:val="auto"/>
                <w:sz w:val="21"/>
                <w:szCs w:val="21"/>
                <w:highlight w:val="none"/>
                <w:u w:val="none"/>
                <w:lang w:val="en-US" w:eastAsia="zh-CN"/>
              </w:rPr>
              <w:t>40</w:t>
            </w:r>
            <w:r>
              <w:rPr>
                <w:rFonts w:hint="eastAsia" w:ascii="Times New Roman" w:hAnsi="Times New Roman" w:eastAsia="宋体" w:cs="Times New Roman"/>
                <w:i w:val="0"/>
                <w:iCs w:val="0"/>
                <w:smallCaps w:val="0"/>
                <w:color w:val="auto"/>
                <w:sz w:val="21"/>
                <w:szCs w:val="21"/>
                <w:highlight w:val="none"/>
                <w:u w:val="none"/>
                <w:lang w:val="en-US" w:eastAsia="zh-CN"/>
              </w:rPr>
              <w:t>m</w:t>
            </w:r>
            <w:r>
              <w:rPr>
                <w:rFonts w:hint="eastAsia" w:ascii="Times New Roman" w:hAnsi="Times New Roman" w:eastAsia="宋体" w:cs="Times New Roman"/>
                <w:i w:val="0"/>
                <w:iCs w:val="0"/>
                <w:smallCaps w:val="0"/>
                <w:color w:val="auto"/>
                <w:sz w:val="21"/>
                <w:szCs w:val="21"/>
                <w:highlight w:val="none"/>
                <w:u w:val="none"/>
                <w:vertAlign w:val="superscript"/>
                <w:lang w:val="en-US" w:eastAsia="zh-CN"/>
              </w:rPr>
              <w:t>3</w:t>
            </w:r>
            <w:r>
              <w:rPr>
                <w:rFonts w:hint="eastAsia" w:ascii="Times New Roman" w:hAnsi="Times New Roman" w:eastAsia="宋体" w:cs="Times New Roman"/>
                <w:i w:val="0"/>
                <w:iCs w:val="0"/>
                <w:smallCaps w:val="0"/>
                <w:color w:val="auto"/>
                <w:sz w:val="21"/>
                <w:szCs w:val="21"/>
                <w:highlight w:val="none"/>
                <w:u w:val="none"/>
                <w:lang w:val="en-US" w:eastAsia="zh-CN"/>
              </w:rPr>
              <w:t>/a）。职工年工作</w:t>
            </w:r>
            <w:r>
              <w:rPr>
                <w:rFonts w:hint="eastAsia" w:cs="Times New Roman"/>
                <w:i w:val="0"/>
                <w:iCs w:val="0"/>
                <w:smallCaps w:val="0"/>
                <w:color w:val="auto"/>
                <w:sz w:val="21"/>
                <w:szCs w:val="21"/>
                <w:highlight w:val="none"/>
                <w:u w:val="none"/>
                <w:lang w:val="en-US" w:eastAsia="zh-CN"/>
              </w:rPr>
              <w:t>20</w:t>
            </w:r>
            <w:r>
              <w:rPr>
                <w:rFonts w:hint="eastAsia" w:eastAsia="宋体" w:cs="Times New Roman"/>
                <w:i w:val="0"/>
                <w:iCs w:val="0"/>
                <w:smallCaps w:val="0"/>
                <w:color w:val="auto"/>
                <w:sz w:val="21"/>
                <w:szCs w:val="21"/>
                <w:highlight w:val="none"/>
                <w:u w:val="none"/>
                <w:lang w:val="en-US" w:eastAsia="zh-CN"/>
              </w:rPr>
              <w:t>0</w:t>
            </w:r>
            <w:r>
              <w:rPr>
                <w:rFonts w:hint="eastAsia" w:ascii="Times New Roman" w:hAnsi="Times New Roman" w:eastAsia="宋体" w:cs="Times New Roman"/>
                <w:i w:val="0"/>
                <w:iCs w:val="0"/>
                <w:smallCaps w:val="0"/>
                <w:color w:val="auto"/>
                <w:sz w:val="21"/>
                <w:szCs w:val="21"/>
                <w:highlight w:val="none"/>
                <w:u w:val="none"/>
                <w:lang w:val="en-US" w:eastAsia="zh-CN"/>
              </w:rPr>
              <w:t>d，其余时间由值班人员进行不定期巡视，不在厂区用水。</w:t>
            </w:r>
          </w:p>
          <w:p w14:paraId="6EC5DD06">
            <w:pPr>
              <w:keepNext w:val="0"/>
              <w:keepLines w:val="0"/>
              <w:pageBreakBefore w:val="0"/>
              <w:kinsoku/>
              <w:wordWrap/>
              <w:overflowPunct/>
              <w:topLinePunct w:val="0"/>
              <w:autoSpaceDE/>
              <w:autoSpaceDN/>
              <w:bidi w:val="0"/>
              <w:spacing w:line="360" w:lineRule="auto"/>
              <w:ind w:firstLine="420" w:firstLineChars="200"/>
              <w:textAlignment w:val="auto"/>
              <w:rPr>
                <w:rFonts w:hint="eastAsia" w:cs="Times New Roman"/>
                <w:i w:val="0"/>
                <w:iCs w:val="0"/>
                <w:smallCaps w:val="0"/>
                <w:color w:val="auto"/>
                <w:sz w:val="21"/>
                <w:szCs w:val="21"/>
                <w:highlight w:val="none"/>
                <w:u w:val="single"/>
                <w:lang w:val="en-US" w:eastAsia="zh-CN"/>
              </w:rPr>
            </w:pPr>
            <w:r>
              <w:rPr>
                <w:rFonts w:hint="eastAsia" w:cs="Times New Roman"/>
                <w:i w:val="0"/>
                <w:iCs w:val="0"/>
                <w:smallCaps w:val="0"/>
                <w:color w:val="auto"/>
                <w:sz w:val="21"/>
                <w:szCs w:val="21"/>
                <w:highlight w:val="none"/>
                <w:u w:val="single"/>
                <w:lang w:val="en-US" w:eastAsia="zh-CN"/>
              </w:rPr>
              <w:t>发酵物料需要进行调湿，需要将中药残渣的含水率从40%提高至45%，则每批次用水量约为258t/次，年总用水量为2064t/a，该部分水进入产品中，不外排。</w:t>
            </w:r>
          </w:p>
          <w:p w14:paraId="1EB62478">
            <w:pPr>
              <w:keepNext w:val="0"/>
              <w:keepLines w:val="0"/>
              <w:pageBreakBefore w:val="0"/>
              <w:kinsoku/>
              <w:wordWrap/>
              <w:overflowPunct/>
              <w:topLinePunct w:val="0"/>
              <w:autoSpaceDE/>
              <w:autoSpaceDN/>
              <w:bidi w:val="0"/>
              <w:spacing w:line="360" w:lineRule="auto"/>
              <w:ind w:firstLine="420" w:firstLineChars="200"/>
              <w:textAlignment w:val="auto"/>
              <w:rPr>
                <w:rFonts w:hint="default" w:cs="Times New Roman"/>
                <w:i w:val="0"/>
                <w:iCs w:val="0"/>
                <w:smallCaps w:val="0"/>
                <w:color w:val="0000FF"/>
                <w:sz w:val="21"/>
                <w:szCs w:val="21"/>
                <w:highlight w:val="none"/>
                <w:u w:val="none"/>
                <w:lang w:val="en-US" w:eastAsia="zh-CN"/>
              </w:rPr>
            </w:pPr>
            <w:r>
              <w:rPr>
                <w:rFonts w:hint="eastAsia" w:cs="Times New Roman"/>
                <w:i w:val="0"/>
                <w:iCs w:val="0"/>
                <w:smallCaps w:val="0"/>
                <w:color w:val="0000FF"/>
                <w:sz w:val="21"/>
                <w:szCs w:val="21"/>
                <w:highlight w:val="none"/>
                <w:u w:val="none"/>
                <w:lang w:val="en-US" w:eastAsia="zh-CN"/>
              </w:rPr>
              <w:t>综上，项目合计总用水量为2104t/a。</w:t>
            </w:r>
          </w:p>
          <w:p w14:paraId="0002E32D">
            <w:pPr>
              <w:pStyle w:val="46"/>
              <w:numPr>
                <w:ilvl w:val="0"/>
                <w:numId w:val="0"/>
              </w:numPr>
              <w:ind w:firstLine="222" w:firstLineChars="100"/>
              <w:rPr>
                <w:rFonts w:ascii="Times New Roman"/>
                <w:color w:val="auto"/>
                <w:sz w:val="21"/>
              </w:rPr>
            </w:pPr>
            <w:r>
              <w:rPr>
                <w:rFonts w:ascii="Times New Roman" w:hAnsiTheme="minorHAnsi" w:eastAsiaTheme="minorEastAsia" w:cstheme="minorBidi"/>
                <w:color w:val="auto"/>
                <w:spacing w:val="6"/>
                <w:sz w:val="21"/>
                <w:szCs w:val="18"/>
                <w:lang w:val="en-US" w:eastAsia="zh-CN" w:bidi="ar-SA"/>
              </w:rPr>
              <w:t>（2）</w:t>
            </w:r>
            <w:r>
              <w:rPr>
                <w:rFonts w:hint="eastAsia" w:ascii="Times New Roman"/>
                <w:color w:val="auto"/>
                <w:sz w:val="21"/>
              </w:rPr>
              <w:t>排</w:t>
            </w:r>
            <w:r>
              <w:rPr>
                <w:rFonts w:ascii="Times New Roman"/>
                <w:color w:val="auto"/>
                <w:sz w:val="21"/>
              </w:rPr>
              <w:t>水</w:t>
            </w:r>
          </w:p>
          <w:p w14:paraId="5A9BACD9">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cs="Times New Roman"/>
                <w:smallCaps w:val="0"/>
                <w:color w:val="auto"/>
                <w:kern w:val="0"/>
                <w:sz w:val="21"/>
                <w:szCs w:val="21"/>
                <w:highlight w:val="none"/>
                <w:u w:val="none"/>
                <w:lang w:val="en-US" w:eastAsia="zh-CN" w:bidi="ar"/>
              </w:rPr>
            </w:pPr>
            <w:r>
              <w:rPr>
                <w:rFonts w:hint="default" w:ascii="Times New Roman" w:hAnsi="Times New Roman" w:eastAsia="宋体" w:cs="Times New Roman"/>
                <w:smallCaps w:val="0"/>
                <w:color w:val="auto"/>
                <w:kern w:val="0"/>
                <w:sz w:val="21"/>
                <w:szCs w:val="21"/>
                <w:highlight w:val="none"/>
                <w:u w:val="none"/>
                <w:lang w:bidi="ar"/>
              </w:rPr>
              <w:t>项目</w:t>
            </w:r>
            <w:r>
              <w:rPr>
                <w:rFonts w:hint="eastAsia" w:cs="Times New Roman"/>
                <w:smallCaps w:val="0"/>
                <w:color w:val="auto"/>
                <w:kern w:val="0"/>
                <w:sz w:val="21"/>
                <w:szCs w:val="21"/>
                <w:highlight w:val="none"/>
                <w:u w:val="none"/>
                <w:lang w:val="en-US" w:eastAsia="zh-CN" w:bidi="ar"/>
              </w:rPr>
              <w:t>无生产废水产生，产生的废水为生活污水。</w:t>
            </w:r>
          </w:p>
          <w:p w14:paraId="6BE533C2">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smallCaps w:val="0"/>
                <w:color w:val="auto"/>
                <w:kern w:val="0"/>
                <w:sz w:val="21"/>
                <w:szCs w:val="21"/>
                <w:highlight w:val="none"/>
                <w:u w:val="none"/>
                <w:lang w:bidi="ar"/>
              </w:rPr>
            </w:pPr>
            <w:r>
              <w:rPr>
                <w:rFonts w:hint="default" w:ascii="Times New Roman" w:hAnsi="Times New Roman" w:eastAsia="宋体" w:cs="Times New Roman"/>
                <w:smallCaps w:val="0"/>
                <w:color w:val="auto"/>
                <w:kern w:val="0"/>
                <w:sz w:val="21"/>
                <w:szCs w:val="21"/>
                <w:highlight w:val="none"/>
                <w:u w:val="none"/>
                <w:lang w:bidi="ar"/>
              </w:rPr>
              <w:t>生活污水产生量按其用水量的80%计算，则</w:t>
            </w:r>
            <w:r>
              <w:rPr>
                <w:rFonts w:hint="default" w:ascii="Times New Roman" w:hAnsi="Times New Roman" w:eastAsia="宋体" w:cs="Times New Roman"/>
                <w:i w:val="0"/>
                <w:iCs w:val="0"/>
                <w:smallCaps w:val="0"/>
                <w:color w:val="auto"/>
                <w:kern w:val="0"/>
                <w:sz w:val="21"/>
                <w:szCs w:val="21"/>
                <w:highlight w:val="none"/>
                <w:u w:val="none"/>
                <w:lang w:bidi="ar"/>
              </w:rPr>
              <w:t>生活污水产生量为0.</w:t>
            </w:r>
            <w:r>
              <w:rPr>
                <w:rFonts w:hint="eastAsia" w:ascii="Times New Roman" w:hAnsi="Times New Roman" w:eastAsia="宋体" w:cs="Times New Roman"/>
                <w:i w:val="0"/>
                <w:iCs w:val="0"/>
                <w:smallCaps w:val="0"/>
                <w:color w:val="auto"/>
                <w:kern w:val="0"/>
                <w:sz w:val="21"/>
                <w:szCs w:val="21"/>
                <w:highlight w:val="none"/>
                <w:u w:val="none"/>
                <w:lang w:val="en-US" w:eastAsia="zh-CN" w:bidi="ar"/>
              </w:rPr>
              <w:t>16</w:t>
            </w:r>
            <w:r>
              <w:rPr>
                <w:rFonts w:hint="eastAsia" w:ascii="Times New Roman" w:hAnsi="Times New Roman" w:eastAsia="宋体" w:cs="Times New Roman"/>
                <w:i w:val="0"/>
                <w:iCs w:val="0"/>
                <w:smallCaps w:val="0"/>
                <w:color w:val="auto"/>
                <w:sz w:val="21"/>
                <w:szCs w:val="21"/>
                <w:highlight w:val="none"/>
                <w:u w:val="none"/>
                <w:lang w:val="en-US" w:eastAsia="zh-CN"/>
              </w:rPr>
              <w:t>m</w:t>
            </w:r>
            <w:r>
              <w:rPr>
                <w:rFonts w:hint="eastAsia" w:ascii="Times New Roman" w:hAnsi="Times New Roman" w:eastAsia="宋体" w:cs="Times New Roman"/>
                <w:i w:val="0"/>
                <w:iCs w:val="0"/>
                <w:smallCaps w:val="0"/>
                <w:color w:val="auto"/>
                <w:sz w:val="21"/>
                <w:szCs w:val="21"/>
                <w:highlight w:val="none"/>
                <w:u w:val="none"/>
                <w:vertAlign w:val="superscript"/>
                <w:lang w:val="en-US" w:eastAsia="zh-CN"/>
              </w:rPr>
              <w:t>3</w:t>
            </w:r>
            <w:r>
              <w:rPr>
                <w:rFonts w:hint="eastAsia" w:ascii="Times New Roman" w:hAnsi="Times New Roman" w:eastAsia="宋体" w:cs="Times New Roman"/>
                <w:i w:val="0"/>
                <w:iCs w:val="0"/>
                <w:smallCaps w:val="0"/>
                <w:color w:val="auto"/>
                <w:sz w:val="21"/>
                <w:szCs w:val="21"/>
                <w:highlight w:val="none"/>
                <w:u w:val="none"/>
                <w:lang w:val="en-US" w:eastAsia="zh-CN"/>
              </w:rPr>
              <w:t>/d（</w:t>
            </w:r>
            <w:r>
              <w:rPr>
                <w:rFonts w:hint="eastAsia" w:cs="Times New Roman"/>
                <w:i w:val="0"/>
                <w:iCs w:val="0"/>
                <w:smallCaps w:val="0"/>
                <w:color w:val="auto"/>
                <w:sz w:val="21"/>
                <w:szCs w:val="21"/>
                <w:highlight w:val="none"/>
                <w:u w:val="none"/>
                <w:lang w:val="en-US" w:eastAsia="zh-CN"/>
              </w:rPr>
              <w:t>32</w:t>
            </w:r>
            <w:r>
              <w:rPr>
                <w:rFonts w:hint="eastAsia" w:ascii="Times New Roman" w:hAnsi="Times New Roman" w:eastAsia="宋体" w:cs="Times New Roman"/>
                <w:i w:val="0"/>
                <w:iCs w:val="0"/>
                <w:smallCaps w:val="0"/>
                <w:color w:val="auto"/>
                <w:sz w:val="21"/>
                <w:szCs w:val="21"/>
                <w:highlight w:val="none"/>
                <w:u w:val="none"/>
                <w:lang w:val="en-US" w:eastAsia="zh-CN"/>
              </w:rPr>
              <w:t>m</w:t>
            </w:r>
            <w:r>
              <w:rPr>
                <w:rFonts w:hint="eastAsia" w:ascii="Times New Roman" w:hAnsi="Times New Roman" w:eastAsia="宋体" w:cs="Times New Roman"/>
                <w:i w:val="0"/>
                <w:iCs w:val="0"/>
                <w:smallCaps w:val="0"/>
                <w:color w:val="auto"/>
                <w:sz w:val="21"/>
                <w:szCs w:val="21"/>
                <w:highlight w:val="none"/>
                <w:u w:val="none"/>
                <w:vertAlign w:val="superscript"/>
                <w:lang w:val="en-US" w:eastAsia="zh-CN"/>
              </w:rPr>
              <w:t>3</w:t>
            </w:r>
            <w:r>
              <w:rPr>
                <w:rFonts w:hint="eastAsia" w:ascii="Times New Roman" w:hAnsi="Times New Roman" w:eastAsia="宋体" w:cs="Times New Roman"/>
                <w:i w:val="0"/>
                <w:iCs w:val="0"/>
                <w:smallCaps w:val="0"/>
                <w:color w:val="auto"/>
                <w:sz w:val="21"/>
                <w:szCs w:val="21"/>
                <w:highlight w:val="none"/>
                <w:u w:val="none"/>
                <w:lang w:val="en-US" w:eastAsia="zh-CN"/>
              </w:rPr>
              <w:t>/a）</w:t>
            </w:r>
            <w:r>
              <w:rPr>
                <w:rFonts w:hint="eastAsia" w:cs="Times New Roman"/>
                <w:i w:val="0"/>
                <w:iCs w:val="0"/>
                <w:smallCaps w:val="0"/>
                <w:color w:val="auto"/>
                <w:kern w:val="0"/>
                <w:sz w:val="21"/>
                <w:szCs w:val="21"/>
                <w:highlight w:val="none"/>
                <w:u w:val="none"/>
                <w:lang w:eastAsia="zh-CN" w:bidi="ar"/>
              </w:rPr>
              <w:t>，</w:t>
            </w:r>
            <w:r>
              <w:rPr>
                <w:rFonts w:hint="default" w:ascii="Times New Roman" w:hAnsi="Times New Roman" w:eastAsia="宋体" w:cs="Times New Roman"/>
                <w:i w:val="0"/>
                <w:iCs w:val="0"/>
                <w:smallCaps w:val="0"/>
                <w:color w:val="auto"/>
                <w:kern w:val="0"/>
                <w:sz w:val="21"/>
                <w:szCs w:val="21"/>
                <w:highlight w:val="none"/>
                <w:u w:val="none"/>
                <w:lang w:val="en-US" w:eastAsia="zh-CN" w:bidi="ar"/>
              </w:rPr>
              <w:t>生活污水排入防渗旱厕，定期清掏做农肥</w:t>
            </w:r>
            <w:r>
              <w:rPr>
                <w:rFonts w:hint="default" w:ascii="Times New Roman" w:hAnsi="Times New Roman" w:eastAsia="宋体" w:cs="Times New Roman"/>
                <w:smallCaps w:val="0"/>
                <w:color w:val="auto"/>
                <w:kern w:val="0"/>
                <w:sz w:val="21"/>
                <w:szCs w:val="21"/>
                <w:highlight w:val="none"/>
                <w:u w:val="none"/>
                <w:lang w:bidi="ar"/>
              </w:rPr>
              <w:t>。</w:t>
            </w:r>
          </w:p>
          <w:p w14:paraId="5D359E24">
            <w:pPr>
              <w:keepNext w:val="0"/>
              <w:keepLines w:val="0"/>
              <w:pageBreakBefore w:val="0"/>
              <w:widowControl w:val="0"/>
              <w:kinsoku/>
              <w:wordWrap/>
              <w:overflowPunct/>
              <w:topLinePunct w:val="0"/>
              <w:autoSpaceDE/>
              <w:autoSpaceDN/>
              <w:bidi w:val="0"/>
              <w:adjustRightInd w:val="0"/>
              <w:snapToGrid w:val="0"/>
              <w:spacing w:line="360" w:lineRule="auto"/>
              <w:ind w:firstLine="388" w:firstLineChars="185"/>
              <w:jc w:val="left"/>
              <w:textAlignment w:val="auto"/>
              <w:rPr>
                <w:color w:val="auto"/>
                <w:kern w:val="8"/>
              </w:rPr>
            </w:pPr>
            <w:r>
              <w:rPr>
                <w:rFonts w:hint="eastAsia"/>
                <w:color w:val="auto"/>
                <w:kern w:val="8"/>
              </w:rPr>
              <w:t>项目水平衡详见下图。</w:t>
            </w:r>
          </w:p>
          <w:p w14:paraId="70E541EB">
            <w:pPr>
              <w:pStyle w:val="46"/>
              <w:spacing w:line="336" w:lineRule="auto"/>
              <w:ind w:firstLine="0" w:firstLineChars="0"/>
              <w:jc w:val="center"/>
              <w:rPr>
                <w:rFonts w:ascii="Times New Roman"/>
                <w:color w:val="auto"/>
                <w:sz w:val="10"/>
                <w:szCs w:val="10"/>
              </w:rPr>
            </w:pPr>
            <w:r>
              <w:rPr>
                <w:color w:val="auto"/>
              </w:rPr>
              <w:drawing>
                <wp:inline distT="0" distB="0" distL="114300" distR="114300">
                  <wp:extent cx="4050665" cy="1501775"/>
                  <wp:effectExtent l="0" t="0" r="6985" b="31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4050665" cy="1501775"/>
                          </a:xfrm>
                          <a:prstGeom prst="rect">
                            <a:avLst/>
                          </a:prstGeom>
                          <a:noFill/>
                          <a:ln>
                            <a:noFill/>
                          </a:ln>
                        </pic:spPr>
                      </pic:pic>
                    </a:graphicData>
                  </a:graphic>
                </wp:inline>
              </w:drawing>
            </w:r>
          </w:p>
          <w:p w14:paraId="3BAF53B4">
            <w:pPr>
              <w:pStyle w:val="46"/>
              <w:spacing w:line="336" w:lineRule="auto"/>
              <w:ind w:firstLine="0" w:firstLineChars="0"/>
              <w:jc w:val="center"/>
              <w:rPr>
                <w:rFonts w:ascii="Times New Roman"/>
                <w:color w:val="auto"/>
                <w:sz w:val="21"/>
                <w:highlight w:val="none"/>
                <w:u w:val="single"/>
              </w:rPr>
            </w:pPr>
            <w:r>
              <w:rPr>
                <w:rFonts w:hint="eastAsia" w:ascii="Times New Roman"/>
                <w:color w:val="auto"/>
                <w:sz w:val="21"/>
                <w:highlight w:val="none"/>
                <w:u w:val="single"/>
              </w:rPr>
              <w:t>项目水平衡图（单位：t/a）</w:t>
            </w:r>
          </w:p>
          <w:p w14:paraId="1EEDE2A3">
            <w:pPr>
              <w:pStyle w:val="46"/>
              <w:ind w:firstLine="444"/>
              <w:rPr>
                <w:rFonts w:ascii="Times New Roman"/>
                <w:color w:val="auto"/>
                <w:sz w:val="21"/>
              </w:rPr>
            </w:pPr>
            <w:r>
              <w:rPr>
                <w:rFonts w:hint="eastAsia" w:ascii="Times New Roman"/>
                <w:color w:val="auto"/>
                <w:sz w:val="21"/>
              </w:rPr>
              <w:t>（3）</w:t>
            </w:r>
            <w:r>
              <w:rPr>
                <w:rFonts w:ascii="Times New Roman"/>
                <w:color w:val="auto"/>
                <w:sz w:val="21"/>
              </w:rPr>
              <w:t>供热</w:t>
            </w:r>
          </w:p>
          <w:p w14:paraId="7B75D066">
            <w:pPr>
              <w:spacing w:line="360" w:lineRule="auto"/>
              <w:ind w:firstLine="420" w:firstLineChars="200"/>
              <w:rPr>
                <w:rFonts w:ascii="Times New Roman" w:hAnsi="Times New Roman" w:eastAsia="宋体"/>
                <w:i w:val="0"/>
                <w:iCs w:val="0"/>
                <w:smallCaps w:val="0"/>
                <w:color w:val="auto"/>
                <w:sz w:val="24"/>
                <w:szCs w:val="24"/>
                <w:highlight w:val="none"/>
                <w:u w:val="none"/>
              </w:rPr>
            </w:pPr>
            <w:r>
              <w:rPr>
                <w:rFonts w:hint="eastAsia"/>
                <w:color w:val="auto"/>
                <w:lang w:val="en-US" w:eastAsia="zh-CN"/>
              </w:rPr>
              <w:t>项目冬季不生产，</w:t>
            </w:r>
            <w:r>
              <w:rPr>
                <w:rFonts w:hint="eastAsia" w:ascii="Times New Roman" w:hAnsi="Times New Roman" w:eastAsia="宋体" w:cs="Times New Roman"/>
                <w:i w:val="0"/>
                <w:iCs w:val="0"/>
                <w:smallCaps w:val="0"/>
                <w:color w:val="auto"/>
                <w:sz w:val="21"/>
                <w:szCs w:val="21"/>
                <w:highlight w:val="none"/>
                <w:u w:val="none"/>
                <w:lang w:val="en-US" w:eastAsia="zh-CN"/>
              </w:rPr>
              <w:t>值班人员</w:t>
            </w:r>
            <w:r>
              <w:rPr>
                <w:rFonts w:hint="eastAsia" w:cs="Times New Roman"/>
                <w:i w:val="0"/>
                <w:iCs w:val="0"/>
                <w:smallCaps w:val="0"/>
                <w:color w:val="auto"/>
                <w:sz w:val="21"/>
                <w:szCs w:val="21"/>
                <w:highlight w:val="none"/>
                <w:u w:val="none"/>
                <w:lang w:val="en-US" w:eastAsia="zh-CN"/>
              </w:rPr>
              <w:t>采用电取暖</w:t>
            </w:r>
            <w:r>
              <w:rPr>
                <w:rFonts w:hint="eastAsia" w:ascii="Times New Roman" w:hAnsi="Times New Roman" w:eastAsia="宋体" w:cs="Times New Roman"/>
                <w:i w:val="0"/>
                <w:iCs w:val="0"/>
                <w:smallCaps w:val="0"/>
                <w:color w:val="auto"/>
                <w:sz w:val="21"/>
                <w:szCs w:val="21"/>
                <w:highlight w:val="none"/>
                <w:u w:val="none"/>
                <w:lang w:val="en-US" w:eastAsia="zh-CN"/>
              </w:rPr>
              <w:t>。</w:t>
            </w:r>
          </w:p>
          <w:p w14:paraId="0721404D">
            <w:pPr>
              <w:adjustRightInd w:val="0"/>
              <w:snapToGrid w:val="0"/>
              <w:spacing w:line="360" w:lineRule="auto"/>
              <w:ind w:firstLine="420" w:firstLineChars="200"/>
              <w:rPr>
                <w:bCs/>
                <w:color w:val="auto"/>
              </w:rPr>
            </w:pPr>
            <w:r>
              <w:rPr>
                <w:rFonts w:hint="eastAsia"/>
                <w:color w:val="auto"/>
              </w:rPr>
              <w:t>（4）</w:t>
            </w:r>
            <w:r>
              <w:rPr>
                <w:color w:val="auto"/>
              </w:rPr>
              <w:t>供电</w:t>
            </w:r>
          </w:p>
          <w:p w14:paraId="4FC0B88F">
            <w:pPr>
              <w:adjustRightInd w:val="0"/>
              <w:snapToGrid w:val="0"/>
              <w:spacing w:line="360" w:lineRule="auto"/>
              <w:ind w:firstLine="525" w:firstLineChars="250"/>
              <w:rPr>
                <w:color w:val="auto"/>
              </w:rPr>
            </w:pPr>
            <w:r>
              <w:rPr>
                <w:rFonts w:hint="eastAsia"/>
                <w:color w:val="auto"/>
              </w:rPr>
              <w:t>项目用电为</w:t>
            </w:r>
            <w:r>
              <w:rPr>
                <w:rFonts w:hint="eastAsia"/>
                <w:color w:val="auto"/>
                <w:lang w:val="en-US" w:eastAsia="zh-CN"/>
              </w:rPr>
              <w:t>区域</w:t>
            </w:r>
            <w:r>
              <w:rPr>
                <w:rFonts w:hint="eastAsia"/>
                <w:color w:val="auto"/>
              </w:rPr>
              <w:t>电网进行供电</w:t>
            </w:r>
            <w:r>
              <w:rPr>
                <w:color w:val="auto"/>
              </w:rPr>
              <w:t>。</w:t>
            </w:r>
          </w:p>
          <w:p w14:paraId="347164FF">
            <w:pPr>
              <w:adjustRightInd w:val="0"/>
              <w:snapToGrid w:val="0"/>
              <w:spacing w:line="336" w:lineRule="auto"/>
              <w:rPr>
                <w:color w:val="auto"/>
              </w:rPr>
            </w:pPr>
            <w:r>
              <w:rPr>
                <w:rFonts w:hint="eastAsia"/>
                <w:color w:val="auto"/>
              </w:rPr>
              <w:t>3.6</w:t>
            </w:r>
            <w:r>
              <w:rPr>
                <w:color w:val="auto"/>
              </w:rPr>
              <w:t>劳动定员及工作制度</w:t>
            </w:r>
          </w:p>
          <w:p w14:paraId="21BA1F7A">
            <w:pPr>
              <w:adjustRightInd w:val="0"/>
              <w:snapToGrid w:val="0"/>
              <w:spacing w:line="360" w:lineRule="auto"/>
              <w:ind w:firstLine="480"/>
              <w:rPr>
                <w:color w:val="auto"/>
              </w:rPr>
            </w:pPr>
            <w:r>
              <w:rPr>
                <w:color w:val="auto"/>
              </w:rPr>
              <w:t>项目定员</w:t>
            </w:r>
            <w:r>
              <w:rPr>
                <w:rFonts w:hint="eastAsia"/>
                <w:color w:val="auto"/>
                <w:lang w:val="en-US" w:eastAsia="zh-CN"/>
              </w:rPr>
              <w:t>5</w:t>
            </w:r>
            <w:r>
              <w:rPr>
                <w:rFonts w:hint="eastAsia"/>
                <w:color w:val="auto"/>
              </w:rPr>
              <w:t>人，</w:t>
            </w:r>
            <w:r>
              <w:rPr>
                <w:rFonts w:hint="eastAsia"/>
                <w:color w:val="auto"/>
                <w:u w:val="none"/>
                <w:lang w:val="en-US" w:eastAsia="zh-CN"/>
              </w:rPr>
              <w:t>一班制</w:t>
            </w:r>
            <w:r>
              <w:rPr>
                <w:rFonts w:hint="eastAsia"/>
                <w:color w:val="auto"/>
                <w:u w:val="none"/>
              </w:rPr>
              <w:t>，每班</w:t>
            </w:r>
            <w:r>
              <w:rPr>
                <w:rFonts w:hint="eastAsia"/>
                <w:color w:val="auto"/>
                <w:u w:val="none"/>
                <w:lang w:val="en-US" w:eastAsia="zh-CN"/>
              </w:rPr>
              <w:t>10</w:t>
            </w:r>
            <w:r>
              <w:rPr>
                <w:rFonts w:hint="eastAsia"/>
                <w:color w:val="auto"/>
                <w:u w:val="none"/>
              </w:rPr>
              <w:t>h，年工作</w:t>
            </w:r>
            <w:r>
              <w:rPr>
                <w:rFonts w:hint="eastAsia"/>
                <w:color w:val="auto"/>
                <w:u w:val="none"/>
                <w:lang w:val="en-US" w:eastAsia="zh-CN"/>
              </w:rPr>
              <w:t>20</w:t>
            </w:r>
            <w:r>
              <w:rPr>
                <w:rFonts w:hint="eastAsia"/>
                <w:color w:val="auto"/>
                <w:u w:val="none"/>
              </w:rPr>
              <w:t>0d，</w:t>
            </w:r>
            <w:r>
              <w:rPr>
                <w:rFonts w:hint="eastAsia"/>
                <w:color w:val="auto"/>
                <w:u w:val="none"/>
                <w:lang w:val="en-US" w:eastAsia="zh-CN"/>
              </w:rPr>
              <w:t>从每年5月至10月末，冬季不生产；</w:t>
            </w:r>
            <w:r>
              <w:rPr>
                <w:rFonts w:hint="eastAsia"/>
                <w:color w:val="auto"/>
              </w:rPr>
              <w:t>不设食堂，员工为就近村民，就餐自行解决。</w:t>
            </w:r>
          </w:p>
          <w:p w14:paraId="3D29409C">
            <w:pPr>
              <w:adjustRightInd w:val="0"/>
              <w:snapToGrid w:val="0"/>
              <w:spacing w:line="336" w:lineRule="auto"/>
              <w:rPr>
                <w:color w:val="auto"/>
                <w:highlight w:val="none"/>
              </w:rPr>
            </w:pPr>
            <w:r>
              <w:rPr>
                <w:rFonts w:hint="eastAsia"/>
                <w:color w:val="auto"/>
                <w:highlight w:val="none"/>
              </w:rPr>
              <w:t>3.7</w:t>
            </w:r>
            <w:r>
              <w:rPr>
                <w:color w:val="auto"/>
                <w:highlight w:val="none"/>
              </w:rPr>
              <w:t>项目建设期</w:t>
            </w:r>
          </w:p>
          <w:p w14:paraId="094680C1">
            <w:pPr>
              <w:adjustRightInd w:val="0"/>
              <w:snapToGrid w:val="0"/>
              <w:spacing w:line="360" w:lineRule="auto"/>
              <w:ind w:firstLine="480"/>
              <w:rPr>
                <w:rFonts w:cs="宋体"/>
                <w:color w:val="auto"/>
                <w:highlight w:val="none"/>
                <w:u w:val="none"/>
              </w:rPr>
            </w:pPr>
            <w:r>
              <w:rPr>
                <w:color w:val="auto"/>
                <w:highlight w:val="none"/>
                <w:u w:val="none"/>
              </w:rPr>
              <w:t>20</w:t>
            </w:r>
            <w:r>
              <w:rPr>
                <w:rFonts w:hint="eastAsia"/>
                <w:color w:val="auto"/>
                <w:highlight w:val="none"/>
                <w:u w:val="none"/>
              </w:rPr>
              <w:t>2</w:t>
            </w:r>
            <w:r>
              <w:rPr>
                <w:rFonts w:hint="eastAsia"/>
                <w:color w:val="auto"/>
                <w:highlight w:val="none"/>
                <w:u w:val="none"/>
                <w:lang w:val="en-US" w:eastAsia="zh-CN"/>
              </w:rPr>
              <w:t>6</w:t>
            </w:r>
            <w:r>
              <w:rPr>
                <w:rFonts w:hint="eastAsia" w:cs="宋体"/>
                <w:color w:val="auto"/>
                <w:highlight w:val="none"/>
                <w:u w:val="none"/>
              </w:rPr>
              <w:t>年</w:t>
            </w:r>
            <w:r>
              <w:rPr>
                <w:rFonts w:hint="eastAsia" w:cs="宋体"/>
                <w:color w:val="auto"/>
                <w:highlight w:val="none"/>
                <w:u w:val="none"/>
                <w:lang w:val="en-US" w:eastAsia="zh-CN"/>
              </w:rPr>
              <w:t>4</w:t>
            </w:r>
            <w:r>
              <w:rPr>
                <w:color w:val="auto"/>
                <w:highlight w:val="none"/>
                <w:u w:val="none"/>
              </w:rPr>
              <w:t>月</w:t>
            </w:r>
            <w:r>
              <w:rPr>
                <w:rFonts w:hint="eastAsia"/>
                <w:color w:val="auto"/>
                <w:highlight w:val="none"/>
                <w:u w:val="none"/>
              </w:rPr>
              <w:t>-2</w:t>
            </w:r>
            <w:r>
              <w:rPr>
                <w:color w:val="auto"/>
                <w:highlight w:val="none"/>
                <w:u w:val="none"/>
              </w:rPr>
              <w:t>0</w:t>
            </w:r>
            <w:r>
              <w:rPr>
                <w:rFonts w:hint="eastAsia"/>
                <w:color w:val="auto"/>
                <w:highlight w:val="none"/>
                <w:u w:val="none"/>
              </w:rPr>
              <w:t>2</w:t>
            </w:r>
            <w:r>
              <w:rPr>
                <w:rFonts w:hint="eastAsia"/>
                <w:color w:val="auto"/>
                <w:highlight w:val="none"/>
                <w:u w:val="none"/>
                <w:lang w:val="en-US" w:eastAsia="zh-CN"/>
              </w:rPr>
              <w:t>6</w:t>
            </w:r>
            <w:r>
              <w:rPr>
                <w:rFonts w:hint="eastAsia" w:cs="宋体"/>
                <w:color w:val="auto"/>
                <w:highlight w:val="none"/>
                <w:u w:val="none"/>
              </w:rPr>
              <w:t>年</w:t>
            </w:r>
            <w:r>
              <w:rPr>
                <w:rFonts w:hint="eastAsia" w:cs="宋体"/>
                <w:color w:val="auto"/>
                <w:highlight w:val="none"/>
                <w:u w:val="none"/>
                <w:lang w:val="en-US" w:eastAsia="zh-CN"/>
              </w:rPr>
              <w:t>6</w:t>
            </w:r>
            <w:r>
              <w:rPr>
                <w:rFonts w:hint="eastAsia" w:cs="宋体"/>
                <w:color w:val="auto"/>
                <w:highlight w:val="none"/>
                <w:u w:val="none"/>
              </w:rPr>
              <w:t>月。</w:t>
            </w:r>
          </w:p>
          <w:p w14:paraId="119A42B5">
            <w:pPr>
              <w:adjustRightInd w:val="0"/>
              <w:snapToGrid w:val="0"/>
              <w:spacing w:line="336" w:lineRule="auto"/>
              <w:rPr>
                <w:color w:val="auto"/>
                <w:highlight w:val="none"/>
              </w:rPr>
            </w:pPr>
            <w:r>
              <w:rPr>
                <w:rFonts w:hint="eastAsia"/>
                <w:color w:val="auto"/>
                <w:highlight w:val="none"/>
              </w:rPr>
              <w:t>3.8</w:t>
            </w:r>
            <w:r>
              <w:rPr>
                <w:color w:val="auto"/>
                <w:highlight w:val="none"/>
              </w:rPr>
              <w:t>项目平面布置情况</w:t>
            </w:r>
          </w:p>
          <w:p w14:paraId="37F8CDDF">
            <w:pPr>
              <w:adjustRightInd w:val="0"/>
              <w:snapToGrid w:val="0"/>
              <w:spacing w:line="336" w:lineRule="auto"/>
              <w:ind w:firstLine="333" w:firstLineChars="150"/>
              <w:jc w:val="left"/>
              <w:rPr>
                <w:rFonts w:hint="eastAsia" w:hAnsi="宋体" w:cs="宋体" w:eastAsiaTheme="minorEastAsia"/>
                <w:i w:val="0"/>
                <w:iCs w:val="0"/>
                <w:color w:val="auto"/>
                <w:spacing w:val="6"/>
                <w:highlight w:val="none"/>
                <w:u w:val="none"/>
                <w:lang w:val="en-US" w:eastAsia="zh-CN"/>
              </w:rPr>
            </w:pPr>
            <w:r>
              <w:rPr>
                <w:rFonts w:hint="eastAsia" w:hAnsi="宋体" w:cs="宋体" w:eastAsiaTheme="minorEastAsia"/>
                <w:i w:val="0"/>
                <w:iCs w:val="0"/>
                <w:color w:val="auto"/>
                <w:spacing w:val="6"/>
                <w:highlight w:val="none"/>
                <w:u w:val="none"/>
                <w:lang w:val="en-US" w:eastAsia="zh-CN"/>
              </w:rPr>
              <w:t>项目租赁厂区基本属于矩形，</w:t>
            </w:r>
            <w:r>
              <w:rPr>
                <w:rFonts w:hint="eastAsia" w:hAnsi="宋体"/>
                <w:bCs/>
                <w:i w:val="0"/>
                <w:iCs w:val="0"/>
                <w:color w:val="auto"/>
                <w:highlight w:val="none"/>
                <w:u w:val="none"/>
              </w:rPr>
              <w:t>占地面积</w:t>
            </w:r>
            <w:r>
              <w:rPr>
                <w:rFonts w:hint="eastAsia"/>
                <w:color w:val="auto"/>
                <w:highlight w:val="none"/>
                <w:lang w:val="en-US" w:eastAsia="zh-CN"/>
              </w:rPr>
              <w:t>5750</w:t>
            </w:r>
            <w:r>
              <w:rPr>
                <w:rFonts w:hint="eastAsia" w:hAnsi="宋体"/>
                <w:bCs/>
                <w:i w:val="0"/>
                <w:iCs w:val="0"/>
                <w:color w:val="auto"/>
                <w:highlight w:val="none"/>
                <w:u w:val="none"/>
              </w:rPr>
              <w:t>m</w:t>
            </w:r>
            <w:r>
              <w:rPr>
                <w:rFonts w:hint="eastAsia" w:hAnsi="宋体"/>
                <w:bCs/>
                <w:i w:val="0"/>
                <w:iCs w:val="0"/>
                <w:color w:val="auto"/>
                <w:highlight w:val="none"/>
                <w:u w:val="none"/>
                <w:vertAlign w:val="superscript"/>
              </w:rPr>
              <w:t>2</w:t>
            </w:r>
            <w:r>
              <w:rPr>
                <w:rFonts w:hint="eastAsia" w:hAnsi="宋体"/>
                <w:bCs/>
                <w:i w:val="0"/>
                <w:iCs w:val="0"/>
                <w:color w:val="auto"/>
                <w:highlight w:val="none"/>
                <w:u w:val="none"/>
              </w:rPr>
              <w:t>，</w:t>
            </w:r>
            <w:r>
              <w:rPr>
                <w:rFonts w:hint="eastAsia" w:hAnsi="宋体" w:cs="宋体" w:eastAsiaTheme="minorEastAsia"/>
                <w:i w:val="0"/>
                <w:iCs w:val="0"/>
                <w:color w:val="auto"/>
                <w:spacing w:val="6"/>
                <w:highlight w:val="none"/>
                <w:u w:val="none"/>
                <w:lang w:val="en-US" w:eastAsia="zh-CN"/>
              </w:rPr>
              <w:t>由北至南，依次为综合车间、生产车间及粉碎车间，总建筑面积约为4200m</w:t>
            </w:r>
            <w:r>
              <w:rPr>
                <w:rFonts w:hint="eastAsia" w:hAnsi="宋体" w:cs="宋体" w:eastAsiaTheme="minorEastAsia"/>
                <w:i w:val="0"/>
                <w:iCs w:val="0"/>
                <w:color w:val="auto"/>
                <w:spacing w:val="6"/>
                <w:highlight w:val="none"/>
                <w:u w:val="none"/>
                <w:vertAlign w:val="superscript"/>
                <w:lang w:val="en-US" w:eastAsia="zh-CN"/>
              </w:rPr>
              <w:t>2</w:t>
            </w:r>
            <w:r>
              <w:rPr>
                <w:rFonts w:hint="eastAsia" w:hAnsi="宋体" w:cs="宋体" w:eastAsiaTheme="minorEastAsia"/>
                <w:i w:val="0"/>
                <w:iCs w:val="0"/>
                <w:color w:val="auto"/>
                <w:spacing w:val="6"/>
                <w:highlight w:val="none"/>
                <w:u w:val="none"/>
                <w:lang w:val="en-US" w:eastAsia="zh-CN"/>
              </w:rPr>
              <w:t>，3栋厂房处于闲置状态，现有建筑物门窗已经破损、厂房及厂区地面需要进行硬化防渗处理。</w:t>
            </w:r>
          </w:p>
        </w:tc>
      </w:tr>
      <w:tr w14:paraId="5BA44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9" w:hRule="atLeast"/>
          <w:jc w:val="center"/>
        </w:trPr>
        <w:tc>
          <w:tcPr>
            <w:tcW w:w="949" w:type="dxa"/>
            <w:vAlign w:val="center"/>
          </w:tcPr>
          <w:p w14:paraId="351F6995">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093" w:type="dxa"/>
          </w:tcPr>
          <w:p w14:paraId="6A9BC4F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eastAsia"/>
                <w:color w:val="auto"/>
                <w:lang w:val="en-US" w:eastAsia="zh-CN"/>
              </w:rPr>
            </w:pPr>
            <w:r>
              <w:rPr>
                <w:rFonts w:hint="eastAsia" w:ascii="Times New Roman" w:hAnsi="Times New Roman" w:eastAsia="宋体" w:cs="Times New Roman"/>
                <w:color w:val="auto"/>
                <w:sz w:val="21"/>
                <w:szCs w:val="21"/>
                <w:lang w:val="en-US" w:eastAsia="zh-CN" w:bidi="ar-SA"/>
              </w:rPr>
              <w:t>1、</w:t>
            </w:r>
            <w:r>
              <w:rPr>
                <w:rFonts w:hint="eastAsia"/>
                <w:color w:val="auto"/>
                <w:lang w:val="en-US" w:eastAsia="zh-CN"/>
              </w:rPr>
              <w:t>施工期</w:t>
            </w:r>
          </w:p>
          <w:p w14:paraId="2BA7FD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color w:val="auto"/>
                <w:lang w:val="en-US" w:eastAsia="zh-CN"/>
              </w:rPr>
            </w:pPr>
            <w:r>
              <w:rPr>
                <w:rFonts w:hint="eastAsia"/>
                <w:color w:val="auto"/>
                <w:lang w:val="en-US" w:eastAsia="zh-CN"/>
              </w:rPr>
              <w:t>项目施工期主要进行厂区地面硬化，对生产所用建筑物进行修缮，更换门窗等，并进行设备安装、调试，时间比较短，产生的污染物种类比较少，主要为粉尘、噪声、固废及人员的生活污水，对环境的影响不大，故不再进行分析。</w:t>
            </w:r>
          </w:p>
          <w:p w14:paraId="77D25A8E">
            <w:pPr>
              <w:pStyle w:val="37"/>
              <w:numPr>
                <w:ilvl w:val="0"/>
                <w:numId w:val="0"/>
              </w:numPr>
              <w:adjustRightInd w:val="0"/>
              <w:snapToGrid w:val="0"/>
              <w:spacing w:line="336" w:lineRule="auto"/>
              <w:ind w:firstLine="0" w:firstLineChars="0"/>
              <w:jc w:val="both"/>
              <w:rPr>
                <w:rFonts w:hint="default" w:ascii="Times New Roman" w:hAnsi="Times New Roman" w:cs="Times New Roman"/>
                <w:bCs/>
                <w:color w:val="auto"/>
                <w:sz w:val="21"/>
                <w:szCs w:val="21"/>
                <w:u w:val="none"/>
                <w:lang w:val="en-US" w:eastAsia="zh-CN"/>
              </w:rPr>
            </w:pPr>
            <w:r>
              <w:rPr>
                <w:rFonts w:hint="default" w:ascii="Times New Roman" w:hAnsi="Times New Roman" w:eastAsia="宋体" w:cs="Times New Roman"/>
                <w:bCs/>
                <w:color w:val="auto"/>
                <w:kern w:val="2"/>
                <w:sz w:val="21"/>
                <w:szCs w:val="21"/>
                <w:u w:val="none"/>
                <w:lang w:val="en-US" w:eastAsia="zh-CN" w:bidi="ar-SA"/>
              </w:rPr>
              <w:t>2、</w:t>
            </w:r>
            <w:r>
              <w:rPr>
                <w:rFonts w:hint="default" w:ascii="Times New Roman" w:hAnsi="Times New Roman" w:cs="Times New Roman"/>
                <w:bCs/>
                <w:color w:val="auto"/>
                <w:sz w:val="21"/>
                <w:szCs w:val="21"/>
                <w:u w:val="none"/>
                <w:lang w:val="en-US" w:eastAsia="zh-CN"/>
              </w:rPr>
              <w:t>运营期</w:t>
            </w:r>
          </w:p>
          <w:p w14:paraId="62FC08FB">
            <w:pPr>
              <w:autoSpaceDN w:val="0"/>
              <w:spacing w:line="360" w:lineRule="auto"/>
              <w:ind w:firstLine="420" w:firstLineChars="200"/>
              <w:textAlignment w:val="bottom"/>
              <w:rPr>
                <w:rFonts w:hint="eastAsia"/>
                <w:bCs/>
                <w:color w:val="auto"/>
                <w:sz w:val="21"/>
                <w:szCs w:val="21"/>
                <w:u w:val="single"/>
                <w:lang w:val="en-US" w:eastAsia="zh-CN"/>
              </w:rPr>
            </w:pPr>
            <w:r>
              <w:rPr>
                <w:rFonts w:hint="eastAsia"/>
                <w:bCs/>
                <w:color w:val="auto"/>
                <w:sz w:val="21"/>
                <w:szCs w:val="21"/>
                <w:u w:val="single"/>
                <w:lang w:val="en-US" w:eastAsia="zh-CN"/>
              </w:rPr>
              <w:t>白山地区冬季平均气温 - 15℃</w:t>
            </w:r>
            <w:r>
              <w:rPr>
                <w:rFonts w:hint="eastAsia" w:ascii="宋体" w:hAnsi="宋体" w:eastAsia="宋体" w:cs="宋体"/>
                <w:bCs/>
                <w:color w:val="auto"/>
                <w:sz w:val="21"/>
                <w:szCs w:val="21"/>
                <w:u w:val="single"/>
                <w:lang w:val="en-US" w:eastAsia="zh-CN"/>
              </w:rPr>
              <w:t>～</w:t>
            </w:r>
            <w:r>
              <w:rPr>
                <w:rFonts w:hint="eastAsia"/>
                <w:bCs/>
                <w:color w:val="auto"/>
                <w:sz w:val="21"/>
                <w:szCs w:val="21"/>
                <w:u w:val="single"/>
                <w:lang w:val="en-US" w:eastAsia="zh-CN"/>
              </w:rPr>
              <w:t xml:space="preserve"> 5℃，低于生物发酵菌剂活性阈值（5℃），发酵效率下降 80% 以上，无法满足腐熟要求，故冬季不进行生产。</w:t>
            </w:r>
          </w:p>
          <w:p w14:paraId="72B759A7">
            <w:pPr>
              <w:autoSpaceDN w:val="0"/>
              <w:spacing w:line="360" w:lineRule="auto"/>
              <w:ind w:firstLine="420" w:firstLineChars="200"/>
              <w:textAlignment w:val="bottom"/>
              <w:rPr>
                <w:rFonts w:hint="default"/>
                <w:bCs/>
                <w:color w:val="auto"/>
                <w:sz w:val="21"/>
                <w:szCs w:val="21"/>
                <w:u w:val="single"/>
                <w:lang w:val="en-US" w:eastAsia="zh-CN"/>
              </w:rPr>
            </w:pPr>
            <w:r>
              <w:rPr>
                <w:rFonts w:hint="eastAsia"/>
                <w:bCs/>
                <w:color w:val="auto"/>
                <w:sz w:val="21"/>
                <w:szCs w:val="21"/>
                <w:u w:val="single"/>
                <w:lang w:val="en-US" w:eastAsia="zh-CN"/>
              </w:rPr>
              <w:t>项目发酵过程在综合车间发酵区域内进行，该区域与其他区域实墙隔离，地面进行防渗硬化处理，区域建筑面积1800m</w:t>
            </w:r>
            <w:r>
              <w:rPr>
                <w:rFonts w:hint="eastAsia"/>
                <w:bCs/>
                <w:color w:val="auto"/>
                <w:sz w:val="21"/>
                <w:szCs w:val="21"/>
                <w:u w:val="single"/>
                <w:vertAlign w:val="superscript"/>
                <w:lang w:val="en-US" w:eastAsia="zh-CN"/>
              </w:rPr>
              <w:t>2</w:t>
            </w:r>
            <w:r>
              <w:rPr>
                <w:rFonts w:hint="eastAsia"/>
                <w:bCs/>
                <w:color w:val="auto"/>
                <w:sz w:val="21"/>
                <w:szCs w:val="21"/>
                <w:u w:val="single"/>
                <w:lang w:val="en-US" w:eastAsia="zh-CN"/>
              </w:rPr>
              <w:t>，采用条带式发酵工艺，设置8条带，每条长 50m、宽 4m、高 1.5m），单条带投加量约为360t/条，一个批次约2880t/次；发酵周期为25d，年可生产批次为8批次，则总投料量约为23040t/a。</w:t>
            </w:r>
          </w:p>
          <w:p w14:paraId="33907618">
            <w:pPr>
              <w:autoSpaceDN w:val="0"/>
              <w:spacing w:line="360" w:lineRule="auto"/>
              <w:ind w:firstLine="420" w:firstLineChars="200"/>
              <w:textAlignment w:val="bottom"/>
              <w:rPr>
                <w:rFonts w:hint="default"/>
                <w:bCs/>
                <w:color w:val="auto"/>
                <w:sz w:val="21"/>
                <w:szCs w:val="21"/>
                <w:u w:val="single"/>
                <w:lang w:val="en-US" w:eastAsia="zh-CN"/>
              </w:rPr>
            </w:pPr>
            <w:r>
              <w:rPr>
                <w:rFonts w:hint="default"/>
                <w:bCs/>
                <w:color w:val="auto"/>
                <w:sz w:val="21"/>
                <w:szCs w:val="21"/>
                <w:u w:val="single"/>
                <w:lang w:val="en-US" w:eastAsia="zh-CN"/>
              </w:rPr>
              <w:t>发酵周期分为三个阶段，总时长 2</w:t>
            </w:r>
            <w:r>
              <w:rPr>
                <w:rFonts w:hint="eastAsia"/>
                <w:bCs/>
                <w:color w:val="auto"/>
                <w:sz w:val="21"/>
                <w:szCs w:val="21"/>
                <w:u w:val="single"/>
                <w:lang w:val="en-US" w:eastAsia="zh-CN"/>
              </w:rPr>
              <w:t>5</w:t>
            </w:r>
            <w:r>
              <w:rPr>
                <w:rFonts w:hint="default"/>
                <w:bCs/>
                <w:color w:val="auto"/>
                <w:sz w:val="21"/>
                <w:szCs w:val="21"/>
                <w:u w:val="single"/>
                <w:lang w:val="en-US" w:eastAsia="zh-CN"/>
              </w:rPr>
              <w:t>天，过生物发酵菌剂（含枯草芽孢杆菌、蜡样芽胞杆菌）的活性激发，将混合物料堆体温度从常温（约 15-20℃）提升至 50-55℃，为后续高温腐熟奠定微生物种群基础，同时初步分解物料中的易降解有机物（如少量残留糖类、有机酸）。</w:t>
            </w:r>
          </w:p>
          <w:p w14:paraId="6E63DF3D">
            <w:pPr>
              <w:autoSpaceDN w:val="0"/>
              <w:spacing w:line="360" w:lineRule="auto"/>
              <w:ind w:firstLine="420" w:firstLineChars="200"/>
              <w:textAlignment w:val="bottom"/>
              <w:rPr>
                <w:rFonts w:hint="eastAsia"/>
                <w:bCs/>
                <w:color w:val="auto"/>
                <w:sz w:val="21"/>
                <w:szCs w:val="21"/>
                <w:u w:val="single"/>
                <w:lang w:val="en-US" w:eastAsia="zh-CN"/>
              </w:rPr>
            </w:pPr>
            <w:r>
              <w:rPr>
                <w:rFonts w:hint="default"/>
                <w:bCs/>
                <w:color w:val="auto"/>
                <w:sz w:val="21"/>
                <w:szCs w:val="21"/>
                <w:u w:val="single"/>
                <w:lang w:val="en-US" w:eastAsia="zh-CN"/>
              </w:rPr>
              <w:t>升温期（1-</w:t>
            </w:r>
            <w:r>
              <w:rPr>
                <w:rFonts w:hint="eastAsia"/>
                <w:bCs/>
                <w:color w:val="auto"/>
                <w:sz w:val="21"/>
                <w:szCs w:val="21"/>
                <w:u w:val="single"/>
                <w:lang w:val="en-US" w:eastAsia="zh-CN"/>
              </w:rPr>
              <w:t>5</w:t>
            </w:r>
            <w:r>
              <w:rPr>
                <w:rFonts w:hint="default"/>
                <w:bCs/>
                <w:color w:val="auto"/>
                <w:sz w:val="21"/>
                <w:szCs w:val="21"/>
                <w:u w:val="single"/>
                <w:lang w:val="en-US" w:eastAsia="zh-CN"/>
              </w:rPr>
              <w:t>天）：通过生物发酵菌剂（含枯草芽孢杆菌、蜡样芽胞杆菌）作用，堆体温度从常温升至 50-55℃，每天翻堆 1 次；</w:t>
            </w:r>
          </w:p>
          <w:p w14:paraId="5DDA98E6">
            <w:pPr>
              <w:autoSpaceDN w:val="0"/>
              <w:spacing w:line="360" w:lineRule="auto"/>
              <w:ind w:firstLine="420" w:firstLineChars="200"/>
              <w:textAlignment w:val="bottom"/>
              <w:rPr>
                <w:rFonts w:hint="eastAsia"/>
                <w:bCs/>
                <w:color w:val="auto"/>
                <w:sz w:val="21"/>
                <w:szCs w:val="21"/>
                <w:u w:val="single"/>
                <w:lang w:val="en-US" w:eastAsia="zh-CN"/>
              </w:rPr>
            </w:pPr>
            <w:r>
              <w:rPr>
                <w:rFonts w:hint="default"/>
                <w:bCs/>
                <w:color w:val="auto"/>
                <w:sz w:val="21"/>
                <w:szCs w:val="21"/>
                <w:u w:val="single"/>
                <w:lang w:val="en-US" w:eastAsia="zh-CN"/>
              </w:rPr>
              <w:t>高温腐熟期（</w:t>
            </w:r>
            <w:r>
              <w:rPr>
                <w:rFonts w:hint="eastAsia"/>
                <w:bCs/>
                <w:color w:val="auto"/>
                <w:sz w:val="21"/>
                <w:szCs w:val="21"/>
                <w:u w:val="single"/>
                <w:lang w:val="en-US" w:eastAsia="zh-CN"/>
              </w:rPr>
              <w:t>6</w:t>
            </w:r>
            <w:r>
              <w:rPr>
                <w:rFonts w:hint="default"/>
                <w:bCs/>
                <w:color w:val="auto"/>
                <w:sz w:val="21"/>
                <w:szCs w:val="21"/>
                <w:u w:val="single"/>
                <w:lang w:val="en-US" w:eastAsia="zh-CN"/>
              </w:rPr>
              <w:t>-</w:t>
            </w:r>
            <w:r>
              <w:rPr>
                <w:rFonts w:hint="eastAsia"/>
                <w:bCs/>
                <w:color w:val="auto"/>
                <w:sz w:val="21"/>
                <w:szCs w:val="21"/>
                <w:u w:val="single"/>
                <w:lang w:val="en-US" w:eastAsia="zh-CN"/>
              </w:rPr>
              <w:t>18</w:t>
            </w:r>
            <w:r>
              <w:rPr>
                <w:rFonts w:hint="default"/>
                <w:bCs/>
                <w:color w:val="auto"/>
                <w:sz w:val="21"/>
                <w:szCs w:val="21"/>
                <w:u w:val="single"/>
                <w:lang w:val="en-US" w:eastAsia="zh-CN"/>
              </w:rPr>
              <w:t>天）：堆体温度维持在 60-65℃（最高不超过 70℃），通过高温杀灭物料中的病原菌，同时深度分解纤维素、木质素等难降解有机物，生成腐殖酸等有益成分，确保产品无害化与腐熟度</w:t>
            </w:r>
            <w:r>
              <w:rPr>
                <w:rFonts w:hint="eastAsia"/>
                <w:bCs/>
                <w:color w:val="auto"/>
                <w:sz w:val="21"/>
                <w:szCs w:val="21"/>
                <w:u w:val="single"/>
                <w:lang w:val="en-US" w:eastAsia="zh-CN"/>
              </w:rPr>
              <w:t>，</w:t>
            </w:r>
            <w:r>
              <w:rPr>
                <w:rFonts w:hint="default"/>
                <w:bCs/>
                <w:color w:val="auto"/>
                <w:sz w:val="21"/>
                <w:szCs w:val="21"/>
                <w:u w:val="single"/>
                <w:lang w:val="en-US" w:eastAsia="zh-CN"/>
              </w:rPr>
              <w:t>每 2 天翻堆 1 次；</w:t>
            </w:r>
          </w:p>
          <w:p w14:paraId="6F7F2D74">
            <w:pPr>
              <w:autoSpaceDN w:val="0"/>
              <w:spacing w:line="360" w:lineRule="auto"/>
              <w:ind w:firstLine="420" w:firstLineChars="200"/>
              <w:textAlignment w:val="bottom"/>
              <w:rPr>
                <w:rFonts w:hint="default"/>
                <w:bCs/>
                <w:color w:val="auto"/>
                <w:sz w:val="21"/>
                <w:szCs w:val="21"/>
                <w:u w:val="single"/>
                <w:lang w:val="en-US" w:eastAsia="zh-CN"/>
              </w:rPr>
            </w:pPr>
            <w:r>
              <w:rPr>
                <w:rFonts w:hint="default"/>
                <w:bCs/>
                <w:color w:val="auto"/>
                <w:sz w:val="21"/>
                <w:szCs w:val="21"/>
                <w:u w:val="single"/>
                <w:lang w:val="en-US" w:eastAsia="zh-CN"/>
              </w:rPr>
              <w:t>降温稳定期（</w:t>
            </w:r>
            <w:r>
              <w:rPr>
                <w:rFonts w:hint="eastAsia"/>
                <w:bCs/>
                <w:color w:val="auto"/>
                <w:sz w:val="21"/>
                <w:szCs w:val="21"/>
                <w:u w:val="single"/>
                <w:lang w:val="en-US" w:eastAsia="zh-CN"/>
              </w:rPr>
              <w:t>19</w:t>
            </w:r>
            <w:r>
              <w:rPr>
                <w:rFonts w:hint="default"/>
                <w:bCs/>
                <w:color w:val="auto"/>
                <w:sz w:val="21"/>
                <w:szCs w:val="21"/>
                <w:u w:val="single"/>
                <w:lang w:val="en-US" w:eastAsia="zh-CN"/>
              </w:rPr>
              <w:t>-2</w:t>
            </w:r>
            <w:r>
              <w:rPr>
                <w:rFonts w:hint="eastAsia"/>
                <w:bCs/>
                <w:color w:val="auto"/>
                <w:sz w:val="21"/>
                <w:szCs w:val="21"/>
                <w:u w:val="single"/>
                <w:lang w:val="en-US" w:eastAsia="zh-CN"/>
              </w:rPr>
              <w:t>5</w:t>
            </w:r>
            <w:r>
              <w:rPr>
                <w:rFonts w:hint="default"/>
                <w:bCs/>
                <w:color w:val="auto"/>
                <w:sz w:val="21"/>
                <w:szCs w:val="21"/>
                <w:u w:val="single"/>
                <w:lang w:val="en-US" w:eastAsia="zh-CN"/>
              </w:rPr>
              <w:t>天）：使堆体温度从 60℃逐步降至 40℃以下，终止高温菌活性，促进腐殖酸稳定化，同时调整物料含水率至 30% 左右，为后续晾晒、粉碎工序做准备，确保产品理化性质（pH、有机质含量）达标。</w:t>
            </w:r>
          </w:p>
          <w:p w14:paraId="513E36B5">
            <w:pPr>
              <w:pStyle w:val="48"/>
              <w:adjustRightInd w:val="0"/>
              <w:snapToGrid w:val="0"/>
              <w:spacing w:beforeLines="0" w:after="0" w:afterAutospacing="0"/>
              <w:rPr>
                <w:rFonts w:hint="eastAsia" w:ascii="Times New Roman" w:eastAsia="宋体"/>
                <w:b w:val="0"/>
                <w:color w:val="auto"/>
                <w:highlight w:val="none"/>
                <w:u w:val="single"/>
                <w:lang w:val="en-US" w:eastAsia="zh-CN"/>
              </w:rPr>
            </w:pPr>
            <w:r>
              <w:rPr>
                <w:rFonts w:hint="eastAsia" w:ascii="Times New Roman" w:eastAsia="宋体"/>
                <w:b w:val="0"/>
                <w:color w:val="auto"/>
                <w:highlight w:val="none"/>
                <w:u w:val="single"/>
                <w:lang w:val="en-US" w:eastAsia="zh-CN"/>
              </w:rPr>
              <w:t>发酵过程阶段含水率情况一览表</w:t>
            </w:r>
          </w:p>
          <w:tbl>
            <w:tblPr>
              <w:tblStyle w:val="29"/>
              <w:tblW w:w="495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119"/>
              <w:gridCol w:w="947"/>
              <w:gridCol w:w="997"/>
              <w:gridCol w:w="4173"/>
            </w:tblGrid>
            <w:tr w14:paraId="4E604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noWrap w:val="0"/>
                  <w:vAlign w:val="center"/>
                </w:tcPr>
                <w:p w14:paraId="75375140">
                  <w:pPr>
                    <w:ind w:left="0" w:leftChars="0" w:right="0" w:rightChars="0" w:firstLine="0" w:firstLineChars="0"/>
                    <w:jc w:val="center"/>
                    <w:rPr>
                      <w:rFonts w:hint="eastAsia" w:ascii="Times New Roman" w:hAnsi="Times New Roman" w:eastAsia="宋体"/>
                      <w:smallCaps w:val="0"/>
                      <w:color w:val="auto"/>
                      <w:w w:val="100"/>
                      <w:sz w:val="18"/>
                      <w:szCs w:val="18"/>
                      <w:highlight w:val="none"/>
                      <w:u w:val="single"/>
                    </w:rPr>
                  </w:pPr>
                  <w:r>
                    <w:rPr>
                      <w:rFonts w:hint="eastAsia"/>
                      <w:smallCaps w:val="0"/>
                      <w:color w:val="auto"/>
                      <w:w w:val="100"/>
                      <w:sz w:val="18"/>
                      <w:szCs w:val="18"/>
                      <w:highlight w:val="none"/>
                      <w:u w:val="single"/>
                      <w:lang w:val="en-US" w:eastAsia="zh-CN"/>
                    </w:rPr>
                    <w:t>序号</w:t>
                  </w:r>
                </w:p>
              </w:tc>
              <w:tc>
                <w:tcPr>
                  <w:tcW w:w="716" w:type="pct"/>
                  <w:noWrap w:val="0"/>
                  <w:vAlign w:val="center"/>
                </w:tcPr>
                <w:p w14:paraId="28428B35">
                  <w:pPr>
                    <w:ind w:left="0" w:leftChars="0" w:right="0" w:rightChars="0" w:firstLine="0" w:firstLineChars="0"/>
                    <w:jc w:val="center"/>
                    <w:rPr>
                      <w:rFonts w:hint="default" w:ascii="Times New Roman" w:hAnsi="Times New Roman" w:eastAsia="宋体"/>
                      <w:smallCaps w:val="0"/>
                      <w:color w:val="auto"/>
                      <w:w w:val="100"/>
                      <w:sz w:val="18"/>
                      <w:szCs w:val="18"/>
                      <w:highlight w:val="none"/>
                      <w:u w:val="single"/>
                      <w:lang w:val="en-US" w:eastAsia="zh-CN"/>
                    </w:rPr>
                  </w:pPr>
                  <w:r>
                    <w:rPr>
                      <w:rFonts w:hint="eastAsia"/>
                      <w:smallCaps w:val="0"/>
                      <w:color w:val="auto"/>
                      <w:w w:val="100"/>
                      <w:sz w:val="18"/>
                      <w:szCs w:val="18"/>
                      <w:highlight w:val="none"/>
                      <w:u w:val="single"/>
                      <w:lang w:val="en-US" w:eastAsia="zh-CN"/>
                    </w:rPr>
                    <w:t>发酵阶段</w:t>
                  </w:r>
                </w:p>
              </w:tc>
              <w:tc>
                <w:tcPr>
                  <w:tcW w:w="606" w:type="pct"/>
                  <w:noWrap w:val="0"/>
                  <w:vAlign w:val="center"/>
                </w:tcPr>
                <w:p w14:paraId="45CCA46C">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eastAsia" w:cs="Times New Roman"/>
                      <w:color w:val="auto"/>
                      <w:w w:val="100"/>
                      <w:sz w:val="18"/>
                      <w:szCs w:val="18"/>
                      <w:highlight w:val="none"/>
                      <w:u w:val="single"/>
                      <w:lang w:val="en-US" w:eastAsia="zh-CN"/>
                    </w:rPr>
                    <w:t>含水率范围</w:t>
                  </w:r>
                </w:p>
              </w:tc>
              <w:tc>
                <w:tcPr>
                  <w:tcW w:w="638" w:type="pct"/>
                  <w:noWrap w:val="0"/>
                  <w:vAlign w:val="center"/>
                </w:tcPr>
                <w:p w14:paraId="7349BA98">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eastAsia" w:cs="宋体"/>
                      <w:color w:val="auto"/>
                      <w:w w:val="100"/>
                      <w:sz w:val="18"/>
                      <w:szCs w:val="18"/>
                      <w:highlight w:val="none"/>
                      <w:u w:val="single"/>
                      <w:lang w:val="en-US" w:eastAsia="zh-CN" w:bidi="ar-SA"/>
                    </w:rPr>
                    <w:t>允许波动范围</w:t>
                  </w:r>
                </w:p>
              </w:tc>
              <w:tc>
                <w:tcPr>
                  <w:tcW w:w="2671" w:type="pct"/>
                  <w:noWrap w:val="0"/>
                  <w:vAlign w:val="center"/>
                </w:tcPr>
                <w:p w14:paraId="3365AA8E">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eastAsia" w:cs="宋体"/>
                      <w:color w:val="auto"/>
                      <w:w w:val="100"/>
                      <w:sz w:val="18"/>
                      <w:szCs w:val="18"/>
                      <w:highlight w:val="none"/>
                      <w:u w:val="single"/>
                      <w:lang w:val="en-US" w:eastAsia="zh-CN" w:bidi="ar-SA"/>
                    </w:rPr>
                    <w:t>控制内容</w:t>
                  </w:r>
                </w:p>
              </w:tc>
            </w:tr>
            <w:tr w14:paraId="3B967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7" w:type="pct"/>
                  <w:noWrap w:val="0"/>
                  <w:vAlign w:val="center"/>
                </w:tcPr>
                <w:p w14:paraId="1A70B58D">
                  <w:pPr>
                    <w:ind w:left="0" w:leftChars="0" w:right="0" w:rightChars="0" w:firstLine="0" w:firstLineChars="0"/>
                    <w:jc w:val="center"/>
                    <w:rPr>
                      <w:rFonts w:hint="default" w:ascii="Times New Roman" w:hAnsi="Times New Roman" w:eastAsia="宋体"/>
                      <w:i w:val="0"/>
                      <w:iCs w:val="0"/>
                      <w:smallCaps w:val="0"/>
                      <w:color w:val="auto"/>
                      <w:w w:val="100"/>
                      <w:sz w:val="18"/>
                      <w:szCs w:val="18"/>
                      <w:highlight w:val="none"/>
                      <w:u w:val="single"/>
                      <w:lang w:val="en-US" w:eastAsia="zh-CN"/>
                    </w:rPr>
                  </w:pPr>
                  <w:r>
                    <w:rPr>
                      <w:rFonts w:hint="eastAsia"/>
                      <w:i w:val="0"/>
                      <w:iCs w:val="0"/>
                      <w:smallCaps w:val="0"/>
                      <w:color w:val="auto"/>
                      <w:w w:val="100"/>
                      <w:sz w:val="18"/>
                      <w:szCs w:val="18"/>
                      <w:highlight w:val="none"/>
                      <w:u w:val="single"/>
                      <w:lang w:val="en-US" w:eastAsia="zh-CN"/>
                    </w:rPr>
                    <w:t>1</w:t>
                  </w:r>
                </w:p>
              </w:tc>
              <w:tc>
                <w:tcPr>
                  <w:tcW w:w="716" w:type="pct"/>
                  <w:noWrap w:val="0"/>
                  <w:vAlign w:val="center"/>
                </w:tcPr>
                <w:p w14:paraId="0F119C58">
                  <w:pPr>
                    <w:ind w:left="0" w:leftChars="0" w:right="0" w:rightChars="0" w:firstLine="0" w:firstLineChars="0"/>
                    <w:jc w:val="center"/>
                    <w:rPr>
                      <w:rFonts w:hint="default"/>
                      <w:i w:val="0"/>
                      <w:iCs w:val="0"/>
                      <w:smallCaps w:val="0"/>
                      <w:color w:val="auto"/>
                      <w:w w:val="100"/>
                      <w:sz w:val="18"/>
                      <w:szCs w:val="18"/>
                      <w:highlight w:val="none"/>
                      <w:u w:val="single"/>
                      <w:lang w:val="en-US" w:eastAsia="zh-CN"/>
                    </w:rPr>
                  </w:pPr>
                  <w:r>
                    <w:rPr>
                      <w:rFonts w:hint="default"/>
                      <w:i w:val="0"/>
                      <w:iCs w:val="0"/>
                      <w:smallCaps w:val="0"/>
                      <w:color w:val="auto"/>
                      <w:w w:val="100"/>
                      <w:sz w:val="18"/>
                      <w:szCs w:val="18"/>
                      <w:highlight w:val="none"/>
                      <w:u w:val="single"/>
                      <w:lang w:val="en-US" w:eastAsia="zh-CN"/>
                    </w:rPr>
                    <w:t>升温期</w:t>
                  </w:r>
                </w:p>
              </w:tc>
              <w:tc>
                <w:tcPr>
                  <w:tcW w:w="606" w:type="pct"/>
                  <w:shd w:val="clear" w:color="auto" w:fill="auto"/>
                  <w:noWrap w:val="0"/>
                  <w:vAlign w:val="center"/>
                </w:tcPr>
                <w:p w14:paraId="1C7B9CCA">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45%-50%</w:t>
                  </w:r>
                </w:p>
              </w:tc>
              <w:tc>
                <w:tcPr>
                  <w:tcW w:w="638" w:type="pct"/>
                  <w:shd w:val="clear" w:color="auto" w:fill="auto"/>
                  <w:noWrap w:val="0"/>
                  <w:vAlign w:val="center"/>
                </w:tcPr>
                <w:p w14:paraId="611B1379">
                  <w:pPr>
                    <w:ind w:left="0" w:leftChars="0" w:right="0" w:rightChars="0" w:firstLine="0" w:firstLineChars="0"/>
                    <w:jc w:val="center"/>
                    <w:rPr>
                      <w:rFonts w:hint="eastAsia"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±2%</w:t>
                  </w:r>
                </w:p>
              </w:tc>
              <w:tc>
                <w:tcPr>
                  <w:tcW w:w="2671" w:type="pct"/>
                  <w:shd w:val="clear" w:color="auto" w:fill="auto"/>
                  <w:noWrap w:val="0"/>
                  <w:vAlign w:val="center"/>
                </w:tcPr>
                <w:p w14:paraId="35CF6B78">
                  <w:pPr>
                    <w:ind w:left="0" w:leftChars="0" w:right="0" w:rightChars="0" w:firstLine="0" w:firstLineChars="0"/>
                    <w:jc w:val="center"/>
                    <w:rPr>
                      <w:rFonts w:hint="eastAsia"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高含水率为微生物（菌剂）提供湿润环境，加速繁殖并分解易降解有机物，推动堆体升温至 50-55℃</w:t>
                  </w:r>
                </w:p>
              </w:tc>
            </w:tr>
            <w:tr w14:paraId="0E9D4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7" w:type="pct"/>
                  <w:noWrap w:val="0"/>
                  <w:vAlign w:val="center"/>
                </w:tcPr>
                <w:p w14:paraId="0DA32489">
                  <w:pPr>
                    <w:ind w:left="0" w:leftChars="0" w:right="0" w:rightChars="0" w:firstLine="0" w:firstLineChars="0"/>
                    <w:jc w:val="center"/>
                    <w:rPr>
                      <w:rFonts w:hint="default" w:ascii="Times New Roman" w:hAnsi="Times New Roman" w:eastAsia="宋体"/>
                      <w:i w:val="0"/>
                      <w:iCs w:val="0"/>
                      <w:smallCaps w:val="0"/>
                      <w:color w:val="auto"/>
                      <w:w w:val="100"/>
                      <w:sz w:val="18"/>
                      <w:szCs w:val="18"/>
                      <w:highlight w:val="none"/>
                      <w:u w:val="single"/>
                      <w:lang w:val="en-US" w:eastAsia="zh-CN"/>
                    </w:rPr>
                  </w:pPr>
                  <w:r>
                    <w:rPr>
                      <w:rFonts w:hint="eastAsia"/>
                      <w:i w:val="0"/>
                      <w:iCs w:val="0"/>
                      <w:smallCaps w:val="0"/>
                      <w:color w:val="auto"/>
                      <w:w w:val="100"/>
                      <w:sz w:val="18"/>
                      <w:szCs w:val="18"/>
                      <w:highlight w:val="none"/>
                      <w:u w:val="single"/>
                      <w:lang w:val="en-US" w:eastAsia="zh-CN"/>
                    </w:rPr>
                    <w:t>2</w:t>
                  </w:r>
                </w:p>
              </w:tc>
              <w:tc>
                <w:tcPr>
                  <w:tcW w:w="716" w:type="pct"/>
                  <w:noWrap w:val="0"/>
                  <w:vAlign w:val="center"/>
                </w:tcPr>
                <w:p w14:paraId="255E0C76">
                  <w:pPr>
                    <w:ind w:left="0" w:leftChars="0" w:right="0" w:rightChars="0" w:firstLine="0" w:firstLineChars="0"/>
                    <w:jc w:val="center"/>
                    <w:rPr>
                      <w:rFonts w:hint="default"/>
                      <w:i w:val="0"/>
                      <w:iCs w:val="0"/>
                      <w:smallCaps w:val="0"/>
                      <w:color w:val="auto"/>
                      <w:w w:val="100"/>
                      <w:sz w:val="18"/>
                      <w:szCs w:val="18"/>
                      <w:highlight w:val="none"/>
                      <w:u w:val="single"/>
                      <w:lang w:val="en-US" w:eastAsia="zh-CN"/>
                    </w:rPr>
                  </w:pPr>
                  <w:r>
                    <w:rPr>
                      <w:rFonts w:hint="default"/>
                      <w:i w:val="0"/>
                      <w:iCs w:val="0"/>
                      <w:smallCaps w:val="0"/>
                      <w:color w:val="auto"/>
                      <w:w w:val="100"/>
                      <w:sz w:val="18"/>
                      <w:szCs w:val="18"/>
                      <w:highlight w:val="none"/>
                      <w:u w:val="single"/>
                      <w:lang w:val="en-US" w:eastAsia="zh-CN"/>
                    </w:rPr>
                    <w:t>高温腐熟期</w:t>
                  </w:r>
                </w:p>
              </w:tc>
              <w:tc>
                <w:tcPr>
                  <w:tcW w:w="606" w:type="pct"/>
                  <w:shd w:val="clear" w:color="auto" w:fill="auto"/>
                  <w:noWrap w:val="0"/>
                  <w:vAlign w:val="center"/>
                </w:tcPr>
                <w:p w14:paraId="3392F60B">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40%-45%</w:t>
                  </w:r>
                </w:p>
              </w:tc>
              <w:tc>
                <w:tcPr>
                  <w:tcW w:w="638" w:type="pct"/>
                  <w:noWrap w:val="0"/>
                  <w:vAlign w:val="center"/>
                </w:tcPr>
                <w:p w14:paraId="0318E637">
                  <w:pPr>
                    <w:ind w:left="0" w:leftChars="0" w:right="0" w:rightChars="0" w:firstLine="0" w:firstLineChars="0"/>
                    <w:jc w:val="center"/>
                    <w:rPr>
                      <w:rFonts w:hint="eastAsia"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±3%</w:t>
                  </w:r>
                </w:p>
              </w:tc>
              <w:tc>
                <w:tcPr>
                  <w:tcW w:w="2671" w:type="pct"/>
                  <w:noWrap w:val="0"/>
                  <w:vAlign w:val="center"/>
                </w:tcPr>
                <w:p w14:paraId="6BA2C517">
                  <w:pPr>
                    <w:ind w:left="0" w:leftChars="0" w:right="0" w:rightChars="0" w:firstLine="0" w:firstLineChars="0"/>
                    <w:jc w:val="center"/>
                    <w:rPr>
                      <w:rFonts w:hint="eastAsia"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适度降低含水率，避免堆体厌氧（防止硫化氢等恶臭超标），同时保障高温（60-65℃）下微生物活性，实现杀菌与腐熟</w:t>
                  </w:r>
                </w:p>
              </w:tc>
            </w:tr>
            <w:tr w14:paraId="10D97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7" w:type="pct"/>
                  <w:noWrap w:val="0"/>
                  <w:vAlign w:val="center"/>
                </w:tcPr>
                <w:p w14:paraId="6F4F1FDB">
                  <w:pPr>
                    <w:ind w:left="0" w:leftChars="0" w:right="0" w:rightChars="0" w:firstLine="0" w:firstLineChars="0"/>
                    <w:jc w:val="center"/>
                    <w:rPr>
                      <w:rFonts w:hint="default" w:ascii="Times New Roman" w:hAnsi="Times New Roman" w:eastAsia="宋体"/>
                      <w:i w:val="0"/>
                      <w:iCs w:val="0"/>
                      <w:smallCaps w:val="0"/>
                      <w:color w:val="auto"/>
                      <w:w w:val="100"/>
                      <w:sz w:val="18"/>
                      <w:szCs w:val="18"/>
                      <w:highlight w:val="none"/>
                      <w:u w:val="single"/>
                      <w:lang w:val="en-US" w:eastAsia="zh-CN"/>
                    </w:rPr>
                  </w:pPr>
                  <w:r>
                    <w:rPr>
                      <w:rFonts w:hint="eastAsia"/>
                      <w:i w:val="0"/>
                      <w:iCs w:val="0"/>
                      <w:smallCaps w:val="0"/>
                      <w:color w:val="auto"/>
                      <w:w w:val="100"/>
                      <w:sz w:val="18"/>
                      <w:szCs w:val="18"/>
                      <w:highlight w:val="none"/>
                      <w:u w:val="single"/>
                      <w:lang w:val="en-US" w:eastAsia="zh-CN"/>
                    </w:rPr>
                    <w:t>3</w:t>
                  </w:r>
                </w:p>
              </w:tc>
              <w:tc>
                <w:tcPr>
                  <w:tcW w:w="716" w:type="pct"/>
                  <w:noWrap w:val="0"/>
                  <w:vAlign w:val="center"/>
                </w:tcPr>
                <w:p w14:paraId="058BD130">
                  <w:pPr>
                    <w:ind w:left="0" w:leftChars="0" w:right="0" w:rightChars="0" w:firstLine="0" w:firstLineChars="0"/>
                    <w:jc w:val="center"/>
                    <w:rPr>
                      <w:rFonts w:hint="default"/>
                      <w:i w:val="0"/>
                      <w:iCs w:val="0"/>
                      <w:smallCaps w:val="0"/>
                      <w:color w:val="auto"/>
                      <w:w w:val="100"/>
                      <w:sz w:val="18"/>
                      <w:szCs w:val="18"/>
                      <w:highlight w:val="none"/>
                      <w:u w:val="single"/>
                      <w:lang w:val="en-US" w:eastAsia="zh-CN"/>
                    </w:rPr>
                  </w:pPr>
                  <w:r>
                    <w:rPr>
                      <w:rFonts w:hint="default"/>
                      <w:i w:val="0"/>
                      <w:iCs w:val="0"/>
                      <w:smallCaps w:val="0"/>
                      <w:color w:val="auto"/>
                      <w:w w:val="100"/>
                      <w:sz w:val="18"/>
                      <w:szCs w:val="18"/>
                      <w:highlight w:val="none"/>
                      <w:u w:val="single"/>
                      <w:lang w:val="en-US" w:eastAsia="zh-CN"/>
                    </w:rPr>
                    <w:t>降温稳定期</w:t>
                  </w:r>
                </w:p>
              </w:tc>
              <w:tc>
                <w:tcPr>
                  <w:tcW w:w="606" w:type="pct"/>
                  <w:shd w:val="clear" w:color="auto" w:fill="auto"/>
                  <w:noWrap w:val="0"/>
                  <w:vAlign w:val="center"/>
                </w:tcPr>
                <w:p w14:paraId="56219F20">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35%-40%</w:t>
                  </w:r>
                </w:p>
              </w:tc>
              <w:tc>
                <w:tcPr>
                  <w:tcW w:w="638" w:type="pct"/>
                  <w:noWrap w:val="0"/>
                  <w:vAlign w:val="center"/>
                </w:tcPr>
                <w:p w14:paraId="1165A6B0">
                  <w:pPr>
                    <w:ind w:left="0" w:leftChars="0" w:right="0" w:rightChars="0" w:firstLine="0" w:firstLineChars="0"/>
                    <w:jc w:val="center"/>
                    <w:rPr>
                      <w:rFonts w:hint="default"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±2%</w:t>
                  </w:r>
                </w:p>
              </w:tc>
              <w:tc>
                <w:tcPr>
                  <w:tcW w:w="2671" w:type="pct"/>
                  <w:noWrap w:val="0"/>
                  <w:vAlign w:val="center"/>
                </w:tcPr>
                <w:p w14:paraId="7030692C">
                  <w:pPr>
                    <w:ind w:left="0" w:leftChars="0" w:right="0" w:rightChars="0" w:firstLine="0" w:firstLineChars="0"/>
                    <w:jc w:val="center"/>
                    <w:rPr>
                      <w:rFonts w:hint="eastAsia" w:ascii="Times New Roman" w:hAnsi="Times New Roman" w:eastAsia="宋体" w:cs="宋体"/>
                      <w:color w:val="auto"/>
                      <w:w w:val="100"/>
                      <w:sz w:val="18"/>
                      <w:szCs w:val="18"/>
                      <w:highlight w:val="none"/>
                      <w:u w:val="single"/>
                      <w:lang w:val="en-US" w:eastAsia="zh-CN" w:bidi="ar-SA"/>
                    </w:rPr>
                  </w:pPr>
                  <w:r>
                    <w:rPr>
                      <w:rFonts w:hint="default"/>
                      <w:i w:val="0"/>
                      <w:iCs w:val="0"/>
                      <w:smallCaps w:val="0"/>
                      <w:color w:val="auto"/>
                      <w:w w:val="100"/>
                      <w:sz w:val="18"/>
                      <w:szCs w:val="18"/>
                      <w:highlight w:val="none"/>
                      <w:u w:val="single"/>
                      <w:lang w:val="en-US" w:eastAsia="zh-CN"/>
                    </w:rPr>
                    <w:t>逐步降低含水率，减少后期晾晒负荷，为物料形成疏松腐殖质（成品含水率 30%±2%）奠定基础</w:t>
                  </w:r>
                </w:p>
              </w:tc>
            </w:tr>
          </w:tbl>
          <w:p w14:paraId="4994F0F4">
            <w:pPr>
              <w:adjustRightInd w:val="0"/>
              <w:snapToGrid w:val="0"/>
              <w:spacing w:line="336" w:lineRule="auto"/>
              <w:ind w:firstLine="333" w:firstLineChars="150"/>
              <w:jc w:val="left"/>
              <w:rPr>
                <w:rFonts w:hint="eastAsia" w:hAnsi="宋体" w:cs="宋体" w:eastAsiaTheme="minorEastAsia"/>
                <w:i w:val="0"/>
                <w:iCs w:val="0"/>
                <w:color w:val="auto"/>
                <w:spacing w:val="6"/>
                <w:highlight w:val="none"/>
                <w:u w:val="none"/>
                <w:lang w:val="en-US" w:eastAsia="zh-CN"/>
              </w:rPr>
            </w:pPr>
          </w:p>
          <w:p w14:paraId="30002B4D">
            <w:pPr>
              <w:autoSpaceDN w:val="0"/>
              <w:spacing w:line="360" w:lineRule="auto"/>
              <w:textAlignment w:val="bottom"/>
              <w:rPr>
                <w:rFonts w:hint="default"/>
                <w:bCs/>
                <w:color w:val="auto"/>
                <w:sz w:val="21"/>
                <w:szCs w:val="21"/>
                <w:u w:val="none"/>
                <w:lang w:val="en-US" w:eastAsia="zh-CN"/>
              </w:rPr>
            </w:pPr>
            <w:r>
              <w:rPr>
                <w:rFonts w:hint="eastAsia"/>
                <w:bCs/>
                <w:color w:val="auto"/>
                <w:sz w:val="21"/>
                <w:szCs w:val="21"/>
                <w:u w:val="none"/>
                <w:lang w:val="en-US" w:eastAsia="zh-CN"/>
              </w:rPr>
              <w:t>2.1 工艺流程及产排污节点</w:t>
            </w:r>
          </w:p>
          <w:p w14:paraId="793F0923">
            <w:pPr>
              <w:autoSpaceDN w:val="0"/>
              <w:spacing w:line="360" w:lineRule="auto"/>
              <w:ind w:firstLine="420" w:firstLineChars="200"/>
              <w:textAlignment w:val="bottom"/>
              <w:rPr>
                <w:rFonts w:hint="default" w:ascii="Times New Roman" w:hAnsi="Times New Roman" w:eastAsia="宋体"/>
                <w:bCs/>
                <w:color w:val="auto"/>
                <w:sz w:val="21"/>
                <w:szCs w:val="21"/>
                <w:u w:val="none"/>
                <w:lang w:val="en-US" w:eastAsia="zh-CN"/>
              </w:rPr>
            </w:pPr>
            <w:r>
              <w:rPr>
                <w:rFonts w:hint="eastAsia" w:ascii="Times New Roman" w:hAnsi="Times New Roman" w:eastAsia="宋体"/>
                <w:bCs/>
                <w:color w:val="auto"/>
                <w:sz w:val="21"/>
                <w:szCs w:val="21"/>
                <w:u w:val="none"/>
              </w:rPr>
              <w:t>项目</w:t>
            </w:r>
            <w:r>
              <w:rPr>
                <w:rFonts w:hint="eastAsia"/>
                <w:bCs/>
                <w:color w:val="auto"/>
                <w:sz w:val="21"/>
                <w:szCs w:val="21"/>
                <w:u w:val="none"/>
                <w:lang w:val="en-US" w:eastAsia="zh-CN"/>
              </w:rPr>
              <w:t>产品具体工艺流程如下：</w:t>
            </w:r>
          </w:p>
          <w:p w14:paraId="5863AB1A">
            <w:pPr>
              <w:autoSpaceDN w:val="0"/>
              <w:spacing w:line="360" w:lineRule="auto"/>
              <w:ind w:firstLine="420" w:firstLineChars="200"/>
              <w:jc w:val="center"/>
              <w:textAlignment w:val="bottom"/>
              <w:rPr>
                <w:rFonts w:hint="eastAsia" w:ascii="Times New Roman" w:hAnsi="Times New Roman" w:eastAsia="宋体"/>
                <w:bCs/>
                <w:color w:val="auto"/>
                <w:sz w:val="21"/>
                <w:szCs w:val="21"/>
                <w:u w:val="none"/>
                <w:lang w:eastAsia="zh-CN"/>
              </w:rPr>
            </w:pPr>
            <w:r>
              <w:rPr>
                <w:rFonts w:hint="eastAsia" w:ascii="Times New Roman" w:hAnsi="Times New Roman" w:eastAsia="宋体"/>
                <w:bCs/>
                <w:color w:val="auto"/>
                <w:sz w:val="21"/>
                <w:szCs w:val="21"/>
                <w:u w:val="none"/>
                <w:lang w:eastAsia="zh-CN"/>
              </w:rPr>
              <w:drawing>
                <wp:inline distT="0" distB="0" distL="114300" distR="114300">
                  <wp:extent cx="3008630" cy="3841115"/>
                  <wp:effectExtent l="0" t="0" r="1270" b="6985"/>
                  <wp:docPr id="2" name="图片 2" descr="11111111111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111111111112"/>
                          <pic:cNvPicPr>
                            <a:picLocks noChangeAspect="1"/>
                          </pic:cNvPicPr>
                        </pic:nvPicPr>
                        <pic:blipFill>
                          <a:blip r:embed="rId10"/>
                          <a:stretch>
                            <a:fillRect/>
                          </a:stretch>
                        </pic:blipFill>
                        <pic:spPr>
                          <a:xfrm>
                            <a:off x="0" y="0"/>
                            <a:ext cx="3008630" cy="3841115"/>
                          </a:xfrm>
                          <a:prstGeom prst="rect">
                            <a:avLst/>
                          </a:prstGeom>
                        </pic:spPr>
                      </pic:pic>
                    </a:graphicData>
                  </a:graphic>
                </wp:inline>
              </w:drawing>
            </w:r>
          </w:p>
          <w:p w14:paraId="7A406487">
            <w:pPr>
              <w:autoSpaceDN w:val="0"/>
              <w:spacing w:line="360" w:lineRule="auto"/>
              <w:ind w:firstLine="420" w:firstLineChars="200"/>
              <w:jc w:val="center"/>
              <w:textAlignment w:val="bottom"/>
              <w:rPr>
                <w:rFonts w:hint="default" w:ascii="Times New Roman" w:hAnsi="Times New Roman" w:eastAsia="宋体"/>
                <w:bCs/>
                <w:color w:val="auto"/>
                <w:sz w:val="21"/>
                <w:szCs w:val="21"/>
                <w:u w:val="none"/>
                <w:lang w:val="en-US" w:eastAsia="zh-CN"/>
              </w:rPr>
            </w:pPr>
            <w:r>
              <w:rPr>
                <w:rFonts w:hint="eastAsia"/>
                <w:bCs/>
                <w:color w:val="auto"/>
                <w:sz w:val="21"/>
                <w:szCs w:val="21"/>
                <w:u w:val="none"/>
                <w:lang w:val="en-US" w:eastAsia="zh-CN"/>
              </w:rPr>
              <w:t>项目工艺流程及产污环节示意图</w:t>
            </w:r>
          </w:p>
          <w:p w14:paraId="3E5A916C">
            <w:pPr>
              <w:adjustRightInd w:val="0"/>
              <w:snapToGrid w:val="0"/>
              <w:spacing w:line="336" w:lineRule="auto"/>
              <w:ind w:firstLine="333" w:firstLineChars="150"/>
              <w:jc w:val="left"/>
              <w:rPr>
                <w:rFonts w:hint="default" w:hAnsi="宋体" w:cs="宋体" w:eastAsiaTheme="minorEastAsia"/>
                <w:i w:val="0"/>
                <w:iCs w:val="0"/>
                <w:color w:val="auto"/>
                <w:spacing w:val="6"/>
                <w:highlight w:val="none"/>
                <w:u w:val="none"/>
                <w:lang w:val="en-US" w:eastAsia="zh-CN"/>
              </w:rPr>
            </w:pPr>
            <w:r>
              <w:rPr>
                <w:rFonts w:hint="eastAsia" w:hAnsi="宋体" w:cs="宋体" w:eastAsiaTheme="minorEastAsia"/>
                <w:i w:val="0"/>
                <w:iCs w:val="0"/>
                <w:color w:val="auto"/>
                <w:spacing w:val="6"/>
                <w:highlight w:val="none"/>
                <w:u w:val="none"/>
                <w:lang w:val="en-US" w:eastAsia="zh-CN"/>
              </w:rPr>
              <w:t>配料混合：购进的药渣入厂前均已粉碎，进厂后无需再进行粉碎工序，通过人工+铲车将物料和发酵菌剂、水进行混合，此混料的过程中基本不会产生粉尘。该工序或可产生少许渗滤液，地面设置</w:t>
            </w:r>
            <w:r>
              <w:rPr>
                <w:rFonts w:hint="eastAsia"/>
                <w:color w:val="auto"/>
                <w:u w:val="single"/>
                <w:lang w:val="en-US" w:eastAsia="zh-CN" w:bidi="ar"/>
              </w:rPr>
              <w:t xml:space="preserve"> 2‰坡度，坡向导流沟，集中收集渗滤液回用与生产。</w:t>
            </w:r>
          </w:p>
          <w:p w14:paraId="2A741996">
            <w:pPr>
              <w:autoSpaceDN w:val="0"/>
              <w:spacing w:line="360" w:lineRule="auto"/>
              <w:ind w:firstLine="420" w:firstLineChars="200"/>
              <w:textAlignment w:val="bottom"/>
              <w:rPr>
                <w:rFonts w:hint="default"/>
                <w:bCs/>
                <w:color w:val="auto"/>
                <w:sz w:val="21"/>
                <w:szCs w:val="21"/>
                <w:u w:val="single"/>
                <w:lang w:val="en-US" w:eastAsia="zh-CN"/>
              </w:rPr>
            </w:pPr>
            <w:r>
              <w:rPr>
                <w:rFonts w:hint="eastAsia"/>
                <w:bCs/>
                <w:color w:val="auto"/>
                <w:sz w:val="21"/>
                <w:szCs w:val="21"/>
                <w:u w:val="none"/>
                <w:lang w:val="en-US" w:eastAsia="zh-CN"/>
              </w:rPr>
              <w:t>发酵：将混合好的物料运至发酵区域发酵，并用大棚塑料布进行密封覆盖。发酵过程中会利用生物发酵菌剂产生的热量进行腐熟，当堆温升至50℃时开始翻堆，每天一次，如堆温超过65℃，再次翻倒，堆温温度控制在70℃以下；同时通过翻堆可促进固体发酵物料中水分蒸发，水分挥发后物料含水率约为35%左右。大概经7次翻堆，当堆内产生白色菌丝，物料疏松，无物料原味后，即可进行晾晒。</w:t>
            </w:r>
            <w:r>
              <w:rPr>
                <w:rFonts w:hint="eastAsia"/>
                <w:bCs/>
                <w:color w:val="auto"/>
                <w:sz w:val="21"/>
                <w:szCs w:val="21"/>
                <w:u w:val="single"/>
                <w:lang w:val="en-US" w:eastAsia="zh-CN"/>
              </w:rPr>
              <w:t>发酵区设导流沟，车间内设收集池，产生的渗滤液集中收集后回用调湿用水。</w:t>
            </w:r>
          </w:p>
          <w:p w14:paraId="176E035B">
            <w:pPr>
              <w:autoSpaceDN w:val="0"/>
              <w:spacing w:line="360" w:lineRule="auto"/>
              <w:ind w:firstLine="420" w:firstLineChars="200"/>
              <w:textAlignment w:val="bottom"/>
              <w:rPr>
                <w:rFonts w:hint="eastAsia"/>
                <w:bCs/>
                <w:color w:val="auto"/>
                <w:sz w:val="21"/>
                <w:szCs w:val="21"/>
                <w:u w:val="none"/>
                <w:lang w:val="en-US" w:eastAsia="zh-CN"/>
              </w:rPr>
            </w:pPr>
            <w:r>
              <w:rPr>
                <w:rFonts w:hint="eastAsia"/>
                <w:bCs/>
                <w:color w:val="auto"/>
                <w:sz w:val="21"/>
                <w:szCs w:val="21"/>
                <w:u w:val="none"/>
                <w:lang w:val="en-US" w:eastAsia="zh-CN"/>
              </w:rPr>
              <w:t>晾晒：发酵好的物料用传输带运至生产车间晾晒区，进行风干晾晒，晾晒至水分达</w:t>
            </w:r>
            <w:r>
              <w:rPr>
                <w:rFonts w:hint="eastAsia"/>
                <w:bCs/>
                <w:color w:val="auto"/>
                <w:sz w:val="21"/>
                <w:szCs w:val="21"/>
                <w:highlight w:val="none"/>
                <w:u w:val="none"/>
                <w:lang w:val="en-US" w:eastAsia="zh-CN"/>
              </w:rPr>
              <w:t>到30%左右再用</w:t>
            </w:r>
            <w:r>
              <w:rPr>
                <w:rFonts w:hint="eastAsia"/>
                <w:bCs/>
                <w:color w:val="auto"/>
                <w:sz w:val="21"/>
                <w:szCs w:val="21"/>
                <w:u w:val="none"/>
                <w:lang w:val="en-US" w:eastAsia="zh-CN"/>
              </w:rPr>
              <w:t>传输带传至粉碎车间生产线进行生产。</w:t>
            </w:r>
          </w:p>
          <w:p w14:paraId="507E02B8">
            <w:pPr>
              <w:autoSpaceDN w:val="0"/>
              <w:spacing w:line="360" w:lineRule="auto"/>
              <w:ind w:firstLine="420" w:firstLineChars="200"/>
              <w:textAlignment w:val="bottom"/>
              <w:rPr>
                <w:rFonts w:hint="eastAsia"/>
                <w:bCs/>
                <w:color w:val="auto"/>
                <w:sz w:val="21"/>
                <w:szCs w:val="21"/>
                <w:u w:val="none"/>
                <w:lang w:val="en-US" w:eastAsia="zh-CN"/>
              </w:rPr>
            </w:pPr>
            <w:r>
              <w:rPr>
                <w:rFonts w:hint="eastAsia"/>
                <w:bCs/>
                <w:color w:val="auto"/>
                <w:sz w:val="21"/>
                <w:szCs w:val="21"/>
                <w:u w:val="none"/>
                <w:lang w:val="en-US" w:eastAsia="zh-CN"/>
              </w:rPr>
              <w:t>粉碎、筛分：发酵过程中因为原料本身以及菌丝的生长等原因，物料会有成块成团现象，为了便于后续筛分，需要对物料进行粉碎，粉碎粒度至少达到4目（0.45mm）要求。在粉碎工序完成后，通过滚筒筛料机进行筛分成粉状营养土，其中会有10%的粗料发酵不完全，集中收集，通过人工输送至发酵车间，重新发酵。</w:t>
            </w:r>
          </w:p>
          <w:p w14:paraId="6B71FEF9">
            <w:pPr>
              <w:autoSpaceDN w:val="0"/>
              <w:spacing w:line="360" w:lineRule="auto"/>
              <w:ind w:firstLine="420" w:firstLineChars="200"/>
              <w:textAlignment w:val="bottom"/>
              <w:rPr>
                <w:rFonts w:hint="eastAsia"/>
                <w:bCs/>
                <w:color w:val="auto"/>
                <w:sz w:val="21"/>
                <w:szCs w:val="21"/>
                <w:u w:val="none"/>
                <w:lang w:val="en-US" w:eastAsia="zh-CN"/>
              </w:rPr>
            </w:pPr>
            <w:r>
              <w:rPr>
                <w:rFonts w:hint="eastAsia"/>
                <w:bCs/>
                <w:color w:val="auto"/>
                <w:sz w:val="21"/>
                <w:szCs w:val="21"/>
                <w:u w:val="none"/>
                <w:lang w:val="en-US" w:eastAsia="zh-CN"/>
              </w:rPr>
              <w:t>辅料添加：筛分后的粉状营养土内添加珍珠岩和蛭石（添加比例为营养土：珍珠岩：蛭石=5：1：1），其目的为增加透气性，并保持水分。</w:t>
            </w:r>
          </w:p>
          <w:p w14:paraId="355EBA60">
            <w:pPr>
              <w:autoSpaceDN w:val="0"/>
              <w:spacing w:line="360" w:lineRule="auto"/>
              <w:ind w:firstLine="420" w:firstLineChars="200"/>
              <w:textAlignment w:val="bottom"/>
              <w:rPr>
                <w:color w:val="auto"/>
                <w:sz w:val="24"/>
                <w:highlight w:val="none"/>
              </w:rPr>
            </w:pPr>
            <w:r>
              <w:rPr>
                <w:rFonts w:hint="eastAsia"/>
                <w:bCs/>
                <w:color w:val="auto"/>
                <w:sz w:val="21"/>
                <w:szCs w:val="21"/>
                <w:u w:val="none"/>
                <w:lang w:val="en-US" w:eastAsia="zh-CN"/>
              </w:rPr>
              <w:t>包装：将成品营养土包装成袋后堆放于库房内，定期外售。</w:t>
            </w:r>
          </w:p>
          <w:p w14:paraId="2646ACBF">
            <w:pPr>
              <w:autoSpaceDN w:val="0"/>
              <w:spacing w:line="360" w:lineRule="auto"/>
              <w:textAlignment w:val="bottom"/>
              <w:rPr>
                <w:rFonts w:hint="eastAsia" w:eastAsia="宋体"/>
                <w:bCs/>
                <w:color w:val="auto"/>
                <w:sz w:val="21"/>
                <w:szCs w:val="21"/>
                <w:highlight w:val="none"/>
                <w:u w:val="none"/>
                <w:lang w:val="en-US" w:eastAsia="zh-CN"/>
              </w:rPr>
            </w:pPr>
            <w:r>
              <w:rPr>
                <w:rFonts w:hint="eastAsia" w:eastAsia="宋体"/>
                <w:bCs/>
                <w:color w:val="auto"/>
                <w:sz w:val="21"/>
                <w:szCs w:val="21"/>
                <w:highlight w:val="none"/>
                <w:u w:val="none"/>
                <w:lang w:val="en-US" w:eastAsia="zh-CN"/>
              </w:rPr>
              <w:t>2.</w:t>
            </w:r>
            <w:r>
              <w:rPr>
                <w:rFonts w:hint="eastAsia"/>
                <w:bCs/>
                <w:color w:val="auto"/>
                <w:sz w:val="21"/>
                <w:szCs w:val="21"/>
                <w:highlight w:val="none"/>
                <w:u w:val="none"/>
                <w:lang w:val="en-US" w:eastAsia="zh-CN"/>
              </w:rPr>
              <w:t>2</w:t>
            </w:r>
            <w:r>
              <w:rPr>
                <w:rFonts w:hint="eastAsia" w:eastAsia="宋体"/>
                <w:bCs/>
                <w:color w:val="auto"/>
                <w:sz w:val="21"/>
                <w:szCs w:val="21"/>
                <w:highlight w:val="none"/>
                <w:u w:val="none"/>
                <w:lang w:val="en-US" w:eastAsia="zh-CN"/>
              </w:rPr>
              <w:t xml:space="preserve"> 物料平衡</w:t>
            </w:r>
          </w:p>
          <w:p w14:paraId="45329121">
            <w:pPr>
              <w:adjustRightInd w:val="0"/>
              <w:snapToGrid w:val="0"/>
              <w:spacing w:line="360" w:lineRule="auto"/>
              <w:ind w:firstLine="420" w:firstLineChars="200"/>
              <w:rPr>
                <w:i w:val="0"/>
                <w:iCs w:val="0"/>
                <w:color w:val="auto"/>
                <w:highlight w:val="none"/>
                <w:u w:val="single"/>
              </w:rPr>
            </w:pPr>
            <w:r>
              <w:rPr>
                <w:rFonts w:hint="eastAsia" w:hAnsi="宋体"/>
                <w:i w:val="0"/>
                <w:iCs w:val="0"/>
                <w:color w:val="auto"/>
                <w:u w:val="single"/>
              </w:rPr>
              <w:t>根据建设单位提供的资料，本项目生产所需要的原辅材料主要为</w:t>
            </w:r>
            <w:r>
              <w:rPr>
                <w:rFonts w:hint="eastAsia" w:hAnsi="宋体"/>
                <w:i w:val="0"/>
                <w:iCs w:val="0"/>
                <w:color w:val="auto"/>
                <w:u w:val="single"/>
                <w:lang w:val="en-US" w:eastAsia="zh-CN"/>
              </w:rPr>
              <w:t>中药残渣、发酵菌剂等</w:t>
            </w:r>
            <w:r>
              <w:rPr>
                <w:rFonts w:hint="eastAsia" w:hAnsi="宋体"/>
                <w:i w:val="0"/>
                <w:iCs w:val="0"/>
                <w:color w:val="auto"/>
                <w:u w:val="single"/>
              </w:rPr>
              <w:t>，年</w:t>
            </w:r>
            <w:r>
              <w:rPr>
                <w:rFonts w:hint="eastAsia" w:hAnsi="宋体"/>
                <w:i w:val="0"/>
                <w:iCs w:val="0"/>
                <w:color w:val="auto"/>
                <w:highlight w:val="none"/>
                <w:u w:val="single"/>
              </w:rPr>
              <w:t>总用量为</w:t>
            </w:r>
            <w:r>
              <w:rPr>
                <w:rFonts w:hint="eastAsia"/>
                <w:i w:val="0"/>
                <w:iCs w:val="0"/>
                <w:color w:val="auto"/>
                <w:highlight w:val="none"/>
                <w:u w:val="single"/>
                <w:lang w:val="en-US" w:eastAsia="zh-CN"/>
              </w:rPr>
              <w:t>22432</w:t>
            </w:r>
            <w:r>
              <w:rPr>
                <w:rFonts w:hint="eastAsia" w:hAnsi="宋体"/>
                <w:i w:val="0"/>
                <w:iCs w:val="0"/>
                <w:color w:val="auto"/>
                <w:highlight w:val="none"/>
                <w:u w:val="single"/>
              </w:rPr>
              <w:t>t，成品的含水率</w:t>
            </w:r>
            <w:r>
              <w:rPr>
                <w:rFonts w:hint="eastAsia" w:hAnsi="宋体"/>
                <w:i w:val="0"/>
                <w:iCs w:val="0"/>
                <w:color w:val="auto"/>
                <w:highlight w:val="none"/>
                <w:u w:val="single"/>
                <w:lang w:val="en-US" w:eastAsia="zh-CN"/>
              </w:rPr>
              <w:t>约</w:t>
            </w:r>
            <w:r>
              <w:rPr>
                <w:rFonts w:hint="eastAsia" w:hAnsi="宋体"/>
                <w:i w:val="0"/>
                <w:iCs w:val="0"/>
                <w:color w:val="auto"/>
                <w:highlight w:val="none"/>
                <w:u w:val="single"/>
              </w:rPr>
              <w:t>为</w:t>
            </w:r>
            <w:r>
              <w:rPr>
                <w:rFonts w:hint="eastAsia" w:hAnsi="宋体"/>
                <w:i w:val="0"/>
                <w:iCs w:val="0"/>
                <w:color w:val="auto"/>
                <w:highlight w:val="none"/>
                <w:u w:val="single"/>
                <w:lang w:val="en-US" w:eastAsia="zh-CN"/>
              </w:rPr>
              <w:t>10</w:t>
            </w:r>
            <w:r>
              <w:rPr>
                <w:rFonts w:hint="eastAsia" w:hAnsi="宋体"/>
                <w:i w:val="0"/>
                <w:iCs w:val="0"/>
                <w:color w:val="auto"/>
                <w:highlight w:val="none"/>
                <w:u w:val="single"/>
              </w:rPr>
              <w:t>%，项目物料平衡如下</w:t>
            </w:r>
            <w:r>
              <w:rPr>
                <w:rFonts w:hint="eastAsia"/>
                <w:i w:val="0"/>
                <w:iCs w:val="0"/>
                <w:color w:val="auto"/>
                <w:highlight w:val="none"/>
                <w:u w:val="single"/>
              </w:rPr>
              <w:t>。</w:t>
            </w:r>
          </w:p>
          <w:p w14:paraId="13BF861A">
            <w:pPr>
              <w:jc w:val="center"/>
              <w:rPr>
                <w:i w:val="0"/>
                <w:iCs w:val="0"/>
                <w:color w:val="auto"/>
                <w:highlight w:val="none"/>
                <w:u w:val="single"/>
                <w:lang w:val="zh-CN"/>
              </w:rPr>
            </w:pPr>
            <w:r>
              <w:rPr>
                <w:i w:val="0"/>
                <w:iCs w:val="0"/>
                <w:color w:val="auto"/>
                <w:highlight w:val="none"/>
                <w:u w:val="single"/>
                <w:lang w:val="zh-CN"/>
              </w:rPr>
              <w:t>物料平衡表</w:t>
            </w:r>
          </w:p>
          <w:tbl>
            <w:tblPr>
              <w:tblStyle w:val="29"/>
              <w:tblW w:w="48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07"/>
              <w:gridCol w:w="750"/>
              <w:gridCol w:w="840"/>
              <w:gridCol w:w="601"/>
              <w:gridCol w:w="655"/>
              <w:gridCol w:w="869"/>
              <w:gridCol w:w="1021"/>
              <w:gridCol w:w="1302"/>
            </w:tblGrid>
            <w:tr w14:paraId="21470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917" w:type="pct"/>
                  <w:gridSpan w:val="6"/>
                  <w:vAlign w:val="center"/>
                </w:tcPr>
                <w:p w14:paraId="3C3DEABB">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进料量（单位：t/a）</w:t>
                  </w:r>
                </w:p>
              </w:tc>
              <w:tc>
                <w:tcPr>
                  <w:tcW w:w="2082" w:type="pct"/>
                  <w:gridSpan w:val="3"/>
                  <w:vAlign w:val="center"/>
                </w:tcPr>
                <w:p w14:paraId="75170D3F">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出料量（单位：t/a）</w:t>
                  </w:r>
                </w:p>
              </w:tc>
            </w:tr>
            <w:tr w14:paraId="30A44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917" w:type="pct"/>
                  <w:gridSpan w:val="6"/>
                  <w:vAlign w:val="center"/>
                </w:tcPr>
                <w:p w14:paraId="16C60D19">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原辅料</w:t>
                  </w:r>
                </w:p>
              </w:tc>
              <w:tc>
                <w:tcPr>
                  <w:tcW w:w="567" w:type="pct"/>
                  <w:vMerge w:val="restart"/>
                  <w:vAlign w:val="center"/>
                </w:tcPr>
                <w:p w14:paraId="61A4CECC">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产品</w:t>
                  </w:r>
                </w:p>
              </w:tc>
              <w:tc>
                <w:tcPr>
                  <w:tcW w:w="1515" w:type="pct"/>
                  <w:gridSpan w:val="2"/>
                  <w:vMerge w:val="restart"/>
                  <w:vAlign w:val="center"/>
                </w:tcPr>
                <w:p w14:paraId="14A92CD4">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三废</w:t>
                  </w:r>
                </w:p>
              </w:tc>
            </w:tr>
            <w:tr w14:paraId="44F89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69" w:type="pct"/>
                  <w:vAlign w:val="center"/>
                </w:tcPr>
                <w:p w14:paraId="5BAEC05A">
                  <w:pPr>
                    <w:widowControl/>
                    <w:adjustRightInd w:val="0"/>
                    <w:snapToGrid w:val="0"/>
                    <w:jc w:val="center"/>
                    <w:rPr>
                      <w:rFonts w:hint="eastAsia"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水</w:t>
                  </w:r>
                </w:p>
              </w:tc>
              <w:tc>
                <w:tcPr>
                  <w:tcW w:w="592" w:type="pct"/>
                  <w:vAlign w:val="center"/>
                </w:tcPr>
                <w:p w14:paraId="26AC492F">
                  <w:pPr>
                    <w:widowControl/>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中药残渣</w:t>
                  </w:r>
                </w:p>
              </w:tc>
              <w:tc>
                <w:tcPr>
                  <w:tcW w:w="489" w:type="pct"/>
                  <w:vAlign w:val="center"/>
                </w:tcPr>
                <w:p w14:paraId="44AA7E13">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发酵菌剂</w:t>
                  </w:r>
                </w:p>
              </w:tc>
              <w:tc>
                <w:tcPr>
                  <w:tcW w:w="548" w:type="pct"/>
                  <w:vAlign w:val="center"/>
                </w:tcPr>
                <w:p w14:paraId="6A441F46">
                  <w:pPr>
                    <w:widowControl/>
                    <w:adjustRightInd w:val="0"/>
                    <w:snapToGrid w:val="0"/>
                    <w:jc w:val="center"/>
                    <w:rPr>
                      <w:i w:val="0"/>
                      <w:iCs w:val="0"/>
                      <w:color w:val="auto"/>
                      <w:sz w:val="18"/>
                      <w:szCs w:val="18"/>
                      <w:highlight w:val="none"/>
                      <w:u w:val="single"/>
                    </w:rPr>
                  </w:pPr>
                  <w:r>
                    <w:rPr>
                      <w:rFonts w:hint="eastAsia"/>
                      <w:i w:val="0"/>
                      <w:iCs w:val="0"/>
                      <w:color w:val="auto"/>
                      <w:sz w:val="18"/>
                      <w:szCs w:val="18"/>
                      <w:highlight w:val="none"/>
                      <w:u w:val="single"/>
                    </w:rPr>
                    <w:t>生物除</w:t>
                  </w:r>
                </w:p>
                <w:p w14:paraId="09C70ED4">
                  <w:pPr>
                    <w:widowControl/>
                    <w:adjustRightInd w:val="0"/>
                    <w:snapToGrid w:val="0"/>
                    <w:jc w:val="center"/>
                    <w:rPr>
                      <w:i w:val="0"/>
                      <w:iCs w:val="0"/>
                      <w:color w:val="auto"/>
                      <w:sz w:val="18"/>
                      <w:szCs w:val="18"/>
                      <w:highlight w:val="none"/>
                      <w:u w:val="single"/>
                    </w:rPr>
                  </w:pPr>
                  <w:r>
                    <w:rPr>
                      <w:rFonts w:hint="eastAsia"/>
                      <w:i w:val="0"/>
                      <w:iCs w:val="0"/>
                      <w:color w:val="auto"/>
                      <w:sz w:val="18"/>
                      <w:szCs w:val="18"/>
                      <w:highlight w:val="none"/>
                      <w:u w:val="single"/>
                    </w:rPr>
                    <w:t>臭剂</w:t>
                  </w:r>
                </w:p>
              </w:tc>
              <w:tc>
                <w:tcPr>
                  <w:tcW w:w="392" w:type="pct"/>
                  <w:vAlign w:val="center"/>
                </w:tcPr>
                <w:p w14:paraId="4D1B12B7">
                  <w:pPr>
                    <w:widowControl/>
                    <w:adjustRightInd w:val="0"/>
                    <w:snapToGrid w:val="0"/>
                    <w:jc w:val="center"/>
                    <w:rPr>
                      <w:rFonts w:hint="eastAsia"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珍珠岩</w:t>
                  </w:r>
                </w:p>
              </w:tc>
              <w:tc>
                <w:tcPr>
                  <w:tcW w:w="425" w:type="pct"/>
                  <w:vAlign w:val="center"/>
                </w:tcPr>
                <w:p w14:paraId="5E817A2B">
                  <w:pPr>
                    <w:widowControl/>
                    <w:adjustRightInd w:val="0"/>
                    <w:snapToGrid w:val="0"/>
                    <w:jc w:val="center"/>
                    <w:rPr>
                      <w:rFonts w:hint="default"/>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蛭石</w:t>
                  </w:r>
                </w:p>
              </w:tc>
              <w:tc>
                <w:tcPr>
                  <w:tcW w:w="567" w:type="pct"/>
                  <w:vMerge w:val="continue"/>
                  <w:vAlign w:val="center"/>
                </w:tcPr>
                <w:p w14:paraId="1DD3DC6F">
                  <w:pPr>
                    <w:widowControl/>
                    <w:adjustRightInd w:val="0"/>
                    <w:snapToGrid w:val="0"/>
                    <w:jc w:val="center"/>
                    <w:rPr>
                      <w:i w:val="0"/>
                      <w:iCs w:val="0"/>
                      <w:color w:val="auto"/>
                      <w:sz w:val="18"/>
                      <w:szCs w:val="18"/>
                      <w:highlight w:val="none"/>
                      <w:u w:val="single"/>
                    </w:rPr>
                  </w:pPr>
                </w:p>
              </w:tc>
              <w:tc>
                <w:tcPr>
                  <w:tcW w:w="1515" w:type="pct"/>
                  <w:gridSpan w:val="2"/>
                  <w:vMerge w:val="continue"/>
                  <w:vAlign w:val="center"/>
                </w:tcPr>
                <w:p w14:paraId="48BBE541">
                  <w:pPr>
                    <w:widowControl/>
                    <w:adjustRightInd w:val="0"/>
                    <w:snapToGrid w:val="0"/>
                    <w:jc w:val="center"/>
                    <w:rPr>
                      <w:i w:val="0"/>
                      <w:iCs w:val="0"/>
                      <w:color w:val="auto"/>
                      <w:sz w:val="18"/>
                      <w:szCs w:val="18"/>
                      <w:highlight w:val="none"/>
                      <w:u w:val="single"/>
                    </w:rPr>
                  </w:pPr>
                </w:p>
              </w:tc>
            </w:tr>
            <w:tr w14:paraId="3810F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vMerge w:val="restart"/>
                  <w:vAlign w:val="center"/>
                </w:tcPr>
                <w:p w14:paraId="56D20A8A">
                  <w:pPr>
                    <w:widowControl/>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2064</w:t>
                  </w:r>
                </w:p>
              </w:tc>
              <w:tc>
                <w:tcPr>
                  <w:tcW w:w="592" w:type="pct"/>
                  <w:vMerge w:val="restart"/>
                  <w:vAlign w:val="center"/>
                </w:tcPr>
                <w:p w14:paraId="2633AE20">
                  <w:pPr>
                    <w:widowControl/>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20000</w:t>
                  </w:r>
                </w:p>
              </w:tc>
              <w:tc>
                <w:tcPr>
                  <w:tcW w:w="489" w:type="pct"/>
                  <w:vMerge w:val="restart"/>
                  <w:vAlign w:val="center"/>
                </w:tcPr>
                <w:p w14:paraId="01F5C5C2">
                  <w:pPr>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140</w:t>
                  </w:r>
                </w:p>
              </w:tc>
              <w:tc>
                <w:tcPr>
                  <w:tcW w:w="548" w:type="pct"/>
                  <w:vMerge w:val="restart"/>
                  <w:vAlign w:val="center"/>
                </w:tcPr>
                <w:p w14:paraId="57DE79E3">
                  <w:pPr>
                    <w:adjustRightInd w:val="0"/>
                    <w:snapToGrid w:val="0"/>
                    <w:jc w:val="center"/>
                    <w:rPr>
                      <w:rFonts w:hint="eastAsia"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4</w:t>
                  </w:r>
                </w:p>
              </w:tc>
              <w:tc>
                <w:tcPr>
                  <w:tcW w:w="392" w:type="pct"/>
                  <w:vMerge w:val="restart"/>
                  <w:vAlign w:val="center"/>
                </w:tcPr>
                <w:p w14:paraId="17CAE54F">
                  <w:pPr>
                    <w:adjustRightInd w:val="0"/>
                    <w:snapToGrid w:val="0"/>
                    <w:jc w:val="center"/>
                    <w:rPr>
                      <w:rFonts w:hint="default"/>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112</w:t>
                  </w:r>
                </w:p>
              </w:tc>
              <w:tc>
                <w:tcPr>
                  <w:tcW w:w="425" w:type="pct"/>
                  <w:vMerge w:val="restart"/>
                  <w:vAlign w:val="center"/>
                </w:tcPr>
                <w:p w14:paraId="3D0A4A3D">
                  <w:pPr>
                    <w:adjustRightInd w:val="0"/>
                    <w:snapToGrid w:val="0"/>
                    <w:jc w:val="center"/>
                    <w:rPr>
                      <w:rFonts w:hint="default"/>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112</w:t>
                  </w:r>
                </w:p>
              </w:tc>
              <w:tc>
                <w:tcPr>
                  <w:tcW w:w="567" w:type="pct"/>
                  <w:vMerge w:val="restart"/>
                  <w:vAlign w:val="center"/>
                </w:tcPr>
                <w:p w14:paraId="7FA57750">
                  <w:pPr>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15000</w:t>
                  </w:r>
                </w:p>
              </w:tc>
              <w:tc>
                <w:tcPr>
                  <w:tcW w:w="666" w:type="pct"/>
                  <w:vAlign w:val="center"/>
                </w:tcPr>
                <w:p w14:paraId="62A033D6">
                  <w:pPr>
                    <w:adjustRightInd w:val="0"/>
                    <w:snapToGrid w:val="0"/>
                    <w:jc w:val="center"/>
                    <w:rPr>
                      <w:i w:val="0"/>
                      <w:iCs w:val="0"/>
                      <w:color w:val="auto"/>
                      <w:sz w:val="18"/>
                      <w:szCs w:val="18"/>
                      <w:highlight w:val="none"/>
                      <w:u w:val="single"/>
                    </w:rPr>
                  </w:pPr>
                  <w:r>
                    <w:rPr>
                      <w:i w:val="0"/>
                      <w:iCs w:val="0"/>
                      <w:color w:val="auto"/>
                      <w:sz w:val="18"/>
                      <w:szCs w:val="18"/>
                      <w:highlight w:val="none"/>
                      <w:u w:val="single"/>
                    </w:rPr>
                    <w:t>氨</w:t>
                  </w:r>
                </w:p>
              </w:tc>
              <w:tc>
                <w:tcPr>
                  <w:tcW w:w="848" w:type="pct"/>
                  <w:vAlign w:val="center"/>
                </w:tcPr>
                <w:p w14:paraId="21144B49">
                  <w:pPr>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0.00378</w:t>
                  </w:r>
                </w:p>
              </w:tc>
            </w:tr>
            <w:tr w14:paraId="259BA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69" w:type="pct"/>
                  <w:vMerge w:val="continue"/>
                  <w:vAlign w:val="center"/>
                </w:tcPr>
                <w:p w14:paraId="2879E424">
                  <w:pPr>
                    <w:widowControl/>
                    <w:adjustRightInd w:val="0"/>
                    <w:snapToGrid w:val="0"/>
                    <w:jc w:val="center"/>
                    <w:rPr>
                      <w:i w:val="0"/>
                      <w:iCs w:val="0"/>
                      <w:color w:val="auto"/>
                      <w:sz w:val="18"/>
                      <w:szCs w:val="18"/>
                      <w:highlight w:val="none"/>
                      <w:u w:val="single"/>
                    </w:rPr>
                  </w:pPr>
                </w:p>
              </w:tc>
              <w:tc>
                <w:tcPr>
                  <w:tcW w:w="592" w:type="pct"/>
                  <w:vMerge w:val="continue"/>
                  <w:vAlign w:val="center"/>
                </w:tcPr>
                <w:p w14:paraId="75AE05C4">
                  <w:pPr>
                    <w:widowControl/>
                    <w:adjustRightInd w:val="0"/>
                    <w:snapToGrid w:val="0"/>
                    <w:jc w:val="center"/>
                    <w:rPr>
                      <w:i w:val="0"/>
                      <w:iCs w:val="0"/>
                      <w:color w:val="auto"/>
                      <w:sz w:val="18"/>
                      <w:szCs w:val="18"/>
                      <w:highlight w:val="none"/>
                      <w:u w:val="single"/>
                    </w:rPr>
                  </w:pPr>
                </w:p>
              </w:tc>
              <w:tc>
                <w:tcPr>
                  <w:tcW w:w="489" w:type="pct"/>
                  <w:vMerge w:val="continue"/>
                  <w:vAlign w:val="center"/>
                </w:tcPr>
                <w:p w14:paraId="6C61F723">
                  <w:pPr>
                    <w:adjustRightInd w:val="0"/>
                    <w:snapToGrid w:val="0"/>
                    <w:jc w:val="center"/>
                    <w:rPr>
                      <w:i w:val="0"/>
                      <w:iCs w:val="0"/>
                      <w:color w:val="auto"/>
                      <w:sz w:val="18"/>
                      <w:szCs w:val="18"/>
                      <w:highlight w:val="none"/>
                      <w:u w:val="single"/>
                    </w:rPr>
                  </w:pPr>
                </w:p>
              </w:tc>
              <w:tc>
                <w:tcPr>
                  <w:tcW w:w="548" w:type="pct"/>
                  <w:vMerge w:val="continue"/>
                  <w:vAlign w:val="center"/>
                </w:tcPr>
                <w:p w14:paraId="5867C346">
                  <w:pPr>
                    <w:adjustRightInd w:val="0"/>
                    <w:snapToGrid w:val="0"/>
                    <w:jc w:val="center"/>
                    <w:rPr>
                      <w:i w:val="0"/>
                      <w:iCs w:val="0"/>
                      <w:color w:val="auto"/>
                      <w:sz w:val="18"/>
                      <w:szCs w:val="18"/>
                      <w:highlight w:val="none"/>
                      <w:u w:val="single"/>
                    </w:rPr>
                  </w:pPr>
                </w:p>
              </w:tc>
              <w:tc>
                <w:tcPr>
                  <w:tcW w:w="392" w:type="pct"/>
                  <w:vMerge w:val="continue"/>
                  <w:vAlign w:val="center"/>
                </w:tcPr>
                <w:p w14:paraId="1ACF3C75">
                  <w:pPr>
                    <w:adjustRightInd w:val="0"/>
                    <w:snapToGrid w:val="0"/>
                    <w:jc w:val="center"/>
                    <w:rPr>
                      <w:i w:val="0"/>
                      <w:iCs w:val="0"/>
                      <w:color w:val="auto"/>
                      <w:sz w:val="18"/>
                      <w:szCs w:val="18"/>
                      <w:highlight w:val="none"/>
                      <w:u w:val="single"/>
                    </w:rPr>
                  </w:pPr>
                </w:p>
              </w:tc>
              <w:tc>
                <w:tcPr>
                  <w:tcW w:w="425" w:type="pct"/>
                  <w:vMerge w:val="continue"/>
                  <w:vAlign w:val="center"/>
                </w:tcPr>
                <w:p w14:paraId="68725BBD">
                  <w:pPr>
                    <w:adjustRightInd w:val="0"/>
                    <w:snapToGrid w:val="0"/>
                    <w:jc w:val="center"/>
                    <w:rPr>
                      <w:i w:val="0"/>
                      <w:iCs w:val="0"/>
                      <w:color w:val="auto"/>
                      <w:sz w:val="18"/>
                      <w:szCs w:val="18"/>
                      <w:highlight w:val="none"/>
                      <w:u w:val="single"/>
                    </w:rPr>
                  </w:pPr>
                </w:p>
              </w:tc>
              <w:tc>
                <w:tcPr>
                  <w:tcW w:w="567" w:type="pct"/>
                  <w:vMerge w:val="continue"/>
                  <w:vAlign w:val="center"/>
                </w:tcPr>
                <w:p w14:paraId="34C879B6">
                  <w:pPr>
                    <w:adjustRightInd w:val="0"/>
                    <w:snapToGrid w:val="0"/>
                    <w:jc w:val="center"/>
                    <w:rPr>
                      <w:i w:val="0"/>
                      <w:iCs w:val="0"/>
                      <w:color w:val="auto"/>
                      <w:sz w:val="18"/>
                      <w:szCs w:val="18"/>
                      <w:highlight w:val="none"/>
                      <w:u w:val="single"/>
                    </w:rPr>
                  </w:pPr>
                </w:p>
              </w:tc>
              <w:tc>
                <w:tcPr>
                  <w:tcW w:w="666" w:type="pct"/>
                  <w:vAlign w:val="center"/>
                </w:tcPr>
                <w:p w14:paraId="36A8078C">
                  <w:pPr>
                    <w:widowControl/>
                    <w:adjustRightInd w:val="0"/>
                    <w:snapToGrid w:val="0"/>
                    <w:jc w:val="center"/>
                    <w:rPr>
                      <w:i w:val="0"/>
                      <w:iCs w:val="0"/>
                      <w:color w:val="auto"/>
                      <w:sz w:val="18"/>
                      <w:szCs w:val="18"/>
                      <w:highlight w:val="none"/>
                      <w:u w:val="single"/>
                    </w:rPr>
                  </w:pPr>
                  <w:r>
                    <w:rPr>
                      <w:i w:val="0"/>
                      <w:iCs w:val="0"/>
                      <w:color w:val="auto"/>
                      <w:sz w:val="18"/>
                      <w:szCs w:val="18"/>
                      <w:highlight w:val="none"/>
                      <w:u w:val="single"/>
                    </w:rPr>
                    <w:t>硫化氢</w:t>
                  </w:r>
                </w:p>
              </w:tc>
              <w:tc>
                <w:tcPr>
                  <w:tcW w:w="848" w:type="pct"/>
                  <w:vAlign w:val="center"/>
                </w:tcPr>
                <w:p w14:paraId="46AB18A1">
                  <w:pPr>
                    <w:widowControl/>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0.00061</w:t>
                  </w:r>
                </w:p>
              </w:tc>
            </w:tr>
            <w:tr w14:paraId="10A71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69" w:type="pct"/>
                  <w:vMerge w:val="continue"/>
                  <w:vAlign w:val="center"/>
                </w:tcPr>
                <w:p w14:paraId="75BBD00C">
                  <w:pPr>
                    <w:widowControl/>
                    <w:adjustRightInd w:val="0"/>
                    <w:snapToGrid w:val="0"/>
                    <w:jc w:val="center"/>
                    <w:rPr>
                      <w:i w:val="0"/>
                      <w:iCs w:val="0"/>
                      <w:color w:val="auto"/>
                      <w:sz w:val="18"/>
                      <w:szCs w:val="18"/>
                      <w:highlight w:val="none"/>
                      <w:u w:val="single"/>
                    </w:rPr>
                  </w:pPr>
                </w:p>
              </w:tc>
              <w:tc>
                <w:tcPr>
                  <w:tcW w:w="592" w:type="pct"/>
                  <w:vMerge w:val="continue"/>
                  <w:vAlign w:val="center"/>
                </w:tcPr>
                <w:p w14:paraId="0AAC7D9A">
                  <w:pPr>
                    <w:widowControl/>
                    <w:adjustRightInd w:val="0"/>
                    <w:snapToGrid w:val="0"/>
                    <w:jc w:val="center"/>
                    <w:rPr>
                      <w:i w:val="0"/>
                      <w:iCs w:val="0"/>
                      <w:color w:val="auto"/>
                      <w:sz w:val="18"/>
                      <w:szCs w:val="18"/>
                      <w:highlight w:val="none"/>
                      <w:u w:val="single"/>
                    </w:rPr>
                  </w:pPr>
                </w:p>
              </w:tc>
              <w:tc>
                <w:tcPr>
                  <w:tcW w:w="489" w:type="pct"/>
                  <w:vMerge w:val="continue"/>
                  <w:vAlign w:val="center"/>
                </w:tcPr>
                <w:p w14:paraId="2FBAD840">
                  <w:pPr>
                    <w:adjustRightInd w:val="0"/>
                    <w:snapToGrid w:val="0"/>
                    <w:jc w:val="center"/>
                    <w:rPr>
                      <w:i w:val="0"/>
                      <w:iCs w:val="0"/>
                      <w:color w:val="auto"/>
                      <w:sz w:val="18"/>
                      <w:szCs w:val="18"/>
                      <w:highlight w:val="none"/>
                      <w:u w:val="single"/>
                    </w:rPr>
                  </w:pPr>
                </w:p>
              </w:tc>
              <w:tc>
                <w:tcPr>
                  <w:tcW w:w="548" w:type="pct"/>
                  <w:vMerge w:val="continue"/>
                  <w:vAlign w:val="center"/>
                </w:tcPr>
                <w:p w14:paraId="7559219C">
                  <w:pPr>
                    <w:adjustRightInd w:val="0"/>
                    <w:snapToGrid w:val="0"/>
                    <w:jc w:val="center"/>
                    <w:rPr>
                      <w:i w:val="0"/>
                      <w:iCs w:val="0"/>
                      <w:color w:val="auto"/>
                      <w:sz w:val="18"/>
                      <w:szCs w:val="18"/>
                      <w:highlight w:val="none"/>
                      <w:u w:val="single"/>
                    </w:rPr>
                  </w:pPr>
                </w:p>
              </w:tc>
              <w:tc>
                <w:tcPr>
                  <w:tcW w:w="392" w:type="pct"/>
                  <w:vMerge w:val="continue"/>
                  <w:vAlign w:val="center"/>
                </w:tcPr>
                <w:p w14:paraId="53B01206">
                  <w:pPr>
                    <w:adjustRightInd w:val="0"/>
                    <w:snapToGrid w:val="0"/>
                    <w:jc w:val="center"/>
                    <w:rPr>
                      <w:i w:val="0"/>
                      <w:iCs w:val="0"/>
                      <w:color w:val="auto"/>
                      <w:sz w:val="18"/>
                      <w:szCs w:val="18"/>
                      <w:highlight w:val="none"/>
                      <w:u w:val="single"/>
                    </w:rPr>
                  </w:pPr>
                </w:p>
              </w:tc>
              <w:tc>
                <w:tcPr>
                  <w:tcW w:w="425" w:type="pct"/>
                  <w:vMerge w:val="continue"/>
                  <w:vAlign w:val="center"/>
                </w:tcPr>
                <w:p w14:paraId="716D9396">
                  <w:pPr>
                    <w:adjustRightInd w:val="0"/>
                    <w:snapToGrid w:val="0"/>
                    <w:jc w:val="center"/>
                    <w:rPr>
                      <w:i w:val="0"/>
                      <w:iCs w:val="0"/>
                      <w:color w:val="auto"/>
                      <w:sz w:val="18"/>
                      <w:szCs w:val="18"/>
                      <w:highlight w:val="none"/>
                      <w:u w:val="single"/>
                    </w:rPr>
                  </w:pPr>
                </w:p>
              </w:tc>
              <w:tc>
                <w:tcPr>
                  <w:tcW w:w="567" w:type="pct"/>
                  <w:vMerge w:val="continue"/>
                  <w:vAlign w:val="center"/>
                </w:tcPr>
                <w:p w14:paraId="795729ED">
                  <w:pPr>
                    <w:adjustRightInd w:val="0"/>
                    <w:snapToGrid w:val="0"/>
                    <w:jc w:val="center"/>
                    <w:rPr>
                      <w:i w:val="0"/>
                      <w:iCs w:val="0"/>
                      <w:color w:val="auto"/>
                      <w:sz w:val="18"/>
                      <w:szCs w:val="18"/>
                      <w:highlight w:val="none"/>
                      <w:u w:val="single"/>
                    </w:rPr>
                  </w:pPr>
                </w:p>
              </w:tc>
              <w:tc>
                <w:tcPr>
                  <w:tcW w:w="666" w:type="pct"/>
                  <w:vAlign w:val="center"/>
                </w:tcPr>
                <w:p w14:paraId="4747DEEB">
                  <w:pPr>
                    <w:widowControl/>
                    <w:adjustRightInd w:val="0"/>
                    <w:snapToGrid w:val="0"/>
                    <w:jc w:val="center"/>
                    <w:rPr>
                      <w:rFonts w:hint="eastAsia"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颗粒物</w:t>
                  </w:r>
                </w:p>
              </w:tc>
              <w:tc>
                <w:tcPr>
                  <w:tcW w:w="848" w:type="pct"/>
                  <w:vAlign w:val="center"/>
                </w:tcPr>
                <w:p w14:paraId="4AD7B43C">
                  <w:pPr>
                    <w:widowControl/>
                    <w:adjustRightInd w:val="0"/>
                    <w:snapToGrid w:val="0"/>
                    <w:jc w:val="center"/>
                    <w:rPr>
                      <w:rFonts w:hint="default"/>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1.2555</w:t>
                  </w:r>
                </w:p>
              </w:tc>
            </w:tr>
            <w:tr w14:paraId="32516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9" w:type="pct"/>
                  <w:vMerge w:val="continue"/>
                  <w:vAlign w:val="center"/>
                </w:tcPr>
                <w:p w14:paraId="25241CEF">
                  <w:pPr>
                    <w:widowControl/>
                    <w:adjustRightInd w:val="0"/>
                    <w:snapToGrid w:val="0"/>
                    <w:jc w:val="center"/>
                    <w:rPr>
                      <w:i w:val="0"/>
                      <w:iCs w:val="0"/>
                      <w:color w:val="auto"/>
                      <w:sz w:val="18"/>
                      <w:szCs w:val="18"/>
                      <w:highlight w:val="none"/>
                      <w:u w:val="single"/>
                    </w:rPr>
                  </w:pPr>
                </w:p>
              </w:tc>
              <w:tc>
                <w:tcPr>
                  <w:tcW w:w="592" w:type="pct"/>
                  <w:vMerge w:val="continue"/>
                  <w:vAlign w:val="center"/>
                </w:tcPr>
                <w:p w14:paraId="68361079">
                  <w:pPr>
                    <w:widowControl/>
                    <w:adjustRightInd w:val="0"/>
                    <w:snapToGrid w:val="0"/>
                    <w:jc w:val="center"/>
                    <w:rPr>
                      <w:i w:val="0"/>
                      <w:iCs w:val="0"/>
                      <w:color w:val="auto"/>
                      <w:sz w:val="18"/>
                      <w:szCs w:val="18"/>
                      <w:highlight w:val="none"/>
                      <w:u w:val="single"/>
                    </w:rPr>
                  </w:pPr>
                </w:p>
              </w:tc>
              <w:tc>
                <w:tcPr>
                  <w:tcW w:w="489" w:type="pct"/>
                  <w:vMerge w:val="continue"/>
                  <w:vAlign w:val="center"/>
                </w:tcPr>
                <w:p w14:paraId="32FF274B">
                  <w:pPr>
                    <w:adjustRightInd w:val="0"/>
                    <w:snapToGrid w:val="0"/>
                    <w:jc w:val="center"/>
                    <w:rPr>
                      <w:i w:val="0"/>
                      <w:iCs w:val="0"/>
                      <w:color w:val="auto"/>
                      <w:sz w:val="18"/>
                      <w:szCs w:val="18"/>
                      <w:highlight w:val="none"/>
                      <w:u w:val="single"/>
                    </w:rPr>
                  </w:pPr>
                </w:p>
              </w:tc>
              <w:tc>
                <w:tcPr>
                  <w:tcW w:w="548" w:type="pct"/>
                  <w:vMerge w:val="continue"/>
                  <w:vAlign w:val="center"/>
                </w:tcPr>
                <w:p w14:paraId="67720896">
                  <w:pPr>
                    <w:adjustRightInd w:val="0"/>
                    <w:snapToGrid w:val="0"/>
                    <w:jc w:val="center"/>
                    <w:rPr>
                      <w:i w:val="0"/>
                      <w:iCs w:val="0"/>
                      <w:color w:val="auto"/>
                      <w:sz w:val="18"/>
                      <w:szCs w:val="18"/>
                      <w:highlight w:val="none"/>
                      <w:u w:val="single"/>
                    </w:rPr>
                  </w:pPr>
                </w:p>
              </w:tc>
              <w:tc>
                <w:tcPr>
                  <w:tcW w:w="392" w:type="pct"/>
                  <w:vMerge w:val="continue"/>
                  <w:vAlign w:val="center"/>
                </w:tcPr>
                <w:p w14:paraId="0F9AB646">
                  <w:pPr>
                    <w:adjustRightInd w:val="0"/>
                    <w:snapToGrid w:val="0"/>
                    <w:jc w:val="center"/>
                    <w:rPr>
                      <w:i w:val="0"/>
                      <w:iCs w:val="0"/>
                      <w:color w:val="auto"/>
                      <w:sz w:val="18"/>
                      <w:szCs w:val="18"/>
                      <w:highlight w:val="none"/>
                      <w:u w:val="single"/>
                    </w:rPr>
                  </w:pPr>
                </w:p>
              </w:tc>
              <w:tc>
                <w:tcPr>
                  <w:tcW w:w="425" w:type="pct"/>
                  <w:vMerge w:val="continue"/>
                  <w:vAlign w:val="center"/>
                </w:tcPr>
                <w:p w14:paraId="32A3B143">
                  <w:pPr>
                    <w:adjustRightInd w:val="0"/>
                    <w:snapToGrid w:val="0"/>
                    <w:jc w:val="center"/>
                    <w:rPr>
                      <w:i w:val="0"/>
                      <w:iCs w:val="0"/>
                      <w:color w:val="auto"/>
                      <w:sz w:val="18"/>
                      <w:szCs w:val="18"/>
                      <w:highlight w:val="none"/>
                      <w:u w:val="single"/>
                    </w:rPr>
                  </w:pPr>
                </w:p>
              </w:tc>
              <w:tc>
                <w:tcPr>
                  <w:tcW w:w="567" w:type="pct"/>
                  <w:vMerge w:val="continue"/>
                  <w:vAlign w:val="center"/>
                </w:tcPr>
                <w:p w14:paraId="18E7C12D">
                  <w:pPr>
                    <w:adjustRightInd w:val="0"/>
                    <w:snapToGrid w:val="0"/>
                    <w:jc w:val="center"/>
                    <w:rPr>
                      <w:i w:val="0"/>
                      <w:iCs w:val="0"/>
                      <w:color w:val="auto"/>
                      <w:sz w:val="18"/>
                      <w:szCs w:val="18"/>
                      <w:highlight w:val="none"/>
                      <w:u w:val="single"/>
                    </w:rPr>
                  </w:pPr>
                </w:p>
              </w:tc>
              <w:tc>
                <w:tcPr>
                  <w:tcW w:w="666" w:type="pct"/>
                  <w:vAlign w:val="center"/>
                </w:tcPr>
                <w:p w14:paraId="5CF2F339">
                  <w:pPr>
                    <w:widowControl/>
                    <w:adjustRightInd w:val="0"/>
                    <w:snapToGrid w:val="0"/>
                    <w:jc w:val="center"/>
                    <w:rPr>
                      <w:rFonts w:hint="default" w:eastAsia="宋体"/>
                      <w:i w:val="0"/>
                      <w:iCs w:val="0"/>
                      <w:color w:val="auto"/>
                      <w:sz w:val="18"/>
                      <w:szCs w:val="18"/>
                      <w:highlight w:val="none"/>
                      <w:u w:val="single"/>
                      <w:lang w:val="en-US" w:eastAsia="zh-CN"/>
                    </w:rPr>
                  </w:pPr>
                  <w:r>
                    <w:rPr>
                      <w:i w:val="0"/>
                      <w:iCs w:val="0"/>
                      <w:color w:val="auto"/>
                      <w:sz w:val="18"/>
                      <w:szCs w:val="18"/>
                      <w:highlight w:val="none"/>
                      <w:u w:val="single"/>
                    </w:rPr>
                    <w:t>水汽</w:t>
                  </w:r>
                  <w:r>
                    <w:rPr>
                      <w:rFonts w:hint="eastAsia"/>
                      <w:i w:val="0"/>
                      <w:iCs w:val="0"/>
                      <w:color w:val="auto"/>
                      <w:sz w:val="18"/>
                      <w:szCs w:val="18"/>
                      <w:highlight w:val="none"/>
                      <w:u w:val="single"/>
                    </w:rPr>
                    <w:t>/</w:t>
                  </w:r>
                  <w:r>
                    <w:rPr>
                      <w:rFonts w:hint="eastAsia"/>
                      <w:i w:val="0"/>
                      <w:iCs w:val="0"/>
                      <w:color w:val="auto"/>
                      <w:sz w:val="18"/>
                      <w:szCs w:val="18"/>
                      <w:highlight w:val="none"/>
                      <w:u w:val="single"/>
                      <w:lang w:val="en-US" w:eastAsia="zh-CN"/>
                    </w:rPr>
                    <w:t>碳元素等</w:t>
                  </w:r>
                </w:p>
              </w:tc>
              <w:tc>
                <w:tcPr>
                  <w:tcW w:w="848" w:type="pct"/>
                  <w:vAlign w:val="center"/>
                </w:tcPr>
                <w:p w14:paraId="3172B064">
                  <w:pPr>
                    <w:widowControl/>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7430.74011</w:t>
                  </w:r>
                </w:p>
              </w:tc>
            </w:tr>
            <w:tr w14:paraId="13DEC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917" w:type="pct"/>
                  <w:gridSpan w:val="6"/>
                  <w:vAlign w:val="center"/>
                </w:tcPr>
                <w:p w14:paraId="352A9478">
                  <w:pPr>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22432</w:t>
                  </w:r>
                </w:p>
              </w:tc>
              <w:tc>
                <w:tcPr>
                  <w:tcW w:w="2082" w:type="pct"/>
                  <w:gridSpan w:val="3"/>
                  <w:vAlign w:val="center"/>
                </w:tcPr>
                <w:p w14:paraId="711F3DB8">
                  <w:pPr>
                    <w:widowControl/>
                    <w:adjustRightInd w:val="0"/>
                    <w:snapToGrid w:val="0"/>
                    <w:jc w:val="center"/>
                    <w:rPr>
                      <w:rFonts w:hint="default" w:eastAsia="宋体"/>
                      <w:i w:val="0"/>
                      <w:iCs w:val="0"/>
                      <w:color w:val="auto"/>
                      <w:sz w:val="18"/>
                      <w:szCs w:val="18"/>
                      <w:highlight w:val="none"/>
                      <w:u w:val="single"/>
                      <w:lang w:val="en-US" w:eastAsia="zh-CN"/>
                    </w:rPr>
                  </w:pPr>
                  <w:r>
                    <w:rPr>
                      <w:rFonts w:hint="eastAsia"/>
                      <w:i w:val="0"/>
                      <w:iCs w:val="0"/>
                      <w:color w:val="auto"/>
                      <w:sz w:val="18"/>
                      <w:szCs w:val="18"/>
                      <w:highlight w:val="none"/>
                      <w:u w:val="single"/>
                      <w:lang w:val="en-US" w:eastAsia="zh-CN"/>
                    </w:rPr>
                    <w:t>22432</w:t>
                  </w:r>
                </w:p>
              </w:tc>
            </w:tr>
          </w:tbl>
          <w:p w14:paraId="7F1D6701">
            <w:pPr>
              <w:pStyle w:val="37"/>
              <w:numPr>
                <w:ilvl w:val="0"/>
                <w:numId w:val="0"/>
              </w:numPr>
              <w:adjustRightInd w:val="0"/>
              <w:snapToGrid w:val="0"/>
              <w:spacing w:line="336" w:lineRule="auto"/>
              <w:jc w:val="center"/>
              <w:rPr>
                <w:rFonts w:hint="default" w:eastAsia="宋体"/>
                <w:color w:val="auto"/>
                <w:lang w:val="en-US" w:eastAsia="zh-CN"/>
              </w:rPr>
            </w:pPr>
          </w:p>
        </w:tc>
      </w:tr>
      <w:tr w14:paraId="39646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949" w:type="dxa"/>
            <w:vAlign w:val="center"/>
          </w:tcPr>
          <w:p w14:paraId="325536BF">
            <w:pPr>
              <w:pStyle w:val="25"/>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w:t>
            </w:r>
            <w:r>
              <w:rPr>
                <w:rFonts w:hint="eastAsia" w:cs="宋体"/>
                <w:bCs/>
                <w:color w:val="auto"/>
                <w:kern w:val="2"/>
                <w:sz w:val="21"/>
                <w:szCs w:val="21"/>
                <w:highlight w:val="none"/>
              </w:rPr>
              <w:t>项目有关的</w:t>
            </w:r>
            <w:r>
              <w:rPr>
                <w:rFonts w:hint="eastAsia" w:cs="宋体"/>
                <w:bCs/>
                <w:color w:val="auto"/>
                <w:kern w:val="2"/>
                <w:sz w:val="21"/>
                <w:szCs w:val="21"/>
              </w:rPr>
              <w:t>原有环境污染问题</w:t>
            </w:r>
          </w:p>
        </w:tc>
        <w:tc>
          <w:tcPr>
            <w:tcW w:w="8093" w:type="dxa"/>
          </w:tcPr>
          <w:p w14:paraId="5CAEC45F">
            <w:pPr>
              <w:pStyle w:val="9"/>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44" w:firstLineChars="200"/>
              <w:textAlignment w:val="auto"/>
              <w:rPr>
                <w:rFonts w:hint="default" w:eastAsia="宋体"/>
                <w:i w:val="0"/>
                <w:iCs w:val="0"/>
                <w:color w:val="auto"/>
                <w:szCs w:val="21"/>
                <w:highlight w:val="none"/>
                <w:u w:val="none"/>
                <w:lang w:val="en-US" w:eastAsia="zh-CN"/>
              </w:rPr>
            </w:pPr>
            <w:r>
              <w:rPr>
                <w:rFonts w:hint="eastAsia" w:ascii="Times New Roman" w:hAnsi="Times New Roman" w:cs="Times New Roman" w:eastAsiaTheme="minorEastAsia"/>
                <w:color w:val="auto"/>
                <w:spacing w:val="6"/>
                <w:sz w:val="21"/>
                <w:szCs w:val="21"/>
                <w:u w:val="none"/>
                <w:lang w:val="en-US" w:eastAsia="zh-CN"/>
              </w:rPr>
              <w:t>租赁厂区已经闲置多年，无任何的生产活动。</w:t>
            </w:r>
            <w:r>
              <w:rPr>
                <w:rFonts w:hint="eastAsia" w:ascii="Times New Roman" w:hAnsi="Times New Roman" w:cs="Times New Roman"/>
                <w:i w:val="0"/>
                <w:iCs w:val="0"/>
                <w:color w:val="auto"/>
                <w:kern w:val="2"/>
                <w:sz w:val="21"/>
                <w:szCs w:val="21"/>
                <w:highlight w:val="none"/>
                <w:u w:val="none"/>
              </w:rPr>
              <w:t>经过现场勘察，尚未发现与本项目有关的环境问题。</w:t>
            </w:r>
            <w:r>
              <w:rPr>
                <w:rFonts w:hint="eastAsia" w:ascii="Times New Roman" w:hAnsi="Times New Roman" w:cs="Times New Roman"/>
                <w:i w:val="0"/>
                <w:iCs w:val="0"/>
                <w:color w:val="auto"/>
                <w:kern w:val="2"/>
                <w:sz w:val="21"/>
                <w:szCs w:val="21"/>
                <w:highlight w:val="none"/>
                <w:u w:val="none"/>
                <w:lang w:val="en-US" w:eastAsia="zh-CN"/>
              </w:rPr>
              <w:t>厂区现状详见下图。</w:t>
            </w:r>
          </w:p>
          <w:tbl>
            <w:tblPr>
              <w:tblStyle w:val="3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6"/>
              <w:gridCol w:w="3936"/>
            </w:tblGrid>
            <w:tr w14:paraId="395F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35" w:type="dxa"/>
                  <w:tcBorders>
                    <w:tl2br w:val="nil"/>
                    <w:tr2bl w:val="nil"/>
                  </w:tcBorders>
                  <w:vAlign w:val="top"/>
                </w:tcPr>
                <w:p w14:paraId="0B1FC6F3">
                  <w:pPr>
                    <w:pStyle w:val="37"/>
                    <w:adjustRightInd w:val="0"/>
                    <w:snapToGrid w:val="0"/>
                    <w:spacing w:line="360" w:lineRule="auto"/>
                    <w:ind w:left="0" w:leftChars="0" w:firstLine="0" w:firstLineChars="0"/>
                    <w:jc w:val="center"/>
                    <w:rPr>
                      <w:color w:val="auto"/>
                      <w:vertAlign w:val="baseline"/>
                    </w:rPr>
                  </w:pPr>
                  <w:r>
                    <w:rPr>
                      <w:color w:val="auto"/>
                    </w:rPr>
                    <w:drawing>
                      <wp:inline distT="0" distB="0" distL="114300" distR="114300">
                        <wp:extent cx="2356485" cy="1571625"/>
                        <wp:effectExtent l="0" t="0" r="571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2356485" cy="1571625"/>
                                </a:xfrm>
                                <a:prstGeom prst="rect">
                                  <a:avLst/>
                                </a:prstGeom>
                                <a:noFill/>
                                <a:ln>
                                  <a:noFill/>
                                </a:ln>
                              </pic:spPr>
                            </pic:pic>
                          </a:graphicData>
                        </a:graphic>
                      </wp:inline>
                    </w:drawing>
                  </w:r>
                </w:p>
              </w:tc>
              <w:tc>
                <w:tcPr>
                  <w:tcW w:w="3936" w:type="dxa"/>
                  <w:tcBorders>
                    <w:tl2br w:val="nil"/>
                    <w:tr2bl w:val="nil"/>
                  </w:tcBorders>
                  <w:vAlign w:val="top"/>
                </w:tcPr>
                <w:p w14:paraId="44C9386D">
                  <w:pPr>
                    <w:pStyle w:val="37"/>
                    <w:adjustRightInd w:val="0"/>
                    <w:snapToGrid w:val="0"/>
                    <w:spacing w:line="360" w:lineRule="auto"/>
                    <w:ind w:left="0" w:leftChars="0" w:firstLine="0" w:firstLineChars="0"/>
                    <w:jc w:val="center"/>
                    <w:rPr>
                      <w:color w:val="auto"/>
                      <w:vertAlign w:val="baseline"/>
                    </w:rPr>
                  </w:pPr>
                  <w:r>
                    <w:rPr>
                      <w:color w:val="auto"/>
                    </w:rPr>
                    <w:drawing>
                      <wp:inline distT="0" distB="0" distL="114300" distR="114300">
                        <wp:extent cx="2332355" cy="1602740"/>
                        <wp:effectExtent l="0" t="0" r="10795" b="165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2332355" cy="1602740"/>
                                </a:xfrm>
                                <a:prstGeom prst="rect">
                                  <a:avLst/>
                                </a:prstGeom>
                                <a:noFill/>
                                <a:ln>
                                  <a:noFill/>
                                </a:ln>
                              </pic:spPr>
                            </pic:pic>
                          </a:graphicData>
                        </a:graphic>
                      </wp:inline>
                    </w:drawing>
                  </w:r>
                </w:p>
              </w:tc>
            </w:tr>
            <w:tr w14:paraId="11F5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35" w:type="dxa"/>
                  <w:tcBorders>
                    <w:tl2br w:val="nil"/>
                    <w:tr2bl w:val="nil"/>
                  </w:tcBorders>
                  <w:vAlign w:val="top"/>
                </w:tcPr>
                <w:p w14:paraId="3BAEA116">
                  <w:pPr>
                    <w:pStyle w:val="37"/>
                    <w:adjustRightInd w:val="0"/>
                    <w:snapToGrid w:val="0"/>
                    <w:spacing w:line="360" w:lineRule="auto"/>
                    <w:ind w:left="0" w:leftChars="0" w:firstLine="0" w:firstLineChars="0"/>
                    <w:jc w:val="both"/>
                    <w:rPr>
                      <w:color w:val="auto"/>
                      <w:vertAlign w:val="baseline"/>
                    </w:rPr>
                  </w:pPr>
                  <w:r>
                    <w:rPr>
                      <w:color w:val="auto"/>
                    </w:rPr>
                    <w:drawing>
                      <wp:inline distT="0" distB="0" distL="114300" distR="114300">
                        <wp:extent cx="2354580" cy="1691640"/>
                        <wp:effectExtent l="0" t="0" r="762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2354580" cy="1691640"/>
                                </a:xfrm>
                                <a:prstGeom prst="rect">
                                  <a:avLst/>
                                </a:prstGeom>
                                <a:noFill/>
                                <a:ln>
                                  <a:noFill/>
                                </a:ln>
                              </pic:spPr>
                            </pic:pic>
                          </a:graphicData>
                        </a:graphic>
                      </wp:inline>
                    </w:drawing>
                  </w:r>
                </w:p>
              </w:tc>
              <w:tc>
                <w:tcPr>
                  <w:tcW w:w="3936" w:type="dxa"/>
                  <w:tcBorders>
                    <w:tl2br w:val="nil"/>
                    <w:tr2bl w:val="nil"/>
                  </w:tcBorders>
                  <w:vAlign w:val="top"/>
                </w:tcPr>
                <w:p w14:paraId="3FE5FF00">
                  <w:pPr>
                    <w:pStyle w:val="37"/>
                    <w:adjustRightInd w:val="0"/>
                    <w:snapToGrid w:val="0"/>
                    <w:spacing w:line="360" w:lineRule="auto"/>
                    <w:ind w:left="0" w:leftChars="0" w:firstLine="0" w:firstLineChars="0"/>
                    <w:jc w:val="both"/>
                    <w:rPr>
                      <w:color w:val="auto"/>
                      <w:vertAlign w:val="baseline"/>
                    </w:rPr>
                  </w:pPr>
                  <w:r>
                    <w:rPr>
                      <w:color w:val="auto"/>
                    </w:rPr>
                    <w:drawing>
                      <wp:inline distT="0" distB="0" distL="114300" distR="114300">
                        <wp:extent cx="2359025" cy="1650365"/>
                        <wp:effectExtent l="0" t="0" r="3175" b="698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2359025" cy="1650365"/>
                                </a:xfrm>
                                <a:prstGeom prst="rect">
                                  <a:avLst/>
                                </a:prstGeom>
                                <a:noFill/>
                                <a:ln>
                                  <a:noFill/>
                                </a:ln>
                              </pic:spPr>
                            </pic:pic>
                          </a:graphicData>
                        </a:graphic>
                      </wp:inline>
                    </w:drawing>
                  </w:r>
                </w:p>
              </w:tc>
            </w:tr>
          </w:tbl>
          <w:p w14:paraId="3A4FD054">
            <w:pPr>
              <w:pStyle w:val="37"/>
              <w:adjustRightInd w:val="0"/>
              <w:snapToGrid w:val="0"/>
              <w:spacing w:line="360" w:lineRule="auto"/>
              <w:ind w:left="0" w:leftChars="0" w:firstLine="0" w:firstLineChars="0"/>
              <w:jc w:val="center"/>
              <w:rPr>
                <w:rFonts w:hint="default" w:eastAsia="宋体"/>
                <w:color w:val="auto"/>
                <w:lang w:val="en-US" w:eastAsia="zh-CN"/>
              </w:rPr>
            </w:pPr>
          </w:p>
        </w:tc>
      </w:tr>
    </w:tbl>
    <w:p w14:paraId="547520E9">
      <w:pPr>
        <w:pStyle w:val="25"/>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990F805">
      <w:pPr>
        <w:pStyle w:val="25"/>
        <w:adjustRightInd w:val="0"/>
        <w:snapToGrid w:val="0"/>
        <w:spacing w:before="0" w:beforeAutospacing="0" w:after="0" w:afterAutospacing="0" w:line="14" w:lineRule="auto"/>
        <w:jc w:val="center"/>
        <w:outlineLvl w:val="0"/>
        <w:rPr>
          <w:rFonts w:ascii="黑体" w:hAnsi="黑体" w:eastAsia="黑体"/>
          <w:snapToGrid w:val="0"/>
          <w:color w:val="auto"/>
          <w:sz w:val="30"/>
          <w:szCs w:val="30"/>
        </w:rPr>
      </w:pPr>
    </w:p>
    <w:p w14:paraId="2503800C">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9"/>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8195"/>
      </w:tblGrid>
      <w:tr w14:paraId="02EB9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3" w:hRule="atLeast"/>
          <w:jc w:val="center"/>
        </w:trPr>
        <w:tc>
          <w:tcPr>
            <w:tcW w:w="979" w:type="dxa"/>
            <w:vAlign w:val="center"/>
          </w:tcPr>
          <w:p w14:paraId="2EE70898">
            <w:pPr>
              <w:adjustRightInd w:val="0"/>
              <w:snapToGrid w:val="0"/>
              <w:jc w:val="center"/>
              <w:rPr>
                <w:rFonts w:ascii="宋体" w:hAnsi="宋体" w:cs="宋体"/>
                <w:color w:val="auto"/>
              </w:rPr>
            </w:pPr>
            <w:r>
              <w:rPr>
                <w:rFonts w:hint="eastAsia" w:ascii="宋体" w:hAnsi="宋体" w:cs="宋体"/>
                <w:color w:val="auto"/>
              </w:rPr>
              <w:t>区域</w:t>
            </w:r>
          </w:p>
          <w:p w14:paraId="6F031C25">
            <w:pPr>
              <w:adjustRightInd w:val="0"/>
              <w:snapToGrid w:val="0"/>
              <w:jc w:val="center"/>
              <w:rPr>
                <w:rFonts w:ascii="宋体" w:hAnsi="宋体" w:cs="宋体"/>
                <w:color w:val="auto"/>
              </w:rPr>
            </w:pPr>
            <w:r>
              <w:rPr>
                <w:rFonts w:hint="eastAsia" w:ascii="宋体" w:hAnsi="宋体" w:cs="宋体"/>
                <w:color w:val="auto"/>
              </w:rPr>
              <w:t>环境</w:t>
            </w:r>
          </w:p>
          <w:p w14:paraId="14D2AE00">
            <w:pPr>
              <w:adjustRightInd w:val="0"/>
              <w:snapToGrid w:val="0"/>
              <w:jc w:val="center"/>
              <w:rPr>
                <w:rFonts w:ascii="宋体" w:hAnsi="宋体" w:cs="宋体"/>
                <w:color w:val="auto"/>
              </w:rPr>
            </w:pPr>
            <w:r>
              <w:rPr>
                <w:rFonts w:hint="eastAsia" w:ascii="宋体" w:hAnsi="宋体" w:cs="宋体"/>
                <w:color w:val="auto"/>
              </w:rPr>
              <w:t>质量</w:t>
            </w:r>
          </w:p>
          <w:p w14:paraId="01FD1931">
            <w:pPr>
              <w:adjustRightInd w:val="0"/>
              <w:snapToGrid w:val="0"/>
              <w:jc w:val="center"/>
              <w:rPr>
                <w:rFonts w:ascii="宋体" w:hAnsi="宋体" w:cs="宋体"/>
                <w:color w:val="auto"/>
              </w:rPr>
            </w:pPr>
            <w:r>
              <w:rPr>
                <w:rFonts w:hint="eastAsia" w:ascii="宋体" w:hAnsi="宋体" w:cs="宋体"/>
                <w:color w:val="auto"/>
              </w:rPr>
              <w:t>现状</w:t>
            </w:r>
          </w:p>
        </w:tc>
        <w:tc>
          <w:tcPr>
            <w:tcW w:w="8082" w:type="dxa"/>
            <w:vAlign w:val="center"/>
          </w:tcPr>
          <w:p w14:paraId="3C480491">
            <w:pPr>
              <w:adjustRightInd w:val="0"/>
              <w:snapToGrid w:val="0"/>
              <w:spacing w:before="120" w:beforeLines="50" w:line="336" w:lineRule="auto"/>
              <w:ind w:firstLine="420" w:firstLineChars="200"/>
              <w:jc w:val="left"/>
              <w:rPr>
                <w:rFonts w:ascii="宋体" w:hAnsi="宋体" w:cs="宋体"/>
                <w:color w:val="auto"/>
              </w:rPr>
            </w:pPr>
            <w:r>
              <w:rPr>
                <w:rFonts w:hint="eastAsia" w:ascii="宋体" w:hAnsi="宋体" w:cs="宋体"/>
                <w:color w:val="auto"/>
              </w:rPr>
              <w:t>根据《建设项目环境影响报告表编制技术指南》（污染影响类）：</w:t>
            </w:r>
          </w:p>
          <w:p w14:paraId="6FD098FB">
            <w:pPr>
              <w:adjustRightInd w:val="0"/>
              <w:snapToGrid w:val="0"/>
              <w:spacing w:line="336" w:lineRule="auto"/>
              <w:ind w:firstLine="420" w:firstLineChars="200"/>
              <w:jc w:val="left"/>
              <w:rPr>
                <w:color w:val="auto"/>
              </w:rPr>
            </w:pPr>
            <w:r>
              <w:rPr>
                <w:rFonts w:hint="eastAsia"/>
                <w:color w:val="auto"/>
              </w:rPr>
              <w:t>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8828795">
            <w:pPr>
              <w:adjustRightInd w:val="0"/>
              <w:snapToGrid w:val="0"/>
              <w:spacing w:line="336" w:lineRule="auto"/>
              <w:ind w:firstLine="420" w:firstLineChars="200"/>
              <w:jc w:val="left"/>
              <w:rPr>
                <w:color w:val="auto"/>
              </w:rPr>
            </w:pPr>
            <w:r>
              <w:rPr>
                <w:rFonts w:hint="eastAsia"/>
                <w:color w:val="auto"/>
              </w:rPr>
              <w:t>地表水环境。引用与建设项目距离近的有效数据，包括近3年的规划环境影响评价的监测数据，所在流域控制单元内国家、地方控制断面监测数据，生态环境主管部门发布的水环境质量数据或地表水达标情况的结论。</w:t>
            </w:r>
          </w:p>
          <w:p w14:paraId="65B5A8FA">
            <w:pPr>
              <w:adjustRightInd w:val="0"/>
              <w:snapToGrid w:val="0"/>
              <w:spacing w:line="336" w:lineRule="auto"/>
              <w:ind w:firstLine="420" w:firstLineChars="200"/>
              <w:jc w:val="left"/>
              <w:rPr>
                <w:color w:val="auto"/>
              </w:rPr>
            </w:pPr>
            <w:r>
              <w:rPr>
                <w:rFonts w:hint="eastAsia"/>
                <w:color w:val="auto"/>
              </w:rPr>
              <w:t>声环境。厂界外周边50米范围内存在声环境保护目标的建设项目，应监测保护目标声环境质量现状并评价达标情况。各点位应监测昼夜间噪声，监测时间不少于1天，项目夜间不生产则仅监测昼间噪声。</w:t>
            </w:r>
          </w:p>
          <w:p w14:paraId="2D54C7D3">
            <w:pPr>
              <w:adjustRightInd w:val="0"/>
              <w:snapToGrid w:val="0"/>
              <w:spacing w:line="336" w:lineRule="auto"/>
              <w:ind w:firstLine="420" w:firstLineChars="200"/>
              <w:jc w:val="left"/>
              <w:rPr>
                <w:color w:val="auto"/>
              </w:rPr>
            </w:pPr>
            <w:r>
              <w:rPr>
                <w:rFonts w:hint="eastAsia"/>
                <w:color w:val="auto"/>
              </w:rPr>
              <w:t>生态环境。产业园区外建设项目新增用地且用地范围内含有生态环境保护目标时，应进行生态现状调查。</w:t>
            </w:r>
          </w:p>
          <w:p w14:paraId="004DFBE4">
            <w:pPr>
              <w:adjustRightInd w:val="0"/>
              <w:snapToGrid w:val="0"/>
              <w:spacing w:line="336" w:lineRule="auto"/>
              <w:ind w:firstLine="420" w:firstLineChars="200"/>
              <w:jc w:val="left"/>
              <w:rPr>
                <w:color w:val="auto"/>
              </w:rPr>
            </w:pPr>
            <w:r>
              <w:rPr>
                <w:rFonts w:hint="eastAsia"/>
                <w:color w:val="auto"/>
              </w:rPr>
              <w:t>地下水、土壤环境。原则上不开展环境质量现状调查。建设项目存在土壤、地下水环境污染途径的，应结合污染源、保护目标分布情况开展现状调查以留作背景值。</w:t>
            </w:r>
          </w:p>
          <w:p w14:paraId="11DB1F1E">
            <w:pPr>
              <w:adjustRightInd w:val="0"/>
              <w:snapToGrid w:val="0"/>
              <w:spacing w:line="336" w:lineRule="auto"/>
              <w:jc w:val="left"/>
              <w:rPr>
                <w:color w:val="auto"/>
              </w:rPr>
            </w:pPr>
            <w:r>
              <w:rPr>
                <w:color w:val="auto"/>
              </w:rPr>
              <w:t>1</w:t>
            </w:r>
            <w:r>
              <w:rPr>
                <w:rFonts w:hAnsi="宋体"/>
                <w:color w:val="auto"/>
              </w:rPr>
              <w:t>、地表水环境质量现状</w:t>
            </w:r>
          </w:p>
          <w:p w14:paraId="696EC44B">
            <w:pPr>
              <w:pStyle w:val="85"/>
              <w:ind w:firstLine="420"/>
              <w:rPr>
                <w:rFonts w:ascii="宋体" w:hAnsi="宋体" w:cs="Times New Roman"/>
                <w:color w:val="auto"/>
              </w:rPr>
            </w:pPr>
            <w:r>
              <w:rPr>
                <w:rFonts w:cs="Times New Roman"/>
                <w:color w:val="auto"/>
              </w:rPr>
              <w:t>根据《建设项目环境影响报告表编制技术指南（污染影响类）（试行）》的规定，地表水环境质量现状评价可</w:t>
            </w:r>
            <w:r>
              <w:rPr>
                <w:rFonts w:ascii="宋体" w:hAnsi="宋体" w:cs="Times New Roman"/>
                <w:color w:val="auto"/>
              </w:rPr>
              <w:t>“引用与建</w:t>
            </w:r>
            <w:r>
              <w:rPr>
                <w:rFonts w:cs="Times New Roman"/>
                <w:color w:val="auto"/>
              </w:rPr>
              <w:t>设项目距离近的有效数据，包括近3年的规划环境影响评价的监测数据，所在流域控制单元内国家、地方控制断面监测数据，生态环境主管部门发布的水环境质量数据或地表水达标情况的结</w:t>
            </w:r>
            <w:r>
              <w:rPr>
                <w:rFonts w:ascii="宋体" w:hAnsi="宋体" w:cs="Times New Roman"/>
                <w:color w:val="auto"/>
              </w:rPr>
              <w:t>论。”</w:t>
            </w:r>
          </w:p>
          <w:p w14:paraId="0DAF32C1">
            <w:pPr>
              <w:pStyle w:val="85"/>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eastAsia="宋体"/>
                <w:color w:val="auto"/>
                <w:sz w:val="21"/>
                <w:szCs w:val="21"/>
                <w:highlight w:val="none"/>
              </w:rPr>
              <w:t>《吉林省202</w:t>
            </w:r>
            <w:r>
              <w:rPr>
                <w:rFonts w:hint="eastAsia" w:eastAsia="宋体"/>
                <w:color w:val="auto"/>
                <w:sz w:val="21"/>
                <w:szCs w:val="21"/>
                <w:highlight w:val="none"/>
                <w:lang w:val="en-US" w:eastAsia="zh-CN"/>
              </w:rPr>
              <w:t>4</w:t>
            </w:r>
            <w:r>
              <w:rPr>
                <w:rFonts w:eastAsia="宋体"/>
                <w:color w:val="auto"/>
                <w:sz w:val="21"/>
                <w:szCs w:val="21"/>
                <w:highlight w:val="none"/>
              </w:rPr>
              <w:t>年生态环境状况公报》中：</w:t>
            </w:r>
            <w:r>
              <w:rPr>
                <w:rFonts w:hint="eastAsia" w:ascii="Times New Roman" w:hAnsi="Times New Roman" w:eastAsia="宋体" w:cs="Times New Roman"/>
                <w:color w:val="auto"/>
                <w:kern w:val="2"/>
                <w:sz w:val="21"/>
                <w:szCs w:val="21"/>
                <w:highlight w:val="none"/>
                <w:lang w:val="en-US" w:eastAsia="zh-CN" w:bidi="ar-SA"/>
              </w:rPr>
              <w:t>全省 109 个国家考核断面，Ⅰ～Ⅲ类水质断面 97 个，占 89.0%，同比上升 2.8 个百分点；Ⅳ类水质断面 12 个，占 11.0%，同比下降 0.9 个百分点；无Ⅴ类水质断面，同比下降 1.8 个百分点；无劣Ⅴ类水质断面，同比持平。</w:t>
            </w:r>
          </w:p>
          <w:p w14:paraId="00A0E27D">
            <w:pPr>
              <w:pStyle w:val="85"/>
              <w:adjustRightInd w:val="0"/>
              <w:snapToGrid w:val="0"/>
              <w:spacing w:line="360" w:lineRule="auto"/>
              <w:ind w:firstLine="420" w:firstLineChars="200"/>
              <w:rPr>
                <w:rFonts w:eastAsia="宋体"/>
                <w:color w:val="auto"/>
                <w:sz w:val="21"/>
                <w:szCs w:val="21"/>
                <w:highlight w:val="none"/>
              </w:rPr>
            </w:pPr>
            <w:r>
              <w:rPr>
                <w:rFonts w:eastAsia="宋体"/>
                <w:color w:val="auto"/>
                <w:kern w:val="0"/>
                <w:sz w:val="21"/>
                <w:szCs w:val="21"/>
                <w:highlight w:val="none"/>
              </w:rPr>
              <w:t>全省国控断面水质状况详见附表。</w:t>
            </w:r>
          </w:p>
          <w:p w14:paraId="2065116D">
            <w:pPr>
              <w:pStyle w:val="83"/>
              <w:spacing w:line="240" w:lineRule="auto"/>
              <w:rPr>
                <w:rFonts w:ascii="Times New Roman" w:hAnsi="Times New Roman" w:eastAsia="宋体"/>
                <w:b w:val="0"/>
                <w:bCs/>
                <w:color w:val="auto"/>
                <w:sz w:val="21"/>
                <w:szCs w:val="21"/>
                <w:highlight w:val="none"/>
              </w:rPr>
            </w:pPr>
            <w:r>
              <w:rPr>
                <w:rFonts w:hint="eastAsia" w:ascii="Times New Roman" w:hAnsi="Times New Roman" w:eastAsia="宋体"/>
                <w:b w:val="0"/>
                <w:bCs/>
                <w:color w:val="auto"/>
                <w:sz w:val="21"/>
                <w:szCs w:val="21"/>
                <w:highlight w:val="none"/>
              </w:rPr>
              <w:t>全省主要江河国控监测断面水质状况</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746"/>
              <w:gridCol w:w="1364"/>
              <w:gridCol w:w="1288"/>
              <w:gridCol w:w="1420"/>
              <w:gridCol w:w="1159"/>
            </w:tblGrid>
            <w:tr w14:paraId="227B98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vMerge w:val="restart"/>
                  <w:noWrap/>
                  <w:tcMar>
                    <w:top w:w="0" w:type="dxa"/>
                    <w:left w:w="108" w:type="dxa"/>
                    <w:bottom w:w="0" w:type="dxa"/>
                    <w:right w:w="108" w:type="dxa"/>
                  </w:tcMar>
                  <w:vAlign w:val="center"/>
                </w:tcPr>
                <w:p w14:paraId="66F95A81">
                  <w:pPr>
                    <w:widowControl/>
                    <w:adjustRightInd w:val="0"/>
                    <w:snapToGrid w:val="0"/>
                    <w:ind w:left="-96" w:right="-96"/>
                    <w:jc w:val="center"/>
                    <w:rPr>
                      <w:color w:val="auto"/>
                      <w:kern w:val="0"/>
                      <w:szCs w:val="21"/>
                      <w:highlight w:val="none"/>
                    </w:rPr>
                  </w:pPr>
                  <w:r>
                    <w:rPr>
                      <w:color w:val="auto"/>
                      <w:kern w:val="0"/>
                      <w:szCs w:val="21"/>
                      <w:highlight w:val="none"/>
                    </w:rPr>
                    <w:t>水系</w:t>
                  </w:r>
                </w:p>
              </w:tc>
              <w:tc>
                <w:tcPr>
                  <w:tcW w:w="3278" w:type="pct"/>
                  <w:gridSpan w:val="4"/>
                  <w:tcBorders>
                    <w:bottom w:val="single" w:color="auto" w:sz="4" w:space="0"/>
                  </w:tcBorders>
                  <w:noWrap/>
                  <w:tcMar>
                    <w:top w:w="0" w:type="dxa"/>
                    <w:left w:w="108" w:type="dxa"/>
                    <w:bottom w:w="0" w:type="dxa"/>
                    <w:right w:w="108" w:type="dxa"/>
                  </w:tcMar>
                  <w:vAlign w:val="center"/>
                </w:tcPr>
                <w:p w14:paraId="0D60F2DC">
                  <w:pPr>
                    <w:widowControl/>
                    <w:adjustRightInd w:val="0"/>
                    <w:snapToGrid w:val="0"/>
                    <w:ind w:left="-96" w:right="-96"/>
                    <w:jc w:val="center"/>
                    <w:rPr>
                      <w:color w:val="auto"/>
                      <w:kern w:val="0"/>
                      <w:szCs w:val="21"/>
                      <w:highlight w:val="none"/>
                    </w:rPr>
                  </w:pPr>
                  <w:r>
                    <w:rPr>
                      <w:color w:val="auto"/>
                      <w:kern w:val="0"/>
                      <w:szCs w:val="21"/>
                      <w:highlight w:val="none"/>
                    </w:rPr>
                    <w:t>断面水质类别比例（%）</w:t>
                  </w:r>
                </w:p>
              </w:tc>
            </w:tr>
            <w:tr w14:paraId="370EF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vMerge w:val="continue"/>
                  <w:vAlign w:val="center"/>
                </w:tcPr>
                <w:p w14:paraId="0626F369">
                  <w:pPr>
                    <w:widowControl/>
                    <w:adjustRightInd w:val="0"/>
                    <w:snapToGrid w:val="0"/>
                    <w:jc w:val="center"/>
                    <w:rPr>
                      <w:color w:val="auto"/>
                      <w:kern w:val="0"/>
                      <w:szCs w:val="21"/>
                      <w:highlight w:val="none"/>
                    </w:rPr>
                  </w:pPr>
                </w:p>
              </w:tc>
              <w:tc>
                <w:tcPr>
                  <w:tcW w:w="855" w:type="pct"/>
                  <w:tcBorders>
                    <w:top w:val="single" w:color="auto" w:sz="4" w:space="0"/>
                  </w:tcBorders>
                  <w:vAlign w:val="center"/>
                </w:tcPr>
                <w:p w14:paraId="56850039">
                  <w:pPr>
                    <w:adjustRightInd w:val="0"/>
                    <w:snapToGrid w:val="0"/>
                    <w:jc w:val="center"/>
                    <w:rPr>
                      <w:color w:val="auto"/>
                      <w:kern w:val="0"/>
                      <w:szCs w:val="21"/>
                      <w:highlight w:val="none"/>
                    </w:rPr>
                  </w:pPr>
                  <w:r>
                    <w:rPr>
                      <w:color w:val="auto"/>
                      <w:kern w:val="0"/>
                      <w:szCs w:val="21"/>
                      <w:highlight w:val="none"/>
                    </w:rPr>
                    <w:t>Ⅰ-Ⅲ类</w:t>
                  </w:r>
                </w:p>
              </w:tc>
              <w:tc>
                <w:tcPr>
                  <w:tcW w:w="807" w:type="pct"/>
                  <w:tcBorders>
                    <w:top w:val="single" w:color="auto" w:sz="4" w:space="0"/>
                  </w:tcBorders>
                  <w:tcMar>
                    <w:top w:w="0" w:type="dxa"/>
                    <w:left w:w="28" w:type="dxa"/>
                    <w:bottom w:w="0" w:type="dxa"/>
                    <w:right w:w="28" w:type="dxa"/>
                  </w:tcMar>
                  <w:vAlign w:val="center"/>
                </w:tcPr>
                <w:p w14:paraId="6D26CF74">
                  <w:pPr>
                    <w:widowControl/>
                    <w:adjustRightInd w:val="0"/>
                    <w:snapToGrid w:val="0"/>
                    <w:ind w:left="-96" w:right="-96"/>
                    <w:jc w:val="center"/>
                    <w:rPr>
                      <w:color w:val="auto"/>
                      <w:kern w:val="0"/>
                      <w:szCs w:val="21"/>
                      <w:highlight w:val="none"/>
                    </w:rPr>
                  </w:pPr>
                  <w:r>
                    <w:rPr>
                      <w:color w:val="auto"/>
                      <w:kern w:val="0"/>
                      <w:szCs w:val="21"/>
                      <w:highlight w:val="none"/>
                    </w:rPr>
                    <w:t>Ⅳ类</w:t>
                  </w:r>
                </w:p>
              </w:tc>
              <w:tc>
                <w:tcPr>
                  <w:tcW w:w="890" w:type="pct"/>
                  <w:tcBorders>
                    <w:top w:val="single" w:color="auto" w:sz="4" w:space="0"/>
                  </w:tcBorders>
                  <w:tcMar>
                    <w:top w:w="0" w:type="dxa"/>
                    <w:left w:w="28" w:type="dxa"/>
                    <w:bottom w:w="0" w:type="dxa"/>
                    <w:right w:w="28" w:type="dxa"/>
                  </w:tcMar>
                  <w:vAlign w:val="center"/>
                </w:tcPr>
                <w:p w14:paraId="6038A55C">
                  <w:pPr>
                    <w:widowControl/>
                    <w:adjustRightInd w:val="0"/>
                    <w:snapToGrid w:val="0"/>
                    <w:ind w:left="-96" w:right="-96"/>
                    <w:jc w:val="center"/>
                    <w:rPr>
                      <w:color w:val="auto"/>
                      <w:kern w:val="0"/>
                      <w:szCs w:val="21"/>
                      <w:highlight w:val="none"/>
                    </w:rPr>
                  </w:pPr>
                  <w:r>
                    <w:rPr>
                      <w:color w:val="auto"/>
                      <w:kern w:val="0"/>
                      <w:szCs w:val="21"/>
                      <w:highlight w:val="none"/>
                    </w:rPr>
                    <w:t>Ⅴ类</w:t>
                  </w:r>
                </w:p>
              </w:tc>
              <w:tc>
                <w:tcPr>
                  <w:tcW w:w="724" w:type="pct"/>
                  <w:tcBorders>
                    <w:top w:val="single" w:color="auto" w:sz="4" w:space="0"/>
                  </w:tcBorders>
                  <w:vAlign w:val="center"/>
                </w:tcPr>
                <w:p w14:paraId="28EBDC2A">
                  <w:pPr>
                    <w:widowControl/>
                    <w:adjustRightInd w:val="0"/>
                    <w:snapToGrid w:val="0"/>
                    <w:jc w:val="center"/>
                    <w:rPr>
                      <w:color w:val="auto"/>
                      <w:kern w:val="0"/>
                      <w:szCs w:val="21"/>
                      <w:highlight w:val="none"/>
                    </w:rPr>
                  </w:pPr>
                  <w:r>
                    <w:rPr>
                      <w:color w:val="auto"/>
                      <w:kern w:val="0"/>
                      <w:szCs w:val="21"/>
                      <w:highlight w:val="none"/>
                    </w:rPr>
                    <w:t>劣V类</w:t>
                  </w:r>
                </w:p>
              </w:tc>
            </w:tr>
            <w:tr w14:paraId="3A11C5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tcBorders>
                    <w:bottom w:val="single" w:color="auto" w:sz="4" w:space="0"/>
                  </w:tcBorders>
                  <w:noWrap/>
                  <w:tcMar>
                    <w:top w:w="0" w:type="dxa"/>
                    <w:left w:w="108" w:type="dxa"/>
                    <w:bottom w:w="0" w:type="dxa"/>
                    <w:right w:w="108" w:type="dxa"/>
                  </w:tcMar>
                  <w:vAlign w:val="center"/>
                </w:tcPr>
                <w:p w14:paraId="49B9A9CE">
                  <w:pPr>
                    <w:widowControl/>
                    <w:adjustRightInd w:val="0"/>
                    <w:snapToGrid w:val="0"/>
                    <w:jc w:val="center"/>
                    <w:rPr>
                      <w:color w:val="auto"/>
                      <w:kern w:val="0"/>
                      <w:szCs w:val="21"/>
                      <w:highlight w:val="none"/>
                    </w:rPr>
                  </w:pPr>
                  <w:r>
                    <w:rPr>
                      <w:color w:val="auto"/>
                      <w:kern w:val="0"/>
                      <w:szCs w:val="21"/>
                      <w:highlight w:val="none"/>
                    </w:rPr>
                    <w:t>松花江</w:t>
                  </w:r>
                </w:p>
              </w:tc>
              <w:tc>
                <w:tcPr>
                  <w:tcW w:w="855" w:type="pct"/>
                  <w:tcBorders>
                    <w:bottom w:val="single" w:color="auto" w:sz="4" w:space="0"/>
                  </w:tcBorders>
                  <w:vAlign w:val="center"/>
                </w:tcPr>
                <w:p w14:paraId="0B8A10C8">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88.7</w:t>
                  </w:r>
                </w:p>
              </w:tc>
              <w:tc>
                <w:tcPr>
                  <w:tcW w:w="807" w:type="pct"/>
                  <w:noWrap/>
                  <w:tcMar>
                    <w:top w:w="0" w:type="dxa"/>
                    <w:left w:w="108" w:type="dxa"/>
                    <w:bottom w:w="0" w:type="dxa"/>
                    <w:right w:w="108" w:type="dxa"/>
                  </w:tcMar>
                  <w:vAlign w:val="center"/>
                </w:tcPr>
                <w:p w14:paraId="17721B29">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11.3</w:t>
                  </w:r>
                </w:p>
              </w:tc>
              <w:tc>
                <w:tcPr>
                  <w:tcW w:w="890" w:type="pct"/>
                  <w:noWrap/>
                  <w:tcMar>
                    <w:top w:w="0" w:type="dxa"/>
                    <w:left w:w="108" w:type="dxa"/>
                    <w:bottom w:w="0" w:type="dxa"/>
                    <w:right w:w="108" w:type="dxa"/>
                  </w:tcMar>
                  <w:vAlign w:val="center"/>
                </w:tcPr>
                <w:p w14:paraId="479D683B">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724" w:type="pct"/>
                  <w:noWrap/>
                  <w:tcMar>
                    <w:top w:w="0" w:type="dxa"/>
                    <w:left w:w="108" w:type="dxa"/>
                    <w:bottom w:w="0" w:type="dxa"/>
                    <w:right w:w="108" w:type="dxa"/>
                  </w:tcMar>
                  <w:vAlign w:val="center"/>
                </w:tcPr>
                <w:p w14:paraId="0B62BE71">
                  <w:pPr>
                    <w:widowControl/>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14:paraId="00AA5F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tcBorders>
                    <w:top w:val="single" w:color="auto" w:sz="4" w:space="0"/>
                    <w:bottom w:val="single" w:color="auto" w:sz="4" w:space="0"/>
                  </w:tcBorders>
                  <w:vAlign w:val="center"/>
                </w:tcPr>
                <w:p w14:paraId="0E28AABB">
                  <w:pPr>
                    <w:widowControl/>
                    <w:adjustRightInd w:val="0"/>
                    <w:snapToGrid w:val="0"/>
                    <w:jc w:val="center"/>
                    <w:rPr>
                      <w:color w:val="auto"/>
                      <w:kern w:val="0"/>
                      <w:szCs w:val="21"/>
                      <w:highlight w:val="none"/>
                    </w:rPr>
                  </w:pPr>
                  <w:r>
                    <w:rPr>
                      <w:color w:val="auto"/>
                      <w:kern w:val="0"/>
                      <w:szCs w:val="21"/>
                      <w:highlight w:val="none"/>
                    </w:rPr>
                    <w:t>图们江</w:t>
                  </w:r>
                </w:p>
              </w:tc>
              <w:tc>
                <w:tcPr>
                  <w:tcW w:w="855" w:type="pct"/>
                  <w:tcBorders>
                    <w:top w:val="single" w:color="auto" w:sz="4" w:space="0"/>
                    <w:bottom w:val="single" w:color="auto" w:sz="4" w:space="0"/>
                  </w:tcBorders>
                  <w:vAlign w:val="center"/>
                </w:tcPr>
                <w:p w14:paraId="16C25EB7">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93.3</w:t>
                  </w:r>
                </w:p>
              </w:tc>
              <w:tc>
                <w:tcPr>
                  <w:tcW w:w="807" w:type="pct"/>
                  <w:noWrap/>
                  <w:tcMar>
                    <w:top w:w="0" w:type="dxa"/>
                    <w:left w:w="108" w:type="dxa"/>
                    <w:bottom w:w="0" w:type="dxa"/>
                    <w:right w:w="108" w:type="dxa"/>
                  </w:tcMar>
                  <w:vAlign w:val="center"/>
                </w:tcPr>
                <w:p w14:paraId="53B46F51">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6.7</w:t>
                  </w:r>
                </w:p>
              </w:tc>
              <w:tc>
                <w:tcPr>
                  <w:tcW w:w="890" w:type="pct"/>
                  <w:noWrap/>
                  <w:tcMar>
                    <w:top w:w="0" w:type="dxa"/>
                    <w:left w:w="108" w:type="dxa"/>
                    <w:bottom w:w="0" w:type="dxa"/>
                    <w:right w:w="108" w:type="dxa"/>
                  </w:tcMar>
                  <w:vAlign w:val="center"/>
                </w:tcPr>
                <w:p w14:paraId="34CB29C4">
                  <w:pPr>
                    <w:widowControl/>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724" w:type="pct"/>
                  <w:noWrap/>
                  <w:tcMar>
                    <w:top w:w="0" w:type="dxa"/>
                    <w:left w:w="108" w:type="dxa"/>
                    <w:bottom w:w="0" w:type="dxa"/>
                    <w:right w:w="108" w:type="dxa"/>
                  </w:tcMar>
                  <w:vAlign w:val="center"/>
                </w:tcPr>
                <w:p w14:paraId="1B0DE02A">
                  <w:pPr>
                    <w:widowControl/>
                    <w:adjustRightInd w:val="0"/>
                    <w:snapToGrid w:val="0"/>
                    <w:jc w:val="center"/>
                    <w:rPr>
                      <w:color w:val="auto"/>
                      <w:kern w:val="0"/>
                      <w:szCs w:val="21"/>
                      <w:highlight w:val="none"/>
                    </w:rPr>
                  </w:pPr>
                  <w:r>
                    <w:rPr>
                      <w:color w:val="auto"/>
                      <w:kern w:val="0"/>
                      <w:szCs w:val="21"/>
                      <w:highlight w:val="none"/>
                    </w:rPr>
                    <w:t>/</w:t>
                  </w:r>
                </w:p>
              </w:tc>
            </w:tr>
            <w:tr w14:paraId="690B4D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tcBorders>
                    <w:top w:val="single" w:color="auto" w:sz="4" w:space="0"/>
                    <w:bottom w:val="single" w:color="auto" w:sz="4" w:space="0"/>
                  </w:tcBorders>
                  <w:vAlign w:val="center"/>
                </w:tcPr>
                <w:p w14:paraId="116E86DB">
                  <w:pPr>
                    <w:widowControl/>
                    <w:adjustRightInd w:val="0"/>
                    <w:snapToGrid w:val="0"/>
                    <w:jc w:val="center"/>
                    <w:rPr>
                      <w:color w:val="auto"/>
                      <w:kern w:val="0"/>
                      <w:szCs w:val="21"/>
                      <w:highlight w:val="none"/>
                    </w:rPr>
                  </w:pPr>
                  <w:r>
                    <w:rPr>
                      <w:color w:val="auto"/>
                      <w:kern w:val="0"/>
                      <w:szCs w:val="21"/>
                      <w:highlight w:val="none"/>
                    </w:rPr>
                    <w:t>鸭绿江</w:t>
                  </w:r>
                </w:p>
              </w:tc>
              <w:tc>
                <w:tcPr>
                  <w:tcW w:w="855" w:type="pct"/>
                  <w:tcBorders>
                    <w:top w:val="single" w:color="auto" w:sz="4" w:space="0"/>
                  </w:tcBorders>
                  <w:vAlign w:val="center"/>
                </w:tcPr>
                <w:p w14:paraId="3C03614D">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w:t>
                  </w:r>
                </w:p>
              </w:tc>
              <w:tc>
                <w:tcPr>
                  <w:tcW w:w="807" w:type="pct"/>
                  <w:noWrap/>
                  <w:tcMar>
                    <w:top w:w="0" w:type="dxa"/>
                    <w:left w:w="108" w:type="dxa"/>
                    <w:bottom w:w="0" w:type="dxa"/>
                    <w:right w:w="108" w:type="dxa"/>
                  </w:tcMar>
                  <w:vAlign w:val="center"/>
                </w:tcPr>
                <w:p w14:paraId="5671B7D1">
                  <w:pPr>
                    <w:widowControl/>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890" w:type="pct"/>
                  <w:noWrap/>
                  <w:tcMar>
                    <w:top w:w="0" w:type="dxa"/>
                    <w:left w:w="108" w:type="dxa"/>
                    <w:bottom w:w="0" w:type="dxa"/>
                    <w:right w:w="108" w:type="dxa"/>
                  </w:tcMar>
                  <w:vAlign w:val="center"/>
                </w:tcPr>
                <w:p w14:paraId="3851BDFC">
                  <w:pPr>
                    <w:widowControl/>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724" w:type="pct"/>
                  <w:noWrap/>
                  <w:tcMar>
                    <w:top w:w="0" w:type="dxa"/>
                    <w:left w:w="108" w:type="dxa"/>
                    <w:bottom w:w="0" w:type="dxa"/>
                    <w:right w:w="108" w:type="dxa"/>
                  </w:tcMar>
                  <w:vAlign w:val="center"/>
                </w:tcPr>
                <w:p w14:paraId="2EFADB66">
                  <w:pPr>
                    <w:widowControl/>
                    <w:adjustRightInd w:val="0"/>
                    <w:snapToGrid w:val="0"/>
                    <w:jc w:val="center"/>
                    <w:rPr>
                      <w:color w:val="auto"/>
                      <w:kern w:val="0"/>
                      <w:szCs w:val="21"/>
                      <w:highlight w:val="none"/>
                    </w:rPr>
                  </w:pPr>
                  <w:r>
                    <w:rPr>
                      <w:color w:val="auto"/>
                      <w:kern w:val="0"/>
                      <w:szCs w:val="21"/>
                      <w:highlight w:val="none"/>
                    </w:rPr>
                    <w:t>/</w:t>
                  </w:r>
                </w:p>
              </w:tc>
            </w:tr>
            <w:tr w14:paraId="0D1AC3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tcBorders>
                    <w:top w:val="single" w:color="auto" w:sz="4" w:space="0"/>
                    <w:bottom w:val="single" w:color="auto" w:sz="4" w:space="0"/>
                  </w:tcBorders>
                  <w:vAlign w:val="center"/>
                </w:tcPr>
                <w:p w14:paraId="7DCC7D0E">
                  <w:pPr>
                    <w:widowControl/>
                    <w:adjustRightInd w:val="0"/>
                    <w:snapToGrid w:val="0"/>
                    <w:jc w:val="center"/>
                    <w:rPr>
                      <w:color w:val="auto"/>
                      <w:kern w:val="0"/>
                      <w:szCs w:val="21"/>
                      <w:highlight w:val="none"/>
                    </w:rPr>
                  </w:pPr>
                  <w:r>
                    <w:rPr>
                      <w:color w:val="auto"/>
                      <w:kern w:val="0"/>
                      <w:szCs w:val="21"/>
                      <w:highlight w:val="none"/>
                    </w:rPr>
                    <w:t>辽河</w:t>
                  </w:r>
                </w:p>
              </w:tc>
              <w:tc>
                <w:tcPr>
                  <w:tcW w:w="855" w:type="pct"/>
                  <w:noWrap/>
                  <w:tcMar>
                    <w:top w:w="0" w:type="dxa"/>
                    <w:left w:w="108" w:type="dxa"/>
                    <w:bottom w:w="0" w:type="dxa"/>
                    <w:right w:w="108" w:type="dxa"/>
                  </w:tcMar>
                  <w:vAlign w:val="center"/>
                </w:tcPr>
                <w:p w14:paraId="19FED262">
                  <w:pPr>
                    <w:widowControl/>
                    <w:adjustRightInd w:val="0"/>
                    <w:snapToGrid w:val="0"/>
                    <w:ind w:left="-96" w:right="-3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83.3</w:t>
                  </w:r>
                </w:p>
              </w:tc>
              <w:tc>
                <w:tcPr>
                  <w:tcW w:w="807" w:type="pct"/>
                  <w:noWrap/>
                  <w:tcMar>
                    <w:top w:w="0" w:type="dxa"/>
                    <w:left w:w="108" w:type="dxa"/>
                    <w:bottom w:w="0" w:type="dxa"/>
                    <w:right w:w="108" w:type="dxa"/>
                  </w:tcMar>
                  <w:vAlign w:val="center"/>
                </w:tcPr>
                <w:p w14:paraId="388EFF6B">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16.7</w:t>
                  </w:r>
                </w:p>
              </w:tc>
              <w:tc>
                <w:tcPr>
                  <w:tcW w:w="890" w:type="pct"/>
                  <w:noWrap/>
                  <w:tcMar>
                    <w:top w:w="0" w:type="dxa"/>
                    <w:left w:w="108" w:type="dxa"/>
                    <w:bottom w:w="0" w:type="dxa"/>
                    <w:right w:w="108" w:type="dxa"/>
                  </w:tcMar>
                  <w:vAlign w:val="center"/>
                </w:tcPr>
                <w:p w14:paraId="43FF3BE4">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724" w:type="pct"/>
                  <w:noWrap/>
                  <w:tcMar>
                    <w:top w:w="0" w:type="dxa"/>
                    <w:left w:w="108" w:type="dxa"/>
                    <w:bottom w:w="0" w:type="dxa"/>
                    <w:right w:w="108" w:type="dxa"/>
                  </w:tcMar>
                  <w:vAlign w:val="center"/>
                </w:tcPr>
                <w:p w14:paraId="281EB398">
                  <w:pPr>
                    <w:widowControl/>
                    <w:adjustRightInd w:val="0"/>
                    <w:snapToGrid w:val="0"/>
                    <w:jc w:val="center"/>
                    <w:rPr>
                      <w:color w:val="auto"/>
                      <w:kern w:val="0"/>
                      <w:szCs w:val="21"/>
                      <w:highlight w:val="none"/>
                    </w:rPr>
                  </w:pPr>
                  <w:r>
                    <w:rPr>
                      <w:color w:val="auto"/>
                      <w:kern w:val="0"/>
                      <w:szCs w:val="21"/>
                      <w:highlight w:val="none"/>
                    </w:rPr>
                    <w:t>/</w:t>
                  </w:r>
                </w:p>
              </w:tc>
            </w:tr>
            <w:tr w14:paraId="76A1F8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1721" w:type="pct"/>
                  <w:tcBorders>
                    <w:top w:val="single" w:color="auto" w:sz="4" w:space="0"/>
                  </w:tcBorders>
                  <w:vAlign w:val="center"/>
                </w:tcPr>
                <w:p w14:paraId="174F86C6">
                  <w:pPr>
                    <w:widowControl/>
                    <w:adjustRightInd w:val="0"/>
                    <w:snapToGrid w:val="0"/>
                    <w:jc w:val="center"/>
                    <w:rPr>
                      <w:color w:val="auto"/>
                      <w:kern w:val="0"/>
                      <w:szCs w:val="21"/>
                      <w:highlight w:val="none"/>
                    </w:rPr>
                  </w:pPr>
                  <w:r>
                    <w:rPr>
                      <w:rFonts w:hint="eastAsia"/>
                      <w:color w:val="auto"/>
                      <w:kern w:val="0"/>
                      <w:szCs w:val="21"/>
                      <w:highlight w:val="none"/>
                    </w:rPr>
                    <w:t>绥芬河</w:t>
                  </w:r>
                </w:p>
              </w:tc>
              <w:tc>
                <w:tcPr>
                  <w:tcW w:w="855" w:type="pct"/>
                  <w:noWrap/>
                  <w:tcMar>
                    <w:top w:w="0" w:type="dxa"/>
                    <w:left w:w="108" w:type="dxa"/>
                    <w:bottom w:w="0" w:type="dxa"/>
                    <w:right w:w="108" w:type="dxa"/>
                  </w:tcMar>
                  <w:vAlign w:val="center"/>
                </w:tcPr>
                <w:p w14:paraId="0BBAAAA3">
                  <w:pPr>
                    <w:widowControl/>
                    <w:adjustRightInd w:val="0"/>
                    <w:snapToGrid w:val="0"/>
                    <w:ind w:left="-96" w:right="-3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w:t>
                  </w:r>
                </w:p>
              </w:tc>
              <w:tc>
                <w:tcPr>
                  <w:tcW w:w="807" w:type="pct"/>
                  <w:noWrap/>
                  <w:tcMar>
                    <w:top w:w="0" w:type="dxa"/>
                    <w:left w:w="108" w:type="dxa"/>
                    <w:bottom w:w="0" w:type="dxa"/>
                    <w:right w:w="108" w:type="dxa"/>
                  </w:tcMar>
                  <w:vAlign w:val="center"/>
                </w:tcPr>
                <w:p w14:paraId="7812B88C">
                  <w:pPr>
                    <w:widowControl/>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890" w:type="pct"/>
                  <w:noWrap/>
                  <w:tcMar>
                    <w:top w:w="0" w:type="dxa"/>
                    <w:left w:w="108" w:type="dxa"/>
                    <w:bottom w:w="0" w:type="dxa"/>
                    <w:right w:w="108" w:type="dxa"/>
                  </w:tcMar>
                  <w:vAlign w:val="center"/>
                </w:tcPr>
                <w:p w14:paraId="35A2B54D">
                  <w:pPr>
                    <w:widowControl/>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724" w:type="pct"/>
                  <w:noWrap/>
                  <w:tcMar>
                    <w:top w:w="0" w:type="dxa"/>
                    <w:left w:w="108" w:type="dxa"/>
                    <w:bottom w:w="0" w:type="dxa"/>
                    <w:right w:w="108" w:type="dxa"/>
                  </w:tcMar>
                  <w:vAlign w:val="center"/>
                </w:tcPr>
                <w:p w14:paraId="1F9C334A">
                  <w:pPr>
                    <w:widowControl/>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w:t>
                  </w:r>
                </w:p>
              </w:tc>
            </w:tr>
          </w:tbl>
          <w:p w14:paraId="461EC762">
            <w:pPr>
              <w:adjustRightInd w:val="0"/>
              <w:snapToGrid w:val="0"/>
              <w:rPr>
                <w:color w:val="auto"/>
                <w:sz w:val="10"/>
                <w:szCs w:val="10"/>
              </w:rPr>
            </w:pPr>
          </w:p>
          <w:p w14:paraId="14D18220">
            <w:pPr>
              <w:pStyle w:val="85"/>
              <w:adjustRightInd w:val="0"/>
              <w:snapToGrid w:val="0"/>
              <w:spacing w:line="360" w:lineRule="auto"/>
              <w:ind w:firstLine="420" w:firstLineChars="200"/>
              <w:rPr>
                <w:i w:val="0"/>
                <w:iCs w:val="0"/>
                <w:color w:val="0000FF"/>
                <w:highlight w:val="none"/>
                <w:u w:val="single" w:color="auto"/>
              </w:rPr>
            </w:pPr>
            <w:r>
              <w:rPr>
                <w:rFonts w:hint="eastAsia"/>
                <w:color w:val="0000FF"/>
                <w:u w:val="single" w:color="auto"/>
                <w:lang w:val="en-US" w:eastAsia="zh-CN"/>
              </w:rPr>
              <w:t>区域地表水体为浑江，根据吉林省生态环境厅网站《吉林省地表水国控断面水质月报》可知，区域地表水体浑江国控面水质情况详见下表。</w:t>
            </w:r>
          </w:p>
          <w:p w14:paraId="2DB05EA9">
            <w:pPr>
              <w:pStyle w:val="85"/>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center"/>
              <w:textAlignment w:val="auto"/>
              <w:rPr>
                <w:rFonts w:eastAsia="宋体"/>
                <w:b w:val="0"/>
                <w:bCs w:val="0"/>
                <w:i w:val="0"/>
                <w:iCs w:val="0"/>
                <w:color w:val="0000FF"/>
                <w:sz w:val="21"/>
                <w:szCs w:val="21"/>
                <w:highlight w:val="none"/>
                <w:u w:val="single" w:color="auto"/>
              </w:rPr>
            </w:pPr>
            <w:r>
              <w:rPr>
                <w:rFonts w:hint="eastAsia" w:eastAsia="宋体"/>
                <w:b w:val="0"/>
                <w:bCs w:val="0"/>
                <w:i w:val="0"/>
                <w:iCs w:val="0"/>
                <w:color w:val="0000FF"/>
                <w:sz w:val="21"/>
                <w:szCs w:val="21"/>
                <w:highlight w:val="none"/>
                <w:u w:val="single" w:color="auto"/>
              </w:rPr>
              <w:t xml:space="preserve"> </w:t>
            </w:r>
            <w:r>
              <w:rPr>
                <w:rFonts w:hint="eastAsia" w:eastAsia="宋体"/>
                <w:b w:val="0"/>
                <w:bCs w:val="0"/>
                <w:i w:val="0"/>
                <w:iCs w:val="0"/>
                <w:color w:val="0000FF"/>
                <w:sz w:val="21"/>
                <w:szCs w:val="21"/>
                <w:highlight w:val="none"/>
                <w:u w:val="single" w:color="auto"/>
                <w:lang w:val="en-US" w:eastAsia="zh-CN"/>
              </w:rPr>
              <w:t>区域地表水体</w:t>
            </w:r>
            <w:r>
              <w:rPr>
                <w:rFonts w:hint="eastAsia" w:eastAsia="宋体"/>
                <w:b w:val="0"/>
                <w:bCs w:val="0"/>
                <w:i w:val="0"/>
                <w:iCs w:val="0"/>
                <w:color w:val="0000FF"/>
                <w:sz w:val="21"/>
                <w:szCs w:val="21"/>
                <w:highlight w:val="none"/>
                <w:u w:val="single" w:color="auto"/>
              </w:rPr>
              <w:t>水质状况表</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650"/>
              <w:gridCol w:w="1805"/>
              <w:gridCol w:w="1594"/>
              <w:gridCol w:w="1594"/>
            </w:tblGrid>
            <w:tr w14:paraId="16871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tcBorders>
                    <w:tl2br w:val="nil"/>
                    <w:tr2bl w:val="nil"/>
                  </w:tcBorders>
                  <w:vAlign w:val="center"/>
                </w:tcPr>
                <w:p w14:paraId="5F6A1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河流名称</w:t>
                  </w:r>
                </w:p>
              </w:tc>
              <w:tc>
                <w:tcPr>
                  <w:tcW w:w="1650" w:type="dxa"/>
                  <w:tcBorders>
                    <w:tl2br w:val="nil"/>
                    <w:tr2bl w:val="nil"/>
                  </w:tcBorders>
                  <w:vAlign w:val="center"/>
                </w:tcPr>
                <w:p w14:paraId="36CB2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时间</w:t>
                  </w:r>
                </w:p>
              </w:tc>
              <w:tc>
                <w:tcPr>
                  <w:tcW w:w="1805" w:type="dxa"/>
                  <w:tcBorders>
                    <w:tl2br w:val="nil"/>
                    <w:tr2bl w:val="nil"/>
                  </w:tcBorders>
                  <w:vAlign w:val="center"/>
                </w:tcPr>
                <w:p w14:paraId="61C94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断面</w:t>
                  </w:r>
                </w:p>
              </w:tc>
              <w:tc>
                <w:tcPr>
                  <w:tcW w:w="1594" w:type="dxa"/>
                  <w:tcBorders>
                    <w:tl2br w:val="nil"/>
                    <w:tr2bl w:val="nil"/>
                  </w:tcBorders>
                  <w:vAlign w:val="center"/>
                </w:tcPr>
                <w:p w14:paraId="1A3805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水质类别</w:t>
                  </w:r>
                </w:p>
              </w:tc>
              <w:tc>
                <w:tcPr>
                  <w:tcW w:w="1594" w:type="dxa"/>
                  <w:tcBorders>
                    <w:tl2br w:val="nil"/>
                    <w:tr2bl w:val="nil"/>
                  </w:tcBorders>
                  <w:vAlign w:val="center"/>
                </w:tcPr>
                <w:p w14:paraId="638F1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是否达标</w:t>
                  </w:r>
                </w:p>
              </w:tc>
            </w:tr>
            <w:tr w14:paraId="723D5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restart"/>
                  <w:tcBorders>
                    <w:tl2br w:val="nil"/>
                    <w:tr2bl w:val="nil"/>
                  </w:tcBorders>
                  <w:vAlign w:val="center"/>
                </w:tcPr>
                <w:p w14:paraId="62182F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浑江</w:t>
                  </w:r>
                </w:p>
              </w:tc>
              <w:tc>
                <w:tcPr>
                  <w:tcW w:w="1650" w:type="dxa"/>
                  <w:vMerge w:val="restart"/>
                  <w:tcBorders>
                    <w:tl2br w:val="nil"/>
                    <w:tr2bl w:val="nil"/>
                  </w:tcBorders>
                  <w:vAlign w:val="center"/>
                </w:tcPr>
                <w:p w14:paraId="51003B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2025.11</w:t>
                  </w:r>
                </w:p>
              </w:tc>
              <w:tc>
                <w:tcPr>
                  <w:tcW w:w="1805" w:type="dxa"/>
                  <w:tcBorders>
                    <w:tl2br w:val="nil"/>
                    <w:tr2bl w:val="nil"/>
                  </w:tcBorders>
                  <w:vAlign w:val="center"/>
                </w:tcPr>
                <w:p w14:paraId="373FEA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vAlign w:val="center"/>
                </w:tcPr>
                <w:p w14:paraId="52E54F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7B28C7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14118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08397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4B60F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vAlign w:val="center"/>
                </w:tcPr>
                <w:p w14:paraId="69A0E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vAlign w:val="center"/>
                </w:tcPr>
                <w:p w14:paraId="4E7AB2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3446B5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7AA00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363D3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72B438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2025.10</w:t>
                  </w:r>
                </w:p>
              </w:tc>
              <w:tc>
                <w:tcPr>
                  <w:tcW w:w="1805" w:type="dxa"/>
                  <w:tcBorders>
                    <w:tl2br w:val="nil"/>
                    <w:tr2bl w:val="nil"/>
                  </w:tcBorders>
                  <w:shd w:val="clear" w:color="auto" w:fill="auto"/>
                  <w:vAlign w:val="center"/>
                </w:tcPr>
                <w:p w14:paraId="6DDAA4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1B25B5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Ⅲ</w:t>
                  </w:r>
                </w:p>
              </w:tc>
              <w:tc>
                <w:tcPr>
                  <w:tcW w:w="1594" w:type="dxa"/>
                  <w:tcBorders>
                    <w:tl2br w:val="nil"/>
                    <w:tr2bl w:val="nil"/>
                  </w:tcBorders>
                  <w:vAlign w:val="center"/>
                </w:tcPr>
                <w:p w14:paraId="0417F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06801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1BA62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31425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227D7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2556F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1DEC9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61047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40BF0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4112C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2025.9</w:t>
                  </w:r>
                </w:p>
              </w:tc>
              <w:tc>
                <w:tcPr>
                  <w:tcW w:w="1805" w:type="dxa"/>
                  <w:tcBorders>
                    <w:tl2br w:val="nil"/>
                    <w:tr2bl w:val="nil"/>
                  </w:tcBorders>
                  <w:shd w:val="clear" w:color="auto" w:fill="auto"/>
                  <w:vAlign w:val="center"/>
                </w:tcPr>
                <w:p w14:paraId="001FED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088813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1C147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5B1F6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3A745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674E20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27E0C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4299EF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01AD00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01C1E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2BA95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0693C2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2025.8</w:t>
                  </w:r>
                </w:p>
              </w:tc>
              <w:tc>
                <w:tcPr>
                  <w:tcW w:w="1805" w:type="dxa"/>
                  <w:tcBorders>
                    <w:tl2br w:val="nil"/>
                    <w:tr2bl w:val="nil"/>
                  </w:tcBorders>
                  <w:shd w:val="clear" w:color="auto" w:fill="auto"/>
                  <w:vAlign w:val="center"/>
                </w:tcPr>
                <w:p w14:paraId="7E53B9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764E1A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Ⅲ</w:t>
                  </w:r>
                </w:p>
              </w:tc>
              <w:tc>
                <w:tcPr>
                  <w:tcW w:w="1594" w:type="dxa"/>
                  <w:tcBorders>
                    <w:tl2br w:val="nil"/>
                    <w:tr2bl w:val="nil"/>
                  </w:tcBorders>
                  <w:vAlign w:val="center"/>
                </w:tcPr>
                <w:p w14:paraId="12A5E3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31947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6BBBC6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54C57D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2415D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4BC0A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5D0790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1897E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71691B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17779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2025.7</w:t>
                  </w:r>
                </w:p>
              </w:tc>
              <w:tc>
                <w:tcPr>
                  <w:tcW w:w="1805" w:type="dxa"/>
                  <w:tcBorders>
                    <w:tl2br w:val="nil"/>
                    <w:tr2bl w:val="nil"/>
                  </w:tcBorders>
                  <w:shd w:val="clear" w:color="auto" w:fill="auto"/>
                  <w:vAlign w:val="center"/>
                </w:tcPr>
                <w:p w14:paraId="3E524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5511E7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20FF5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410AE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5D69B3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53434D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519D7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4ECE8B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72392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390A1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2C8744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75282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2025.6</w:t>
                  </w:r>
                </w:p>
              </w:tc>
              <w:tc>
                <w:tcPr>
                  <w:tcW w:w="1805" w:type="dxa"/>
                  <w:tcBorders>
                    <w:tl2br w:val="nil"/>
                    <w:tr2bl w:val="nil"/>
                  </w:tcBorders>
                  <w:shd w:val="clear" w:color="auto" w:fill="auto"/>
                  <w:vAlign w:val="center"/>
                </w:tcPr>
                <w:p w14:paraId="75713C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7D6335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4BC1F4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65F07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0B5F37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1E19B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0F3D4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4A1AFC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529F2F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77778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396E20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51BE3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2025.5</w:t>
                  </w:r>
                </w:p>
              </w:tc>
              <w:tc>
                <w:tcPr>
                  <w:tcW w:w="1805" w:type="dxa"/>
                  <w:tcBorders>
                    <w:tl2br w:val="nil"/>
                    <w:tr2bl w:val="nil"/>
                  </w:tcBorders>
                  <w:shd w:val="clear" w:color="auto" w:fill="auto"/>
                  <w:vAlign w:val="center"/>
                </w:tcPr>
                <w:p w14:paraId="6DD00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637AAA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00385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41CCB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3CABA0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32962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48274E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1123F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661D9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372BB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0AA19A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47153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2025.4</w:t>
                  </w:r>
                </w:p>
              </w:tc>
              <w:tc>
                <w:tcPr>
                  <w:tcW w:w="1805" w:type="dxa"/>
                  <w:tcBorders>
                    <w:tl2br w:val="nil"/>
                    <w:tr2bl w:val="nil"/>
                  </w:tcBorders>
                  <w:shd w:val="clear" w:color="auto" w:fill="auto"/>
                  <w:vAlign w:val="center"/>
                </w:tcPr>
                <w:p w14:paraId="0C1EE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2E21A5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58FE9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4C197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1B029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6AA54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53F9B1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376CC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2264FA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24646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722CF0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23E51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2025.3</w:t>
                  </w:r>
                </w:p>
              </w:tc>
              <w:tc>
                <w:tcPr>
                  <w:tcW w:w="1805" w:type="dxa"/>
                  <w:tcBorders>
                    <w:tl2br w:val="nil"/>
                    <w:tr2bl w:val="nil"/>
                  </w:tcBorders>
                  <w:shd w:val="clear" w:color="auto" w:fill="auto"/>
                  <w:vAlign w:val="center"/>
                </w:tcPr>
                <w:p w14:paraId="21127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vAlign w:val="center"/>
                </w:tcPr>
                <w:p w14:paraId="4FD31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42893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56133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6E3B1E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73E65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1EEE1E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vAlign w:val="center"/>
                </w:tcPr>
                <w:p w14:paraId="2A2089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Ⅲ</w:t>
                  </w:r>
                </w:p>
              </w:tc>
              <w:tc>
                <w:tcPr>
                  <w:tcW w:w="1594" w:type="dxa"/>
                  <w:tcBorders>
                    <w:tl2br w:val="nil"/>
                    <w:tr2bl w:val="nil"/>
                  </w:tcBorders>
                  <w:vAlign w:val="center"/>
                </w:tcPr>
                <w:p w14:paraId="16201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695A6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430EEF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1AB307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2025.2</w:t>
                  </w:r>
                </w:p>
              </w:tc>
              <w:tc>
                <w:tcPr>
                  <w:tcW w:w="1805" w:type="dxa"/>
                  <w:tcBorders>
                    <w:tl2br w:val="nil"/>
                    <w:tr2bl w:val="nil"/>
                  </w:tcBorders>
                  <w:shd w:val="clear" w:color="auto" w:fill="auto"/>
                  <w:vAlign w:val="center"/>
                </w:tcPr>
                <w:p w14:paraId="15D3D7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shd w:val="clear" w:color="auto" w:fill="auto"/>
                  <w:vAlign w:val="center"/>
                </w:tcPr>
                <w:p w14:paraId="1B6A8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4223B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66D9C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4B630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048A62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4527D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shd w:val="clear" w:color="auto" w:fill="auto"/>
                  <w:vAlign w:val="center"/>
                </w:tcPr>
                <w:p w14:paraId="17AA84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Ⅲ</w:t>
                  </w:r>
                </w:p>
              </w:tc>
              <w:tc>
                <w:tcPr>
                  <w:tcW w:w="1594" w:type="dxa"/>
                  <w:tcBorders>
                    <w:tl2br w:val="nil"/>
                    <w:tr2bl w:val="nil"/>
                  </w:tcBorders>
                  <w:vAlign w:val="center"/>
                </w:tcPr>
                <w:p w14:paraId="71238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5ED8D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56B53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14534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2025.1</w:t>
                  </w:r>
                </w:p>
              </w:tc>
              <w:tc>
                <w:tcPr>
                  <w:tcW w:w="1805" w:type="dxa"/>
                  <w:tcBorders>
                    <w:tl2br w:val="nil"/>
                    <w:tr2bl w:val="nil"/>
                  </w:tcBorders>
                  <w:shd w:val="clear" w:color="auto" w:fill="auto"/>
                  <w:vAlign w:val="center"/>
                </w:tcPr>
                <w:p w14:paraId="7092B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vAlign w:val="center"/>
                </w:tcPr>
                <w:p w14:paraId="47A76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05646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0F86C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79D2F7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4589D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2A6FEA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vAlign w:val="center"/>
                </w:tcPr>
                <w:p w14:paraId="5B4747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Ⅲ</w:t>
                  </w:r>
                </w:p>
              </w:tc>
              <w:tc>
                <w:tcPr>
                  <w:tcW w:w="1594" w:type="dxa"/>
                  <w:tcBorders>
                    <w:tl2br w:val="nil"/>
                    <w:tr2bl w:val="nil"/>
                  </w:tcBorders>
                  <w:vAlign w:val="center"/>
                </w:tcPr>
                <w:p w14:paraId="2768E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09503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39FB6C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restart"/>
                  <w:tcBorders>
                    <w:tl2br w:val="nil"/>
                    <w:tr2bl w:val="nil"/>
                  </w:tcBorders>
                  <w:vAlign w:val="center"/>
                </w:tcPr>
                <w:p w14:paraId="12673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2024.12</w:t>
                  </w:r>
                </w:p>
              </w:tc>
              <w:tc>
                <w:tcPr>
                  <w:tcW w:w="1805" w:type="dxa"/>
                  <w:tcBorders>
                    <w:tl2br w:val="nil"/>
                    <w:tr2bl w:val="nil"/>
                  </w:tcBorders>
                  <w:shd w:val="clear" w:color="auto" w:fill="auto"/>
                  <w:vAlign w:val="center"/>
                </w:tcPr>
                <w:p w14:paraId="242BD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江源（浑）</w:t>
                  </w:r>
                </w:p>
              </w:tc>
              <w:tc>
                <w:tcPr>
                  <w:tcW w:w="1594" w:type="dxa"/>
                  <w:tcBorders>
                    <w:tl2br w:val="nil"/>
                    <w:tr2bl w:val="nil"/>
                  </w:tcBorders>
                  <w:vAlign w:val="center"/>
                </w:tcPr>
                <w:p w14:paraId="6DF7B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118898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r w14:paraId="628CB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26" w:type="dxa"/>
                  <w:vMerge w:val="continue"/>
                  <w:tcBorders>
                    <w:tl2br w:val="nil"/>
                    <w:tr2bl w:val="nil"/>
                  </w:tcBorders>
                  <w:vAlign w:val="center"/>
                </w:tcPr>
                <w:p w14:paraId="6F5444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p>
              </w:tc>
              <w:tc>
                <w:tcPr>
                  <w:tcW w:w="1650" w:type="dxa"/>
                  <w:vMerge w:val="continue"/>
                  <w:tcBorders>
                    <w:tl2br w:val="nil"/>
                    <w:tr2bl w:val="nil"/>
                  </w:tcBorders>
                  <w:vAlign w:val="center"/>
                </w:tcPr>
                <w:p w14:paraId="79B738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0000FF"/>
                      <w:sz w:val="21"/>
                      <w:szCs w:val="21"/>
                      <w:u w:val="single" w:color="auto"/>
                      <w:vertAlign w:val="baseline"/>
                      <w:lang w:val="en-US" w:eastAsia="zh-CN" w:bidi="ar-SA"/>
                    </w:rPr>
                  </w:pPr>
                </w:p>
              </w:tc>
              <w:tc>
                <w:tcPr>
                  <w:tcW w:w="1805" w:type="dxa"/>
                  <w:tcBorders>
                    <w:tl2br w:val="nil"/>
                    <w:tr2bl w:val="nil"/>
                  </w:tcBorders>
                  <w:shd w:val="clear" w:color="auto" w:fill="auto"/>
                  <w:vAlign w:val="center"/>
                </w:tcPr>
                <w:p w14:paraId="4BCA2E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i w:val="0"/>
                      <w:iCs w:val="0"/>
                      <w:caps w:val="0"/>
                      <w:color w:val="0000FF"/>
                      <w:spacing w:val="0"/>
                      <w:sz w:val="21"/>
                      <w:szCs w:val="21"/>
                      <w:shd w:val="clear" w:fill="FFFFFF"/>
                    </w:rPr>
                    <w:t>西村</w:t>
                  </w:r>
                </w:p>
              </w:tc>
              <w:tc>
                <w:tcPr>
                  <w:tcW w:w="1594" w:type="dxa"/>
                  <w:tcBorders>
                    <w:tl2br w:val="nil"/>
                    <w:tr2bl w:val="nil"/>
                  </w:tcBorders>
                  <w:vAlign w:val="center"/>
                </w:tcPr>
                <w:p w14:paraId="507373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ascii="宋体" w:hAnsi="宋体" w:eastAsia="宋体" w:cs="宋体"/>
                      <w:color w:val="0000FF"/>
                      <w:sz w:val="21"/>
                      <w:szCs w:val="21"/>
                      <w:u w:val="single" w:color="auto"/>
                      <w:vertAlign w:val="baseline"/>
                      <w:lang w:val="en-US" w:eastAsia="zh-CN" w:bidi="ar-SA"/>
                    </w:rPr>
                    <w:t>Ⅱ</w:t>
                  </w:r>
                </w:p>
              </w:tc>
              <w:tc>
                <w:tcPr>
                  <w:tcW w:w="1594" w:type="dxa"/>
                  <w:tcBorders>
                    <w:tl2br w:val="nil"/>
                    <w:tr2bl w:val="nil"/>
                  </w:tcBorders>
                  <w:vAlign w:val="center"/>
                </w:tcPr>
                <w:p w14:paraId="61FEE2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FF"/>
                      <w:sz w:val="21"/>
                      <w:szCs w:val="21"/>
                      <w:u w:val="single" w:color="auto"/>
                      <w:vertAlign w:val="baseline"/>
                      <w:lang w:val="en-US" w:eastAsia="zh-CN" w:bidi="ar-SA"/>
                    </w:rPr>
                  </w:pPr>
                  <w:r>
                    <w:rPr>
                      <w:rFonts w:hint="eastAsia" w:eastAsia="宋体" w:cs="宋体"/>
                      <w:color w:val="0000FF"/>
                      <w:sz w:val="21"/>
                      <w:szCs w:val="21"/>
                      <w:u w:val="single" w:color="auto"/>
                      <w:vertAlign w:val="baseline"/>
                      <w:lang w:val="en-US" w:eastAsia="zh-CN" w:bidi="ar-SA"/>
                    </w:rPr>
                    <w:t>达标</w:t>
                  </w:r>
                </w:p>
              </w:tc>
            </w:tr>
          </w:tbl>
          <w:p w14:paraId="591953D1">
            <w:pPr>
              <w:adjustRightInd w:val="0"/>
              <w:snapToGrid w:val="0"/>
              <w:spacing w:line="336" w:lineRule="auto"/>
              <w:ind w:firstLine="420" w:firstLineChars="200"/>
              <w:jc w:val="left"/>
              <w:rPr>
                <w:rFonts w:hint="default" w:ascii="Times New Roman" w:hAnsi="Times New Roman" w:eastAsia="宋体" w:cs="宋体"/>
                <w:color w:val="0000FF"/>
                <w:sz w:val="21"/>
                <w:szCs w:val="21"/>
                <w:u w:val="single" w:color="auto"/>
                <w:lang w:val="en-US" w:eastAsia="zh-CN" w:bidi="ar-SA"/>
              </w:rPr>
            </w:pPr>
            <w:r>
              <w:rPr>
                <w:rFonts w:hint="eastAsia" w:ascii="Times New Roman" w:hAnsi="Times New Roman" w:eastAsia="宋体" w:cs="宋体"/>
                <w:color w:val="0000FF"/>
                <w:sz w:val="21"/>
                <w:szCs w:val="21"/>
                <w:u w:val="single" w:color="auto"/>
                <w:lang w:val="en-US" w:eastAsia="zh-CN" w:bidi="ar-SA"/>
              </w:rPr>
              <w:t>通过国控断面监测结果可知，</w:t>
            </w:r>
            <w:r>
              <w:rPr>
                <w:rFonts w:hint="eastAsia" w:cs="宋体"/>
                <w:color w:val="0000FF"/>
                <w:sz w:val="21"/>
                <w:szCs w:val="21"/>
                <w:u w:val="single" w:color="auto"/>
                <w:lang w:val="en-US" w:eastAsia="zh-CN" w:bidi="ar-SA"/>
              </w:rPr>
              <w:t>该断面水环境质量较好，能够达到考核要求</w:t>
            </w:r>
            <w:r>
              <w:rPr>
                <w:rFonts w:hint="eastAsia" w:ascii="Times New Roman" w:hAnsi="Times New Roman" w:eastAsia="宋体" w:cs="宋体"/>
                <w:color w:val="0000FF"/>
                <w:sz w:val="21"/>
                <w:szCs w:val="21"/>
                <w:u w:val="single" w:color="auto"/>
                <w:lang w:val="en-US" w:eastAsia="zh-CN" w:bidi="ar-SA"/>
              </w:rPr>
              <w:t>。</w:t>
            </w:r>
          </w:p>
          <w:p w14:paraId="4ED13CE0">
            <w:pPr>
              <w:adjustRightInd w:val="0"/>
              <w:snapToGrid w:val="0"/>
              <w:spacing w:line="336" w:lineRule="auto"/>
              <w:jc w:val="left"/>
              <w:rPr>
                <w:color w:val="auto"/>
                <w:highlight w:val="none"/>
              </w:rPr>
            </w:pPr>
            <w:r>
              <w:rPr>
                <w:rFonts w:hint="eastAsia"/>
                <w:color w:val="auto"/>
                <w:highlight w:val="none"/>
              </w:rPr>
              <w:t>2、环境空气质量现状</w:t>
            </w:r>
          </w:p>
          <w:p w14:paraId="267E5FAD">
            <w:pPr>
              <w:adjustRightInd w:val="0"/>
              <w:snapToGrid w:val="0"/>
              <w:spacing w:line="336" w:lineRule="auto"/>
              <w:rPr>
                <w:color w:val="auto"/>
              </w:rPr>
            </w:pPr>
            <w:r>
              <w:rPr>
                <w:rFonts w:hint="eastAsia"/>
                <w:color w:val="auto"/>
              </w:rPr>
              <w:t>2.1区域环境空气质量状况</w:t>
            </w:r>
          </w:p>
          <w:p w14:paraId="1337EADD">
            <w:pPr>
              <w:snapToGrid w:val="0"/>
              <w:spacing w:line="360" w:lineRule="auto"/>
              <w:ind w:firstLine="420" w:firstLineChars="200"/>
              <w:rPr>
                <w:color w:val="auto"/>
              </w:rPr>
            </w:pPr>
            <w:r>
              <w:rPr>
                <w:color w:val="auto"/>
              </w:rPr>
              <w:t>本项目位于</w:t>
            </w:r>
            <w:r>
              <w:rPr>
                <w:rFonts w:hint="eastAsia" w:ascii="宋体" w:hAnsi="宋体" w:cs="宋体"/>
                <w:i w:val="0"/>
                <w:iCs w:val="0"/>
                <w:color w:val="auto"/>
                <w:u w:val="none" w:color="auto"/>
                <w:lang w:val="en-US" w:eastAsia="zh-CN"/>
              </w:rPr>
              <w:t>白山市浑江区河口街道</w:t>
            </w:r>
            <w:r>
              <w:rPr>
                <w:color w:val="auto"/>
              </w:rPr>
              <w:t>，区域环境空气质量达标情况采用吉林省生态环境厅发布的《吉林省202</w:t>
            </w:r>
            <w:r>
              <w:rPr>
                <w:rFonts w:hint="eastAsia"/>
                <w:color w:val="auto"/>
                <w:lang w:val="en-US" w:eastAsia="zh-CN"/>
              </w:rPr>
              <w:t>4</w:t>
            </w:r>
            <w:r>
              <w:rPr>
                <w:color w:val="auto"/>
              </w:rPr>
              <w:t>年生态环境状况公报》中的数据进行空气质量达标区判定，详见下表。</w:t>
            </w:r>
          </w:p>
          <w:p w14:paraId="4A3D8565">
            <w:pPr>
              <w:pStyle w:val="83"/>
              <w:spacing w:line="240" w:lineRule="auto"/>
              <w:ind w:left="0" w:firstLine="0"/>
              <w:rPr>
                <w:rFonts w:cs="宋体"/>
                <w:b w:val="0"/>
                <w:bCs/>
                <w:color w:val="auto"/>
                <w:sz w:val="21"/>
              </w:rPr>
            </w:pPr>
            <w:r>
              <w:rPr>
                <w:rFonts w:hint="eastAsia" w:cs="宋体"/>
                <w:b w:val="0"/>
                <w:bCs/>
                <w:color w:val="auto"/>
                <w:sz w:val="21"/>
                <w:highlight w:val="none"/>
              </w:rPr>
              <w:t>环境空气基本污染物质量现状评价表</w:t>
            </w:r>
          </w:p>
          <w:tbl>
            <w:tblPr>
              <w:tblStyle w:val="29"/>
              <w:tblW w:w="5000" w:type="pct"/>
              <w:jc w:val="center"/>
              <w:tblLayout w:type="autofit"/>
              <w:tblCellMar>
                <w:top w:w="0" w:type="dxa"/>
                <w:left w:w="0" w:type="dxa"/>
                <w:bottom w:w="0" w:type="dxa"/>
                <w:right w:w="0" w:type="dxa"/>
              </w:tblCellMar>
            </w:tblPr>
            <w:tblGrid>
              <w:gridCol w:w="1002"/>
              <w:gridCol w:w="709"/>
              <w:gridCol w:w="1990"/>
              <w:gridCol w:w="724"/>
              <w:gridCol w:w="852"/>
              <w:gridCol w:w="890"/>
              <w:gridCol w:w="913"/>
              <w:gridCol w:w="899"/>
            </w:tblGrid>
            <w:tr w14:paraId="35D664CC">
              <w:tblPrEx>
                <w:tblCellMar>
                  <w:top w:w="0" w:type="dxa"/>
                  <w:left w:w="0" w:type="dxa"/>
                  <w:bottom w:w="0" w:type="dxa"/>
                  <w:right w:w="0" w:type="dxa"/>
                </w:tblCellMar>
              </w:tblPrEx>
              <w:trPr>
                <w:trHeight w:val="23" w:hRule="atLeast"/>
                <w:jc w:val="center"/>
              </w:trPr>
              <w:tc>
                <w:tcPr>
                  <w:tcW w:w="628" w:type="pct"/>
                  <w:tcBorders>
                    <w:top w:val="single" w:color="000000" w:sz="12" w:space="0"/>
                    <w:left w:val="nil"/>
                    <w:bottom w:val="single" w:color="000000" w:sz="4" w:space="0"/>
                    <w:right w:val="single" w:color="000000" w:sz="4" w:space="0"/>
                  </w:tcBorders>
                  <w:vAlign w:val="center"/>
                </w:tcPr>
                <w:p w14:paraId="2580F74E">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污染物</w:t>
                  </w:r>
                </w:p>
              </w:tc>
              <w:tc>
                <w:tcPr>
                  <w:tcW w:w="444" w:type="pct"/>
                  <w:tcBorders>
                    <w:top w:val="single" w:color="000000" w:sz="12" w:space="0"/>
                    <w:left w:val="single" w:color="000000" w:sz="4" w:space="0"/>
                    <w:bottom w:val="single" w:color="000000" w:sz="4" w:space="0"/>
                    <w:right w:val="single" w:color="000000" w:sz="4" w:space="0"/>
                  </w:tcBorders>
                  <w:vAlign w:val="center"/>
                </w:tcPr>
                <w:p w14:paraId="3E2E754D">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单位</w:t>
                  </w:r>
                </w:p>
              </w:tc>
              <w:tc>
                <w:tcPr>
                  <w:tcW w:w="1247" w:type="pct"/>
                  <w:tcBorders>
                    <w:top w:val="single" w:color="000000" w:sz="12" w:space="0"/>
                    <w:left w:val="single" w:color="000000" w:sz="4" w:space="0"/>
                    <w:bottom w:val="single" w:color="000000" w:sz="4" w:space="0"/>
                    <w:right w:val="single" w:color="000000" w:sz="4" w:space="0"/>
                  </w:tcBorders>
                  <w:vAlign w:val="center"/>
                </w:tcPr>
                <w:p w14:paraId="7C5BA5D2">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年评价指标</w:t>
                  </w:r>
                </w:p>
              </w:tc>
              <w:tc>
                <w:tcPr>
                  <w:tcW w:w="454" w:type="pct"/>
                  <w:tcBorders>
                    <w:top w:val="single" w:color="000000" w:sz="12" w:space="0"/>
                    <w:left w:val="single" w:color="000000" w:sz="4" w:space="0"/>
                    <w:bottom w:val="single" w:color="000000" w:sz="4" w:space="0"/>
                    <w:right w:val="single" w:color="000000" w:sz="4" w:space="0"/>
                  </w:tcBorders>
                  <w:vAlign w:val="center"/>
                </w:tcPr>
                <w:p w14:paraId="513C02B7">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现状</w:t>
                  </w:r>
                </w:p>
                <w:p w14:paraId="3FB6F280">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浓度</w:t>
                  </w:r>
                </w:p>
              </w:tc>
              <w:tc>
                <w:tcPr>
                  <w:tcW w:w="534" w:type="pct"/>
                  <w:tcBorders>
                    <w:top w:val="single" w:color="000000" w:sz="12" w:space="0"/>
                    <w:left w:val="single" w:color="000000" w:sz="4" w:space="0"/>
                    <w:bottom w:val="single" w:color="000000" w:sz="4" w:space="0"/>
                    <w:right w:val="single" w:color="000000" w:sz="4" w:space="0"/>
                  </w:tcBorders>
                  <w:vAlign w:val="center"/>
                </w:tcPr>
                <w:p w14:paraId="2EC047A6">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标准值</w:t>
                  </w:r>
                </w:p>
              </w:tc>
              <w:tc>
                <w:tcPr>
                  <w:tcW w:w="558" w:type="pct"/>
                  <w:tcBorders>
                    <w:top w:val="single" w:color="000000" w:sz="12" w:space="0"/>
                    <w:left w:val="single" w:color="000000" w:sz="4" w:space="0"/>
                    <w:bottom w:val="single" w:color="000000" w:sz="4" w:space="0"/>
                    <w:right w:val="single" w:color="000000" w:sz="4" w:space="0"/>
                  </w:tcBorders>
                  <w:vAlign w:val="center"/>
                </w:tcPr>
                <w:p w14:paraId="54B2D806">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超标</w:t>
                  </w:r>
                </w:p>
                <w:p w14:paraId="4565FE1D">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倍数</w:t>
                  </w:r>
                </w:p>
              </w:tc>
              <w:tc>
                <w:tcPr>
                  <w:tcW w:w="572" w:type="pct"/>
                  <w:tcBorders>
                    <w:top w:val="single" w:color="000000" w:sz="12" w:space="0"/>
                    <w:left w:val="single" w:color="000000" w:sz="4" w:space="0"/>
                    <w:bottom w:val="single" w:color="000000" w:sz="4" w:space="0"/>
                    <w:right w:val="single" w:color="000000" w:sz="4" w:space="0"/>
                  </w:tcBorders>
                  <w:vAlign w:val="center"/>
                </w:tcPr>
                <w:p w14:paraId="34457036">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占标率</w:t>
                  </w:r>
                </w:p>
                <w:p w14:paraId="08FA8F80">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w:t>
                  </w:r>
                </w:p>
              </w:tc>
              <w:tc>
                <w:tcPr>
                  <w:tcW w:w="564" w:type="pct"/>
                  <w:tcBorders>
                    <w:top w:val="single" w:color="000000" w:sz="12" w:space="0"/>
                    <w:left w:val="single" w:color="000000" w:sz="4" w:space="0"/>
                    <w:bottom w:val="single" w:color="000000" w:sz="4" w:space="0"/>
                    <w:right w:val="nil"/>
                  </w:tcBorders>
                  <w:vAlign w:val="center"/>
                </w:tcPr>
                <w:p w14:paraId="6FA0AC2B">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p w14:paraId="5ED1A41F">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情况</w:t>
                  </w:r>
                </w:p>
              </w:tc>
            </w:tr>
            <w:tr w14:paraId="3E07656D">
              <w:tblPrEx>
                <w:tblCellMar>
                  <w:top w:w="0" w:type="dxa"/>
                  <w:left w:w="0" w:type="dxa"/>
                  <w:bottom w:w="0" w:type="dxa"/>
                  <w:right w:w="0" w:type="dxa"/>
                </w:tblCellMar>
              </w:tblPrEx>
              <w:trPr>
                <w:trHeight w:val="23" w:hRule="atLeast"/>
                <w:jc w:val="center"/>
              </w:trPr>
              <w:tc>
                <w:tcPr>
                  <w:tcW w:w="628" w:type="pct"/>
                  <w:tcBorders>
                    <w:top w:val="single" w:color="000000" w:sz="4" w:space="0"/>
                    <w:left w:val="nil"/>
                    <w:bottom w:val="single" w:color="000000" w:sz="4" w:space="0"/>
                    <w:right w:val="single" w:color="000000" w:sz="4" w:space="0"/>
                  </w:tcBorders>
                  <w:vAlign w:val="center"/>
                </w:tcPr>
                <w:p w14:paraId="04172152">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PM</w:t>
                  </w:r>
                  <w:r>
                    <w:rPr>
                      <w:rFonts w:hint="default" w:ascii="Times New Roman" w:hAnsi="Times New Roman" w:cs="Times New Roman" w:eastAsiaTheme="minorEastAsia"/>
                      <w:b w:val="0"/>
                      <w:bCs/>
                      <w:color w:val="auto"/>
                      <w:sz w:val="18"/>
                      <w:szCs w:val="18"/>
                      <w:highlight w:val="none"/>
                      <w:vertAlign w:val="subscript"/>
                    </w:rPr>
                    <w:t>10</w:t>
                  </w:r>
                </w:p>
              </w:tc>
              <w:tc>
                <w:tcPr>
                  <w:tcW w:w="444" w:type="pct"/>
                  <w:tcBorders>
                    <w:top w:val="single" w:color="000000" w:sz="4" w:space="0"/>
                    <w:left w:val="single" w:color="000000" w:sz="4" w:space="0"/>
                    <w:bottom w:val="single" w:color="000000" w:sz="4" w:space="0"/>
                    <w:right w:val="single" w:color="000000" w:sz="4" w:space="0"/>
                  </w:tcBorders>
                  <w:vAlign w:val="center"/>
                </w:tcPr>
                <w:p w14:paraId="65160995">
                  <w:pPr>
                    <w:pStyle w:val="38"/>
                    <w:tabs>
                      <w:tab w:val="left" w:pos="0"/>
                    </w:tabs>
                    <w:rPr>
                      <w:rFonts w:hint="default" w:ascii="Times New Roman" w:hAnsi="Times New Roman" w:cs="Times New Roman" w:eastAsiaTheme="minorEastAsia"/>
                      <w:b w:val="0"/>
                      <w:bCs/>
                      <w:color w:val="auto"/>
                      <w:sz w:val="18"/>
                      <w:szCs w:val="18"/>
                      <w:highlight w:val="none"/>
                    </w:rPr>
                  </w:pPr>
                  <w:r>
                    <w:rPr>
                      <w:rFonts w:hint="eastAsia" w:ascii="Times New Roman" w:cs="Times New Roman" w:eastAsiaTheme="minorEastAsia"/>
                      <w:b w:val="0"/>
                      <w:bCs/>
                      <w:color w:val="auto"/>
                      <w:sz w:val="18"/>
                      <w:szCs w:val="18"/>
                      <w:highlight w:val="none"/>
                      <w:lang w:eastAsia="zh-CN"/>
                    </w:rPr>
                    <w:t>μg/m</w:t>
                  </w:r>
                  <w:r>
                    <w:rPr>
                      <w:rFonts w:hint="eastAsia" w:ascii="Times New Roman" w:cs="Times New Roman" w:eastAsiaTheme="minorEastAsia"/>
                      <w:b w:val="0"/>
                      <w:bCs/>
                      <w:color w:val="auto"/>
                      <w:sz w:val="18"/>
                      <w:szCs w:val="18"/>
                      <w:highlight w:val="none"/>
                      <w:vertAlign w:val="superscript"/>
                      <w:lang w:eastAsia="zh-CN"/>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6DD65EFD">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67CA1096">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54</w:t>
                  </w:r>
                </w:p>
              </w:tc>
              <w:tc>
                <w:tcPr>
                  <w:tcW w:w="534" w:type="pct"/>
                  <w:tcBorders>
                    <w:top w:val="single" w:color="000000" w:sz="4" w:space="0"/>
                    <w:left w:val="single" w:color="000000" w:sz="4" w:space="0"/>
                    <w:bottom w:val="single" w:color="000000" w:sz="4" w:space="0"/>
                    <w:right w:val="single" w:color="000000" w:sz="4" w:space="0"/>
                  </w:tcBorders>
                  <w:vAlign w:val="center"/>
                </w:tcPr>
                <w:p w14:paraId="3DD887CB">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70</w:t>
                  </w:r>
                </w:p>
              </w:tc>
              <w:tc>
                <w:tcPr>
                  <w:tcW w:w="558" w:type="pct"/>
                  <w:tcBorders>
                    <w:top w:val="single" w:color="000000" w:sz="4" w:space="0"/>
                    <w:left w:val="single" w:color="000000" w:sz="4" w:space="0"/>
                    <w:bottom w:val="single" w:color="000000" w:sz="4" w:space="0"/>
                    <w:right w:val="single" w:color="000000" w:sz="4" w:space="0"/>
                  </w:tcBorders>
                  <w:vAlign w:val="center"/>
                </w:tcPr>
                <w:p w14:paraId="7800DEDC">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7E5B793D">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77</w:t>
                  </w:r>
                </w:p>
              </w:tc>
              <w:tc>
                <w:tcPr>
                  <w:tcW w:w="564" w:type="pct"/>
                  <w:tcBorders>
                    <w:top w:val="single" w:color="000000" w:sz="4" w:space="0"/>
                    <w:left w:val="single" w:color="000000" w:sz="4" w:space="0"/>
                    <w:bottom w:val="single" w:color="000000" w:sz="4" w:space="0"/>
                    <w:right w:val="nil"/>
                  </w:tcBorders>
                  <w:vAlign w:val="center"/>
                </w:tcPr>
                <w:p w14:paraId="54B4EEE3">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tc>
            </w:tr>
            <w:tr w14:paraId="104CAA51">
              <w:tblPrEx>
                <w:tblCellMar>
                  <w:top w:w="0" w:type="dxa"/>
                  <w:left w:w="0" w:type="dxa"/>
                  <w:bottom w:w="0" w:type="dxa"/>
                  <w:right w:w="0" w:type="dxa"/>
                </w:tblCellMar>
              </w:tblPrEx>
              <w:trPr>
                <w:trHeight w:val="23" w:hRule="atLeast"/>
                <w:jc w:val="center"/>
              </w:trPr>
              <w:tc>
                <w:tcPr>
                  <w:tcW w:w="628" w:type="pct"/>
                  <w:tcBorders>
                    <w:top w:val="single" w:color="000000" w:sz="4" w:space="0"/>
                    <w:left w:val="nil"/>
                    <w:bottom w:val="single" w:color="000000" w:sz="4" w:space="0"/>
                    <w:right w:val="single" w:color="000000" w:sz="4" w:space="0"/>
                  </w:tcBorders>
                  <w:vAlign w:val="center"/>
                </w:tcPr>
                <w:p w14:paraId="1D81F168">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PM</w:t>
                  </w:r>
                  <w:r>
                    <w:rPr>
                      <w:rFonts w:hint="default" w:ascii="Times New Roman" w:hAnsi="Times New Roman" w:cs="Times New Roman" w:eastAsiaTheme="minorEastAsia"/>
                      <w:b w:val="0"/>
                      <w:bCs/>
                      <w:color w:val="auto"/>
                      <w:sz w:val="18"/>
                      <w:szCs w:val="18"/>
                      <w:highlight w:val="none"/>
                      <w:vertAlign w:val="subscript"/>
                    </w:rPr>
                    <w:t>2.5</w:t>
                  </w:r>
                </w:p>
              </w:tc>
              <w:tc>
                <w:tcPr>
                  <w:tcW w:w="444" w:type="pct"/>
                  <w:tcBorders>
                    <w:top w:val="single" w:color="000000" w:sz="4" w:space="0"/>
                    <w:left w:val="single" w:color="000000" w:sz="4" w:space="0"/>
                    <w:bottom w:val="single" w:color="000000" w:sz="4" w:space="0"/>
                    <w:right w:val="single" w:color="000000" w:sz="4" w:space="0"/>
                  </w:tcBorders>
                  <w:vAlign w:val="center"/>
                </w:tcPr>
                <w:p w14:paraId="5DDA50AE">
                  <w:pPr>
                    <w:pStyle w:val="38"/>
                    <w:tabs>
                      <w:tab w:val="left" w:pos="0"/>
                    </w:tabs>
                    <w:rPr>
                      <w:rFonts w:hint="default" w:ascii="Times New Roman" w:hAnsi="Times New Roman" w:cs="Times New Roman" w:eastAsiaTheme="minorEastAsia"/>
                      <w:b w:val="0"/>
                      <w:bCs/>
                      <w:color w:val="auto"/>
                      <w:sz w:val="18"/>
                      <w:szCs w:val="18"/>
                      <w:highlight w:val="none"/>
                    </w:rPr>
                  </w:pPr>
                  <w:r>
                    <w:rPr>
                      <w:rFonts w:hint="eastAsia" w:ascii="Times New Roman" w:cs="Times New Roman" w:eastAsiaTheme="minorEastAsia"/>
                      <w:b w:val="0"/>
                      <w:bCs/>
                      <w:color w:val="auto"/>
                      <w:sz w:val="18"/>
                      <w:szCs w:val="18"/>
                      <w:highlight w:val="none"/>
                      <w:lang w:eastAsia="zh-CN"/>
                    </w:rPr>
                    <w:t>μg/m</w:t>
                  </w:r>
                  <w:r>
                    <w:rPr>
                      <w:rFonts w:hint="eastAsia" w:ascii="Times New Roman" w:cs="Times New Roman" w:eastAsiaTheme="minorEastAsia"/>
                      <w:b w:val="0"/>
                      <w:bCs/>
                      <w:color w:val="auto"/>
                      <w:sz w:val="18"/>
                      <w:szCs w:val="18"/>
                      <w:highlight w:val="none"/>
                      <w:vertAlign w:val="superscript"/>
                      <w:lang w:eastAsia="zh-CN"/>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4838E11C">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55724533">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23</w:t>
                  </w:r>
                </w:p>
              </w:tc>
              <w:tc>
                <w:tcPr>
                  <w:tcW w:w="534" w:type="pct"/>
                  <w:tcBorders>
                    <w:top w:val="single" w:color="000000" w:sz="4" w:space="0"/>
                    <w:left w:val="single" w:color="000000" w:sz="4" w:space="0"/>
                    <w:bottom w:val="single" w:color="000000" w:sz="4" w:space="0"/>
                    <w:right w:val="single" w:color="000000" w:sz="4" w:space="0"/>
                  </w:tcBorders>
                  <w:vAlign w:val="center"/>
                </w:tcPr>
                <w:p w14:paraId="0E184E65">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35</w:t>
                  </w:r>
                </w:p>
              </w:tc>
              <w:tc>
                <w:tcPr>
                  <w:tcW w:w="558" w:type="pct"/>
                  <w:tcBorders>
                    <w:top w:val="single" w:color="000000" w:sz="4" w:space="0"/>
                    <w:left w:val="single" w:color="000000" w:sz="4" w:space="0"/>
                    <w:bottom w:val="single" w:color="000000" w:sz="4" w:space="0"/>
                    <w:right w:val="single" w:color="000000" w:sz="4" w:space="0"/>
                  </w:tcBorders>
                  <w:vAlign w:val="center"/>
                </w:tcPr>
                <w:p w14:paraId="7CA313F8">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5912D193">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66</w:t>
                  </w:r>
                </w:p>
              </w:tc>
              <w:tc>
                <w:tcPr>
                  <w:tcW w:w="564" w:type="pct"/>
                  <w:tcBorders>
                    <w:top w:val="single" w:color="000000" w:sz="4" w:space="0"/>
                    <w:left w:val="single" w:color="000000" w:sz="4" w:space="0"/>
                    <w:bottom w:val="single" w:color="000000" w:sz="4" w:space="0"/>
                    <w:right w:val="nil"/>
                  </w:tcBorders>
                  <w:vAlign w:val="center"/>
                </w:tcPr>
                <w:p w14:paraId="4B80A6D6">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tc>
            </w:tr>
            <w:tr w14:paraId="21CC167A">
              <w:tblPrEx>
                <w:tblCellMar>
                  <w:top w:w="0" w:type="dxa"/>
                  <w:left w:w="0" w:type="dxa"/>
                  <w:bottom w:w="0" w:type="dxa"/>
                  <w:right w:w="0" w:type="dxa"/>
                </w:tblCellMar>
              </w:tblPrEx>
              <w:trPr>
                <w:trHeight w:val="23" w:hRule="atLeast"/>
                <w:jc w:val="center"/>
              </w:trPr>
              <w:tc>
                <w:tcPr>
                  <w:tcW w:w="628" w:type="pct"/>
                  <w:tcBorders>
                    <w:top w:val="single" w:color="000000" w:sz="4" w:space="0"/>
                    <w:left w:val="nil"/>
                    <w:bottom w:val="single" w:color="000000" w:sz="4" w:space="0"/>
                    <w:right w:val="single" w:color="000000" w:sz="4" w:space="0"/>
                  </w:tcBorders>
                  <w:vAlign w:val="center"/>
                </w:tcPr>
                <w:p w14:paraId="4B4775E9">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SO</w:t>
                  </w:r>
                  <w:r>
                    <w:rPr>
                      <w:rFonts w:hint="default" w:ascii="Times New Roman" w:hAnsi="Times New Roman" w:cs="Times New Roman" w:eastAsiaTheme="minorEastAsia"/>
                      <w:b w:val="0"/>
                      <w:bCs/>
                      <w:color w:val="auto"/>
                      <w:sz w:val="18"/>
                      <w:szCs w:val="18"/>
                      <w:highlight w:val="none"/>
                      <w:vertAlign w:val="subscript"/>
                    </w:rPr>
                    <w:t>2</w:t>
                  </w:r>
                </w:p>
              </w:tc>
              <w:tc>
                <w:tcPr>
                  <w:tcW w:w="444" w:type="pct"/>
                  <w:tcBorders>
                    <w:top w:val="single" w:color="000000" w:sz="4" w:space="0"/>
                    <w:left w:val="single" w:color="000000" w:sz="4" w:space="0"/>
                    <w:bottom w:val="single" w:color="000000" w:sz="4" w:space="0"/>
                    <w:right w:val="single" w:color="000000" w:sz="4" w:space="0"/>
                  </w:tcBorders>
                  <w:vAlign w:val="center"/>
                </w:tcPr>
                <w:p w14:paraId="79B0314E">
                  <w:pPr>
                    <w:pStyle w:val="38"/>
                    <w:tabs>
                      <w:tab w:val="left" w:pos="0"/>
                    </w:tabs>
                    <w:rPr>
                      <w:rFonts w:hint="default" w:ascii="Times New Roman" w:hAnsi="Times New Roman" w:cs="Times New Roman" w:eastAsiaTheme="minorEastAsia"/>
                      <w:b w:val="0"/>
                      <w:bCs/>
                      <w:color w:val="auto"/>
                      <w:sz w:val="18"/>
                      <w:szCs w:val="18"/>
                      <w:highlight w:val="none"/>
                    </w:rPr>
                  </w:pPr>
                  <w:r>
                    <w:rPr>
                      <w:rFonts w:hint="eastAsia" w:ascii="Times New Roman" w:cs="Times New Roman" w:eastAsiaTheme="minorEastAsia"/>
                      <w:b w:val="0"/>
                      <w:bCs/>
                      <w:color w:val="auto"/>
                      <w:sz w:val="18"/>
                      <w:szCs w:val="18"/>
                      <w:highlight w:val="none"/>
                      <w:lang w:eastAsia="zh-CN"/>
                    </w:rPr>
                    <w:t>μg/m</w:t>
                  </w:r>
                  <w:r>
                    <w:rPr>
                      <w:rFonts w:hint="eastAsia" w:ascii="Times New Roman" w:cs="Times New Roman" w:eastAsiaTheme="minorEastAsia"/>
                      <w:b w:val="0"/>
                      <w:bCs/>
                      <w:color w:val="auto"/>
                      <w:sz w:val="18"/>
                      <w:szCs w:val="18"/>
                      <w:highlight w:val="none"/>
                      <w:vertAlign w:val="superscript"/>
                      <w:lang w:eastAsia="zh-CN"/>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678E2A8D">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250783E9">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12</w:t>
                  </w:r>
                </w:p>
              </w:tc>
              <w:tc>
                <w:tcPr>
                  <w:tcW w:w="534" w:type="pct"/>
                  <w:tcBorders>
                    <w:top w:val="single" w:color="000000" w:sz="4" w:space="0"/>
                    <w:left w:val="single" w:color="000000" w:sz="4" w:space="0"/>
                    <w:bottom w:val="single" w:color="000000" w:sz="4" w:space="0"/>
                    <w:right w:val="single" w:color="000000" w:sz="4" w:space="0"/>
                  </w:tcBorders>
                  <w:vAlign w:val="center"/>
                </w:tcPr>
                <w:p w14:paraId="2F1EDCA1">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60</w:t>
                  </w:r>
                </w:p>
              </w:tc>
              <w:tc>
                <w:tcPr>
                  <w:tcW w:w="558" w:type="pct"/>
                  <w:tcBorders>
                    <w:top w:val="single" w:color="000000" w:sz="4" w:space="0"/>
                    <w:left w:val="single" w:color="000000" w:sz="4" w:space="0"/>
                    <w:bottom w:val="single" w:color="000000" w:sz="4" w:space="0"/>
                    <w:right w:val="single" w:color="000000" w:sz="4" w:space="0"/>
                  </w:tcBorders>
                  <w:vAlign w:val="center"/>
                </w:tcPr>
                <w:p w14:paraId="266AFC70">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58BE0131">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20</w:t>
                  </w:r>
                </w:p>
              </w:tc>
              <w:tc>
                <w:tcPr>
                  <w:tcW w:w="564" w:type="pct"/>
                  <w:tcBorders>
                    <w:top w:val="single" w:color="000000" w:sz="4" w:space="0"/>
                    <w:left w:val="single" w:color="000000" w:sz="4" w:space="0"/>
                    <w:bottom w:val="single" w:color="000000" w:sz="4" w:space="0"/>
                    <w:right w:val="nil"/>
                  </w:tcBorders>
                  <w:vAlign w:val="center"/>
                </w:tcPr>
                <w:p w14:paraId="67169009">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tc>
            </w:tr>
            <w:tr w14:paraId="450B8E46">
              <w:tblPrEx>
                <w:tblCellMar>
                  <w:top w:w="0" w:type="dxa"/>
                  <w:left w:w="0" w:type="dxa"/>
                  <w:bottom w:w="0" w:type="dxa"/>
                  <w:right w:w="0" w:type="dxa"/>
                </w:tblCellMar>
              </w:tblPrEx>
              <w:trPr>
                <w:trHeight w:val="23" w:hRule="atLeast"/>
                <w:jc w:val="center"/>
              </w:trPr>
              <w:tc>
                <w:tcPr>
                  <w:tcW w:w="628" w:type="pct"/>
                  <w:tcBorders>
                    <w:top w:val="single" w:color="000000" w:sz="4" w:space="0"/>
                    <w:left w:val="nil"/>
                    <w:bottom w:val="single" w:color="000000" w:sz="4" w:space="0"/>
                    <w:right w:val="single" w:color="000000" w:sz="4" w:space="0"/>
                  </w:tcBorders>
                  <w:vAlign w:val="center"/>
                </w:tcPr>
                <w:p w14:paraId="1F53CAEB">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NO</w:t>
                  </w:r>
                  <w:r>
                    <w:rPr>
                      <w:rFonts w:hint="default" w:ascii="Times New Roman" w:hAnsi="Times New Roman" w:cs="Times New Roman" w:eastAsiaTheme="minorEastAsia"/>
                      <w:b w:val="0"/>
                      <w:bCs/>
                      <w:color w:val="auto"/>
                      <w:sz w:val="18"/>
                      <w:szCs w:val="18"/>
                      <w:highlight w:val="none"/>
                      <w:vertAlign w:val="subscript"/>
                    </w:rPr>
                    <w:t>2</w:t>
                  </w:r>
                </w:p>
              </w:tc>
              <w:tc>
                <w:tcPr>
                  <w:tcW w:w="444" w:type="pct"/>
                  <w:tcBorders>
                    <w:top w:val="single" w:color="000000" w:sz="4" w:space="0"/>
                    <w:left w:val="single" w:color="000000" w:sz="4" w:space="0"/>
                    <w:bottom w:val="single" w:color="000000" w:sz="4" w:space="0"/>
                    <w:right w:val="single" w:color="000000" w:sz="4" w:space="0"/>
                  </w:tcBorders>
                  <w:vAlign w:val="center"/>
                </w:tcPr>
                <w:p w14:paraId="31466DC9">
                  <w:pPr>
                    <w:pStyle w:val="38"/>
                    <w:tabs>
                      <w:tab w:val="left" w:pos="0"/>
                    </w:tabs>
                    <w:rPr>
                      <w:rFonts w:hint="default" w:ascii="Times New Roman" w:hAnsi="Times New Roman" w:cs="Times New Roman" w:eastAsiaTheme="minorEastAsia"/>
                      <w:b w:val="0"/>
                      <w:bCs/>
                      <w:color w:val="auto"/>
                      <w:sz w:val="18"/>
                      <w:szCs w:val="18"/>
                      <w:highlight w:val="none"/>
                    </w:rPr>
                  </w:pPr>
                  <w:r>
                    <w:rPr>
                      <w:rFonts w:hint="eastAsia" w:ascii="Times New Roman" w:cs="Times New Roman" w:eastAsiaTheme="minorEastAsia"/>
                      <w:b w:val="0"/>
                      <w:bCs/>
                      <w:color w:val="auto"/>
                      <w:sz w:val="18"/>
                      <w:szCs w:val="18"/>
                      <w:highlight w:val="none"/>
                      <w:lang w:eastAsia="zh-CN"/>
                    </w:rPr>
                    <w:t>μg/m</w:t>
                  </w:r>
                  <w:r>
                    <w:rPr>
                      <w:rFonts w:hint="eastAsia" w:ascii="Times New Roman" w:cs="Times New Roman" w:eastAsiaTheme="minorEastAsia"/>
                      <w:b w:val="0"/>
                      <w:bCs/>
                      <w:color w:val="auto"/>
                      <w:sz w:val="18"/>
                      <w:szCs w:val="18"/>
                      <w:highlight w:val="none"/>
                      <w:vertAlign w:val="superscript"/>
                      <w:lang w:eastAsia="zh-CN"/>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3F2F5EE6">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026E315B">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20</w:t>
                  </w:r>
                </w:p>
              </w:tc>
              <w:tc>
                <w:tcPr>
                  <w:tcW w:w="534" w:type="pct"/>
                  <w:tcBorders>
                    <w:top w:val="single" w:color="000000" w:sz="4" w:space="0"/>
                    <w:left w:val="single" w:color="000000" w:sz="4" w:space="0"/>
                    <w:bottom w:val="single" w:color="000000" w:sz="4" w:space="0"/>
                    <w:right w:val="single" w:color="000000" w:sz="4" w:space="0"/>
                  </w:tcBorders>
                  <w:vAlign w:val="center"/>
                </w:tcPr>
                <w:p w14:paraId="31452B9A">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40</w:t>
                  </w:r>
                </w:p>
              </w:tc>
              <w:tc>
                <w:tcPr>
                  <w:tcW w:w="558" w:type="pct"/>
                  <w:tcBorders>
                    <w:top w:val="single" w:color="000000" w:sz="4" w:space="0"/>
                    <w:left w:val="single" w:color="000000" w:sz="4" w:space="0"/>
                    <w:bottom w:val="single" w:color="000000" w:sz="4" w:space="0"/>
                    <w:right w:val="single" w:color="000000" w:sz="4" w:space="0"/>
                  </w:tcBorders>
                  <w:vAlign w:val="center"/>
                </w:tcPr>
                <w:p w14:paraId="52CE3974">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59648D9E">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50</w:t>
                  </w:r>
                </w:p>
              </w:tc>
              <w:tc>
                <w:tcPr>
                  <w:tcW w:w="564" w:type="pct"/>
                  <w:tcBorders>
                    <w:top w:val="single" w:color="000000" w:sz="4" w:space="0"/>
                    <w:left w:val="single" w:color="000000" w:sz="4" w:space="0"/>
                    <w:bottom w:val="single" w:color="000000" w:sz="4" w:space="0"/>
                    <w:right w:val="nil"/>
                  </w:tcBorders>
                  <w:vAlign w:val="center"/>
                </w:tcPr>
                <w:p w14:paraId="05DEA82B">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tc>
            </w:tr>
            <w:tr w14:paraId="2B0368B9">
              <w:tblPrEx>
                <w:tblCellMar>
                  <w:top w:w="0" w:type="dxa"/>
                  <w:left w:w="0" w:type="dxa"/>
                  <w:bottom w:w="0" w:type="dxa"/>
                  <w:right w:w="0" w:type="dxa"/>
                </w:tblCellMar>
              </w:tblPrEx>
              <w:trPr>
                <w:trHeight w:val="23" w:hRule="atLeast"/>
                <w:jc w:val="center"/>
              </w:trPr>
              <w:tc>
                <w:tcPr>
                  <w:tcW w:w="628" w:type="pct"/>
                  <w:tcBorders>
                    <w:top w:val="single" w:color="000000" w:sz="4" w:space="0"/>
                    <w:left w:val="nil"/>
                    <w:bottom w:val="single" w:color="000000" w:sz="4" w:space="0"/>
                    <w:right w:val="single" w:color="000000" w:sz="4" w:space="0"/>
                  </w:tcBorders>
                  <w:vAlign w:val="center"/>
                </w:tcPr>
                <w:p w14:paraId="59745E2A">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CO</w:t>
                  </w:r>
                </w:p>
              </w:tc>
              <w:tc>
                <w:tcPr>
                  <w:tcW w:w="444" w:type="pct"/>
                  <w:tcBorders>
                    <w:top w:val="single" w:color="000000" w:sz="4" w:space="0"/>
                    <w:left w:val="single" w:color="000000" w:sz="4" w:space="0"/>
                    <w:bottom w:val="single" w:color="000000" w:sz="4" w:space="0"/>
                    <w:right w:val="single" w:color="000000" w:sz="4" w:space="0"/>
                  </w:tcBorders>
                  <w:vAlign w:val="center"/>
                </w:tcPr>
                <w:p w14:paraId="21D15A94">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mg/m</w:t>
                  </w:r>
                  <w:r>
                    <w:rPr>
                      <w:rFonts w:hint="default" w:ascii="Times New Roman" w:hAnsi="Times New Roman" w:cs="Times New Roman" w:eastAsiaTheme="minorEastAsia"/>
                      <w:b w:val="0"/>
                      <w:bCs/>
                      <w:color w:val="auto"/>
                      <w:sz w:val="18"/>
                      <w:szCs w:val="18"/>
                      <w:highlight w:val="none"/>
                      <w:vertAlign w:val="superscript"/>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4E8B002A">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年24h平均第95百分位数</w:t>
                  </w:r>
                </w:p>
              </w:tc>
              <w:tc>
                <w:tcPr>
                  <w:tcW w:w="454" w:type="pct"/>
                  <w:tcBorders>
                    <w:top w:val="single" w:color="000000" w:sz="4" w:space="0"/>
                    <w:left w:val="single" w:color="000000" w:sz="4" w:space="0"/>
                    <w:bottom w:val="single" w:color="000000" w:sz="4" w:space="0"/>
                    <w:right w:val="single" w:color="000000" w:sz="4" w:space="0"/>
                  </w:tcBorders>
                  <w:vAlign w:val="center"/>
                </w:tcPr>
                <w:p w14:paraId="2E4125AF">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1.2</w:t>
                  </w:r>
                </w:p>
              </w:tc>
              <w:tc>
                <w:tcPr>
                  <w:tcW w:w="534" w:type="pct"/>
                  <w:tcBorders>
                    <w:top w:val="single" w:color="000000" w:sz="4" w:space="0"/>
                    <w:left w:val="single" w:color="000000" w:sz="4" w:space="0"/>
                    <w:bottom w:val="single" w:color="000000" w:sz="4" w:space="0"/>
                    <w:right w:val="single" w:color="000000" w:sz="4" w:space="0"/>
                  </w:tcBorders>
                  <w:vAlign w:val="center"/>
                </w:tcPr>
                <w:p w14:paraId="2340BD86">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4</w:t>
                  </w:r>
                </w:p>
              </w:tc>
              <w:tc>
                <w:tcPr>
                  <w:tcW w:w="558" w:type="pct"/>
                  <w:tcBorders>
                    <w:top w:val="single" w:color="000000" w:sz="4" w:space="0"/>
                    <w:left w:val="single" w:color="000000" w:sz="4" w:space="0"/>
                    <w:bottom w:val="single" w:color="000000" w:sz="4" w:space="0"/>
                    <w:right w:val="single" w:color="000000" w:sz="4" w:space="0"/>
                  </w:tcBorders>
                  <w:vAlign w:val="center"/>
                </w:tcPr>
                <w:p w14:paraId="2EC27FDA">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1C512EBE">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30</w:t>
                  </w:r>
                </w:p>
              </w:tc>
              <w:tc>
                <w:tcPr>
                  <w:tcW w:w="564" w:type="pct"/>
                  <w:tcBorders>
                    <w:top w:val="single" w:color="000000" w:sz="4" w:space="0"/>
                    <w:left w:val="single" w:color="000000" w:sz="4" w:space="0"/>
                    <w:bottom w:val="single" w:color="000000" w:sz="4" w:space="0"/>
                    <w:right w:val="nil"/>
                  </w:tcBorders>
                  <w:vAlign w:val="center"/>
                </w:tcPr>
                <w:p w14:paraId="472DFB28">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tc>
            </w:tr>
            <w:tr w14:paraId="4B829044">
              <w:tblPrEx>
                <w:tblCellMar>
                  <w:top w:w="0" w:type="dxa"/>
                  <w:left w:w="0" w:type="dxa"/>
                  <w:bottom w:w="0" w:type="dxa"/>
                  <w:right w:w="0" w:type="dxa"/>
                </w:tblCellMar>
              </w:tblPrEx>
              <w:trPr>
                <w:trHeight w:val="23" w:hRule="atLeast"/>
                <w:jc w:val="center"/>
              </w:trPr>
              <w:tc>
                <w:tcPr>
                  <w:tcW w:w="628" w:type="pct"/>
                  <w:tcBorders>
                    <w:top w:val="single" w:color="000000" w:sz="4" w:space="0"/>
                    <w:left w:val="nil"/>
                    <w:bottom w:val="single" w:color="000000" w:sz="12" w:space="0"/>
                    <w:right w:val="single" w:color="000000" w:sz="4" w:space="0"/>
                  </w:tcBorders>
                  <w:vAlign w:val="center"/>
                </w:tcPr>
                <w:p w14:paraId="3CB28A0F">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臭氧</w:t>
                  </w:r>
                </w:p>
              </w:tc>
              <w:tc>
                <w:tcPr>
                  <w:tcW w:w="444" w:type="pct"/>
                  <w:tcBorders>
                    <w:top w:val="single" w:color="000000" w:sz="4" w:space="0"/>
                    <w:left w:val="single" w:color="000000" w:sz="4" w:space="0"/>
                    <w:bottom w:val="single" w:color="000000" w:sz="12" w:space="0"/>
                    <w:right w:val="single" w:color="000000" w:sz="4" w:space="0"/>
                  </w:tcBorders>
                  <w:vAlign w:val="center"/>
                </w:tcPr>
                <w:p w14:paraId="48FE1E42">
                  <w:pPr>
                    <w:pStyle w:val="38"/>
                    <w:tabs>
                      <w:tab w:val="left" w:pos="0"/>
                    </w:tabs>
                    <w:rPr>
                      <w:rFonts w:hint="default" w:ascii="Times New Roman" w:hAnsi="Times New Roman" w:cs="Times New Roman" w:eastAsiaTheme="minorEastAsia"/>
                      <w:b w:val="0"/>
                      <w:bCs/>
                      <w:color w:val="auto"/>
                      <w:sz w:val="18"/>
                      <w:szCs w:val="18"/>
                      <w:highlight w:val="none"/>
                    </w:rPr>
                  </w:pPr>
                  <w:r>
                    <w:rPr>
                      <w:rFonts w:hint="eastAsia" w:ascii="Times New Roman" w:cs="Times New Roman" w:eastAsiaTheme="minorEastAsia"/>
                      <w:b w:val="0"/>
                      <w:bCs/>
                      <w:color w:val="auto"/>
                      <w:sz w:val="18"/>
                      <w:szCs w:val="18"/>
                      <w:highlight w:val="none"/>
                      <w:lang w:eastAsia="zh-CN"/>
                    </w:rPr>
                    <w:t>μg/m3</w:t>
                  </w:r>
                </w:p>
              </w:tc>
              <w:tc>
                <w:tcPr>
                  <w:tcW w:w="1247" w:type="pct"/>
                  <w:tcBorders>
                    <w:top w:val="single" w:color="000000" w:sz="4" w:space="0"/>
                    <w:left w:val="single" w:color="000000" w:sz="4" w:space="0"/>
                    <w:bottom w:val="single" w:color="000000" w:sz="12" w:space="0"/>
                    <w:right w:val="single" w:color="000000" w:sz="4" w:space="0"/>
                  </w:tcBorders>
                  <w:vAlign w:val="center"/>
                </w:tcPr>
                <w:p w14:paraId="676E5595">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年日最大8h平均</w:t>
                  </w:r>
                </w:p>
                <w:p w14:paraId="45ACF263">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第90百分位数</w:t>
                  </w:r>
                </w:p>
              </w:tc>
              <w:tc>
                <w:tcPr>
                  <w:tcW w:w="454" w:type="pct"/>
                  <w:tcBorders>
                    <w:top w:val="single" w:color="000000" w:sz="4" w:space="0"/>
                    <w:left w:val="single" w:color="000000" w:sz="4" w:space="0"/>
                    <w:bottom w:val="single" w:color="000000" w:sz="12" w:space="0"/>
                    <w:right w:val="single" w:color="000000" w:sz="4" w:space="0"/>
                  </w:tcBorders>
                  <w:vAlign w:val="center"/>
                </w:tcPr>
                <w:p w14:paraId="2BEA627B">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129</w:t>
                  </w:r>
                </w:p>
              </w:tc>
              <w:tc>
                <w:tcPr>
                  <w:tcW w:w="534" w:type="pct"/>
                  <w:tcBorders>
                    <w:top w:val="single" w:color="000000" w:sz="4" w:space="0"/>
                    <w:left w:val="single" w:color="000000" w:sz="4" w:space="0"/>
                    <w:bottom w:val="single" w:color="000000" w:sz="12" w:space="0"/>
                    <w:right w:val="single" w:color="000000" w:sz="4" w:space="0"/>
                  </w:tcBorders>
                  <w:vAlign w:val="center"/>
                </w:tcPr>
                <w:p w14:paraId="26D4E3AE">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160</w:t>
                  </w:r>
                </w:p>
              </w:tc>
              <w:tc>
                <w:tcPr>
                  <w:tcW w:w="558" w:type="pct"/>
                  <w:tcBorders>
                    <w:top w:val="single" w:color="000000" w:sz="4" w:space="0"/>
                    <w:left w:val="single" w:color="000000" w:sz="4" w:space="0"/>
                    <w:bottom w:val="single" w:color="000000" w:sz="12" w:space="0"/>
                    <w:right w:val="single" w:color="000000" w:sz="4" w:space="0"/>
                  </w:tcBorders>
                  <w:vAlign w:val="center"/>
                </w:tcPr>
                <w:p w14:paraId="5D88A2F2">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未超标</w:t>
                  </w:r>
                </w:p>
              </w:tc>
              <w:tc>
                <w:tcPr>
                  <w:tcW w:w="572" w:type="pct"/>
                  <w:tcBorders>
                    <w:top w:val="single" w:color="000000" w:sz="4" w:space="0"/>
                    <w:left w:val="single" w:color="000000" w:sz="4" w:space="0"/>
                    <w:bottom w:val="single" w:color="000000" w:sz="12" w:space="0"/>
                    <w:right w:val="single" w:color="000000" w:sz="4" w:space="0"/>
                  </w:tcBorders>
                  <w:vAlign w:val="center"/>
                </w:tcPr>
                <w:p w14:paraId="1B6BCDB7">
                  <w:pPr>
                    <w:pStyle w:val="38"/>
                    <w:tabs>
                      <w:tab w:val="left" w:pos="0"/>
                    </w:tabs>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cs="Times New Roman" w:eastAsiaTheme="minorEastAsia"/>
                      <w:b w:val="0"/>
                      <w:bCs/>
                      <w:color w:val="auto"/>
                      <w:sz w:val="18"/>
                      <w:szCs w:val="18"/>
                      <w:highlight w:val="none"/>
                      <w:lang w:val="en-US" w:eastAsia="zh-CN"/>
                    </w:rPr>
                    <w:t>81</w:t>
                  </w:r>
                </w:p>
              </w:tc>
              <w:tc>
                <w:tcPr>
                  <w:tcW w:w="564" w:type="pct"/>
                  <w:tcBorders>
                    <w:top w:val="single" w:color="000000" w:sz="4" w:space="0"/>
                    <w:left w:val="single" w:color="000000" w:sz="4" w:space="0"/>
                    <w:bottom w:val="single" w:color="000000" w:sz="12" w:space="0"/>
                    <w:right w:val="nil"/>
                  </w:tcBorders>
                  <w:vAlign w:val="center"/>
                </w:tcPr>
                <w:p w14:paraId="5C52B7AF">
                  <w:pPr>
                    <w:pStyle w:val="38"/>
                    <w:tabs>
                      <w:tab w:val="left" w:pos="0"/>
                    </w:tabs>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达标</w:t>
                  </w:r>
                </w:p>
              </w:tc>
            </w:tr>
          </w:tbl>
          <w:p w14:paraId="7927BBDC">
            <w:pPr>
              <w:pStyle w:val="85"/>
              <w:spacing w:line="240" w:lineRule="auto"/>
              <w:ind w:firstLine="200"/>
              <w:rPr>
                <w:rFonts w:cs="Times New Roman"/>
                <w:color w:val="auto"/>
                <w:sz w:val="10"/>
                <w:szCs w:val="10"/>
              </w:rPr>
            </w:pPr>
          </w:p>
          <w:p w14:paraId="601446E1">
            <w:pPr>
              <w:pStyle w:val="85"/>
              <w:ind w:firstLine="420"/>
              <w:rPr>
                <w:color w:val="auto"/>
              </w:rPr>
            </w:pPr>
            <w:r>
              <w:rPr>
                <w:rFonts w:cs="Times New Roman"/>
                <w:color w:val="auto"/>
              </w:rPr>
              <w:t>根据上表可知，202</w:t>
            </w:r>
            <w:r>
              <w:rPr>
                <w:rFonts w:hint="eastAsia" w:cs="Times New Roman"/>
                <w:color w:val="auto"/>
                <w:lang w:val="en-US" w:eastAsia="zh-CN"/>
              </w:rPr>
              <w:t>4</w:t>
            </w:r>
            <w:r>
              <w:rPr>
                <w:rFonts w:cs="Times New Roman"/>
                <w:color w:val="auto"/>
              </w:rPr>
              <w:t>年</w:t>
            </w:r>
            <w:r>
              <w:rPr>
                <w:rFonts w:hint="eastAsia" w:cs="Times New Roman"/>
                <w:color w:val="auto"/>
                <w:lang w:val="en-US" w:eastAsia="zh-CN"/>
              </w:rPr>
              <w:t>白山</w:t>
            </w:r>
            <w:r>
              <w:rPr>
                <w:rFonts w:cs="Times New Roman"/>
                <w:color w:val="auto"/>
              </w:rPr>
              <w:t>市环境空气中PM</w:t>
            </w:r>
            <w:r>
              <w:rPr>
                <w:rFonts w:cs="Times New Roman"/>
                <w:color w:val="auto"/>
                <w:vertAlign w:val="subscript"/>
              </w:rPr>
              <w:t>10</w:t>
            </w:r>
            <w:r>
              <w:rPr>
                <w:rFonts w:cs="Times New Roman"/>
                <w:color w:val="auto"/>
              </w:rPr>
              <w:t>、SO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、CO、臭氧、PM</w:t>
            </w:r>
            <w:r>
              <w:rPr>
                <w:rFonts w:cs="Times New Roman"/>
                <w:color w:val="auto"/>
                <w:vertAlign w:val="subscript"/>
              </w:rPr>
              <w:t>2.5</w:t>
            </w:r>
            <w:r>
              <w:rPr>
                <w:rFonts w:cs="Times New Roman"/>
                <w:color w:val="auto"/>
              </w:rPr>
              <w:t>符合《环境空气质量标准》（GB3095-2012）标准要求，</w:t>
            </w:r>
            <w:r>
              <w:rPr>
                <w:rFonts w:hint="eastAsia" w:cs="Times New Roman"/>
                <w:color w:val="auto"/>
                <w:lang w:val="en-US" w:eastAsia="zh-CN"/>
              </w:rPr>
              <w:t>白山</w:t>
            </w:r>
            <w:r>
              <w:rPr>
                <w:rFonts w:cs="Times New Roman"/>
                <w:color w:val="auto"/>
              </w:rPr>
              <w:t>市属于环境空气质量达标区。</w:t>
            </w:r>
          </w:p>
          <w:p w14:paraId="39E14A56">
            <w:pPr>
              <w:shd w:val="clear" w:color="auto" w:fill="FFFFFF"/>
              <w:adjustRightInd w:val="0"/>
              <w:snapToGrid w:val="0"/>
              <w:spacing w:line="336" w:lineRule="auto"/>
              <w:rPr>
                <w:rFonts w:cs="宋体"/>
                <w:color w:val="auto"/>
                <w:highlight w:val="none"/>
              </w:rPr>
            </w:pPr>
            <w:r>
              <w:rPr>
                <w:rFonts w:hint="eastAsia" w:cs="宋体"/>
                <w:color w:val="auto"/>
                <w:highlight w:val="none"/>
              </w:rPr>
              <w:t>2.2空气环境质量现状评价</w:t>
            </w:r>
          </w:p>
          <w:p w14:paraId="31DAE92E">
            <w:pPr>
              <w:shd w:val="clear" w:color="auto" w:fill="FFFFFF"/>
              <w:adjustRightInd w:val="0"/>
              <w:snapToGrid w:val="0"/>
              <w:spacing w:line="360" w:lineRule="auto"/>
              <w:ind w:firstLine="420" w:firstLineChars="200"/>
              <w:rPr>
                <w:color w:val="auto"/>
              </w:rPr>
            </w:pPr>
            <w:r>
              <w:rPr>
                <w:rFonts w:hint="eastAsia" w:cs="宋体"/>
                <w:color w:val="auto"/>
              </w:rPr>
              <w:t>（</w:t>
            </w:r>
            <w:r>
              <w:rPr>
                <w:color w:val="auto"/>
              </w:rPr>
              <w:t>1</w:t>
            </w:r>
            <w:r>
              <w:rPr>
                <w:rFonts w:hint="eastAsia" w:cs="宋体"/>
                <w:color w:val="auto"/>
              </w:rPr>
              <w:t>）空气环境质量现状调查</w:t>
            </w:r>
          </w:p>
          <w:p w14:paraId="06A83006">
            <w:pPr>
              <w:shd w:val="clear" w:color="auto" w:fill="FFFFFF"/>
              <w:adjustRightInd w:val="0"/>
              <w:snapToGrid w:val="0"/>
              <w:spacing w:line="336" w:lineRule="auto"/>
              <w:ind w:firstLine="420" w:firstLineChars="200"/>
              <w:rPr>
                <w:rFonts w:cs="宋体"/>
                <w:color w:val="auto"/>
              </w:rPr>
            </w:pPr>
            <w:r>
              <w:rPr>
                <w:rFonts w:hint="eastAsia" w:cs="宋体"/>
                <w:color w:val="auto"/>
              </w:rPr>
              <w:t>本本次环境空气环境现状监测共布设</w:t>
            </w:r>
            <w:r>
              <w:rPr>
                <w:rFonts w:hint="eastAsia"/>
                <w:color w:val="auto"/>
              </w:rPr>
              <w:t>1</w:t>
            </w:r>
            <w:r>
              <w:rPr>
                <w:rFonts w:hint="eastAsia" w:cs="宋体"/>
                <w:color w:val="auto"/>
              </w:rPr>
              <w:t>个监测点位，</w:t>
            </w:r>
            <w:r>
              <w:rPr>
                <w:rFonts w:hint="eastAsia" w:cs="宋体"/>
                <w:snapToGrid w:val="0"/>
                <w:color w:val="auto"/>
              </w:rPr>
              <w:t>监测点布设情况详见下表。</w:t>
            </w:r>
          </w:p>
          <w:p w14:paraId="54C4A0B2">
            <w:pPr>
              <w:pStyle w:val="83"/>
              <w:widowControl w:val="0"/>
              <w:spacing w:line="240" w:lineRule="auto"/>
              <w:rPr>
                <w:b w:val="0"/>
                <w:bCs/>
                <w:color w:val="auto"/>
                <w:sz w:val="21"/>
              </w:rPr>
            </w:pPr>
            <w:r>
              <w:rPr>
                <w:rFonts w:hint="eastAsia"/>
                <w:b w:val="0"/>
                <w:bCs/>
                <w:color w:val="auto"/>
                <w:sz w:val="21"/>
              </w:rPr>
              <w:t>监测点位基本信息一览表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439"/>
              <w:gridCol w:w="1333"/>
              <w:gridCol w:w="1044"/>
              <w:gridCol w:w="1124"/>
              <w:gridCol w:w="988"/>
              <w:gridCol w:w="1305"/>
            </w:tblGrid>
            <w:tr w14:paraId="01EBF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67" w:type="pct"/>
                  <w:vMerge w:val="restart"/>
                  <w:vAlign w:val="center"/>
                </w:tcPr>
                <w:p w14:paraId="2E497DC8">
                  <w:pPr>
                    <w:jc w:val="center"/>
                    <w:rPr>
                      <w:color w:val="auto"/>
                      <w:sz w:val="18"/>
                      <w:szCs w:val="18"/>
                    </w:rPr>
                  </w:pPr>
                  <w:r>
                    <w:rPr>
                      <w:color w:val="auto"/>
                      <w:sz w:val="18"/>
                      <w:szCs w:val="18"/>
                    </w:rPr>
                    <w:t>监测点</w:t>
                  </w:r>
                </w:p>
                <w:p w14:paraId="3FD35D41">
                  <w:pPr>
                    <w:jc w:val="center"/>
                    <w:rPr>
                      <w:color w:val="auto"/>
                      <w:sz w:val="18"/>
                      <w:szCs w:val="18"/>
                    </w:rPr>
                  </w:pPr>
                  <w:r>
                    <w:rPr>
                      <w:color w:val="auto"/>
                      <w:sz w:val="18"/>
                      <w:szCs w:val="18"/>
                    </w:rPr>
                    <w:t>名称</w:t>
                  </w:r>
                </w:p>
              </w:tc>
              <w:tc>
                <w:tcPr>
                  <w:tcW w:w="1736" w:type="pct"/>
                  <w:gridSpan w:val="2"/>
                  <w:vAlign w:val="center"/>
                </w:tcPr>
                <w:p w14:paraId="61AF9909">
                  <w:pPr>
                    <w:jc w:val="center"/>
                    <w:rPr>
                      <w:color w:val="auto"/>
                      <w:sz w:val="18"/>
                      <w:szCs w:val="18"/>
                    </w:rPr>
                  </w:pPr>
                  <w:r>
                    <w:rPr>
                      <w:rFonts w:hint="eastAsia"/>
                      <w:color w:val="auto"/>
                      <w:sz w:val="18"/>
                      <w:szCs w:val="18"/>
                    </w:rPr>
                    <w:t>监测点坐标/m</w:t>
                  </w:r>
                </w:p>
              </w:tc>
              <w:tc>
                <w:tcPr>
                  <w:tcW w:w="654" w:type="pct"/>
                  <w:vMerge w:val="restart"/>
                  <w:vAlign w:val="center"/>
                </w:tcPr>
                <w:p w14:paraId="4373F76E">
                  <w:pPr>
                    <w:rPr>
                      <w:color w:val="auto"/>
                      <w:sz w:val="18"/>
                      <w:szCs w:val="18"/>
                    </w:rPr>
                  </w:pPr>
                  <w:r>
                    <w:rPr>
                      <w:color w:val="auto"/>
                      <w:sz w:val="18"/>
                      <w:szCs w:val="18"/>
                    </w:rPr>
                    <w:t>监测因子</w:t>
                  </w:r>
                </w:p>
              </w:tc>
              <w:tc>
                <w:tcPr>
                  <w:tcW w:w="704" w:type="pct"/>
                  <w:vMerge w:val="restart"/>
                  <w:vAlign w:val="center"/>
                </w:tcPr>
                <w:p w14:paraId="614A124A">
                  <w:pPr>
                    <w:jc w:val="center"/>
                    <w:rPr>
                      <w:color w:val="auto"/>
                      <w:sz w:val="18"/>
                      <w:szCs w:val="18"/>
                    </w:rPr>
                  </w:pPr>
                  <w:r>
                    <w:rPr>
                      <w:color w:val="auto"/>
                      <w:sz w:val="18"/>
                      <w:szCs w:val="18"/>
                    </w:rPr>
                    <w:t>监测时段</w:t>
                  </w:r>
                </w:p>
              </w:tc>
              <w:tc>
                <w:tcPr>
                  <w:tcW w:w="619" w:type="pct"/>
                  <w:vMerge w:val="restart"/>
                  <w:vAlign w:val="center"/>
                </w:tcPr>
                <w:p w14:paraId="7CCF96D8">
                  <w:pPr>
                    <w:jc w:val="center"/>
                    <w:rPr>
                      <w:color w:val="auto"/>
                      <w:sz w:val="18"/>
                      <w:szCs w:val="18"/>
                    </w:rPr>
                  </w:pPr>
                  <w:r>
                    <w:rPr>
                      <w:color w:val="auto"/>
                      <w:sz w:val="18"/>
                      <w:szCs w:val="18"/>
                    </w:rPr>
                    <w:t>相对厂址方位</w:t>
                  </w:r>
                </w:p>
              </w:tc>
              <w:tc>
                <w:tcPr>
                  <w:tcW w:w="817" w:type="pct"/>
                  <w:vMerge w:val="restart"/>
                  <w:vAlign w:val="center"/>
                </w:tcPr>
                <w:p w14:paraId="0A4C5560">
                  <w:pPr>
                    <w:jc w:val="center"/>
                    <w:rPr>
                      <w:color w:val="auto"/>
                      <w:sz w:val="18"/>
                      <w:szCs w:val="18"/>
                    </w:rPr>
                  </w:pPr>
                  <w:r>
                    <w:rPr>
                      <w:color w:val="auto"/>
                      <w:sz w:val="18"/>
                      <w:szCs w:val="18"/>
                    </w:rPr>
                    <w:t>相对厂界距离</w:t>
                  </w:r>
                </w:p>
                <w:p w14:paraId="2D693A02">
                  <w:pPr>
                    <w:jc w:val="center"/>
                    <w:rPr>
                      <w:color w:val="auto"/>
                      <w:sz w:val="18"/>
                      <w:szCs w:val="18"/>
                    </w:rPr>
                  </w:pPr>
                  <w:r>
                    <w:rPr>
                      <w:rFonts w:hint="eastAsia"/>
                      <w:color w:val="auto"/>
                      <w:sz w:val="18"/>
                      <w:szCs w:val="18"/>
                    </w:rPr>
                    <w:t>/m</w:t>
                  </w:r>
                </w:p>
              </w:tc>
            </w:tr>
            <w:tr w14:paraId="78BE4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467" w:type="pct"/>
                  <w:vMerge w:val="continue"/>
                  <w:vAlign w:val="center"/>
                </w:tcPr>
                <w:p w14:paraId="1EA399EC">
                  <w:pPr>
                    <w:jc w:val="center"/>
                    <w:rPr>
                      <w:color w:val="auto"/>
                      <w:sz w:val="18"/>
                      <w:szCs w:val="18"/>
                    </w:rPr>
                  </w:pPr>
                </w:p>
              </w:tc>
              <w:tc>
                <w:tcPr>
                  <w:tcW w:w="901" w:type="pct"/>
                  <w:vAlign w:val="center"/>
                </w:tcPr>
                <w:p w14:paraId="3D186F84">
                  <w:pPr>
                    <w:jc w:val="center"/>
                    <w:rPr>
                      <w:color w:val="auto"/>
                      <w:sz w:val="18"/>
                      <w:szCs w:val="18"/>
                    </w:rPr>
                  </w:pPr>
                  <w:r>
                    <w:rPr>
                      <w:rFonts w:hint="eastAsia"/>
                      <w:color w:val="auto"/>
                      <w:sz w:val="18"/>
                      <w:szCs w:val="18"/>
                    </w:rPr>
                    <w:t>X</w:t>
                  </w:r>
                </w:p>
              </w:tc>
              <w:tc>
                <w:tcPr>
                  <w:tcW w:w="834" w:type="pct"/>
                  <w:vAlign w:val="center"/>
                </w:tcPr>
                <w:p w14:paraId="67DFA2FF">
                  <w:pPr>
                    <w:jc w:val="center"/>
                    <w:rPr>
                      <w:color w:val="auto"/>
                      <w:sz w:val="18"/>
                      <w:szCs w:val="18"/>
                    </w:rPr>
                  </w:pPr>
                  <w:r>
                    <w:rPr>
                      <w:rFonts w:hint="eastAsia"/>
                      <w:color w:val="auto"/>
                      <w:sz w:val="18"/>
                      <w:szCs w:val="18"/>
                    </w:rPr>
                    <w:t>Y</w:t>
                  </w:r>
                </w:p>
              </w:tc>
              <w:tc>
                <w:tcPr>
                  <w:tcW w:w="654" w:type="pct"/>
                  <w:vMerge w:val="continue"/>
                  <w:vAlign w:val="center"/>
                </w:tcPr>
                <w:p w14:paraId="71BED0A3">
                  <w:pPr>
                    <w:rPr>
                      <w:color w:val="auto"/>
                      <w:sz w:val="18"/>
                      <w:szCs w:val="18"/>
                    </w:rPr>
                  </w:pPr>
                </w:p>
              </w:tc>
              <w:tc>
                <w:tcPr>
                  <w:tcW w:w="704" w:type="pct"/>
                  <w:vMerge w:val="continue"/>
                  <w:vAlign w:val="center"/>
                </w:tcPr>
                <w:p w14:paraId="422EE8D9">
                  <w:pPr>
                    <w:rPr>
                      <w:color w:val="auto"/>
                      <w:sz w:val="18"/>
                      <w:szCs w:val="18"/>
                    </w:rPr>
                  </w:pPr>
                </w:p>
              </w:tc>
              <w:tc>
                <w:tcPr>
                  <w:tcW w:w="619" w:type="pct"/>
                  <w:vMerge w:val="continue"/>
                  <w:vAlign w:val="center"/>
                </w:tcPr>
                <w:p w14:paraId="20CFE679">
                  <w:pPr>
                    <w:jc w:val="center"/>
                    <w:rPr>
                      <w:color w:val="auto"/>
                      <w:sz w:val="18"/>
                      <w:szCs w:val="18"/>
                    </w:rPr>
                  </w:pPr>
                </w:p>
              </w:tc>
              <w:tc>
                <w:tcPr>
                  <w:tcW w:w="817" w:type="pct"/>
                  <w:vMerge w:val="continue"/>
                  <w:vAlign w:val="center"/>
                </w:tcPr>
                <w:p w14:paraId="7C16F233">
                  <w:pPr>
                    <w:jc w:val="center"/>
                    <w:rPr>
                      <w:color w:val="auto"/>
                      <w:sz w:val="18"/>
                      <w:szCs w:val="18"/>
                    </w:rPr>
                  </w:pPr>
                </w:p>
              </w:tc>
            </w:tr>
            <w:tr w14:paraId="1020F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467" w:type="pct"/>
                  <w:vMerge w:val="restart"/>
                  <w:vAlign w:val="center"/>
                </w:tcPr>
                <w:p w14:paraId="49CD1EBE">
                  <w:pPr>
                    <w:jc w:val="center"/>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里岔沟五组</w:t>
                  </w:r>
                </w:p>
              </w:tc>
              <w:tc>
                <w:tcPr>
                  <w:tcW w:w="901" w:type="pct"/>
                  <w:vMerge w:val="restart"/>
                  <w:vAlign w:val="center"/>
                </w:tcPr>
                <w:p w14:paraId="5771016E">
                  <w:pPr>
                    <w:jc w:val="center"/>
                    <w:rPr>
                      <w:rFonts w:hint="eastAsia"/>
                      <w:color w:val="auto"/>
                      <w:sz w:val="18"/>
                      <w:szCs w:val="18"/>
                      <w:lang w:val="en-US" w:eastAsia="zh-CN"/>
                    </w:rPr>
                  </w:pPr>
                  <w:r>
                    <w:rPr>
                      <w:rFonts w:hint="eastAsia"/>
                      <w:color w:val="auto"/>
                      <w:sz w:val="18"/>
                      <w:szCs w:val="18"/>
                      <w:lang w:val="en-US" w:eastAsia="zh-CN"/>
                    </w:rPr>
                    <w:t>126.501298562</w:t>
                  </w:r>
                </w:p>
              </w:tc>
              <w:tc>
                <w:tcPr>
                  <w:tcW w:w="834" w:type="pct"/>
                  <w:vMerge w:val="restart"/>
                  <w:vAlign w:val="center"/>
                </w:tcPr>
                <w:p w14:paraId="607B745D">
                  <w:pPr>
                    <w:jc w:val="center"/>
                    <w:rPr>
                      <w:rFonts w:hint="eastAsia"/>
                      <w:color w:val="auto"/>
                      <w:sz w:val="18"/>
                      <w:szCs w:val="18"/>
                      <w:lang w:val="en-US" w:eastAsia="zh-CN"/>
                    </w:rPr>
                  </w:pPr>
                  <w:r>
                    <w:rPr>
                      <w:rFonts w:hint="eastAsia"/>
                      <w:color w:val="auto"/>
                      <w:sz w:val="18"/>
                      <w:szCs w:val="18"/>
                      <w:lang w:val="en-US" w:eastAsia="zh-CN"/>
                    </w:rPr>
                    <w:t>42.016600061</w:t>
                  </w:r>
                </w:p>
              </w:tc>
              <w:tc>
                <w:tcPr>
                  <w:tcW w:w="654" w:type="pct"/>
                  <w:vAlign w:val="center"/>
                </w:tcPr>
                <w:p w14:paraId="03077681">
                  <w:pPr>
                    <w:jc w:val="center"/>
                    <w:rPr>
                      <w:color w:val="auto"/>
                      <w:sz w:val="18"/>
                      <w:szCs w:val="18"/>
                    </w:rPr>
                  </w:pPr>
                  <w:r>
                    <w:rPr>
                      <w:rFonts w:hint="eastAsia"/>
                      <w:color w:val="auto"/>
                      <w:sz w:val="18"/>
                      <w:szCs w:val="18"/>
                    </w:rPr>
                    <w:t>T</w:t>
                  </w:r>
                  <w:r>
                    <w:rPr>
                      <w:color w:val="auto"/>
                      <w:sz w:val="18"/>
                      <w:szCs w:val="18"/>
                    </w:rPr>
                    <w:t>SP</w:t>
                  </w:r>
                </w:p>
              </w:tc>
              <w:tc>
                <w:tcPr>
                  <w:tcW w:w="704" w:type="pct"/>
                  <w:vAlign w:val="center"/>
                </w:tcPr>
                <w:p w14:paraId="3404D6BA">
                  <w:pPr>
                    <w:jc w:val="center"/>
                    <w:rPr>
                      <w:color w:val="auto"/>
                      <w:sz w:val="18"/>
                      <w:szCs w:val="18"/>
                    </w:rPr>
                  </w:pPr>
                  <w:r>
                    <w:rPr>
                      <w:rFonts w:hint="eastAsia"/>
                      <w:color w:val="auto"/>
                      <w:sz w:val="18"/>
                      <w:szCs w:val="18"/>
                    </w:rPr>
                    <w:t>日均值</w:t>
                  </w:r>
                </w:p>
              </w:tc>
              <w:tc>
                <w:tcPr>
                  <w:tcW w:w="619" w:type="pct"/>
                  <w:vMerge w:val="restart"/>
                  <w:vAlign w:val="center"/>
                </w:tcPr>
                <w:p w14:paraId="2CCB3D54">
                  <w:pPr>
                    <w:jc w:val="center"/>
                    <w:rPr>
                      <w:color w:val="auto"/>
                      <w:sz w:val="18"/>
                      <w:szCs w:val="18"/>
                    </w:rPr>
                  </w:pPr>
                  <w:r>
                    <w:rPr>
                      <w:rFonts w:hint="eastAsia"/>
                      <w:color w:val="auto"/>
                      <w:sz w:val="18"/>
                      <w:szCs w:val="18"/>
                      <w:lang w:val="en-US" w:eastAsia="zh-CN"/>
                    </w:rPr>
                    <w:t>西南</w:t>
                  </w:r>
                  <w:r>
                    <w:rPr>
                      <w:color w:val="auto"/>
                      <w:sz w:val="18"/>
                      <w:szCs w:val="18"/>
                    </w:rPr>
                    <w:t>侧</w:t>
                  </w:r>
                </w:p>
              </w:tc>
              <w:tc>
                <w:tcPr>
                  <w:tcW w:w="817" w:type="pct"/>
                  <w:vMerge w:val="restart"/>
                  <w:vAlign w:val="center"/>
                </w:tcPr>
                <w:p w14:paraId="7DB89391">
                  <w:pPr>
                    <w:jc w:val="center"/>
                    <w:rPr>
                      <w:rFonts w:hint="default" w:eastAsia="宋体"/>
                      <w:color w:val="auto"/>
                      <w:sz w:val="18"/>
                      <w:szCs w:val="18"/>
                      <w:lang w:val="en-US" w:eastAsia="zh-CN"/>
                    </w:rPr>
                  </w:pPr>
                  <w:r>
                    <w:rPr>
                      <w:rFonts w:hint="eastAsia"/>
                      <w:color w:val="auto"/>
                      <w:sz w:val="18"/>
                      <w:szCs w:val="18"/>
                      <w:lang w:val="en-US" w:eastAsia="zh-CN"/>
                    </w:rPr>
                    <w:t>360</w:t>
                  </w:r>
                </w:p>
              </w:tc>
            </w:tr>
            <w:tr w14:paraId="52881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467" w:type="pct"/>
                  <w:vMerge w:val="continue"/>
                  <w:vAlign w:val="center"/>
                </w:tcPr>
                <w:p w14:paraId="2E8564B9">
                  <w:pPr>
                    <w:jc w:val="center"/>
                    <w:rPr>
                      <w:color w:val="auto"/>
                    </w:rPr>
                  </w:pPr>
                </w:p>
              </w:tc>
              <w:tc>
                <w:tcPr>
                  <w:tcW w:w="901" w:type="pct"/>
                  <w:vMerge w:val="continue"/>
                  <w:vAlign w:val="center"/>
                </w:tcPr>
                <w:p w14:paraId="32C5D522">
                  <w:pPr>
                    <w:jc w:val="center"/>
                    <w:rPr>
                      <w:color w:val="auto"/>
                      <w:sz w:val="18"/>
                      <w:szCs w:val="18"/>
                    </w:rPr>
                  </w:pPr>
                </w:p>
              </w:tc>
              <w:tc>
                <w:tcPr>
                  <w:tcW w:w="834" w:type="pct"/>
                  <w:vMerge w:val="continue"/>
                  <w:vAlign w:val="center"/>
                </w:tcPr>
                <w:p w14:paraId="655FEF8D">
                  <w:pPr>
                    <w:jc w:val="center"/>
                    <w:rPr>
                      <w:color w:val="auto"/>
                      <w:sz w:val="18"/>
                      <w:szCs w:val="18"/>
                    </w:rPr>
                  </w:pPr>
                </w:p>
              </w:tc>
              <w:tc>
                <w:tcPr>
                  <w:tcW w:w="654" w:type="pct"/>
                  <w:vAlign w:val="center"/>
                </w:tcPr>
                <w:p w14:paraId="02EA437F">
                  <w:pPr>
                    <w:jc w:val="center"/>
                    <w:rPr>
                      <w:color w:val="auto"/>
                      <w:sz w:val="18"/>
                      <w:szCs w:val="18"/>
                    </w:rPr>
                  </w:pPr>
                  <w:r>
                    <w:rPr>
                      <w:rFonts w:hint="eastAsia"/>
                      <w:color w:val="auto"/>
                      <w:sz w:val="18"/>
                      <w:szCs w:val="18"/>
                    </w:rPr>
                    <w:t>氨</w:t>
                  </w:r>
                </w:p>
              </w:tc>
              <w:tc>
                <w:tcPr>
                  <w:tcW w:w="704" w:type="pct"/>
                  <w:vAlign w:val="center"/>
                </w:tcPr>
                <w:p w14:paraId="5A17330F">
                  <w:pPr>
                    <w:jc w:val="center"/>
                    <w:rPr>
                      <w:color w:val="auto"/>
                      <w:sz w:val="18"/>
                      <w:szCs w:val="18"/>
                    </w:rPr>
                  </w:pPr>
                  <w:r>
                    <w:rPr>
                      <w:rFonts w:hint="eastAsia"/>
                      <w:color w:val="auto"/>
                      <w:sz w:val="18"/>
                      <w:szCs w:val="18"/>
                    </w:rPr>
                    <w:t>小时值</w:t>
                  </w:r>
                </w:p>
              </w:tc>
              <w:tc>
                <w:tcPr>
                  <w:tcW w:w="619" w:type="pct"/>
                  <w:vMerge w:val="continue"/>
                  <w:vAlign w:val="center"/>
                </w:tcPr>
                <w:p w14:paraId="0C7E82B9">
                  <w:pPr>
                    <w:jc w:val="center"/>
                    <w:rPr>
                      <w:color w:val="auto"/>
                      <w:sz w:val="18"/>
                      <w:szCs w:val="18"/>
                    </w:rPr>
                  </w:pPr>
                </w:p>
              </w:tc>
              <w:tc>
                <w:tcPr>
                  <w:tcW w:w="817" w:type="pct"/>
                  <w:vMerge w:val="continue"/>
                  <w:vAlign w:val="center"/>
                </w:tcPr>
                <w:p w14:paraId="69AAEB0A">
                  <w:pPr>
                    <w:jc w:val="center"/>
                    <w:rPr>
                      <w:color w:val="auto"/>
                      <w:sz w:val="18"/>
                      <w:szCs w:val="18"/>
                    </w:rPr>
                  </w:pPr>
                </w:p>
              </w:tc>
            </w:tr>
            <w:tr w14:paraId="670EE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467" w:type="pct"/>
                  <w:vMerge w:val="continue"/>
                  <w:vAlign w:val="center"/>
                </w:tcPr>
                <w:p w14:paraId="28155274">
                  <w:pPr>
                    <w:jc w:val="center"/>
                    <w:rPr>
                      <w:color w:val="auto"/>
                    </w:rPr>
                  </w:pPr>
                </w:p>
              </w:tc>
              <w:tc>
                <w:tcPr>
                  <w:tcW w:w="901" w:type="pct"/>
                  <w:vMerge w:val="continue"/>
                  <w:vAlign w:val="center"/>
                </w:tcPr>
                <w:p w14:paraId="7A015B41">
                  <w:pPr>
                    <w:jc w:val="center"/>
                    <w:rPr>
                      <w:color w:val="auto"/>
                      <w:sz w:val="18"/>
                      <w:szCs w:val="18"/>
                    </w:rPr>
                  </w:pPr>
                </w:p>
              </w:tc>
              <w:tc>
                <w:tcPr>
                  <w:tcW w:w="834" w:type="pct"/>
                  <w:vMerge w:val="continue"/>
                  <w:vAlign w:val="center"/>
                </w:tcPr>
                <w:p w14:paraId="36C9C0F0">
                  <w:pPr>
                    <w:jc w:val="center"/>
                    <w:rPr>
                      <w:color w:val="auto"/>
                      <w:sz w:val="18"/>
                      <w:szCs w:val="18"/>
                    </w:rPr>
                  </w:pPr>
                </w:p>
              </w:tc>
              <w:tc>
                <w:tcPr>
                  <w:tcW w:w="654" w:type="pct"/>
                  <w:vAlign w:val="center"/>
                </w:tcPr>
                <w:p w14:paraId="4CB71A6E">
                  <w:pPr>
                    <w:jc w:val="center"/>
                    <w:rPr>
                      <w:color w:val="auto"/>
                      <w:sz w:val="18"/>
                      <w:szCs w:val="18"/>
                    </w:rPr>
                  </w:pPr>
                  <w:r>
                    <w:rPr>
                      <w:rFonts w:hint="eastAsia"/>
                      <w:color w:val="auto"/>
                      <w:sz w:val="18"/>
                      <w:szCs w:val="18"/>
                    </w:rPr>
                    <w:t>硫化氢</w:t>
                  </w:r>
                </w:p>
              </w:tc>
              <w:tc>
                <w:tcPr>
                  <w:tcW w:w="704" w:type="pct"/>
                  <w:vAlign w:val="center"/>
                </w:tcPr>
                <w:p w14:paraId="6C3B9578">
                  <w:pPr>
                    <w:jc w:val="center"/>
                    <w:rPr>
                      <w:color w:val="auto"/>
                      <w:sz w:val="18"/>
                      <w:szCs w:val="18"/>
                    </w:rPr>
                  </w:pPr>
                  <w:r>
                    <w:rPr>
                      <w:rFonts w:hint="eastAsia"/>
                      <w:color w:val="auto"/>
                      <w:sz w:val="18"/>
                      <w:szCs w:val="18"/>
                    </w:rPr>
                    <w:t>小时值</w:t>
                  </w:r>
                </w:p>
              </w:tc>
              <w:tc>
                <w:tcPr>
                  <w:tcW w:w="619" w:type="pct"/>
                  <w:vMerge w:val="continue"/>
                  <w:vAlign w:val="center"/>
                </w:tcPr>
                <w:p w14:paraId="496087D6">
                  <w:pPr>
                    <w:jc w:val="center"/>
                    <w:rPr>
                      <w:color w:val="auto"/>
                      <w:sz w:val="18"/>
                      <w:szCs w:val="18"/>
                    </w:rPr>
                  </w:pPr>
                </w:p>
              </w:tc>
              <w:tc>
                <w:tcPr>
                  <w:tcW w:w="817" w:type="pct"/>
                  <w:vMerge w:val="continue"/>
                  <w:vAlign w:val="center"/>
                </w:tcPr>
                <w:p w14:paraId="2088E693">
                  <w:pPr>
                    <w:jc w:val="center"/>
                    <w:rPr>
                      <w:color w:val="auto"/>
                      <w:sz w:val="18"/>
                      <w:szCs w:val="18"/>
                    </w:rPr>
                  </w:pPr>
                </w:p>
              </w:tc>
            </w:tr>
            <w:tr w14:paraId="6C577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467" w:type="pct"/>
                  <w:vMerge w:val="continue"/>
                  <w:vAlign w:val="center"/>
                </w:tcPr>
                <w:p w14:paraId="661858D8">
                  <w:pPr>
                    <w:jc w:val="center"/>
                    <w:rPr>
                      <w:color w:val="auto"/>
                    </w:rPr>
                  </w:pPr>
                </w:p>
              </w:tc>
              <w:tc>
                <w:tcPr>
                  <w:tcW w:w="901" w:type="pct"/>
                  <w:vMerge w:val="continue"/>
                  <w:vAlign w:val="center"/>
                </w:tcPr>
                <w:p w14:paraId="2B7880F8">
                  <w:pPr>
                    <w:jc w:val="center"/>
                    <w:rPr>
                      <w:color w:val="auto"/>
                      <w:sz w:val="18"/>
                      <w:szCs w:val="18"/>
                    </w:rPr>
                  </w:pPr>
                </w:p>
              </w:tc>
              <w:tc>
                <w:tcPr>
                  <w:tcW w:w="834" w:type="pct"/>
                  <w:vMerge w:val="continue"/>
                  <w:vAlign w:val="center"/>
                </w:tcPr>
                <w:p w14:paraId="4092931D">
                  <w:pPr>
                    <w:jc w:val="center"/>
                    <w:rPr>
                      <w:color w:val="auto"/>
                      <w:sz w:val="18"/>
                      <w:szCs w:val="18"/>
                    </w:rPr>
                  </w:pPr>
                </w:p>
              </w:tc>
              <w:tc>
                <w:tcPr>
                  <w:tcW w:w="654" w:type="pct"/>
                  <w:vAlign w:val="center"/>
                </w:tcPr>
                <w:p w14:paraId="5275BB40">
                  <w:pPr>
                    <w:jc w:val="center"/>
                    <w:rPr>
                      <w:color w:val="auto"/>
                      <w:sz w:val="18"/>
                      <w:szCs w:val="18"/>
                    </w:rPr>
                  </w:pPr>
                  <w:r>
                    <w:rPr>
                      <w:rFonts w:hint="eastAsia"/>
                      <w:color w:val="auto"/>
                      <w:sz w:val="18"/>
                      <w:szCs w:val="18"/>
                    </w:rPr>
                    <w:t>臭气浓度</w:t>
                  </w:r>
                </w:p>
              </w:tc>
              <w:tc>
                <w:tcPr>
                  <w:tcW w:w="704" w:type="pct"/>
                  <w:vAlign w:val="center"/>
                </w:tcPr>
                <w:p w14:paraId="1163A81E">
                  <w:pPr>
                    <w:jc w:val="center"/>
                    <w:rPr>
                      <w:color w:val="auto"/>
                      <w:sz w:val="18"/>
                      <w:szCs w:val="18"/>
                    </w:rPr>
                  </w:pPr>
                  <w:r>
                    <w:rPr>
                      <w:rFonts w:hint="eastAsia"/>
                      <w:color w:val="auto"/>
                      <w:sz w:val="18"/>
                      <w:szCs w:val="18"/>
                    </w:rPr>
                    <w:t>一次值</w:t>
                  </w:r>
                </w:p>
              </w:tc>
              <w:tc>
                <w:tcPr>
                  <w:tcW w:w="619" w:type="pct"/>
                  <w:vMerge w:val="continue"/>
                  <w:vAlign w:val="center"/>
                </w:tcPr>
                <w:p w14:paraId="67742F0A">
                  <w:pPr>
                    <w:jc w:val="center"/>
                    <w:rPr>
                      <w:color w:val="auto"/>
                      <w:sz w:val="18"/>
                      <w:szCs w:val="18"/>
                    </w:rPr>
                  </w:pPr>
                </w:p>
              </w:tc>
              <w:tc>
                <w:tcPr>
                  <w:tcW w:w="817" w:type="pct"/>
                  <w:vMerge w:val="continue"/>
                  <w:vAlign w:val="center"/>
                </w:tcPr>
                <w:p w14:paraId="03657FE1">
                  <w:pPr>
                    <w:jc w:val="center"/>
                    <w:rPr>
                      <w:color w:val="auto"/>
                      <w:sz w:val="18"/>
                      <w:szCs w:val="18"/>
                    </w:rPr>
                  </w:pPr>
                </w:p>
              </w:tc>
            </w:tr>
          </w:tbl>
          <w:p w14:paraId="407D2AE5">
            <w:pPr>
              <w:shd w:val="clear" w:color="auto" w:fill="FFFFFF"/>
              <w:adjustRightInd w:val="0"/>
              <w:snapToGrid w:val="0"/>
              <w:spacing w:line="336" w:lineRule="auto"/>
              <w:ind w:firstLine="200" w:firstLineChars="200"/>
              <w:rPr>
                <w:rFonts w:cs="宋体"/>
                <w:color w:val="auto"/>
                <w:sz w:val="10"/>
                <w:szCs w:val="10"/>
              </w:rPr>
            </w:pPr>
          </w:p>
          <w:p w14:paraId="1F816AF5">
            <w:pPr>
              <w:pStyle w:val="85"/>
              <w:ind w:firstLine="420"/>
              <w:rPr>
                <w:color w:val="auto"/>
              </w:rPr>
            </w:pPr>
            <w:r>
              <w:rPr>
                <w:rFonts w:hint="eastAsia"/>
                <w:color w:val="auto"/>
              </w:rPr>
              <w:t>（</w:t>
            </w:r>
            <w:r>
              <w:rPr>
                <w:color w:val="auto"/>
              </w:rPr>
              <w:t>2）监测项目</w:t>
            </w:r>
          </w:p>
          <w:p w14:paraId="1F020A91">
            <w:pPr>
              <w:spacing w:line="360" w:lineRule="auto"/>
              <w:ind w:firstLine="480"/>
              <w:rPr>
                <w:color w:val="auto"/>
              </w:rPr>
            </w:pPr>
            <w:r>
              <w:rPr>
                <w:rFonts w:hint="eastAsia" w:hAnsi="宋体"/>
                <w:color w:val="auto"/>
              </w:rPr>
              <w:t>根据该区域环境空气质量状况以及项目废气污染特征，确定为监测项目因子：TSP、氨、硫化氢、臭气浓度共</w:t>
            </w:r>
            <w:r>
              <w:rPr>
                <w:rFonts w:hAnsi="宋体"/>
                <w:color w:val="auto"/>
              </w:rPr>
              <w:t>4</w:t>
            </w:r>
            <w:r>
              <w:rPr>
                <w:rFonts w:hint="eastAsia" w:hAnsi="宋体"/>
                <w:color w:val="auto"/>
              </w:rPr>
              <w:t>项指标</w:t>
            </w:r>
            <w:r>
              <w:rPr>
                <w:color w:val="auto"/>
              </w:rPr>
              <w:t>。</w:t>
            </w:r>
          </w:p>
          <w:p w14:paraId="07A0E5C4">
            <w:pPr>
              <w:pStyle w:val="85"/>
              <w:ind w:firstLine="420"/>
              <w:rPr>
                <w:color w:val="auto"/>
              </w:rPr>
            </w:pPr>
            <w:r>
              <w:rPr>
                <w:rFonts w:hint="eastAsia"/>
                <w:color w:val="auto"/>
              </w:rPr>
              <w:t>（</w:t>
            </w:r>
            <w:r>
              <w:rPr>
                <w:color w:val="auto"/>
              </w:rPr>
              <w:t>3）监测时间</w:t>
            </w:r>
            <w:r>
              <w:rPr>
                <w:rFonts w:hint="eastAsia"/>
                <w:color w:val="auto"/>
              </w:rPr>
              <w:t>及频率</w:t>
            </w:r>
          </w:p>
          <w:p w14:paraId="35397668">
            <w:pPr>
              <w:spacing w:line="360" w:lineRule="auto"/>
              <w:ind w:firstLine="420" w:firstLineChars="200"/>
              <w:rPr>
                <w:rFonts w:hAnsi="宋体"/>
                <w:color w:val="0000FF"/>
              </w:rPr>
            </w:pPr>
            <w:r>
              <w:rPr>
                <w:rFonts w:hint="eastAsia" w:ascii="Times New Roman" w:hAnsi="宋体" w:eastAsia="宋体" w:cs="Times New Roman"/>
                <w:color w:val="0000FF"/>
                <w:lang w:val="en-US" w:eastAsia="zh-CN"/>
              </w:rPr>
              <w:t>吉林</w:t>
            </w:r>
            <w:r>
              <w:rPr>
                <w:rFonts w:hint="eastAsia" w:hAnsi="宋体" w:cs="Times New Roman"/>
                <w:color w:val="0000FF"/>
                <w:lang w:val="en-US" w:eastAsia="zh-CN"/>
              </w:rPr>
              <w:t>启兴环保检测</w:t>
            </w:r>
            <w:r>
              <w:rPr>
                <w:rFonts w:hint="eastAsia" w:ascii="Times New Roman" w:hAnsi="宋体" w:eastAsia="宋体" w:cs="Times New Roman"/>
                <w:color w:val="0000FF"/>
                <w:lang w:val="en-US" w:eastAsia="zh-CN"/>
              </w:rPr>
              <w:t>有限公司</w:t>
            </w:r>
            <w:r>
              <w:rPr>
                <w:rFonts w:hint="eastAsia" w:hAnsi="宋体"/>
                <w:color w:val="0000FF"/>
              </w:rPr>
              <w:t>于</w:t>
            </w:r>
            <w:r>
              <w:rPr>
                <w:rFonts w:hAnsi="宋体"/>
                <w:color w:val="0000FF"/>
              </w:rPr>
              <w:t>20</w:t>
            </w:r>
            <w:r>
              <w:rPr>
                <w:rFonts w:hint="eastAsia" w:hAnsi="宋体"/>
                <w:color w:val="0000FF"/>
              </w:rPr>
              <w:t>2</w:t>
            </w:r>
            <w:r>
              <w:rPr>
                <w:rFonts w:hint="eastAsia" w:hAnsi="宋体"/>
                <w:color w:val="0000FF"/>
                <w:lang w:val="en-US" w:eastAsia="zh-CN"/>
              </w:rPr>
              <w:t>5</w:t>
            </w:r>
            <w:r>
              <w:rPr>
                <w:rFonts w:hAnsi="宋体"/>
                <w:color w:val="0000FF"/>
              </w:rPr>
              <w:t>年0</w:t>
            </w:r>
            <w:r>
              <w:rPr>
                <w:rFonts w:hint="eastAsia" w:hAnsi="宋体"/>
                <w:color w:val="0000FF"/>
                <w:lang w:val="en-US" w:eastAsia="zh-CN"/>
              </w:rPr>
              <w:t>8</w:t>
            </w:r>
            <w:r>
              <w:rPr>
                <w:rFonts w:hAnsi="宋体"/>
                <w:color w:val="0000FF"/>
              </w:rPr>
              <w:t>月</w:t>
            </w:r>
            <w:r>
              <w:rPr>
                <w:rFonts w:hint="eastAsia" w:hAnsi="宋体"/>
                <w:color w:val="0000FF"/>
                <w:lang w:val="en-US" w:eastAsia="zh-CN"/>
              </w:rPr>
              <w:t>11</w:t>
            </w:r>
            <w:r>
              <w:rPr>
                <w:rFonts w:hAnsi="宋体"/>
                <w:color w:val="0000FF"/>
              </w:rPr>
              <w:t>日</w:t>
            </w:r>
            <w:r>
              <w:rPr>
                <w:rFonts w:hint="eastAsia" w:hAnsi="宋体"/>
                <w:color w:val="0000FF"/>
              </w:rPr>
              <w:t>～</w:t>
            </w:r>
            <w:r>
              <w:rPr>
                <w:rFonts w:hAnsi="宋体"/>
                <w:color w:val="0000FF"/>
              </w:rPr>
              <w:t>0</w:t>
            </w:r>
            <w:r>
              <w:rPr>
                <w:rFonts w:hint="eastAsia" w:hAnsi="宋体"/>
                <w:color w:val="0000FF"/>
                <w:lang w:val="en-US" w:eastAsia="zh-CN"/>
              </w:rPr>
              <w:t>8</w:t>
            </w:r>
            <w:r>
              <w:rPr>
                <w:rFonts w:hAnsi="宋体"/>
                <w:color w:val="0000FF"/>
              </w:rPr>
              <w:t>月</w:t>
            </w:r>
            <w:r>
              <w:rPr>
                <w:rFonts w:hint="eastAsia" w:hAnsi="宋体"/>
                <w:color w:val="0000FF"/>
                <w:lang w:val="en-US" w:eastAsia="zh-CN"/>
              </w:rPr>
              <w:t>13</w:t>
            </w:r>
            <w:r>
              <w:rPr>
                <w:rFonts w:hAnsi="宋体"/>
                <w:color w:val="0000FF"/>
              </w:rPr>
              <w:t>日</w:t>
            </w:r>
            <w:r>
              <w:rPr>
                <w:color w:val="0000FF"/>
              </w:rPr>
              <w:t>，</w:t>
            </w:r>
            <w:r>
              <w:rPr>
                <w:rFonts w:hAnsi="宋体"/>
                <w:color w:val="0000FF"/>
              </w:rPr>
              <w:t>连续</w:t>
            </w:r>
            <w:r>
              <w:rPr>
                <w:rFonts w:hint="eastAsia" w:hAnsi="宋体"/>
                <w:color w:val="0000FF"/>
              </w:rPr>
              <w:t>3</w:t>
            </w:r>
            <w:r>
              <w:rPr>
                <w:rFonts w:hAnsi="宋体"/>
                <w:color w:val="0000FF"/>
              </w:rPr>
              <w:t>天，其中</w:t>
            </w:r>
            <w:r>
              <w:rPr>
                <w:rFonts w:hint="eastAsia" w:hAnsi="宋体"/>
                <w:color w:val="0000FF"/>
              </w:rPr>
              <w:t>氨、硫化氢</w:t>
            </w:r>
            <w:r>
              <w:rPr>
                <w:rFonts w:hAnsi="宋体"/>
                <w:color w:val="0000FF"/>
              </w:rPr>
              <w:t>的小时监测值；</w:t>
            </w:r>
            <w:r>
              <w:rPr>
                <w:rFonts w:hint="eastAsia" w:hAnsi="宋体"/>
                <w:color w:val="0000FF"/>
              </w:rPr>
              <w:t>TSP</w:t>
            </w:r>
            <w:r>
              <w:rPr>
                <w:rFonts w:hint="eastAsia" w:hAnsi="宋体"/>
                <w:color w:val="0000FF"/>
                <w:lang w:val="en-US" w:eastAsia="zh-CN"/>
              </w:rPr>
              <w:t>为</w:t>
            </w:r>
            <w:r>
              <w:rPr>
                <w:rFonts w:hAnsi="宋体"/>
                <w:color w:val="0000FF"/>
              </w:rPr>
              <w:t>日均值，臭气浓度一次值。</w:t>
            </w:r>
          </w:p>
          <w:p w14:paraId="7D12B68A">
            <w:pPr>
              <w:pStyle w:val="85"/>
              <w:ind w:firstLine="420"/>
              <w:rPr>
                <w:color w:val="auto"/>
              </w:rPr>
            </w:pPr>
            <w:r>
              <w:rPr>
                <w:rFonts w:hint="eastAsia"/>
                <w:color w:val="auto"/>
              </w:rPr>
              <w:t>（</w:t>
            </w:r>
            <w:r>
              <w:rPr>
                <w:color w:val="auto"/>
              </w:rPr>
              <w:t>4）评价标准</w:t>
            </w:r>
          </w:p>
          <w:p w14:paraId="6ADB9532">
            <w:pPr>
              <w:pStyle w:val="85"/>
              <w:ind w:firstLine="420"/>
              <w:rPr>
                <w:color w:val="auto"/>
              </w:rPr>
            </w:pPr>
            <w:r>
              <w:rPr>
                <w:rFonts w:hint="eastAsia"/>
                <w:i w:val="0"/>
                <w:iCs w:val="0"/>
                <w:color w:val="auto"/>
                <w:highlight w:val="none"/>
                <w:u w:val="none"/>
              </w:rPr>
              <w:t>TSP环境质量标准选用《环境空气质量标准》（</w:t>
            </w:r>
            <w:r>
              <w:rPr>
                <w:i w:val="0"/>
                <w:iCs w:val="0"/>
                <w:color w:val="auto"/>
                <w:highlight w:val="none"/>
                <w:u w:val="none"/>
              </w:rPr>
              <w:t>GB3095-2012</w:t>
            </w:r>
            <w:r>
              <w:rPr>
                <w:rFonts w:hint="eastAsia"/>
                <w:i w:val="0"/>
                <w:iCs w:val="0"/>
                <w:color w:val="auto"/>
                <w:highlight w:val="none"/>
                <w:u w:val="none"/>
              </w:rPr>
              <w:t>）二级标准，氨、硫化氢环境质量标准选用《环境影响评价技术导则 大气环境》（HJ2.2-2018）附录D中标准值</w:t>
            </w:r>
            <w:r>
              <w:rPr>
                <w:color w:val="auto"/>
              </w:rPr>
              <w:t>。</w:t>
            </w:r>
          </w:p>
          <w:p w14:paraId="45C2BCFC">
            <w:pPr>
              <w:pStyle w:val="85"/>
              <w:ind w:firstLine="420"/>
              <w:rPr>
                <w:color w:val="auto"/>
              </w:rPr>
            </w:pPr>
            <w:r>
              <w:rPr>
                <w:rFonts w:hint="eastAsia"/>
                <w:color w:val="auto"/>
              </w:rPr>
              <w:t>（</w:t>
            </w:r>
            <w:r>
              <w:rPr>
                <w:color w:val="auto"/>
              </w:rPr>
              <w:t>5）评价方法</w:t>
            </w:r>
          </w:p>
          <w:p w14:paraId="4274F88E">
            <w:pPr>
              <w:shd w:val="clear" w:color="auto" w:fill="FFFFFF"/>
              <w:adjustRightInd w:val="0"/>
              <w:snapToGrid w:val="0"/>
              <w:spacing w:line="360" w:lineRule="auto"/>
              <w:ind w:firstLine="420" w:firstLineChars="200"/>
              <w:rPr>
                <w:color w:val="auto"/>
              </w:rPr>
            </w:pPr>
            <w:r>
              <w:rPr>
                <w:rFonts w:hint="eastAsia" w:cs="宋体"/>
                <w:color w:val="auto"/>
              </w:rPr>
              <w:t>采用</w:t>
            </w:r>
            <w:r>
              <w:rPr>
                <w:color w:val="auto"/>
              </w:rPr>
              <w:t>HJ2.2-20</w:t>
            </w:r>
            <w:r>
              <w:rPr>
                <w:rFonts w:hint="eastAsia"/>
                <w:color w:val="auto"/>
              </w:rPr>
              <w:t>1</w:t>
            </w:r>
            <w:r>
              <w:rPr>
                <w:color w:val="auto"/>
              </w:rPr>
              <w:t>8</w:t>
            </w:r>
            <w:r>
              <w:rPr>
                <w:rFonts w:hint="eastAsia" w:cs="宋体"/>
                <w:color w:val="auto"/>
              </w:rPr>
              <w:t>《环境影响评价技术导则大气环境》中</w:t>
            </w:r>
            <w:r>
              <w:rPr>
                <w:rFonts w:hint="eastAsia"/>
                <w:color w:val="auto"/>
              </w:rPr>
              <w:t>6.4.2.2补充监测数据的现状评价内容，分别对各监测点位不同污染物的短期浓度进行环境质量现状评价。对于超标的污染物，计算其超标倍数和超标率。</w:t>
            </w:r>
          </w:p>
          <w:p w14:paraId="7E57DF4F">
            <w:pPr>
              <w:pStyle w:val="85"/>
              <w:ind w:firstLine="420"/>
              <w:rPr>
                <w:color w:val="auto"/>
              </w:rPr>
            </w:pPr>
            <w:r>
              <w:rPr>
                <w:color w:val="auto"/>
              </w:rPr>
              <w:t>评价方法采用单项标准指数法，计算公式如下：</w:t>
            </w:r>
          </w:p>
          <w:p w14:paraId="4FD2C259">
            <w:pPr>
              <w:pStyle w:val="85"/>
              <w:ind w:firstLine="420"/>
              <w:rPr>
                <w:color w:val="auto"/>
              </w:rPr>
            </w:pPr>
            <w:r>
              <w:rPr>
                <w:color w:val="auto"/>
              </w:rPr>
              <w:t xml:space="preserve">          I</w:t>
            </w:r>
            <w:r>
              <w:rPr>
                <w:color w:val="auto"/>
                <w:vertAlign w:val="subscript"/>
              </w:rPr>
              <w:t>i</w:t>
            </w:r>
            <w:r>
              <w:rPr>
                <w:color w:val="auto"/>
                <w:lang w:val="en-GB"/>
              </w:rPr>
              <w:t>＝</w:t>
            </w:r>
            <w:r>
              <w:rPr>
                <w:color w:val="auto"/>
              </w:rPr>
              <w:t>C</w:t>
            </w:r>
            <w:r>
              <w:rPr>
                <w:color w:val="auto"/>
                <w:vertAlign w:val="subscript"/>
              </w:rPr>
              <w:t>i</w:t>
            </w:r>
            <w:r>
              <w:rPr>
                <w:color w:val="auto"/>
              </w:rPr>
              <w:t>/Co</w:t>
            </w:r>
            <w:r>
              <w:rPr>
                <w:color w:val="auto"/>
                <w:vertAlign w:val="subscript"/>
              </w:rPr>
              <w:t>i</w:t>
            </w:r>
          </w:p>
          <w:p w14:paraId="77BD4D41">
            <w:pPr>
              <w:pStyle w:val="85"/>
              <w:ind w:firstLine="420"/>
              <w:rPr>
                <w:color w:val="auto"/>
              </w:rPr>
            </w:pPr>
            <w:r>
              <w:rPr>
                <w:color w:val="auto"/>
              </w:rPr>
              <w:t>式中：I</w:t>
            </w:r>
            <w:r>
              <w:rPr>
                <w:color w:val="auto"/>
                <w:vertAlign w:val="subscript"/>
              </w:rPr>
              <w:t>i</w:t>
            </w:r>
            <w:r>
              <w:rPr>
                <w:color w:val="auto"/>
              </w:rPr>
              <w:t>─i污染物的标准指数；</w:t>
            </w:r>
          </w:p>
          <w:p w14:paraId="5BE69E3C">
            <w:pPr>
              <w:pStyle w:val="85"/>
              <w:ind w:firstLine="1050" w:firstLineChars="500"/>
              <w:rPr>
                <w:color w:val="auto"/>
              </w:rPr>
            </w:pPr>
            <w:r>
              <w:rPr>
                <w:color w:val="auto"/>
              </w:rPr>
              <w:t>C</w:t>
            </w:r>
            <w:r>
              <w:rPr>
                <w:color w:val="auto"/>
                <w:vertAlign w:val="subscript"/>
              </w:rPr>
              <w:t>i</w:t>
            </w:r>
            <w:r>
              <w:rPr>
                <w:color w:val="auto"/>
              </w:rPr>
              <w:t>─i污染物的实测浓度，</w:t>
            </w:r>
            <w:r>
              <w:rPr>
                <w:rFonts w:cs="Times New Roman"/>
                <w:color w:val="auto"/>
              </w:rPr>
              <w:t>µ</w:t>
            </w:r>
            <w:r>
              <w:rPr>
                <w:color w:val="auto"/>
              </w:rPr>
              <w:t>g/m</w:t>
            </w:r>
            <w:r>
              <w:rPr>
                <w:color w:val="auto"/>
                <w:vertAlign w:val="superscript"/>
              </w:rPr>
              <w:t>3</w:t>
            </w:r>
            <w:r>
              <w:rPr>
                <w:color w:val="auto"/>
              </w:rPr>
              <w:t>；</w:t>
            </w:r>
          </w:p>
          <w:p w14:paraId="75C1BFE5">
            <w:pPr>
              <w:pStyle w:val="85"/>
              <w:ind w:firstLine="420"/>
              <w:rPr>
                <w:color w:val="auto"/>
              </w:rPr>
            </w:pPr>
            <w:r>
              <w:rPr>
                <w:color w:val="auto"/>
              </w:rPr>
              <w:t xml:space="preserve">      Co</w:t>
            </w:r>
            <w:r>
              <w:rPr>
                <w:color w:val="auto"/>
                <w:vertAlign w:val="subscript"/>
              </w:rPr>
              <w:t>i</w:t>
            </w:r>
            <w:r>
              <w:rPr>
                <w:color w:val="auto"/>
              </w:rPr>
              <w:t>─i污染物的评价标准，</w:t>
            </w:r>
            <w:r>
              <w:rPr>
                <w:rFonts w:cs="Times New Roman"/>
                <w:color w:val="auto"/>
              </w:rPr>
              <w:t>µ</w:t>
            </w:r>
            <w:r>
              <w:rPr>
                <w:color w:val="auto"/>
              </w:rPr>
              <w:t>g/m</w:t>
            </w:r>
            <w:r>
              <w:rPr>
                <w:color w:val="auto"/>
                <w:vertAlign w:val="superscript"/>
              </w:rPr>
              <w:t>3</w:t>
            </w:r>
            <w:r>
              <w:rPr>
                <w:color w:val="auto"/>
              </w:rPr>
              <w:t>。</w:t>
            </w:r>
          </w:p>
          <w:p w14:paraId="0D9696BD">
            <w:pPr>
              <w:pStyle w:val="85"/>
              <w:ind w:firstLine="420"/>
              <w:rPr>
                <w:color w:val="auto"/>
              </w:rPr>
            </w:pPr>
            <w:r>
              <w:rPr>
                <w:color w:val="auto"/>
              </w:rPr>
              <w:t>其中I</w:t>
            </w:r>
            <w:r>
              <w:rPr>
                <w:color w:val="auto"/>
                <w:vertAlign w:val="subscript"/>
              </w:rPr>
              <w:t>i</w:t>
            </w:r>
            <w:r>
              <w:rPr>
                <w:color w:val="auto"/>
              </w:rPr>
              <w:t xml:space="preserve"> ≤1.0时，表示该污染物不超标，满足其评价标准要求；而Ii＞1.0时，则表明该污染物超标。</w:t>
            </w:r>
          </w:p>
          <w:p w14:paraId="37CCFF08">
            <w:pPr>
              <w:pStyle w:val="85"/>
              <w:ind w:firstLine="420"/>
              <w:rPr>
                <w:color w:val="auto"/>
              </w:rPr>
            </w:pPr>
            <w:r>
              <w:rPr>
                <w:rFonts w:hint="eastAsia"/>
                <w:color w:val="auto"/>
              </w:rPr>
              <w:t>（</w:t>
            </w:r>
            <w:r>
              <w:rPr>
                <w:color w:val="auto"/>
              </w:rPr>
              <w:t>6）监测与评价结果</w:t>
            </w:r>
          </w:p>
          <w:p w14:paraId="33199DD1">
            <w:pPr>
              <w:pStyle w:val="85"/>
              <w:ind w:firstLine="420"/>
              <w:rPr>
                <w:rFonts w:cs="Times New Roman"/>
                <w:color w:val="auto"/>
              </w:rPr>
            </w:pPr>
            <w:r>
              <w:rPr>
                <w:color w:val="auto"/>
              </w:rPr>
              <w:t>监测与评价结果见下表。</w:t>
            </w:r>
          </w:p>
          <w:p w14:paraId="7323977A">
            <w:pPr>
              <w:adjustRightInd w:val="0"/>
              <w:snapToGrid w:val="0"/>
              <w:ind w:firstLine="420" w:firstLineChars="200"/>
              <w:jc w:val="center"/>
              <w:rPr>
                <w:rFonts w:hAnsi="宋体"/>
                <w:color w:val="auto"/>
              </w:rPr>
            </w:pPr>
            <w:r>
              <w:rPr>
                <w:rFonts w:hAnsi="宋体"/>
                <w:color w:val="auto"/>
              </w:rPr>
              <w:t>环境空气质量现状评价结果表</w:t>
            </w:r>
          </w:p>
          <w:tbl>
            <w:tblPr>
              <w:tblStyle w:val="29"/>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001"/>
              <w:gridCol w:w="1068"/>
              <w:gridCol w:w="1180"/>
              <w:gridCol w:w="1244"/>
              <w:gridCol w:w="1123"/>
              <w:gridCol w:w="657"/>
              <w:gridCol w:w="657"/>
            </w:tblGrid>
            <w:tr w14:paraId="6983A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57" w:type="pct"/>
                  <w:tcBorders>
                    <w:bottom w:val="single" w:color="auto" w:sz="4" w:space="0"/>
                  </w:tcBorders>
                  <w:vAlign w:val="center"/>
                </w:tcPr>
                <w:p w14:paraId="142B6C08">
                  <w:pPr>
                    <w:adjustRightInd w:val="0"/>
                    <w:snapToGrid w:val="0"/>
                    <w:jc w:val="center"/>
                    <w:rPr>
                      <w:snapToGrid w:val="0"/>
                      <w:color w:val="auto"/>
                      <w:sz w:val="18"/>
                      <w:szCs w:val="18"/>
                    </w:rPr>
                  </w:pPr>
                  <w:r>
                    <w:rPr>
                      <w:snapToGrid w:val="0"/>
                      <w:color w:val="auto"/>
                      <w:sz w:val="18"/>
                      <w:szCs w:val="18"/>
                    </w:rPr>
                    <w:t>监测</w:t>
                  </w:r>
                  <w:r>
                    <w:rPr>
                      <w:rFonts w:hint="eastAsia"/>
                      <w:snapToGrid w:val="0"/>
                      <w:color w:val="auto"/>
                      <w:sz w:val="18"/>
                      <w:szCs w:val="18"/>
                    </w:rPr>
                    <w:t>点位</w:t>
                  </w:r>
                </w:p>
              </w:tc>
              <w:tc>
                <w:tcPr>
                  <w:tcW w:w="627" w:type="pct"/>
                  <w:tcBorders>
                    <w:bottom w:val="single" w:color="auto" w:sz="4" w:space="0"/>
                  </w:tcBorders>
                  <w:vAlign w:val="center"/>
                </w:tcPr>
                <w:p w14:paraId="20257EBC">
                  <w:pPr>
                    <w:adjustRightInd w:val="0"/>
                    <w:snapToGrid w:val="0"/>
                    <w:jc w:val="center"/>
                    <w:rPr>
                      <w:snapToGrid w:val="0"/>
                      <w:color w:val="auto"/>
                      <w:sz w:val="18"/>
                      <w:szCs w:val="18"/>
                    </w:rPr>
                  </w:pPr>
                  <w:r>
                    <w:rPr>
                      <w:rFonts w:hint="eastAsia"/>
                      <w:snapToGrid w:val="0"/>
                      <w:color w:val="auto"/>
                      <w:sz w:val="18"/>
                      <w:szCs w:val="18"/>
                    </w:rPr>
                    <w:t>污染物</w:t>
                  </w:r>
                </w:p>
              </w:tc>
              <w:tc>
                <w:tcPr>
                  <w:tcW w:w="669" w:type="pct"/>
                  <w:tcBorders>
                    <w:bottom w:val="single" w:color="auto" w:sz="4" w:space="0"/>
                  </w:tcBorders>
                  <w:vAlign w:val="center"/>
                </w:tcPr>
                <w:p w14:paraId="22518166">
                  <w:pPr>
                    <w:adjustRightInd w:val="0"/>
                    <w:snapToGrid w:val="0"/>
                    <w:jc w:val="center"/>
                    <w:rPr>
                      <w:snapToGrid w:val="0"/>
                      <w:color w:val="auto"/>
                      <w:sz w:val="18"/>
                      <w:szCs w:val="18"/>
                    </w:rPr>
                  </w:pPr>
                  <w:r>
                    <w:rPr>
                      <w:rFonts w:hint="eastAsia"/>
                      <w:snapToGrid w:val="0"/>
                      <w:color w:val="auto"/>
                      <w:sz w:val="18"/>
                      <w:szCs w:val="18"/>
                    </w:rPr>
                    <w:t>平均时间</w:t>
                  </w:r>
                </w:p>
              </w:tc>
              <w:tc>
                <w:tcPr>
                  <w:tcW w:w="739" w:type="pct"/>
                  <w:tcBorders>
                    <w:bottom w:val="single" w:color="auto" w:sz="4" w:space="0"/>
                  </w:tcBorders>
                  <w:vAlign w:val="center"/>
                </w:tcPr>
                <w:p w14:paraId="6BA5A2FC">
                  <w:pPr>
                    <w:adjustRightInd w:val="0"/>
                    <w:snapToGrid w:val="0"/>
                    <w:jc w:val="center"/>
                    <w:rPr>
                      <w:snapToGrid w:val="0"/>
                      <w:color w:val="auto"/>
                      <w:sz w:val="18"/>
                      <w:szCs w:val="18"/>
                    </w:rPr>
                  </w:pPr>
                  <w:r>
                    <w:rPr>
                      <w:rFonts w:hint="eastAsia"/>
                      <w:snapToGrid w:val="0"/>
                      <w:color w:val="auto"/>
                      <w:sz w:val="18"/>
                      <w:szCs w:val="18"/>
                    </w:rPr>
                    <w:t>评价标准</w:t>
                  </w:r>
                </w:p>
                <w:p w14:paraId="33B0CAC0">
                  <w:pPr>
                    <w:adjustRightInd w:val="0"/>
                    <w:snapToGrid w:val="0"/>
                    <w:jc w:val="center"/>
                    <w:rPr>
                      <w:snapToGrid w:val="0"/>
                      <w:color w:val="auto"/>
                      <w:sz w:val="18"/>
                      <w:szCs w:val="18"/>
                    </w:rPr>
                  </w:pPr>
                  <w:r>
                    <w:rPr>
                      <w:color w:val="auto"/>
                      <w:sz w:val="18"/>
                      <w:szCs w:val="18"/>
                    </w:rPr>
                    <w:t>µg</w:t>
                  </w:r>
                  <w:r>
                    <w:rPr>
                      <w:rFonts w:hint="eastAsia"/>
                      <w:snapToGrid w:val="0"/>
                      <w:color w:val="auto"/>
                      <w:sz w:val="18"/>
                      <w:szCs w:val="18"/>
                    </w:rPr>
                    <w:t xml:space="preserve"> /m</w:t>
                  </w:r>
                  <w:r>
                    <w:rPr>
                      <w:rFonts w:hint="eastAsia"/>
                      <w:snapToGrid w:val="0"/>
                      <w:color w:val="auto"/>
                      <w:sz w:val="18"/>
                      <w:szCs w:val="18"/>
                      <w:vertAlign w:val="superscript"/>
                    </w:rPr>
                    <w:t>3</w:t>
                  </w:r>
                </w:p>
              </w:tc>
              <w:tc>
                <w:tcPr>
                  <w:tcW w:w="779" w:type="pct"/>
                  <w:tcBorders>
                    <w:bottom w:val="single" w:color="auto" w:sz="4" w:space="0"/>
                    <w:right w:val="single" w:color="auto" w:sz="2" w:space="0"/>
                  </w:tcBorders>
                  <w:vAlign w:val="center"/>
                </w:tcPr>
                <w:p w14:paraId="06CCD731">
                  <w:pPr>
                    <w:adjustRightInd w:val="0"/>
                    <w:snapToGrid w:val="0"/>
                    <w:jc w:val="center"/>
                    <w:rPr>
                      <w:snapToGrid w:val="0"/>
                      <w:color w:val="auto"/>
                      <w:sz w:val="18"/>
                      <w:szCs w:val="18"/>
                    </w:rPr>
                  </w:pPr>
                  <w:r>
                    <w:rPr>
                      <w:rFonts w:hint="eastAsia"/>
                      <w:snapToGrid w:val="0"/>
                      <w:color w:val="auto"/>
                      <w:sz w:val="18"/>
                      <w:szCs w:val="18"/>
                    </w:rPr>
                    <w:t>监测浓度范围</w:t>
                  </w:r>
                  <w:r>
                    <w:rPr>
                      <w:color w:val="auto"/>
                      <w:sz w:val="18"/>
                      <w:szCs w:val="18"/>
                    </w:rPr>
                    <w:t>µg</w:t>
                  </w:r>
                  <w:r>
                    <w:rPr>
                      <w:rFonts w:hint="eastAsia"/>
                      <w:snapToGrid w:val="0"/>
                      <w:color w:val="auto"/>
                      <w:sz w:val="18"/>
                      <w:szCs w:val="18"/>
                    </w:rPr>
                    <w:t xml:space="preserve"> /m</w:t>
                  </w:r>
                  <w:r>
                    <w:rPr>
                      <w:rFonts w:hint="eastAsia"/>
                      <w:snapToGrid w:val="0"/>
                      <w:color w:val="auto"/>
                      <w:sz w:val="18"/>
                      <w:szCs w:val="18"/>
                      <w:vertAlign w:val="superscript"/>
                    </w:rPr>
                    <w:t>3</w:t>
                  </w:r>
                </w:p>
              </w:tc>
              <w:tc>
                <w:tcPr>
                  <w:tcW w:w="703" w:type="pct"/>
                  <w:tcBorders>
                    <w:bottom w:val="single" w:color="auto" w:sz="4" w:space="0"/>
                    <w:right w:val="single" w:color="auto" w:sz="2" w:space="0"/>
                  </w:tcBorders>
                  <w:vAlign w:val="center"/>
                </w:tcPr>
                <w:p w14:paraId="0BF51710">
                  <w:pPr>
                    <w:adjustRightInd w:val="0"/>
                    <w:snapToGrid w:val="0"/>
                    <w:jc w:val="center"/>
                    <w:rPr>
                      <w:snapToGrid w:val="0"/>
                      <w:color w:val="auto"/>
                      <w:sz w:val="18"/>
                      <w:szCs w:val="18"/>
                    </w:rPr>
                  </w:pPr>
                  <w:r>
                    <w:rPr>
                      <w:rFonts w:hint="eastAsia"/>
                      <w:snapToGrid w:val="0"/>
                      <w:color w:val="auto"/>
                      <w:sz w:val="18"/>
                      <w:szCs w:val="18"/>
                    </w:rPr>
                    <w:t>最大浓度占标率/%</w:t>
                  </w:r>
                </w:p>
              </w:tc>
              <w:tc>
                <w:tcPr>
                  <w:tcW w:w="411" w:type="pct"/>
                  <w:tcBorders>
                    <w:left w:val="single" w:color="auto" w:sz="2" w:space="0"/>
                    <w:bottom w:val="single" w:color="auto" w:sz="4" w:space="0"/>
                  </w:tcBorders>
                  <w:vAlign w:val="center"/>
                </w:tcPr>
                <w:p w14:paraId="15B46B22">
                  <w:pPr>
                    <w:adjustRightInd w:val="0"/>
                    <w:snapToGrid w:val="0"/>
                    <w:jc w:val="center"/>
                    <w:rPr>
                      <w:snapToGrid w:val="0"/>
                      <w:color w:val="auto"/>
                      <w:sz w:val="18"/>
                      <w:szCs w:val="18"/>
                    </w:rPr>
                  </w:pPr>
                  <w:r>
                    <w:rPr>
                      <w:rFonts w:hint="eastAsia"/>
                      <w:snapToGrid w:val="0"/>
                      <w:color w:val="auto"/>
                      <w:sz w:val="18"/>
                      <w:szCs w:val="18"/>
                    </w:rPr>
                    <w:t>超标率/%</w:t>
                  </w:r>
                </w:p>
              </w:tc>
              <w:tc>
                <w:tcPr>
                  <w:tcW w:w="411" w:type="pct"/>
                  <w:tcBorders>
                    <w:left w:val="single" w:color="auto" w:sz="2" w:space="0"/>
                    <w:bottom w:val="single" w:color="auto" w:sz="4" w:space="0"/>
                  </w:tcBorders>
                  <w:vAlign w:val="center"/>
                </w:tcPr>
                <w:p w14:paraId="37CE9F1E">
                  <w:pPr>
                    <w:adjustRightInd w:val="0"/>
                    <w:snapToGrid w:val="0"/>
                    <w:jc w:val="center"/>
                    <w:rPr>
                      <w:snapToGrid w:val="0"/>
                      <w:color w:val="auto"/>
                      <w:sz w:val="18"/>
                      <w:szCs w:val="18"/>
                    </w:rPr>
                  </w:pPr>
                  <w:r>
                    <w:rPr>
                      <w:rFonts w:hint="eastAsia"/>
                      <w:snapToGrid w:val="0"/>
                      <w:color w:val="auto"/>
                      <w:sz w:val="18"/>
                      <w:szCs w:val="18"/>
                    </w:rPr>
                    <w:t>达标情况</w:t>
                  </w:r>
                </w:p>
              </w:tc>
            </w:tr>
            <w:tr w14:paraId="4EAA6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57" w:type="pct"/>
                  <w:vMerge w:val="restart"/>
                  <w:vAlign w:val="center"/>
                </w:tcPr>
                <w:p w14:paraId="04D55D54">
                  <w:pPr>
                    <w:adjustRightInd w:val="0"/>
                    <w:snapToGrid w:val="0"/>
                    <w:jc w:val="center"/>
                    <w:rPr>
                      <w:snapToGrid w:val="0"/>
                      <w:color w:val="auto"/>
                      <w:sz w:val="18"/>
                      <w:szCs w:val="18"/>
                    </w:rPr>
                  </w:pPr>
                  <w:r>
                    <w:rPr>
                      <w:rFonts w:hint="eastAsia" w:ascii="Times New Roman" w:hAnsi="Times New Roman" w:eastAsia="宋体" w:cs="Times New Roman"/>
                      <w:color w:val="auto"/>
                      <w:sz w:val="18"/>
                      <w:szCs w:val="18"/>
                      <w:lang w:val="en-US" w:eastAsia="zh-CN"/>
                    </w:rPr>
                    <w:t>里岔沟五组</w:t>
                  </w:r>
                </w:p>
              </w:tc>
              <w:tc>
                <w:tcPr>
                  <w:tcW w:w="627" w:type="pct"/>
                  <w:vAlign w:val="center"/>
                </w:tcPr>
                <w:p w14:paraId="6F770C7E">
                  <w:pPr>
                    <w:adjustRightInd w:val="0"/>
                    <w:snapToGrid w:val="0"/>
                    <w:jc w:val="center"/>
                    <w:rPr>
                      <w:color w:val="auto"/>
                      <w:sz w:val="18"/>
                      <w:szCs w:val="18"/>
                    </w:rPr>
                  </w:pPr>
                  <w:r>
                    <w:rPr>
                      <w:rFonts w:hint="eastAsia"/>
                      <w:color w:val="auto"/>
                      <w:sz w:val="18"/>
                      <w:szCs w:val="18"/>
                    </w:rPr>
                    <w:t>TSP</w:t>
                  </w:r>
                </w:p>
              </w:tc>
              <w:tc>
                <w:tcPr>
                  <w:tcW w:w="669" w:type="pct"/>
                  <w:vAlign w:val="center"/>
                </w:tcPr>
                <w:p w14:paraId="324AB3A3">
                  <w:pPr>
                    <w:adjustRightInd w:val="0"/>
                    <w:snapToGrid w:val="0"/>
                    <w:jc w:val="center"/>
                    <w:rPr>
                      <w:color w:val="auto"/>
                      <w:sz w:val="18"/>
                      <w:szCs w:val="18"/>
                    </w:rPr>
                  </w:pPr>
                  <w:r>
                    <w:rPr>
                      <w:rFonts w:hint="eastAsia"/>
                      <w:color w:val="auto"/>
                      <w:sz w:val="18"/>
                      <w:szCs w:val="18"/>
                    </w:rPr>
                    <w:t>24h</w:t>
                  </w:r>
                </w:p>
              </w:tc>
              <w:tc>
                <w:tcPr>
                  <w:tcW w:w="739" w:type="pct"/>
                  <w:vAlign w:val="center"/>
                </w:tcPr>
                <w:p w14:paraId="5E20B33F">
                  <w:pPr>
                    <w:adjustRightInd w:val="0"/>
                    <w:snapToGrid w:val="0"/>
                    <w:jc w:val="center"/>
                    <w:rPr>
                      <w:color w:val="auto"/>
                      <w:sz w:val="18"/>
                      <w:szCs w:val="18"/>
                    </w:rPr>
                  </w:pPr>
                  <w:r>
                    <w:rPr>
                      <w:rFonts w:hint="eastAsia"/>
                      <w:color w:val="auto"/>
                      <w:sz w:val="18"/>
                      <w:szCs w:val="18"/>
                    </w:rPr>
                    <w:t>300</w:t>
                  </w:r>
                </w:p>
              </w:tc>
              <w:tc>
                <w:tcPr>
                  <w:tcW w:w="779" w:type="pct"/>
                  <w:tcBorders>
                    <w:right w:val="single" w:color="auto" w:sz="2" w:space="0"/>
                  </w:tcBorders>
                  <w:vAlign w:val="center"/>
                </w:tcPr>
                <w:p w14:paraId="0F6C7F58">
                  <w:pPr>
                    <w:adjustRightInd w:val="0"/>
                    <w:snapToGrid w:val="0"/>
                    <w:jc w:val="center"/>
                    <w:rPr>
                      <w:rFonts w:hint="default" w:eastAsia="宋体"/>
                      <w:snapToGrid w:val="0"/>
                      <w:color w:val="auto"/>
                      <w:sz w:val="18"/>
                      <w:szCs w:val="18"/>
                      <w:lang w:val="en-US" w:eastAsia="zh-CN"/>
                    </w:rPr>
                  </w:pPr>
                  <w:r>
                    <w:rPr>
                      <w:rFonts w:hint="eastAsia"/>
                      <w:color w:val="auto"/>
                      <w:sz w:val="18"/>
                      <w:szCs w:val="18"/>
                      <w:lang w:val="en-US" w:eastAsia="zh-CN"/>
                    </w:rPr>
                    <w:t>49</w:t>
                  </w:r>
                  <w:r>
                    <w:rPr>
                      <w:rFonts w:hint="eastAsia" w:ascii="宋体" w:hAnsi="宋体"/>
                      <w:color w:val="auto"/>
                      <w:sz w:val="18"/>
                      <w:szCs w:val="18"/>
                    </w:rPr>
                    <w:t>～</w:t>
                  </w:r>
                  <w:r>
                    <w:rPr>
                      <w:rFonts w:hint="eastAsia"/>
                      <w:color w:val="auto"/>
                      <w:sz w:val="18"/>
                      <w:szCs w:val="18"/>
                      <w:lang w:val="en-US" w:eastAsia="zh-CN"/>
                    </w:rPr>
                    <w:t>56</w:t>
                  </w:r>
                </w:p>
              </w:tc>
              <w:tc>
                <w:tcPr>
                  <w:tcW w:w="703" w:type="pct"/>
                  <w:tcBorders>
                    <w:right w:val="single" w:color="auto" w:sz="2" w:space="0"/>
                  </w:tcBorders>
                  <w:vAlign w:val="center"/>
                </w:tcPr>
                <w:p w14:paraId="2E9E2827">
                  <w:pPr>
                    <w:adjustRightInd w:val="0"/>
                    <w:snapToGrid w:val="0"/>
                    <w:jc w:val="center"/>
                    <w:rPr>
                      <w:rFonts w:hint="default" w:eastAsia="宋体"/>
                      <w:snapToGrid w:val="0"/>
                      <w:color w:val="auto"/>
                      <w:sz w:val="18"/>
                      <w:szCs w:val="18"/>
                      <w:lang w:val="en-US" w:eastAsia="zh-CN"/>
                    </w:rPr>
                  </w:pPr>
                  <w:r>
                    <w:rPr>
                      <w:rFonts w:hint="eastAsia" w:eastAsia="宋体"/>
                      <w:snapToGrid w:val="0"/>
                      <w:color w:val="auto"/>
                      <w:sz w:val="18"/>
                      <w:szCs w:val="18"/>
                      <w:lang w:val="en-US" w:eastAsia="zh-CN"/>
                    </w:rPr>
                    <w:t>18.7</w:t>
                  </w:r>
                </w:p>
              </w:tc>
              <w:tc>
                <w:tcPr>
                  <w:tcW w:w="411" w:type="pct"/>
                  <w:tcBorders>
                    <w:left w:val="single" w:color="auto" w:sz="2" w:space="0"/>
                  </w:tcBorders>
                  <w:vAlign w:val="center"/>
                </w:tcPr>
                <w:p w14:paraId="1A628DEC">
                  <w:pPr>
                    <w:adjustRightInd w:val="0"/>
                    <w:snapToGrid w:val="0"/>
                    <w:jc w:val="center"/>
                    <w:rPr>
                      <w:color w:val="auto"/>
                      <w:sz w:val="18"/>
                      <w:szCs w:val="18"/>
                    </w:rPr>
                  </w:pPr>
                  <w:r>
                    <w:rPr>
                      <w:rFonts w:hint="eastAsia"/>
                      <w:color w:val="auto"/>
                      <w:sz w:val="18"/>
                      <w:szCs w:val="18"/>
                    </w:rPr>
                    <w:t>0</w:t>
                  </w:r>
                </w:p>
              </w:tc>
              <w:tc>
                <w:tcPr>
                  <w:tcW w:w="411" w:type="pct"/>
                  <w:tcBorders>
                    <w:left w:val="single" w:color="auto" w:sz="2" w:space="0"/>
                  </w:tcBorders>
                  <w:vAlign w:val="center"/>
                </w:tcPr>
                <w:p w14:paraId="0241FE97">
                  <w:pPr>
                    <w:adjustRightInd w:val="0"/>
                    <w:snapToGrid w:val="0"/>
                    <w:jc w:val="center"/>
                    <w:rPr>
                      <w:color w:val="auto"/>
                      <w:sz w:val="18"/>
                      <w:szCs w:val="18"/>
                    </w:rPr>
                  </w:pPr>
                  <w:r>
                    <w:rPr>
                      <w:rFonts w:hint="eastAsia"/>
                      <w:color w:val="auto"/>
                      <w:sz w:val="18"/>
                      <w:szCs w:val="18"/>
                    </w:rPr>
                    <w:t>达标</w:t>
                  </w:r>
                </w:p>
              </w:tc>
            </w:tr>
            <w:tr w14:paraId="2B9F1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57" w:type="pct"/>
                  <w:vMerge w:val="continue"/>
                  <w:vAlign w:val="center"/>
                </w:tcPr>
                <w:p w14:paraId="638603E4">
                  <w:pPr>
                    <w:adjustRightInd w:val="0"/>
                    <w:snapToGrid w:val="0"/>
                    <w:jc w:val="center"/>
                    <w:rPr>
                      <w:snapToGrid w:val="0"/>
                      <w:color w:val="auto"/>
                      <w:sz w:val="18"/>
                      <w:szCs w:val="18"/>
                    </w:rPr>
                  </w:pPr>
                </w:p>
              </w:tc>
              <w:tc>
                <w:tcPr>
                  <w:tcW w:w="627" w:type="pct"/>
                  <w:vAlign w:val="center"/>
                </w:tcPr>
                <w:p w14:paraId="1BA26F14">
                  <w:pPr>
                    <w:adjustRightInd w:val="0"/>
                    <w:snapToGrid w:val="0"/>
                    <w:jc w:val="center"/>
                    <w:rPr>
                      <w:color w:val="auto"/>
                      <w:sz w:val="18"/>
                      <w:szCs w:val="18"/>
                    </w:rPr>
                  </w:pPr>
                  <w:r>
                    <w:rPr>
                      <w:rFonts w:hint="eastAsia"/>
                      <w:color w:val="auto"/>
                      <w:sz w:val="18"/>
                      <w:szCs w:val="18"/>
                    </w:rPr>
                    <w:t>氨</w:t>
                  </w:r>
                </w:p>
              </w:tc>
              <w:tc>
                <w:tcPr>
                  <w:tcW w:w="669" w:type="pct"/>
                  <w:vAlign w:val="center"/>
                </w:tcPr>
                <w:p w14:paraId="28D9668B">
                  <w:pPr>
                    <w:adjustRightInd w:val="0"/>
                    <w:snapToGrid w:val="0"/>
                    <w:jc w:val="center"/>
                    <w:rPr>
                      <w:color w:val="auto"/>
                      <w:sz w:val="18"/>
                      <w:szCs w:val="18"/>
                    </w:rPr>
                  </w:pPr>
                  <w:r>
                    <w:rPr>
                      <w:rFonts w:hint="eastAsia"/>
                      <w:color w:val="auto"/>
                      <w:sz w:val="18"/>
                      <w:szCs w:val="18"/>
                    </w:rPr>
                    <w:t>1h</w:t>
                  </w:r>
                </w:p>
              </w:tc>
              <w:tc>
                <w:tcPr>
                  <w:tcW w:w="739" w:type="pct"/>
                  <w:vAlign w:val="center"/>
                </w:tcPr>
                <w:p w14:paraId="0FE2280F">
                  <w:pPr>
                    <w:adjustRightInd w:val="0"/>
                    <w:snapToGrid w:val="0"/>
                    <w:jc w:val="center"/>
                    <w:rPr>
                      <w:color w:val="auto"/>
                      <w:sz w:val="18"/>
                      <w:szCs w:val="18"/>
                    </w:rPr>
                  </w:pPr>
                  <w:r>
                    <w:rPr>
                      <w:rFonts w:hint="eastAsia"/>
                      <w:color w:val="auto"/>
                      <w:sz w:val="18"/>
                      <w:szCs w:val="18"/>
                    </w:rPr>
                    <w:t>2</w:t>
                  </w:r>
                  <w:r>
                    <w:rPr>
                      <w:color w:val="auto"/>
                      <w:sz w:val="18"/>
                      <w:szCs w:val="18"/>
                    </w:rPr>
                    <w:t>00</w:t>
                  </w:r>
                </w:p>
              </w:tc>
              <w:tc>
                <w:tcPr>
                  <w:tcW w:w="779" w:type="pct"/>
                  <w:tcBorders>
                    <w:right w:val="single" w:color="auto" w:sz="2" w:space="0"/>
                  </w:tcBorders>
                  <w:vAlign w:val="center"/>
                </w:tcPr>
                <w:p w14:paraId="334B17F9">
                  <w:pPr>
                    <w:adjustRightInd w:val="0"/>
                    <w:snapToGrid w:val="0"/>
                    <w:jc w:val="center"/>
                    <w:rPr>
                      <w:rFonts w:hint="default" w:eastAsia="宋体"/>
                      <w:snapToGrid w:val="0"/>
                      <w:color w:val="auto"/>
                      <w:sz w:val="18"/>
                      <w:szCs w:val="18"/>
                      <w:lang w:val="en-US" w:eastAsia="zh-CN"/>
                    </w:rPr>
                  </w:pPr>
                  <w:r>
                    <w:rPr>
                      <w:rFonts w:hint="eastAsia"/>
                      <w:color w:val="auto"/>
                      <w:sz w:val="18"/>
                      <w:szCs w:val="18"/>
                      <w:lang w:val="en-US" w:eastAsia="zh-CN"/>
                    </w:rPr>
                    <w:t>50</w:t>
                  </w:r>
                  <w:r>
                    <w:rPr>
                      <w:rFonts w:hint="eastAsia" w:ascii="宋体" w:hAnsi="宋体"/>
                      <w:color w:val="auto"/>
                      <w:sz w:val="18"/>
                      <w:szCs w:val="18"/>
                    </w:rPr>
                    <w:t>～</w:t>
                  </w:r>
                  <w:r>
                    <w:rPr>
                      <w:rFonts w:hint="eastAsia"/>
                      <w:color w:val="auto"/>
                      <w:sz w:val="18"/>
                      <w:szCs w:val="18"/>
                      <w:lang w:val="en-US" w:eastAsia="zh-CN"/>
                    </w:rPr>
                    <w:t>100</w:t>
                  </w:r>
                </w:p>
              </w:tc>
              <w:tc>
                <w:tcPr>
                  <w:tcW w:w="703" w:type="pct"/>
                  <w:tcBorders>
                    <w:right w:val="single" w:color="auto" w:sz="2" w:space="0"/>
                  </w:tcBorders>
                  <w:vAlign w:val="center"/>
                </w:tcPr>
                <w:p w14:paraId="03680EA3">
                  <w:pPr>
                    <w:adjustRightInd w:val="0"/>
                    <w:snapToGrid w:val="0"/>
                    <w:jc w:val="center"/>
                    <w:rPr>
                      <w:rFonts w:hint="default" w:eastAsia="宋体"/>
                      <w:snapToGrid w:val="0"/>
                      <w:color w:val="auto"/>
                      <w:sz w:val="18"/>
                      <w:szCs w:val="18"/>
                      <w:lang w:val="en-US" w:eastAsia="zh-CN"/>
                    </w:rPr>
                  </w:pPr>
                  <w:r>
                    <w:rPr>
                      <w:rFonts w:hint="eastAsia" w:eastAsia="宋体"/>
                      <w:snapToGrid w:val="0"/>
                      <w:color w:val="auto"/>
                      <w:sz w:val="18"/>
                      <w:szCs w:val="18"/>
                      <w:lang w:val="en-US" w:eastAsia="zh-CN"/>
                    </w:rPr>
                    <w:t>50</w:t>
                  </w:r>
                </w:p>
              </w:tc>
              <w:tc>
                <w:tcPr>
                  <w:tcW w:w="411" w:type="pct"/>
                  <w:tcBorders>
                    <w:left w:val="single" w:color="auto" w:sz="2" w:space="0"/>
                  </w:tcBorders>
                  <w:vAlign w:val="center"/>
                </w:tcPr>
                <w:p w14:paraId="72636BE1">
                  <w:pPr>
                    <w:adjustRightInd w:val="0"/>
                    <w:snapToGrid w:val="0"/>
                    <w:jc w:val="center"/>
                    <w:rPr>
                      <w:color w:val="auto"/>
                      <w:sz w:val="18"/>
                      <w:szCs w:val="18"/>
                    </w:rPr>
                  </w:pPr>
                  <w:r>
                    <w:rPr>
                      <w:rFonts w:hint="eastAsia"/>
                      <w:color w:val="auto"/>
                      <w:sz w:val="18"/>
                      <w:szCs w:val="18"/>
                    </w:rPr>
                    <w:t>0</w:t>
                  </w:r>
                </w:p>
              </w:tc>
              <w:tc>
                <w:tcPr>
                  <w:tcW w:w="411" w:type="pct"/>
                  <w:tcBorders>
                    <w:left w:val="single" w:color="auto" w:sz="2" w:space="0"/>
                  </w:tcBorders>
                  <w:vAlign w:val="center"/>
                </w:tcPr>
                <w:p w14:paraId="4E142583">
                  <w:pPr>
                    <w:adjustRightInd w:val="0"/>
                    <w:snapToGrid w:val="0"/>
                    <w:jc w:val="center"/>
                    <w:rPr>
                      <w:color w:val="auto"/>
                      <w:sz w:val="18"/>
                      <w:szCs w:val="18"/>
                    </w:rPr>
                  </w:pPr>
                  <w:r>
                    <w:rPr>
                      <w:rFonts w:hint="eastAsia"/>
                      <w:color w:val="auto"/>
                      <w:sz w:val="18"/>
                      <w:szCs w:val="18"/>
                    </w:rPr>
                    <w:t>达标</w:t>
                  </w:r>
                </w:p>
              </w:tc>
            </w:tr>
            <w:tr w14:paraId="713C4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57" w:type="pct"/>
                  <w:vMerge w:val="continue"/>
                  <w:vAlign w:val="center"/>
                </w:tcPr>
                <w:p w14:paraId="1E521E04">
                  <w:pPr>
                    <w:adjustRightInd w:val="0"/>
                    <w:snapToGrid w:val="0"/>
                    <w:jc w:val="center"/>
                    <w:rPr>
                      <w:snapToGrid w:val="0"/>
                      <w:color w:val="auto"/>
                      <w:sz w:val="18"/>
                      <w:szCs w:val="18"/>
                    </w:rPr>
                  </w:pPr>
                </w:p>
              </w:tc>
              <w:tc>
                <w:tcPr>
                  <w:tcW w:w="627" w:type="pct"/>
                  <w:vAlign w:val="center"/>
                </w:tcPr>
                <w:p w14:paraId="59736441">
                  <w:pPr>
                    <w:adjustRightInd w:val="0"/>
                    <w:snapToGrid w:val="0"/>
                    <w:jc w:val="center"/>
                    <w:rPr>
                      <w:color w:val="auto"/>
                      <w:sz w:val="18"/>
                      <w:szCs w:val="18"/>
                    </w:rPr>
                  </w:pPr>
                  <w:r>
                    <w:rPr>
                      <w:rFonts w:hint="eastAsia"/>
                      <w:color w:val="auto"/>
                      <w:sz w:val="18"/>
                      <w:szCs w:val="18"/>
                    </w:rPr>
                    <w:t>硫化氢</w:t>
                  </w:r>
                </w:p>
              </w:tc>
              <w:tc>
                <w:tcPr>
                  <w:tcW w:w="669" w:type="pct"/>
                  <w:vAlign w:val="center"/>
                </w:tcPr>
                <w:p w14:paraId="246CF8CF">
                  <w:pPr>
                    <w:adjustRightInd w:val="0"/>
                    <w:snapToGrid w:val="0"/>
                    <w:jc w:val="center"/>
                    <w:rPr>
                      <w:color w:val="auto"/>
                      <w:sz w:val="18"/>
                      <w:szCs w:val="18"/>
                    </w:rPr>
                  </w:pPr>
                  <w:r>
                    <w:rPr>
                      <w:rFonts w:hint="eastAsia"/>
                      <w:color w:val="auto"/>
                      <w:sz w:val="18"/>
                      <w:szCs w:val="18"/>
                    </w:rPr>
                    <w:t>1h</w:t>
                  </w:r>
                </w:p>
              </w:tc>
              <w:tc>
                <w:tcPr>
                  <w:tcW w:w="739" w:type="pct"/>
                  <w:vAlign w:val="center"/>
                </w:tcPr>
                <w:p w14:paraId="12CBED5D">
                  <w:pPr>
                    <w:adjustRightInd w:val="0"/>
                    <w:snapToGrid w:val="0"/>
                    <w:jc w:val="center"/>
                    <w:rPr>
                      <w:color w:val="auto"/>
                      <w:sz w:val="18"/>
                      <w:szCs w:val="18"/>
                    </w:rPr>
                  </w:pPr>
                  <w:r>
                    <w:rPr>
                      <w:rFonts w:hint="eastAsia"/>
                      <w:color w:val="auto"/>
                      <w:sz w:val="18"/>
                      <w:szCs w:val="18"/>
                    </w:rPr>
                    <w:t>1</w:t>
                  </w:r>
                  <w:r>
                    <w:rPr>
                      <w:color w:val="auto"/>
                      <w:sz w:val="18"/>
                      <w:szCs w:val="18"/>
                    </w:rPr>
                    <w:t>0</w:t>
                  </w:r>
                </w:p>
              </w:tc>
              <w:tc>
                <w:tcPr>
                  <w:tcW w:w="779" w:type="pct"/>
                  <w:tcBorders>
                    <w:right w:val="single" w:color="auto" w:sz="2" w:space="0"/>
                  </w:tcBorders>
                  <w:vAlign w:val="center"/>
                </w:tcPr>
                <w:p w14:paraId="5DDA2D1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未检出</w:t>
                  </w:r>
                </w:p>
              </w:tc>
              <w:tc>
                <w:tcPr>
                  <w:tcW w:w="703" w:type="pct"/>
                  <w:tcBorders>
                    <w:right w:val="single" w:color="auto" w:sz="2" w:space="0"/>
                  </w:tcBorders>
                  <w:vAlign w:val="center"/>
                </w:tcPr>
                <w:p w14:paraId="336FA4D8">
                  <w:pPr>
                    <w:adjustRightInd w:val="0"/>
                    <w:snapToGrid w:val="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w:t>
                  </w:r>
                </w:p>
              </w:tc>
              <w:tc>
                <w:tcPr>
                  <w:tcW w:w="411" w:type="pct"/>
                  <w:tcBorders>
                    <w:left w:val="single" w:color="auto" w:sz="2" w:space="0"/>
                  </w:tcBorders>
                  <w:vAlign w:val="center"/>
                </w:tcPr>
                <w:p w14:paraId="753425FA">
                  <w:pPr>
                    <w:adjustRightInd w:val="0"/>
                    <w:snapToGrid w:val="0"/>
                    <w:jc w:val="center"/>
                    <w:rPr>
                      <w:color w:val="auto"/>
                      <w:sz w:val="18"/>
                      <w:szCs w:val="18"/>
                    </w:rPr>
                  </w:pPr>
                  <w:r>
                    <w:rPr>
                      <w:rFonts w:hint="eastAsia"/>
                      <w:color w:val="auto"/>
                      <w:sz w:val="18"/>
                      <w:szCs w:val="18"/>
                    </w:rPr>
                    <w:t>0</w:t>
                  </w:r>
                </w:p>
              </w:tc>
              <w:tc>
                <w:tcPr>
                  <w:tcW w:w="411" w:type="pct"/>
                  <w:tcBorders>
                    <w:left w:val="single" w:color="auto" w:sz="2" w:space="0"/>
                  </w:tcBorders>
                  <w:vAlign w:val="center"/>
                </w:tcPr>
                <w:p w14:paraId="7D2A85CD">
                  <w:pPr>
                    <w:adjustRightInd w:val="0"/>
                    <w:snapToGrid w:val="0"/>
                    <w:jc w:val="center"/>
                    <w:rPr>
                      <w:color w:val="auto"/>
                      <w:sz w:val="18"/>
                      <w:szCs w:val="18"/>
                    </w:rPr>
                  </w:pPr>
                  <w:r>
                    <w:rPr>
                      <w:rFonts w:hint="eastAsia"/>
                      <w:color w:val="auto"/>
                      <w:sz w:val="18"/>
                      <w:szCs w:val="18"/>
                    </w:rPr>
                    <w:t>达标</w:t>
                  </w:r>
                </w:p>
              </w:tc>
            </w:tr>
            <w:tr w14:paraId="2A28F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57" w:type="pct"/>
                  <w:vMerge w:val="continue"/>
                  <w:vAlign w:val="center"/>
                </w:tcPr>
                <w:p w14:paraId="68072396">
                  <w:pPr>
                    <w:adjustRightInd w:val="0"/>
                    <w:snapToGrid w:val="0"/>
                    <w:jc w:val="center"/>
                    <w:rPr>
                      <w:snapToGrid w:val="0"/>
                      <w:color w:val="auto"/>
                      <w:sz w:val="18"/>
                      <w:szCs w:val="18"/>
                    </w:rPr>
                  </w:pPr>
                </w:p>
              </w:tc>
              <w:tc>
                <w:tcPr>
                  <w:tcW w:w="627" w:type="pct"/>
                  <w:vAlign w:val="center"/>
                </w:tcPr>
                <w:p w14:paraId="702F4D35">
                  <w:pPr>
                    <w:adjustRightInd w:val="0"/>
                    <w:snapToGrid w:val="0"/>
                    <w:jc w:val="center"/>
                    <w:rPr>
                      <w:color w:val="auto"/>
                      <w:sz w:val="18"/>
                      <w:szCs w:val="18"/>
                    </w:rPr>
                  </w:pPr>
                  <w:r>
                    <w:rPr>
                      <w:rFonts w:hint="eastAsia"/>
                      <w:color w:val="auto"/>
                      <w:sz w:val="18"/>
                      <w:szCs w:val="18"/>
                    </w:rPr>
                    <w:t>臭气浓度</w:t>
                  </w:r>
                </w:p>
              </w:tc>
              <w:tc>
                <w:tcPr>
                  <w:tcW w:w="669" w:type="pct"/>
                  <w:vAlign w:val="center"/>
                </w:tcPr>
                <w:p w14:paraId="01F424C7">
                  <w:pPr>
                    <w:adjustRightInd w:val="0"/>
                    <w:snapToGrid w:val="0"/>
                    <w:jc w:val="center"/>
                    <w:rPr>
                      <w:color w:val="auto"/>
                      <w:sz w:val="18"/>
                      <w:szCs w:val="18"/>
                    </w:rPr>
                  </w:pPr>
                  <w:r>
                    <w:rPr>
                      <w:rFonts w:hint="eastAsia"/>
                      <w:color w:val="auto"/>
                      <w:sz w:val="18"/>
                      <w:szCs w:val="18"/>
                    </w:rPr>
                    <w:t>一次值</w:t>
                  </w:r>
                </w:p>
              </w:tc>
              <w:tc>
                <w:tcPr>
                  <w:tcW w:w="739" w:type="pct"/>
                  <w:vAlign w:val="center"/>
                </w:tcPr>
                <w:p w14:paraId="780E1729">
                  <w:pPr>
                    <w:adjustRightInd w:val="0"/>
                    <w:snapToGrid w:val="0"/>
                    <w:jc w:val="center"/>
                    <w:rPr>
                      <w:color w:val="auto"/>
                      <w:sz w:val="18"/>
                      <w:szCs w:val="18"/>
                    </w:rPr>
                  </w:pPr>
                  <w:r>
                    <w:rPr>
                      <w:rFonts w:hint="eastAsia"/>
                      <w:color w:val="auto"/>
                      <w:sz w:val="18"/>
                      <w:szCs w:val="18"/>
                    </w:rPr>
                    <w:t>/</w:t>
                  </w:r>
                </w:p>
              </w:tc>
              <w:tc>
                <w:tcPr>
                  <w:tcW w:w="779" w:type="pct"/>
                  <w:tcBorders>
                    <w:right w:val="single" w:color="auto" w:sz="2" w:space="0"/>
                  </w:tcBorders>
                  <w:vAlign w:val="center"/>
                </w:tcPr>
                <w:p w14:paraId="18642458">
                  <w:pPr>
                    <w:adjustRightInd w:val="0"/>
                    <w:snapToGrid w:val="0"/>
                    <w:jc w:val="center"/>
                    <w:rPr>
                      <w:color w:val="auto"/>
                      <w:sz w:val="18"/>
                      <w:szCs w:val="18"/>
                    </w:rPr>
                  </w:pPr>
                  <w:r>
                    <w:rPr>
                      <w:snapToGrid w:val="0"/>
                      <w:color w:val="auto"/>
                      <w:sz w:val="18"/>
                      <w:szCs w:val="18"/>
                    </w:rPr>
                    <w:t>&lt;10</w:t>
                  </w:r>
                </w:p>
              </w:tc>
              <w:tc>
                <w:tcPr>
                  <w:tcW w:w="703" w:type="pct"/>
                  <w:tcBorders>
                    <w:right w:val="single" w:color="auto" w:sz="2" w:space="0"/>
                  </w:tcBorders>
                  <w:vAlign w:val="center"/>
                </w:tcPr>
                <w:p w14:paraId="571704E0">
                  <w:pPr>
                    <w:adjustRightInd w:val="0"/>
                    <w:snapToGrid w:val="0"/>
                    <w:jc w:val="center"/>
                    <w:rPr>
                      <w:snapToGrid w:val="0"/>
                      <w:color w:val="auto"/>
                      <w:sz w:val="18"/>
                      <w:szCs w:val="18"/>
                    </w:rPr>
                  </w:pPr>
                  <w:r>
                    <w:rPr>
                      <w:rFonts w:hint="eastAsia"/>
                      <w:snapToGrid w:val="0"/>
                      <w:color w:val="auto"/>
                      <w:sz w:val="18"/>
                      <w:szCs w:val="18"/>
                    </w:rPr>
                    <w:t>/</w:t>
                  </w:r>
                </w:p>
              </w:tc>
              <w:tc>
                <w:tcPr>
                  <w:tcW w:w="411" w:type="pct"/>
                  <w:tcBorders>
                    <w:left w:val="single" w:color="auto" w:sz="2" w:space="0"/>
                  </w:tcBorders>
                  <w:vAlign w:val="center"/>
                </w:tcPr>
                <w:p w14:paraId="75953FE2">
                  <w:pPr>
                    <w:adjustRightInd w:val="0"/>
                    <w:snapToGrid w:val="0"/>
                    <w:jc w:val="center"/>
                    <w:rPr>
                      <w:color w:val="auto"/>
                      <w:sz w:val="18"/>
                      <w:szCs w:val="18"/>
                    </w:rPr>
                  </w:pPr>
                  <w:r>
                    <w:rPr>
                      <w:rFonts w:hint="eastAsia"/>
                      <w:color w:val="auto"/>
                      <w:sz w:val="18"/>
                      <w:szCs w:val="18"/>
                    </w:rPr>
                    <w:t>/</w:t>
                  </w:r>
                </w:p>
              </w:tc>
              <w:tc>
                <w:tcPr>
                  <w:tcW w:w="411" w:type="pct"/>
                  <w:tcBorders>
                    <w:left w:val="single" w:color="auto" w:sz="2" w:space="0"/>
                  </w:tcBorders>
                  <w:vAlign w:val="center"/>
                </w:tcPr>
                <w:p w14:paraId="44E4BD7A">
                  <w:pPr>
                    <w:adjustRightInd w:val="0"/>
                    <w:snapToGrid w:val="0"/>
                    <w:jc w:val="center"/>
                    <w:rPr>
                      <w:color w:val="auto"/>
                      <w:sz w:val="18"/>
                      <w:szCs w:val="18"/>
                    </w:rPr>
                  </w:pPr>
                  <w:r>
                    <w:rPr>
                      <w:rFonts w:hint="eastAsia"/>
                      <w:color w:val="auto"/>
                      <w:sz w:val="18"/>
                      <w:szCs w:val="18"/>
                    </w:rPr>
                    <w:t>/</w:t>
                  </w:r>
                </w:p>
              </w:tc>
            </w:tr>
          </w:tbl>
          <w:p w14:paraId="1032AF64">
            <w:pPr>
              <w:adjustRightInd w:val="0"/>
              <w:snapToGrid w:val="0"/>
              <w:jc w:val="center"/>
              <w:rPr>
                <w:b/>
                <w:bCs/>
                <w:color w:val="auto"/>
                <w:sz w:val="10"/>
                <w:szCs w:val="10"/>
              </w:rPr>
            </w:pPr>
          </w:p>
          <w:p w14:paraId="1EB133C7">
            <w:pPr>
              <w:pStyle w:val="85"/>
              <w:ind w:firstLine="420"/>
              <w:rPr>
                <w:color w:val="auto"/>
              </w:rPr>
            </w:pPr>
            <w:r>
              <w:rPr>
                <w:color w:val="auto"/>
              </w:rPr>
              <w:t>由上表可以看出，</w:t>
            </w:r>
            <w:r>
              <w:rPr>
                <w:color w:val="0000FF"/>
              </w:rPr>
              <w:t>监测点</w:t>
            </w:r>
            <w:r>
              <w:rPr>
                <w:rFonts w:hint="eastAsia"/>
                <w:color w:val="0000FF"/>
                <w:lang w:val="en-US" w:eastAsia="zh-CN"/>
              </w:rPr>
              <w:t>TSP</w:t>
            </w:r>
            <w:r>
              <w:rPr>
                <w:color w:val="0000FF"/>
              </w:rPr>
              <w:t>满足GB3095-2012《环境空气质量标准》中二级标准要求</w:t>
            </w:r>
            <w:r>
              <w:rPr>
                <w:rFonts w:hint="eastAsia"/>
                <w:color w:val="0000FF"/>
                <w:lang w:eastAsia="zh-CN"/>
              </w:rPr>
              <w:t>，</w:t>
            </w:r>
            <w:r>
              <w:rPr>
                <w:rFonts w:hint="eastAsia"/>
                <w:color w:val="0000FF"/>
                <w:lang w:val="en-US" w:eastAsia="zh-CN"/>
              </w:rPr>
              <w:t>氨、硫化氢满足《环境影响评价技术导则 大气环境》（HJ2.2-2018）中附录D中空气质量浓度限值要求</w:t>
            </w:r>
            <w:r>
              <w:rPr>
                <w:color w:val="0000FF"/>
              </w:rPr>
              <w:t>，说明区域环境空气质量较好。</w:t>
            </w:r>
          </w:p>
          <w:p w14:paraId="1E798290">
            <w:pPr>
              <w:pStyle w:val="12"/>
              <w:shd w:val="clear" w:color="auto" w:fill="FFFFFF"/>
              <w:adjustRightInd w:val="0"/>
              <w:snapToGrid w:val="0"/>
              <w:spacing w:after="0" w:line="336" w:lineRule="auto"/>
              <w:ind w:left="0" w:leftChars="0"/>
              <w:rPr>
                <w:color w:val="auto"/>
              </w:rPr>
            </w:pPr>
            <w:r>
              <w:rPr>
                <w:rFonts w:hint="eastAsia"/>
                <w:color w:val="auto"/>
              </w:rPr>
              <w:t>3</w:t>
            </w:r>
            <w:r>
              <w:rPr>
                <w:color w:val="auto"/>
              </w:rPr>
              <w:t>、声环境质量现状调查与评价</w:t>
            </w:r>
          </w:p>
          <w:p w14:paraId="16440459">
            <w:pPr>
              <w:autoSpaceDE w:val="0"/>
              <w:autoSpaceDN w:val="0"/>
              <w:spacing w:line="360" w:lineRule="auto"/>
              <w:ind w:firstLine="420" w:firstLineChars="200"/>
              <w:rPr>
                <w:i w:val="0"/>
                <w:iCs w:val="0"/>
                <w:color w:val="auto"/>
                <w:kern w:val="0"/>
                <w:sz w:val="21"/>
                <w:szCs w:val="21"/>
                <w:highlight w:val="none"/>
                <w:u w:val="none" w:color="auto"/>
                <w:lang w:val="zh-CN"/>
              </w:rPr>
            </w:pPr>
            <w:r>
              <w:rPr>
                <w:rFonts w:hint="eastAsia"/>
                <w:i w:val="0"/>
                <w:iCs w:val="0"/>
                <w:color w:val="auto"/>
                <w:kern w:val="0"/>
                <w:sz w:val="21"/>
                <w:szCs w:val="21"/>
                <w:highlight w:val="none"/>
                <w:u w:val="none" w:color="auto"/>
                <w:lang w:val="zh-CN"/>
              </w:rPr>
              <w:t>（1）</w:t>
            </w:r>
            <w:r>
              <w:rPr>
                <w:i w:val="0"/>
                <w:iCs w:val="0"/>
                <w:color w:val="auto"/>
                <w:kern w:val="0"/>
                <w:sz w:val="21"/>
                <w:szCs w:val="21"/>
                <w:highlight w:val="none"/>
                <w:u w:val="none" w:color="auto"/>
                <w:lang w:val="zh-CN"/>
              </w:rPr>
              <w:t>监测布点</w:t>
            </w:r>
          </w:p>
          <w:p w14:paraId="5668ACF4">
            <w:pPr>
              <w:spacing w:line="360" w:lineRule="auto"/>
              <w:ind w:firstLine="420" w:firstLineChars="200"/>
              <w:rPr>
                <w:rFonts w:hAnsi="宋体"/>
                <w:i w:val="0"/>
                <w:iCs w:val="0"/>
                <w:color w:val="auto"/>
                <w:sz w:val="21"/>
                <w:szCs w:val="21"/>
                <w:highlight w:val="none"/>
                <w:u w:val="none" w:color="auto"/>
              </w:rPr>
            </w:pPr>
            <w:r>
              <w:rPr>
                <w:i w:val="0"/>
                <w:iCs w:val="0"/>
                <w:color w:val="auto"/>
                <w:sz w:val="21"/>
                <w:szCs w:val="21"/>
                <w:highlight w:val="none"/>
                <w:u w:val="none" w:color="auto"/>
              </w:rPr>
              <w:t>根据区域所在地地理位置及周围环境概况，本次共布设</w:t>
            </w:r>
            <w:r>
              <w:rPr>
                <w:rFonts w:hint="eastAsia"/>
                <w:i w:val="0"/>
                <w:iCs w:val="0"/>
                <w:color w:val="auto"/>
                <w:sz w:val="21"/>
                <w:szCs w:val="21"/>
                <w:highlight w:val="none"/>
                <w:u w:val="none" w:color="auto"/>
                <w:lang w:val="en-US" w:eastAsia="zh-CN"/>
              </w:rPr>
              <w:t>5</w:t>
            </w:r>
            <w:r>
              <w:rPr>
                <w:i w:val="0"/>
                <w:iCs w:val="0"/>
                <w:color w:val="auto"/>
                <w:sz w:val="21"/>
                <w:szCs w:val="21"/>
                <w:highlight w:val="none"/>
                <w:u w:val="none" w:color="auto"/>
              </w:rPr>
              <w:t>个监测点，具体位置</w:t>
            </w:r>
            <w:r>
              <w:rPr>
                <w:rFonts w:hint="eastAsia"/>
                <w:i w:val="0"/>
                <w:iCs w:val="0"/>
                <w:color w:val="auto"/>
                <w:sz w:val="21"/>
                <w:szCs w:val="21"/>
                <w:highlight w:val="none"/>
                <w:u w:val="none" w:color="auto"/>
                <w:lang w:val="en-US" w:eastAsia="zh-CN"/>
              </w:rPr>
              <w:t>详见</w:t>
            </w:r>
            <w:r>
              <w:rPr>
                <w:rFonts w:hint="eastAsia"/>
                <w:i w:val="0"/>
                <w:iCs w:val="0"/>
                <w:color w:val="auto"/>
                <w:sz w:val="21"/>
                <w:szCs w:val="21"/>
                <w:highlight w:val="none"/>
                <w:u w:val="none" w:color="auto"/>
              </w:rPr>
              <w:t>下表。</w:t>
            </w:r>
          </w:p>
          <w:p w14:paraId="3B5A4102">
            <w:pPr>
              <w:pStyle w:val="61"/>
              <w:adjustRightInd w:val="0"/>
              <w:snapToGrid w:val="0"/>
              <w:spacing w:line="240" w:lineRule="auto"/>
              <w:ind w:firstLine="482"/>
              <w:rPr>
                <w:rFonts w:hAnsi="宋体" w:eastAsia="宋体"/>
                <w:b w:val="0"/>
                <w:bCs/>
                <w:i w:val="0"/>
                <w:iCs w:val="0"/>
                <w:color w:val="auto"/>
                <w:sz w:val="21"/>
                <w:szCs w:val="21"/>
                <w:highlight w:val="none"/>
                <w:u w:val="none" w:color="auto"/>
              </w:rPr>
            </w:pPr>
            <w:r>
              <w:rPr>
                <w:rFonts w:hAnsi="宋体" w:eastAsia="宋体"/>
                <w:b w:val="0"/>
                <w:bCs/>
                <w:i w:val="0"/>
                <w:iCs w:val="0"/>
                <w:color w:val="auto"/>
                <w:sz w:val="21"/>
                <w:szCs w:val="21"/>
                <w:highlight w:val="none"/>
                <w:u w:val="none" w:color="auto"/>
              </w:rPr>
              <w:t>声环境质量现状监测点布置</w:t>
            </w:r>
            <w:r>
              <w:rPr>
                <w:rFonts w:hint="eastAsia" w:hAnsi="宋体" w:eastAsia="宋体"/>
                <w:b w:val="0"/>
                <w:bCs/>
                <w:i w:val="0"/>
                <w:iCs w:val="0"/>
                <w:color w:val="auto"/>
                <w:sz w:val="21"/>
                <w:szCs w:val="21"/>
                <w:highlight w:val="none"/>
                <w:u w:val="none" w:color="auto"/>
              </w:rPr>
              <w:t>一览表</w:t>
            </w:r>
          </w:p>
          <w:tbl>
            <w:tblPr>
              <w:tblStyle w:val="29"/>
              <w:tblW w:w="79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3014"/>
              <w:gridCol w:w="3897"/>
            </w:tblGrid>
            <w:tr w14:paraId="58C49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068" w:type="dxa"/>
                  <w:vAlign w:val="center"/>
                </w:tcPr>
                <w:p w14:paraId="262831F1">
                  <w:pPr>
                    <w:jc w:val="center"/>
                    <w:rPr>
                      <w:i w:val="0"/>
                      <w:iCs w:val="0"/>
                      <w:color w:val="auto"/>
                      <w:sz w:val="18"/>
                      <w:szCs w:val="18"/>
                      <w:highlight w:val="none"/>
                      <w:u w:val="none" w:color="auto"/>
                    </w:rPr>
                  </w:pPr>
                  <w:r>
                    <w:rPr>
                      <w:i w:val="0"/>
                      <w:iCs w:val="0"/>
                      <w:color w:val="auto"/>
                      <w:sz w:val="18"/>
                      <w:szCs w:val="18"/>
                      <w:highlight w:val="none"/>
                      <w:u w:val="none" w:color="auto"/>
                    </w:rPr>
                    <w:t>序号</w:t>
                  </w:r>
                </w:p>
              </w:tc>
              <w:tc>
                <w:tcPr>
                  <w:tcW w:w="3014" w:type="dxa"/>
                  <w:vAlign w:val="center"/>
                </w:tcPr>
                <w:p w14:paraId="17DC1FA0">
                  <w:pPr>
                    <w:jc w:val="center"/>
                    <w:rPr>
                      <w:i w:val="0"/>
                      <w:iCs w:val="0"/>
                      <w:color w:val="auto"/>
                      <w:sz w:val="18"/>
                      <w:szCs w:val="18"/>
                      <w:highlight w:val="none"/>
                      <w:u w:val="none" w:color="auto"/>
                    </w:rPr>
                  </w:pPr>
                  <w:r>
                    <w:rPr>
                      <w:i w:val="0"/>
                      <w:iCs w:val="0"/>
                      <w:color w:val="auto"/>
                      <w:sz w:val="18"/>
                      <w:szCs w:val="18"/>
                      <w:highlight w:val="none"/>
                      <w:u w:val="none" w:color="auto"/>
                    </w:rPr>
                    <w:t>监测点名称</w:t>
                  </w:r>
                </w:p>
              </w:tc>
              <w:tc>
                <w:tcPr>
                  <w:tcW w:w="3897" w:type="dxa"/>
                  <w:vAlign w:val="center"/>
                </w:tcPr>
                <w:p w14:paraId="055A23E2">
                  <w:pPr>
                    <w:jc w:val="center"/>
                    <w:rPr>
                      <w:i w:val="0"/>
                      <w:iCs w:val="0"/>
                      <w:color w:val="auto"/>
                      <w:sz w:val="18"/>
                      <w:szCs w:val="18"/>
                      <w:highlight w:val="none"/>
                      <w:u w:val="none" w:color="auto"/>
                    </w:rPr>
                  </w:pPr>
                  <w:r>
                    <w:rPr>
                      <w:i w:val="0"/>
                      <w:iCs w:val="0"/>
                      <w:color w:val="auto"/>
                      <w:sz w:val="18"/>
                      <w:szCs w:val="18"/>
                      <w:highlight w:val="none"/>
                      <w:u w:val="none" w:color="auto"/>
                    </w:rPr>
                    <w:t>布设目的</w:t>
                  </w:r>
                </w:p>
              </w:tc>
            </w:tr>
            <w:tr w14:paraId="4DC89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68" w:type="dxa"/>
                  <w:vAlign w:val="center"/>
                </w:tcPr>
                <w:p w14:paraId="1681A1D6">
                  <w:pPr>
                    <w:jc w:val="center"/>
                    <w:rPr>
                      <w:i w:val="0"/>
                      <w:iCs w:val="0"/>
                      <w:color w:val="auto"/>
                      <w:sz w:val="18"/>
                      <w:szCs w:val="18"/>
                      <w:highlight w:val="none"/>
                      <w:u w:val="none" w:color="auto"/>
                    </w:rPr>
                  </w:pPr>
                  <w:r>
                    <w:rPr>
                      <w:i w:val="0"/>
                      <w:iCs w:val="0"/>
                      <w:color w:val="auto"/>
                      <w:sz w:val="18"/>
                      <w:szCs w:val="18"/>
                      <w:highlight w:val="none"/>
                      <w:u w:val="none" w:color="auto"/>
                    </w:rPr>
                    <w:t>1</w:t>
                  </w:r>
                  <w:r>
                    <w:rPr>
                      <w:i w:val="0"/>
                      <w:iCs w:val="0"/>
                      <w:color w:val="auto"/>
                      <w:sz w:val="18"/>
                      <w:szCs w:val="18"/>
                      <w:highlight w:val="none"/>
                      <w:u w:val="none" w:color="auto"/>
                      <w:vertAlign w:val="superscript"/>
                    </w:rPr>
                    <w:t>#</w:t>
                  </w:r>
                </w:p>
              </w:tc>
              <w:tc>
                <w:tcPr>
                  <w:tcW w:w="3014" w:type="dxa"/>
                </w:tcPr>
                <w:p w14:paraId="0A3510F4">
                  <w:pPr>
                    <w:jc w:val="center"/>
                    <w:rPr>
                      <w:i w:val="0"/>
                      <w:iCs w:val="0"/>
                      <w:color w:val="auto"/>
                      <w:sz w:val="18"/>
                      <w:szCs w:val="18"/>
                      <w:highlight w:val="none"/>
                      <w:u w:val="none" w:color="auto"/>
                    </w:rPr>
                  </w:pPr>
                  <w:r>
                    <w:rPr>
                      <w:rFonts w:hint="eastAsia"/>
                      <w:i w:val="0"/>
                      <w:iCs w:val="0"/>
                      <w:color w:val="auto"/>
                      <w:sz w:val="18"/>
                      <w:szCs w:val="18"/>
                      <w:highlight w:val="none"/>
                      <w:u w:val="none" w:color="auto"/>
                      <w:lang w:val="en-US" w:eastAsia="zh-CN"/>
                    </w:rPr>
                    <w:t>场界</w:t>
                  </w:r>
                  <w:r>
                    <w:rPr>
                      <w:rFonts w:hint="eastAsia"/>
                      <w:i w:val="0"/>
                      <w:iCs w:val="0"/>
                      <w:color w:val="auto"/>
                      <w:sz w:val="18"/>
                      <w:szCs w:val="18"/>
                      <w:highlight w:val="none"/>
                      <w:u w:val="none" w:color="auto"/>
                    </w:rPr>
                    <w:t>东侧外1m处</w:t>
                  </w:r>
                </w:p>
              </w:tc>
              <w:tc>
                <w:tcPr>
                  <w:tcW w:w="3897" w:type="dxa"/>
                  <w:vMerge w:val="restart"/>
                  <w:vAlign w:val="center"/>
                </w:tcPr>
                <w:p w14:paraId="3B29BA2F">
                  <w:pPr>
                    <w:jc w:val="center"/>
                    <w:rPr>
                      <w:i w:val="0"/>
                      <w:iCs w:val="0"/>
                      <w:color w:val="auto"/>
                      <w:sz w:val="18"/>
                      <w:szCs w:val="18"/>
                      <w:highlight w:val="none"/>
                      <w:u w:val="none" w:color="auto"/>
                    </w:rPr>
                  </w:pPr>
                  <w:r>
                    <w:rPr>
                      <w:i w:val="0"/>
                      <w:iCs w:val="0"/>
                      <w:color w:val="auto"/>
                      <w:sz w:val="18"/>
                      <w:szCs w:val="18"/>
                      <w:highlight w:val="none"/>
                      <w:u w:val="none" w:color="auto"/>
                    </w:rPr>
                    <w:t>了解项目地声环境质量</w:t>
                  </w:r>
                </w:p>
              </w:tc>
            </w:tr>
            <w:tr w14:paraId="74209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68" w:type="dxa"/>
                  <w:vAlign w:val="center"/>
                </w:tcPr>
                <w:p w14:paraId="58E468BE">
                  <w:pPr>
                    <w:jc w:val="center"/>
                    <w:rPr>
                      <w:i w:val="0"/>
                      <w:iCs w:val="0"/>
                      <w:color w:val="auto"/>
                      <w:sz w:val="18"/>
                      <w:szCs w:val="18"/>
                      <w:highlight w:val="none"/>
                      <w:u w:val="none" w:color="auto"/>
                    </w:rPr>
                  </w:pPr>
                  <w:r>
                    <w:rPr>
                      <w:i w:val="0"/>
                      <w:iCs w:val="0"/>
                      <w:color w:val="auto"/>
                      <w:sz w:val="18"/>
                      <w:szCs w:val="18"/>
                      <w:highlight w:val="none"/>
                      <w:u w:val="none" w:color="auto"/>
                    </w:rPr>
                    <w:t>2</w:t>
                  </w:r>
                  <w:r>
                    <w:rPr>
                      <w:i w:val="0"/>
                      <w:iCs w:val="0"/>
                      <w:color w:val="auto"/>
                      <w:sz w:val="18"/>
                      <w:szCs w:val="18"/>
                      <w:highlight w:val="none"/>
                      <w:u w:val="none" w:color="auto"/>
                      <w:vertAlign w:val="superscript"/>
                    </w:rPr>
                    <w:t>#</w:t>
                  </w:r>
                </w:p>
              </w:tc>
              <w:tc>
                <w:tcPr>
                  <w:tcW w:w="3014" w:type="dxa"/>
                </w:tcPr>
                <w:p w14:paraId="79EF2EF1">
                  <w:pPr>
                    <w:jc w:val="center"/>
                    <w:rPr>
                      <w:i w:val="0"/>
                      <w:iCs w:val="0"/>
                      <w:color w:val="auto"/>
                      <w:sz w:val="18"/>
                      <w:szCs w:val="18"/>
                      <w:highlight w:val="none"/>
                      <w:u w:val="none" w:color="auto"/>
                    </w:rPr>
                  </w:pPr>
                  <w:r>
                    <w:rPr>
                      <w:rFonts w:hint="eastAsia"/>
                      <w:i w:val="0"/>
                      <w:iCs w:val="0"/>
                      <w:color w:val="auto"/>
                      <w:sz w:val="18"/>
                      <w:szCs w:val="18"/>
                      <w:highlight w:val="none"/>
                      <w:u w:val="none" w:color="auto"/>
                      <w:lang w:val="en-US" w:eastAsia="zh-CN"/>
                    </w:rPr>
                    <w:t>场界</w:t>
                  </w:r>
                  <w:r>
                    <w:rPr>
                      <w:rFonts w:hint="eastAsia"/>
                      <w:i w:val="0"/>
                      <w:iCs w:val="0"/>
                      <w:color w:val="auto"/>
                      <w:sz w:val="18"/>
                      <w:szCs w:val="18"/>
                      <w:highlight w:val="none"/>
                      <w:u w:val="none" w:color="auto"/>
                    </w:rPr>
                    <w:t>南侧外1m处</w:t>
                  </w:r>
                </w:p>
              </w:tc>
              <w:tc>
                <w:tcPr>
                  <w:tcW w:w="3897" w:type="dxa"/>
                  <w:vMerge w:val="continue"/>
                  <w:vAlign w:val="center"/>
                </w:tcPr>
                <w:p w14:paraId="06B3E8FB">
                  <w:pPr>
                    <w:jc w:val="center"/>
                    <w:rPr>
                      <w:i w:val="0"/>
                      <w:iCs w:val="0"/>
                      <w:color w:val="auto"/>
                      <w:sz w:val="18"/>
                      <w:szCs w:val="18"/>
                      <w:highlight w:val="none"/>
                      <w:u w:val="none" w:color="auto"/>
                    </w:rPr>
                  </w:pPr>
                </w:p>
              </w:tc>
            </w:tr>
            <w:tr w14:paraId="6CD59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68" w:type="dxa"/>
                  <w:vAlign w:val="center"/>
                </w:tcPr>
                <w:p w14:paraId="34F8013C">
                  <w:pPr>
                    <w:jc w:val="center"/>
                    <w:rPr>
                      <w:i w:val="0"/>
                      <w:iCs w:val="0"/>
                      <w:color w:val="auto"/>
                      <w:sz w:val="18"/>
                      <w:szCs w:val="18"/>
                      <w:highlight w:val="none"/>
                      <w:u w:val="none" w:color="auto"/>
                    </w:rPr>
                  </w:pPr>
                  <w:r>
                    <w:rPr>
                      <w:i w:val="0"/>
                      <w:iCs w:val="0"/>
                      <w:color w:val="auto"/>
                      <w:sz w:val="18"/>
                      <w:szCs w:val="18"/>
                      <w:highlight w:val="none"/>
                      <w:u w:val="none" w:color="auto"/>
                    </w:rPr>
                    <w:t>3</w:t>
                  </w:r>
                  <w:r>
                    <w:rPr>
                      <w:i w:val="0"/>
                      <w:iCs w:val="0"/>
                      <w:color w:val="auto"/>
                      <w:sz w:val="18"/>
                      <w:szCs w:val="18"/>
                      <w:highlight w:val="none"/>
                      <w:u w:val="none" w:color="auto"/>
                      <w:vertAlign w:val="superscript"/>
                    </w:rPr>
                    <w:t>#</w:t>
                  </w:r>
                </w:p>
              </w:tc>
              <w:tc>
                <w:tcPr>
                  <w:tcW w:w="3014" w:type="dxa"/>
                </w:tcPr>
                <w:p w14:paraId="2EFFBC67">
                  <w:pPr>
                    <w:jc w:val="center"/>
                    <w:rPr>
                      <w:i w:val="0"/>
                      <w:iCs w:val="0"/>
                      <w:color w:val="auto"/>
                      <w:sz w:val="18"/>
                      <w:szCs w:val="18"/>
                      <w:highlight w:val="none"/>
                      <w:u w:val="none" w:color="auto"/>
                    </w:rPr>
                  </w:pPr>
                  <w:r>
                    <w:rPr>
                      <w:rFonts w:hint="eastAsia"/>
                      <w:i w:val="0"/>
                      <w:iCs w:val="0"/>
                      <w:color w:val="auto"/>
                      <w:sz w:val="18"/>
                      <w:szCs w:val="18"/>
                      <w:highlight w:val="none"/>
                      <w:u w:val="none" w:color="auto"/>
                      <w:lang w:val="en-US" w:eastAsia="zh-CN"/>
                    </w:rPr>
                    <w:t>场界</w:t>
                  </w:r>
                  <w:r>
                    <w:rPr>
                      <w:rFonts w:hint="eastAsia"/>
                      <w:i w:val="0"/>
                      <w:iCs w:val="0"/>
                      <w:color w:val="auto"/>
                      <w:sz w:val="18"/>
                      <w:szCs w:val="18"/>
                      <w:highlight w:val="none"/>
                      <w:u w:val="none" w:color="auto"/>
                    </w:rPr>
                    <w:t>西侧外1m处</w:t>
                  </w:r>
                </w:p>
              </w:tc>
              <w:tc>
                <w:tcPr>
                  <w:tcW w:w="3897" w:type="dxa"/>
                  <w:vMerge w:val="continue"/>
                  <w:vAlign w:val="center"/>
                </w:tcPr>
                <w:p w14:paraId="73FF5C00">
                  <w:pPr>
                    <w:jc w:val="center"/>
                    <w:rPr>
                      <w:i w:val="0"/>
                      <w:iCs w:val="0"/>
                      <w:color w:val="auto"/>
                      <w:sz w:val="18"/>
                      <w:szCs w:val="18"/>
                      <w:highlight w:val="none"/>
                      <w:u w:val="none" w:color="auto"/>
                    </w:rPr>
                  </w:pPr>
                </w:p>
              </w:tc>
            </w:tr>
            <w:tr w14:paraId="0532A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68" w:type="dxa"/>
                  <w:vAlign w:val="center"/>
                </w:tcPr>
                <w:p w14:paraId="71CEBFFA">
                  <w:pPr>
                    <w:jc w:val="center"/>
                    <w:rPr>
                      <w:i w:val="0"/>
                      <w:iCs w:val="0"/>
                      <w:color w:val="auto"/>
                      <w:sz w:val="18"/>
                      <w:szCs w:val="18"/>
                      <w:highlight w:val="none"/>
                      <w:u w:val="none" w:color="auto"/>
                    </w:rPr>
                  </w:pPr>
                  <w:r>
                    <w:rPr>
                      <w:i w:val="0"/>
                      <w:iCs w:val="0"/>
                      <w:color w:val="auto"/>
                      <w:sz w:val="18"/>
                      <w:szCs w:val="18"/>
                      <w:highlight w:val="none"/>
                      <w:u w:val="none" w:color="auto"/>
                    </w:rPr>
                    <w:t>4</w:t>
                  </w:r>
                  <w:r>
                    <w:rPr>
                      <w:i w:val="0"/>
                      <w:iCs w:val="0"/>
                      <w:color w:val="auto"/>
                      <w:sz w:val="18"/>
                      <w:szCs w:val="18"/>
                      <w:highlight w:val="none"/>
                      <w:u w:val="none" w:color="auto"/>
                      <w:vertAlign w:val="superscript"/>
                    </w:rPr>
                    <w:t>#</w:t>
                  </w:r>
                </w:p>
              </w:tc>
              <w:tc>
                <w:tcPr>
                  <w:tcW w:w="3014" w:type="dxa"/>
                </w:tcPr>
                <w:p w14:paraId="5BE9ADE7">
                  <w:pPr>
                    <w:jc w:val="center"/>
                    <w:rPr>
                      <w:i w:val="0"/>
                      <w:iCs w:val="0"/>
                      <w:color w:val="auto"/>
                      <w:sz w:val="18"/>
                      <w:szCs w:val="18"/>
                      <w:highlight w:val="none"/>
                      <w:u w:val="none" w:color="auto"/>
                    </w:rPr>
                  </w:pPr>
                  <w:r>
                    <w:rPr>
                      <w:rFonts w:hint="eastAsia"/>
                      <w:i w:val="0"/>
                      <w:iCs w:val="0"/>
                      <w:color w:val="auto"/>
                      <w:sz w:val="18"/>
                      <w:szCs w:val="18"/>
                      <w:highlight w:val="none"/>
                      <w:u w:val="none" w:color="auto"/>
                      <w:lang w:val="en-US" w:eastAsia="zh-CN"/>
                    </w:rPr>
                    <w:t>场界</w:t>
                  </w:r>
                  <w:r>
                    <w:rPr>
                      <w:rFonts w:hint="eastAsia"/>
                      <w:i w:val="0"/>
                      <w:iCs w:val="0"/>
                      <w:color w:val="auto"/>
                      <w:sz w:val="18"/>
                      <w:szCs w:val="18"/>
                      <w:highlight w:val="none"/>
                      <w:u w:val="none" w:color="auto"/>
                    </w:rPr>
                    <w:t>北侧外1m处</w:t>
                  </w:r>
                </w:p>
              </w:tc>
              <w:tc>
                <w:tcPr>
                  <w:tcW w:w="3897" w:type="dxa"/>
                  <w:vMerge w:val="continue"/>
                  <w:vAlign w:val="center"/>
                </w:tcPr>
                <w:p w14:paraId="26D90FA0">
                  <w:pPr>
                    <w:jc w:val="center"/>
                    <w:rPr>
                      <w:i w:val="0"/>
                      <w:iCs w:val="0"/>
                      <w:color w:val="auto"/>
                      <w:sz w:val="18"/>
                      <w:szCs w:val="18"/>
                      <w:highlight w:val="none"/>
                      <w:u w:val="none" w:color="auto"/>
                    </w:rPr>
                  </w:pPr>
                </w:p>
              </w:tc>
            </w:tr>
            <w:tr w14:paraId="5A94F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68" w:type="dxa"/>
                  <w:vAlign w:val="center"/>
                </w:tcPr>
                <w:p w14:paraId="195DEE1B">
                  <w:pPr>
                    <w:jc w:val="center"/>
                    <w:rPr>
                      <w:rFonts w:hint="eastAsia" w:eastAsia="宋体"/>
                      <w:i w:val="0"/>
                      <w:iCs w:val="0"/>
                      <w:color w:val="auto"/>
                      <w:sz w:val="18"/>
                      <w:szCs w:val="18"/>
                      <w:highlight w:val="none"/>
                      <w:u w:val="none" w:color="auto"/>
                      <w:lang w:val="en-US" w:eastAsia="zh-CN"/>
                    </w:rPr>
                  </w:pPr>
                  <w:r>
                    <w:rPr>
                      <w:rFonts w:hint="eastAsia"/>
                      <w:i w:val="0"/>
                      <w:iCs w:val="0"/>
                      <w:color w:val="auto"/>
                      <w:sz w:val="18"/>
                      <w:szCs w:val="18"/>
                      <w:highlight w:val="none"/>
                      <w:u w:val="none" w:color="auto"/>
                      <w:lang w:val="en-US" w:eastAsia="zh-CN"/>
                    </w:rPr>
                    <w:t>5</w:t>
                  </w:r>
                  <w:r>
                    <w:rPr>
                      <w:i w:val="0"/>
                      <w:iCs w:val="0"/>
                      <w:color w:val="auto"/>
                      <w:sz w:val="18"/>
                      <w:szCs w:val="18"/>
                      <w:highlight w:val="none"/>
                      <w:u w:val="none" w:color="auto"/>
                      <w:vertAlign w:val="superscript"/>
                    </w:rPr>
                    <w:t>#</w:t>
                  </w:r>
                </w:p>
              </w:tc>
              <w:tc>
                <w:tcPr>
                  <w:tcW w:w="3014" w:type="dxa"/>
                </w:tcPr>
                <w:p w14:paraId="642D3108">
                  <w:pPr>
                    <w:jc w:val="center"/>
                    <w:rPr>
                      <w:rFonts w:hint="eastAsia"/>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西侧32m闲置民宅外</w:t>
                  </w:r>
                </w:p>
              </w:tc>
              <w:tc>
                <w:tcPr>
                  <w:tcW w:w="3897" w:type="dxa"/>
                  <w:vAlign w:val="center"/>
                </w:tcPr>
                <w:p w14:paraId="789B93F4">
                  <w:pPr>
                    <w:jc w:val="center"/>
                    <w:rPr>
                      <w:i w:val="0"/>
                      <w:iCs w:val="0"/>
                      <w:color w:val="auto"/>
                      <w:sz w:val="18"/>
                      <w:szCs w:val="18"/>
                      <w:highlight w:val="none"/>
                      <w:u w:val="none" w:color="auto"/>
                    </w:rPr>
                  </w:pPr>
                  <w:r>
                    <w:rPr>
                      <w:rFonts w:hint="eastAsia" w:ascii="Times New Roman" w:hAnsi="Times New Roman" w:eastAsia="宋体" w:cs="Times New Roman"/>
                      <w:i w:val="0"/>
                      <w:iCs w:val="0"/>
                      <w:color w:val="auto"/>
                      <w:sz w:val="18"/>
                      <w:szCs w:val="18"/>
                      <w:highlight w:val="none"/>
                      <w:u w:val="none" w:color="auto"/>
                      <w:lang w:val="en-US" w:eastAsia="zh-CN"/>
                    </w:rPr>
                    <w:t>了解民宅处声环境质量</w:t>
                  </w:r>
                </w:p>
              </w:tc>
            </w:tr>
          </w:tbl>
          <w:p w14:paraId="6C436D20">
            <w:pPr>
              <w:autoSpaceDE w:val="0"/>
              <w:autoSpaceDN w:val="0"/>
              <w:adjustRightInd w:val="0"/>
              <w:snapToGrid w:val="0"/>
              <w:ind w:firstLine="200" w:firstLineChars="200"/>
              <w:rPr>
                <w:i w:val="0"/>
                <w:iCs w:val="0"/>
                <w:color w:val="auto"/>
                <w:kern w:val="0"/>
                <w:sz w:val="10"/>
                <w:szCs w:val="10"/>
                <w:highlight w:val="none"/>
                <w:u w:val="none" w:color="auto"/>
                <w:lang w:val="zh-CN"/>
              </w:rPr>
            </w:pPr>
          </w:p>
          <w:p w14:paraId="0BCA515D">
            <w:pPr>
              <w:autoSpaceDE w:val="0"/>
              <w:autoSpaceDN w:val="0"/>
              <w:spacing w:line="360" w:lineRule="auto"/>
              <w:ind w:firstLine="420" w:firstLineChars="200"/>
              <w:rPr>
                <w:i w:val="0"/>
                <w:iCs w:val="0"/>
                <w:color w:val="auto"/>
                <w:kern w:val="0"/>
                <w:sz w:val="21"/>
                <w:szCs w:val="21"/>
                <w:highlight w:val="none"/>
                <w:u w:val="none" w:color="auto"/>
                <w:lang w:val="zh-CN"/>
              </w:rPr>
            </w:pPr>
            <w:r>
              <w:rPr>
                <w:rFonts w:hint="eastAsia"/>
                <w:i w:val="0"/>
                <w:iCs w:val="0"/>
                <w:color w:val="auto"/>
                <w:kern w:val="0"/>
                <w:sz w:val="21"/>
                <w:szCs w:val="21"/>
                <w:highlight w:val="none"/>
                <w:u w:val="none" w:color="auto"/>
                <w:lang w:val="zh-CN"/>
              </w:rPr>
              <w:t>（2）</w:t>
            </w:r>
            <w:r>
              <w:rPr>
                <w:i w:val="0"/>
                <w:iCs w:val="0"/>
                <w:color w:val="auto"/>
                <w:kern w:val="0"/>
                <w:sz w:val="21"/>
                <w:szCs w:val="21"/>
                <w:highlight w:val="none"/>
                <w:u w:val="none" w:color="auto"/>
                <w:lang w:val="zh-CN"/>
              </w:rPr>
              <w:t>监测因子</w:t>
            </w:r>
          </w:p>
          <w:p w14:paraId="5EFD50AE">
            <w:pPr>
              <w:autoSpaceDE w:val="0"/>
              <w:autoSpaceDN w:val="0"/>
              <w:spacing w:line="360" w:lineRule="auto"/>
              <w:ind w:firstLine="420" w:firstLineChars="200"/>
              <w:rPr>
                <w:i w:val="0"/>
                <w:iCs w:val="0"/>
                <w:color w:val="auto"/>
                <w:sz w:val="21"/>
                <w:szCs w:val="21"/>
                <w:highlight w:val="none"/>
                <w:u w:val="none" w:color="auto"/>
              </w:rPr>
            </w:pPr>
            <w:r>
              <w:rPr>
                <w:i w:val="0"/>
                <w:iCs w:val="0"/>
                <w:color w:val="auto"/>
                <w:sz w:val="21"/>
                <w:szCs w:val="21"/>
                <w:highlight w:val="none"/>
                <w:u w:val="none" w:color="auto"/>
              </w:rPr>
              <w:t>连续等效声级Leq（A）。</w:t>
            </w:r>
          </w:p>
          <w:p w14:paraId="6D42BE79">
            <w:pPr>
              <w:spacing w:line="360" w:lineRule="auto"/>
              <w:ind w:firstLine="420" w:firstLineChars="200"/>
              <w:rPr>
                <w:i w:val="0"/>
                <w:iCs w:val="0"/>
                <w:color w:val="auto"/>
                <w:sz w:val="21"/>
                <w:szCs w:val="21"/>
                <w:highlight w:val="none"/>
                <w:u w:val="none" w:color="auto"/>
              </w:rPr>
            </w:pPr>
            <w:r>
              <w:rPr>
                <w:rFonts w:hint="eastAsia"/>
                <w:i w:val="0"/>
                <w:iCs w:val="0"/>
                <w:color w:val="auto"/>
                <w:sz w:val="21"/>
                <w:szCs w:val="21"/>
                <w:highlight w:val="none"/>
                <w:u w:val="none" w:color="auto"/>
              </w:rPr>
              <w:t>（3）</w:t>
            </w:r>
            <w:r>
              <w:rPr>
                <w:i w:val="0"/>
                <w:iCs w:val="0"/>
                <w:color w:val="auto"/>
                <w:sz w:val="21"/>
                <w:szCs w:val="21"/>
                <w:highlight w:val="none"/>
                <w:u w:val="none" w:color="auto"/>
              </w:rPr>
              <w:t>监测单位及监测时间</w:t>
            </w:r>
          </w:p>
          <w:p w14:paraId="7EC910F9">
            <w:pPr>
              <w:spacing w:line="360" w:lineRule="auto"/>
              <w:ind w:firstLine="420" w:firstLineChars="200"/>
              <w:rPr>
                <w:i w:val="0"/>
                <w:iCs w:val="0"/>
                <w:color w:val="auto"/>
                <w:sz w:val="21"/>
                <w:szCs w:val="21"/>
                <w:highlight w:val="none"/>
                <w:u w:val="none" w:color="auto"/>
              </w:rPr>
            </w:pPr>
            <w:r>
              <w:rPr>
                <w:i w:val="0"/>
                <w:iCs w:val="0"/>
                <w:color w:val="auto"/>
                <w:sz w:val="21"/>
                <w:szCs w:val="21"/>
                <w:highlight w:val="none"/>
                <w:u w:val="none" w:color="auto"/>
              </w:rPr>
              <w:t>监测时间：20</w:t>
            </w:r>
            <w:r>
              <w:rPr>
                <w:rFonts w:hint="eastAsia"/>
                <w:i w:val="0"/>
                <w:iCs w:val="0"/>
                <w:color w:val="auto"/>
                <w:sz w:val="21"/>
                <w:szCs w:val="21"/>
                <w:highlight w:val="none"/>
                <w:u w:val="none" w:color="auto"/>
              </w:rPr>
              <w:t>2</w:t>
            </w:r>
            <w:r>
              <w:rPr>
                <w:rFonts w:hint="eastAsia"/>
                <w:i w:val="0"/>
                <w:iCs w:val="0"/>
                <w:color w:val="auto"/>
                <w:sz w:val="21"/>
                <w:szCs w:val="21"/>
                <w:highlight w:val="none"/>
                <w:u w:val="none" w:color="auto"/>
                <w:lang w:val="en-US" w:eastAsia="zh-CN"/>
              </w:rPr>
              <w:t>5</w:t>
            </w:r>
            <w:r>
              <w:rPr>
                <w:i w:val="0"/>
                <w:iCs w:val="0"/>
                <w:color w:val="auto"/>
                <w:sz w:val="21"/>
                <w:szCs w:val="21"/>
                <w:highlight w:val="none"/>
                <w:u w:val="none" w:color="auto"/>
              </w:rPr>
              <w:t>月0</w:t>
            </w:r>
            <w:r>
              <w:rPr>
                <w:rFonts w:hint="eastAsia"/>
                <w:i w:val="0"/>
                <w:iCs w:val="0"/>
                <w:color w:val="auto"/>
                <w:sz w:val="21"/>
                <w:szCs w:val="21"/>
                <w:highlight w:val="none"/>
                <w:u w:val="none" w:color="auto"/>
                <w:lang w:val="en-US" w:eastAsia="zh-CN"/>
              </w:rPr>
              <w:t>8</w:t>
            </w:r>
            <w:r>
              <w:rPr>
                <w:i w:val="0"/>
                <w:iCs w:val="0"/>
                <w:color w:val="auto"/>
                <w:sz w:val="21"/>
                <w:szCs w:val="21"/>
                <w:highlight w:val="none"/>
                <w:u w:val="none" w:color="auto"/>
              </w:rPr>
              <w:t>月</w:t>
            </w:r>
            <w:r>
              <w:rPr>
                <w:rFonts w:hint="eastAsia"/>
                <w:i w:val="0"/>
                <w:iCs w:val="0"/>
                <w:color w:val="auto"/>
                <w:sz w:val="21"/>
                <w:szCs w:val="21"/>
                <w:highlight w:val="none"/>
                <w:u w:val="none" w:color="auto"/>
                <w:lang w:val="en-US" w:eastAsia="zh-CN"/>
              </w:rPr>
              <w:t>11</w:t>
            </w:r>
            <w:r>
              <w:rPr>
                <w:i w:val="0"/>
                <w:iCs w:val="0"/>
                <w:color w:val="auto"/>
                <w:sz w:val="21"/>
                <w:szCs w:val="21"/>
                <w:highlight w:val="none"/>
                <w:u w:val="none" w:color="auto"/>
              </w:rPr>
              <w:t>日昼、夜各一次</w:t>
            </w:r>
            <w:r>
              <w:rPr>
                <w:rFonts w:hint="eastAsia"/>
                <w:i w:val="0"/>
                <w:iCs w:val="0"/>
                <w:color w:val="auto"/>
                <w:sz w:val="21"/>
                <w:szCs w:val="21"/>
                <w:highlight w:val="none"/>
                <w:u w:val="none" w:color="auto"/>
              </w:rPr>
              <w:t>。</w:t>
            </w:r>
          </w:p>
          <w:p w14:paraId="35814AF9">
            <w:pPr>
              <w:spacing w:line="360" w:lineRule="auto"/>
              <w:ind w:firstLine="420" w:firstLineChars="200"/>
              <w:rPr>
                <w:i w:val="0"/>
                <w:iCs w:val="0"/>
                <w:color w:val="auto"/>
                <w:sz w:val="21"/>
                <w:szCs w:val="21"/>
                <w:highlight w:val="none"/>
                <w:u w:val="none" w:color="auto"/>
              </w:rPr>
            </w:pPr>
            <w:r>
              <w:rPr>
                <w:i w:val="0"/>
                <w:iCs w:val="0"/>
                <w:color w:val="auto"/>
                <w:sz w:val="21"/>
                <w:szCs w:val="21"/>
                <w:highlight w:val="none"/>
                <w:u w:val="none" w:color="auto"/>
              </w:rPr>
              <w:t>监测单位：</w:t>
            </w:r>
            <w:r>
              <w:rPr>
                <w:rFonts w:hint="eastAsia" w:ascii="Times New Roman" w:hAnsi="宋体" w:eastAsia="宋体" w:cs="Times New Roman"/>
                <w:color w:val="auto"/>
                <w:lang w:val="en-US" w:eastAsia="zh-CN"/>
              </w:rPr>
              <w:t>吉林</w:t>
            </w:r>
            <w:r>
              <w:rPr>
                <w:rFonts w:hint="eastAsia" w:hAnsi="宋体" w:cs="Times New Roman"/>
                <w:color w:val="auto"/>
                <w:lang w:val="en-US" w:eastAsia="zh-CN"/>
              </w:rPr>
              <w:t>启兴环保检测</w:t>
            </w:r>
            <w:r>
              <w:rPr>
                <w:rFonts w:hint="eastAsia" w:ascii="Times New Roman" w:hAnsi="宋体" w:eastAsia="宋体" w:cs="Times New Roman"/>
                <w:color w:val="auto"/>
                <w:lang w:val="en-US" w:eastAsia="zh-CN"/>
              </w:rPr>
              <w:t>有限公司</w:t>
            </w:r>
            <w:r>
              <w:rPr>
                <w:rFonts w:hint="eastAsia"/>
                <w:i w:val="0"/>
                <w:iCs w:val="0"/>
                <w:color w:val="auto"/>
                <w:sz w:val="21"/>
                <w:szCs w:val="21"/>
                <w:highlight w:val="none"/>
                <w:u w:val="none" w:color="auto"/>
              </w:rPr>
              <w:t>。</w:t>
            </w:r>
          </w:p>
          <w:p w14:paraId="5BF123C1">
            <w:pPr>
              <w:spacing w:line="360" w:lineRule="auto"/>
              <w:ind w:firstLine="420" w:firstLineChars="200"/>
              <w:rPr>
                <w:i w:val="0"/>
                <w:iCs w:val="0"/>
                <w:color w:val="auto"/>
                <w:sz w:val="21"/>
                <w:szCs w:val="21"/>
                <w:highlight w:val="none"/>
                <w:u w:val="none" w:color="auto"/>
              </w:rPr>
            </w:pPr>
            <w:r>
              <w:rPr>
                <w:rFonts w:hint="eastAsia"/>
                <w:i w:val="0"/>
                <w:iCs w:val="0"/>
                <w:color w:val="auto"/>
                <w:sz w:val="21"/>
                <w:szCs w:val="21"/>
                <w:highlight w:val="none"/>
                <w:u w:val="none" w:color="auto"/>
              </w:rPr>
              <w:t>（4）</w:t>
            </w:r>
            <w:r>
              <w:rPr>
                <w:i w:val="0"/>
                <w:iCs w:val="0"/>
                <w:color w:val="auto"/>
                <w:sz w:val="21"/>
                <w:szCs w:val="21"/>
                <w:highlight w:val="none"/>
                <w:u w:val="none" w:color="auto"/>
              </w:rPr>
              <w:t>评价方法</w:t>
            </w:r>
          </w:p>
          <w:p w14:paraId="65C04502">
            <w:pPr>
              <w:spacing w:line="360" w:lineRule="auto"/>
              <w:ind w:firstLine="420" w:firstLineChars="200"/>
              <w:rPr>
                <w:i w:val="0"/>
                <w:iCs w:val="0"/>
                <w:color w:val="auto"/>
                <w:sz w:val="21"/>
                <w:szCs w:val="21"/>
                <w:highlight w:val="none"/>
                <w:u w:val="none" w:color="auto"/>
              </w:rPr>
            </w:pPr>
            <w:r>
              <w:rPr>
                <w:i w:val="0"/>
                <w:iCs w:val="0"/>
                <w:color w:val="auto"/>
                <w:sz w:val="21"/>
                <w:szCs w:val="21"/>
                <w:highlight w:val="none"/>
                <w:u w:val="none" w:color="auto"/>
              </w:rPr>
              <w:t>采用监测值与标准值对照分析的方法进行评价，评估污染现状。</w:t>
            </w:r>
          </w:p>
          <w:p w14:paraId="60026442">
            <w:pPr>
              <w:spacing w:line="360" w:lineRule="auto"/>
              <w:ind w:firstLine="420" w:firstLineChars="200"/>
              <w:rPr>
                <w:i w:val="0"/>
                <w:iCs w:val="0"/>
                <w:color w:val="auto"/>
                <w:sz w:val="21"/>
                <w:szCs w:val="21"/>
                <w:highlight w:val="none"/>
                <w:u w:val="none" w:color="auto"/>
              </w:rPr>
            </w:pPr>
            <w:r>
              <w:rPr>
                <w:rFonts w:hint="eastAsia"/>
                <w:i w:val="0"/>
                <w:iCs w:val="0"/>
                <w:color w:val="auto"/>
                <w:sz w:val="21"/>
                <w:szCs w:val="21"/>
                <w:highlight w:val="none"/>
                <w:u w:val="none" w:color="auto"/>
              </w:rPr>
              <w:t>（5）</w:t>
            </w:r>
            <w:r>
              <w:rPr>
                <w:i w:val="0"/>
                <w:iCs w:val="0"/>
                <w:color w:val="auto"/>
                <w:sz w:val="21"/>
                <w:szCs w:val="21"/>
                <w:highlight w:val="none"/>
                <w:u w:val="none" w:color="auto"/>
              </w:rPr>
              <w:t>评价标准</w:t>
            </w:r>
          </w:p>
          <w:p w14:paraId="127EDC72">
            <w:pPr>
              <w:spacing w:line="360" w:lineRule="auto"/>
              <w:ind w:firstLine="420" w:firstLineChars="200"/>
              <w:rPr>
                <w:i w:val="0"/>
                <w:iCs w:val="0"/>
                <w:color w:val="auto"/>
                <w:sz w:val="21"/>
                <w:szCs w:val="21"/>
                <w:highlight w:val="none"/>
                <w:u w:val="none" w:color="auto"/>
              </w:rPr>
            </w:pPr>
            <w:r>
              <w:rPr>
                <w:i w:val="0"/>
                <w:iCs w:val="0"/>
                <w:color w:val="auto"/>
                <w:sz w:val="21"/>
                <w:szCs w:val="21"/>
                <w:highlight w:val="none"/>
                <w:u w:val="none" w:color="auto"/>
              </w:rPr>
              <w:t>根据声功能划分，场界声环境监测点均采用《声环境质量标准》（GB3096-2008）中</w:t>
            </w:r>
            <w:r>
              <w:rPr>
                <w:rFonts w:hint="eastAsia"/>
                <w:i w:val="0"/>
                <w:iCs w:val="0"/>
                <w:color w:val="auto"/>
                <w:sz w:val="21"/>
                <w:szCs w:val="21"/>
                <w:highlight w:val="none"/>
                <w:u w:val="none" w:color="auto"/>
                <w:lang w:val="en-US" w:eastAsia="zh-CN"/>
              </w:rPr>
              <w:t>1</w:t>
            </w:r>
            <w:r>
              <w:rPr>
                <w:i w:val="0"/>
                <w:iCs w:val="0"/>
                <w:color w:val="auto"/>
                <w:sz w:val="21"/>
                <w:szCs w:val="21"/>
                <w:highlight w:val="none"/>
                <w:u w:val="none" w:color="auto"/>
              </w:rPr>
              <w:t>类标准。</w:t>
            </w:r>
          </w:p>
          <w:p w14:paraId="68641F7E">
            <w:pPr>
              <w:spacing w:line="360" w:lineRule="auto"/>
              <w:ind w:firstLine="420" w:firstLineChars="200"/>
              <w:rPr>
                <w:i w:val="0"/>
                <w:iCs w:val="0"/>
                <w:color w:val="auto"/>
                <w:sz w:val="21"/>
                <w:szCs w:val="21"/>
                <w:highlight w:val="none"/>
                <w:u w:val="none" w:color="auto"/>
              </w:rPr>
            </w:pPr>
            <w:r>
              <w:rPr>
                <w:rFonts w:hint="eastAsia"/>
                <w:i w:val="0"/>
                <w:iCs w:val="0"/>
                <w:color w:val="auto"/>
                <w:sz w:val="21"/>
                <w:szCs w:val="21"/>
                <w:highlight w:val="none"/>
                <w:u w:val="none" w:color="auto"/>
              </w:rPr>
              <w:t>（6）</w:t>
            </w:r>
            <w:r>
              <w:rPr>
                <w:i w:val="0"/>
                <w:iCs w:val="0"/>
                <w:color w:val="auto"/>
                <w:sz w:val="21"/>
                <w:szCs w:val="21"/>
                <w:highlight w:val="none"/>
                <w:u w:val="none" w:color="auto"/>
              </w:rPr>
              <w:t>噪声现状监测及评价结果</w:t>
            </w:r>
          </w:p>
          <w:p w14:paraId="209DB260">
            <w:pPr>
              <w:spacing w:line="360" w:lineRule="auto"/>
              <w:ind w:firstLine="420" w:firstLineChars="200"/>
              <w:rPr>
                <w:i w:val="0"/>
                <w:iCs w:val="0"/>
                <w:color w:val="auto"/>
                <w:sz w:val="21"/>
                <w:szCs w:val="21"/>
                <w:highlight w:val="none"/>
                <w:u w:val="none" w:color="auto"/>
              </w:rPr>
            </w:pPr>
            <w:r>
              <w:rPr>
                <w:i w:val="0"/>
                <w:iCs w:val="0"/>
                <w:color w:val="auto"/>
                <w:sz w:val="21"/>
                <w:szCs w:val="21"/>
                <w:highlight w:val="none"/>
                <w:u w:val="none" w:color="auto"/>
              </w:rPr>
              <w:t>噪声现状监测汇总及评价结果见</w:t>
            </w:r>
            <w:r>
              <w:rPr>
                <w:rFonts w:hint="eastAsia"/>
                <w:i w:val="0"/>
                <w:iCs w:val="0"/>
                <w:color w:val="auto"/>
                <w:sz w:val="21"/>
                <w:szCs w:val="21"/>
                <w:highlight w:val="none"/>
                <w:u w:val="none" w:color="auto"/>
              </w:rPr>
              <w:t>下</w:t>
            </w:r>
            <w:r>
              <w:rPr>
                <w:i w:val="0"/>
                <w:iCs w:val="0"/>
                <w:color w:val="auto"/>
                <w:sz w:val="21"/>
                <w:szCs w:val="21"/>
                <w:highlight w:val="none"/>
                <w:u w:val="none" w:color="auto"/>
              </w:rPr>
              <w:t>表。</w:t>
            </w:r>
          </w:p>
          <w:p w14:paraId="7F91DC1F">
            <w:pPr>
              <w:pStyle w:val="61"/>
              <w:adjustRightInd w:val="0"/>
              <w:snapToGrid w:val="0"/>
              <w:spacing w:line="240" w:lineRule="auto"/>
              <w:ind w:firstLine="482"/>
              <w:rPr>
                <w:rFonts w:hint="eastAsia" w:ascii="Times New Roman" w:hAnsi="宋体" w:eastAsia="宋体" w:cs="宋体"/>
                <w:b w:val="0"/>
                <w:color w:val="auto"/>
                <w:kern w:val="0"/>
                <w:sz w:val="21"/>
                <w:szCs w:val="21"/>
                <w:u w:val="none"/>
                <w:lang w:val="en-US" w:eastAsia="zh-CN" w:bidi="ar-SA"/>
              </w:rPr>
            </w:pPr>
            <w:r>
              <w:rPr>
                <w:rFonts w:hint="eastAsia" w:ascii="Times New Roman" w:hAnsi="宋体" w:eastAsia="宋体" w:cs="宋体"/>
                <w:b w:val="0"/>
                <w:color w:val="auto"/>
                <w:kern w:val="0"/>
                <w:sz w:val="21"/>
                <w:szCs w:val="21"/>
                <w:u w:val="none"/>
                <w:lang w:val="en-US" w:eastAsia="zh-CN" w:bidi="ar-SA"/>
              </w:rPr>
              <w:t>噪声现状监测结果</w:t>
            </w:r>
          </w:p>
          <w:tbl>
            <w:tblPr>
              <w:tblStyle w:val="29"/>
              <w:tblW w:w="795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368"/>
              <w:gridCol w:w="1181"/>
              <w:gridCol w:w="1313"/>
              <w:gridCol w:w="1182"/>
              <w:gridCol w:w="971"/>
              <w:gridCol w:w="971"/>
              <w:gridCol w:w="971"/>
            </w:tblGrid>
            <w:tr w14:paraId="1307100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2" w:hRule="atLeast"/>
                <w:jc w:val="center"/>
              </w:trPr>
              <w:tc>
                <w:tcPr>
                  <w:tcW w:w="1368" w:type="dxa"/>
                  <w:vMerge w:val="restart"/>
                  <w:vAlign w:val="center"/>
                </w:tcPr>
                <w:p w14:paraId="73EBA85A">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时间</w:t>
                  </w:r>
                </w:p>
              </w:tc>
              <w:tc>
                <w:tcPr>
                  <w:tcW w:w="1181" w:type="dxa"/>
                  <w:vMerge w:val="restart"/>
                  <w:vAlign w:val="center"/>
                </w:tcPr>
                <w:p w14:paraId="78CE7025">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点位</w:t>
                  </w:r>
                </w:p>
              </w:tc>
              <w:tc>
                <w:tcPr>
                  <w:tcW w:w="2495" w:type="dxa"/>
                  <w:gridSpan w:val="2"/>
                  <w:vAlign w:val="center"/>
                </w:tcPr>
                <w:p w14:paraId="5DA2671B">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监测结果（dB）A</w:t>
                  </w:r>
                </w:p>
              </w:tc>
              <w:tc>
                <w:tcPr>
                  <w:tcW w:w="1942" w:type="dxa"/>
                  <w:gridSpan w:val="2"/>
                  <w:vAlign w:val="center"/>
                </w:tcPr>
                <w:p w14:paraId="0CDA42FE">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标准限值（dB）A</w:t>
                  </w:r>
                </w:p>
              </w:tc>
              <w:tc>
                <w:tcPr>
                  <w:tcW w:w="971" w:type="dxa"/>
                  <w:vMerge w:val="restart"/>
                  <w:vAlign w:val="center"/>
                </w:tcPr>
                <w:p w14:paraId="1CF3069D">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达标</w:t>
                  </w:r>
                </w:p>
                <w:p w14:paraId="68C1E44D">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分析</w:t>
                  </w:r>
                </w:p>
              </w:tc>
            </w:tr>
            <w:tr w14:paraId="49C4E6D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9" w:hRule="atLeast"/>
                <w:jc w:val="center"/>
              </w:trPr>
              <w:tc>
                <w:tcPr>
                  <w:tcW w:w="1368" w:type="dxa"/>
                  <w:vMerge w:val="continue"/>
                  <w:vAlign w:val="center"/>
                </w:tcPr>
                <w:p w14:paraId="13CB4677">
                  <w:pPr>
                    <w:adjustRightInd w:val="0"/>
                    <w:snapToGrid w:val="0"/>
                    <w:jc w:val="center"/>
                    <w:rPr>
                      <w:i w:val="0"/>
                      <w:iCs w:val="0"/>
                      <w:color w:val="auto"/>
                      <w:sz w:val="18"/>
                      <w:szCs w:val="18"/>
                      <w:highlight w:val="none"/>
                      <w:u w:val="none" w:color="auto"/>
                      <w:lang w:val="en-GB"/>
                    </w:rPr>
                  </w:pPr>
                </w:p>
              </w:tc>
              <w:tc>
                <w:tcPr>
                  <w:tcW w:w="1181" w:type="dxa"/>
                  <w:vMerge w:val="continue"/>
                  <w:vAlign w:val="center"/>
                </w:tcPr>
                <w:p w14:paraId="6B8E6597">
                  <w:pPr>
                    <w:adjustRightInd w:val="0"/>
                    <w:snapToGrid w:val="0"/>
                    <w:jc w:val="center"/>
                    <w:rPr>
                      <w:i w:val="0"/>
                      <w:iCs w:val="0"/>
                      <w:color w:val="auto"/>
                      <w:sz w:val="18"/>
                      <w:szCs w:val="18"/>
                      <w:highlight w:val="none"/>
                      <w:u w:val="none" w:color="auto"/>
                      <w:lang w:val="en-GB"/>
                    </w:rPr>
                  </w:pPr>
                </w:p>
              </w:tc>
              <w:tc>
                <w:tcPr>
                  <w:tcW w:w="1313" w:type="dxa"/>
                  <w:vAlign w:val="center"/>
                </w:tcPr>
                <w:p w14:paraId="5BE5BC16">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昼间</w:t>
                  </w:r>
                </w:p>
              </w:tc>
              <w:tc>
                <w:tcPr>
                  <w:tcW w:w="1182" w:type="dxa"/>
                  <w:vAlign w:val="center"/>
                </w:tcPr>
                <w:p w14:paraId="109EDBC6">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夜间</w:t>
                  </w:r>
                </w:p>
              </w:tc>
              <w:tc>
                <w:tcPr>
                  <w:tcW w:w="971" w:type="dxa"/>
                  <w:vAlign w:val="center"/>
                </w:tcPr>
                <w:p w14:paraId="5A558FA5">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昼间</w:t>
                  </w:r>
                </w:p>
              </w:tc>
              <w:tc>
                <w:tcPr>
                  <w:tcW w:w="971" w:type="dxa"/>
                  <w:vAlign w:val="center"/>
                </w:tcPr>
                <w:p w14:paraId="7ED212E7">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夜间</w:t>
                  </w:r>
                </w:p>
              </w:tc>
              <w:tc>
                <w:tcPr>
                  <w:tcW w:w="971" w:type="dxa"/>
                  <w:vMerge w:val="continue"/>
                  <w:vAlign w:val="center"/>
                </w:tcPr>
                <w:p w14:paraId="32CCE8BE">
                  <w:pPr>
                    <w:adjustRightInd w:val="0"/>
                    <w:snapToGrid w:val="0"/>
                    <w:jc w:val="center"/>
                    <w:rPr>
                      <w:i w:val="0"/>
                      <w:iCs w:val="0"/>
                      <w:color w:val="auto"/>
                      <w:sz w:val="18"/>
                      <w:szCs w:val="18"/>
                      <w:highlight w:val="none"/>
                      <w:u w:val="none" w:color="auto"/>
                      <w:lang w:val="en-GB"/>
                    </w:rPr>
                  </w:pPr>
                </w:p>
              </w:tc>
            </w:tr>
            <w:tr w14:paraId="7E637C1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9" w:hRule="atLeast"/>
                <w:jc w:val="center"/>
              </w:trPr>
              <w:tc>
                <w:tcPr>
                  <w:tcW w:w="1368" w:type="dxa"/>
                  <w:vMerge w:val="restart"/>
                  <w:vAlign w:val="center"/>
                </w:tcPr>
                <w:p w14:paraId="49535664">
                  <w:pPr>
                    <w:jc w:val="center"/>
                    <w:rPr>
                      <w:rFonts w:hint="default" w:eastAsia="宋体"/>
                      <w:i w:val="0"/>
                      <w:iCs w:val="0"/>
                      <w:color w:val="auto"/>
                      <w:sz w:val="18"/>
                      <w:szCs w:val="18"/>
                      <w:highlight w:val="none"/>
                      <w:u w:val="none" w:color="auto"/>
                      <w:lang w:val="en-US" w:eastAsia="zh-CN"/>
                    </w:rPr>
                  </w:pPr>
                  <w:r>
                    <w:rPr>
                      <w:i w:val="0"/>
                      <w:iCs w:val="0"/>
                      <w:color w:val="auto"/>
                      <w:sz w:val="18"/>
                      <w:szCs w:val="18"/>
                      <w:highlight w:val="none"/>
                      <w:u w:val="none" w:color="auto"/>
                    </w:rPr>
                    <w:t>202</w:t>
                  </w:r>
                  <w:r>
                    <w:rPr>
                      <w:rFonts w:hint="eastAsia"/>
                      <w:i w:val="0"/>
                      <w:iCs w:val="0"/>
                      <w:color w:val="auto"/>
                      <w:sz w:val="18"/>
                      <w:szCs w:val="18"/>
                      <w:highlight w:val="none"/>
                      <w:u w:val="none" w:color="auto"/>
                      <w:lang w:val="en-US" w:eastAsia="zh-CN"/>
                    </w:rPr>
                    <w:t>5.08.11</w:t>
                  </w:r>
                </w:p>
              </w:tc>
              <w:tc>
                <w:tcPr>
                  <w:tcW w:w="1181" w:type="dxa"/>
                  <w:vAlign w:val="center"/>
                </w:tcPr>
                <w:p w14:paraId="4BDF0695">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1#</w:t>
                  </w:r>
                </w:p>
              </w:tc>
              <w:tc>
                <w:tcPr>
                  <w:tcW w:w="1313" w:type="dxa"/>
                  <w:vAlign w:val="center"/>
                </w:tcPr>
                <w:p w14:paraId="47B38895">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51</w:t>
                  </w:r>
                </w:p>
              </w:tc>
              <w:tc>
                <w:tcPr>
                  <w:tcW w:w="1182" w:type="dxa"/>
                  <w:vAlign w:val="center"/>
                </w:tcPr>
                <w:p w14:paraId="123E5BB1">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40</w:t>
                  </w:r>
                </w:p>
              </w:tc>
              <w:tc>
                <w:tcPr>
                  <w:tcW w:w="971" w:type="dxa"/>
                  <w:vMerge w:val="restart"/>
                  <w:vAlign w:val="center"/>
                </w:tcPr>
                <w:p w14:paraId="7887A804">
                  <w:pPr>
                    <w:widowControl/>
                    <w:adjustRightInd w:val="0"/>
                    <w:snapToGrid w:val="0"/>
                    <w:jc w:val="center"/>
                    <w:rPr>
                      <w:rFonts w:hint="default" w:eastAsia="宋体"/>
                      <w:i w:val="0"/>
                      <w:iCs w:val="0"/>
                      <w:color w:val="auto"/>
                      <w:sz w:val="18"/>
                      <w:szCs w:val="18"/>
                      <w:highlight w:val="none"/>
                      <w:u w:val="none" w:color="auto"/>
                      <w:lang w:val="en-US" w:eastAsia="zh-CN"/>
                    </w:rPr>
                  </w:pPr>
                  <w:r>
                    <w:rPr>
                      <w:rFonts w:hint="eastAsia"/>
                      <w:i w:val="0"/>
                      <w:iCs w:val="0"/>
                      <w:color w:val="auto"/>
                      <w:sz w:val="18"/>
                      <w:szCs w:val="18"/>
                      <w:highlight w:val="none"/>
                      <w:u w:val="none" w:color="auto"/>
                      <w:lang w:val="en-US" w:eastAsia="zh-CN"/>
                    </w:rPr>
                    <w:t>55</w:t>
                  </w:r>
                </w:p>
              </w:tc>
              <w:tc>
                <w:tcPr>
                  <w:tcW w:w="971" w:type="dxa"/>
                  <w:vMerge w:val="restart"/>
                  <w:vAlign w:val="center"/>
                </w:tcPr>
                <w:p w14:paraId="014D6580">
                  <w:pPr>
                    <w:widowControl/>
                    <w:adjustRightInd w:val="0"/>
                    <w:snapToGrid w:val="0"/>
                    <w:jc w:val="center"/>
                    <w:rPr>
                      <w:rFonts w:hint="default" w:eastAsia="宋体"/>
                      <w:i w:val="0"/>
                      <w:iCs w:val="0"/>
                      <w:color w:val="auto"/>
                      <w:sz w:val="18"/>
                      <w:szCs w:val="18"/>
                      <w:highlight w:val="none"/>
                      <w:u w:val="none" w:color="auto"/>
                      <w:lang w:val="en-US" w:eastAsia="zh-CN"/>
                    </w:rPr>
                  </w:pPr>
                  <w:r>
                    <w:rPr>
                      <w:rFonts w:hint="eastAsia"/>
                      <w:i w:val="0"/>
                      <w:iCs w:val="0"/>
                      <w:color w:val="auto"/>
                      <w:sz w:val="18"/>
                      <w:szCs w:val="18"/>
                      <w:highlight w:val="none"/>
                      <w:u w:val="none" w:color="auto"/>
                      <w:lang w:val="en-US" w:eastAsia="zh-CN"/>
                    </w:rPr>
                    <w:t>45</w:t>
                  </w:r>
                </w:p>
              </w:tc>
              <w:tc>
                <w:tcPr>
                  <w:tcW w:w="971" w:type="dxa"/>
                  <w:vAlign w:val="center"/>
                </w:tcPr>
                <w:p w14:paraId="450D4B17">
                  <w:pPr>
                    <w:widowControl/>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达标</w:t>
                  </w:r>
                </w:p>
              </w:tc>
            </w:tr>
            <w:tr w14:paraId="12EF513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9" w:hRule="atLeast"/>
                <w:jc w:val="center"/>
              </w:trPr>
              <w:tc>
                <w:tcPr>
                  <w:tcW w:w="1368" w:type="dxa"/>
                  <w:vMerge w:val="continue"/>
                  <w:vAlign w:val="center"/>
                </w:tcPr>
                <w:p w14:paraId="5C5ECEBF">
                  <w:pPr>
                    <w:adjustRightInd w:val="0"/>
                    <w:snapToGrid w:val="0"/>
                    <w:jc w:val="center"/>
                    <w:rPr>
                      <w:i w:val="0"/>
                      <w:iCs w:val="0"/>
                      <w:color w:val="auto"/>
                      <w:sz w:val="18"/>
                      <w:szCs w:val="18"/>
                      <w:highlight w:val="none"/>
                      <w:u w:val="none" w:color="auto"/>
                      <w:lang w:val="en-GB"/>
                    </w:rPr>
                  </w:pPr>
                </w:p>
              </w:tc>
              <w:tc>
                <w:tcPr>
                  <w:tcW w:w="1181" w:type="dxa"/>
                  <w:vAlign w:val="center"/>
                </w:tcPr>
                <w:p w14:paraId="7DE40356">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2#</w:t>
                  </w:r>
                </w:p>
              </w:tc>
              <w:tc>
                <w:tcPr>
                  <w:tcW w:w="1313" w:type="dxa"/>
                  <w:vAlign w:val="center"/>
                </w:tcPr>
                <w:p w14:paraId="00221883">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52</w:t>
                  </w:r>
                </w:p>
              </w:tc>
              <w:tc>
                <w:tcPr>
                  <w:tcW w:w="1182" w:type="dxa"/>
                  <w:vAlign w:val="center"/>
                </w:tcPr>
                <w:p w14:paraId="736DCE88">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42</w:t>
                  </w:r>
                </w:p>
              </w:tc>
              <w:tc>
                <w:tcPr>
                  <w:tcW w:w="971" w:type="dxa"/>
                  <w:vMerge w:val="continue"/>
                  <w:vAlign w:val="center"/>
                </w:tcPr>
                <w:p w14:paraId="4FDE0802">
                  <w:pPr>
                    <w:widowControl/>
                    <w:adjustRightInd w:val="0"/>
                    <w:snapToGrid w:val="0"/>
                    <w:jc w:val="center"/>
                    <w:rPr>
                      <w:i w:val="0"/>
                      <w:iCs w:val="0"/>
                      <w:color w:val="auto"/>
                      <w:sz w:val="18"/>
                      <w:szCs w:val="18"/>
                      <w:highlight w:val="none"/>
                      <w:u w:val="none" w:color="auto"/>
                      <w:lang w:val="en-GB"/>
                    </w:rPr>
                  </w:pPr>
                </w:p>
              </w:tc>
              <w:tc>
                <w:tcPr>
                  <w:tcW w:w="971" w:type="dxa"/>
                  <w:vMerge w:val="continue"/>
                  <w:vAlign w:val="center"/>
                </w:tcPr>
                <w:p w14:paraId="6332EFA1">
                  <w:pPr>
                    <w:widowControl/>
                    <w:adjustRightInd w:val="0"/>
                    <w:snapToGrid w:val="0"/>
                    <w:jc w:val="center"/>
                    <w:rPr>
                      <w:i w:val="0"/>
                      <w:iCs w:val="0"/>
                      <w:color w:val="auto"/>
                      <w:sz w:val="18"/>
                      <w:szCs w:val="18"/>
                      <w:highlight w:val="none"/>
                      <w:u w:val="none" w:color="auto"/>
                      <w:lang w:val="en-GB"/>
                    </w:rPr>
                  </w:pPr>
                </w:p>
              </w:tc>
              <w:tc>
                <w:tcPr>
                  <w:tcW w:w="971" w:type="dxa"/>
                  <w:vAlign w:val="center"/>
                </w:tcPr>
                <w:p w14:paraId="32ABAB2C">
                  <w:pPr>
                    <w:widowControl/>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达标</w:t>
                  </w:r>
                </w:p>
              </w:tc>
            </w:tr>
            <w:tr w14:paraId="29D1D2C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9" w:hRule="atLeast"/>
                <w:jc w:val="center"/>
              </w:trPr>
              <w:tc>
                <w:tcPr>
                  <w:tcW w:w="1368" w:type="dxa"/>
                  <w:vMerge w:val="continue"/>
                  <w:vAlign w:val="center"/>
                </w:tcPr>
                <w:p w14:paraId="5AFD70B8">
                  <w:pPr>
                    <w:adjustRightInd w:val="0"/>
                    <w:snapToGrid w:val="0"/>
                    <w:jc w:val="center"/>
                    <w:rPr>
                      <w:i w:val="0"/>
                      <w:iCs w:val="0"/>
                      <w:color w:val="auto"/>
                      <w:sz w:val="18"/>
                      <w:szCs w:val="18"/>
                      <w:highlight w:val="none"/>
                      <w:u w:val="none" w:color="auto"/>
                      <w:lang w:val="en-GB"/>
                    </w:rPr>
                  </w:pPr>
                </w:p>
              </w:tc>
              <w:tc>
                <w:tcPr>
                  <w:tcW w:w="1181" w:type="dxa"/>
                  <w:vAlign w:val="center"/>
                </w:tcPr>
                <w:p w14:paraId="4B5A794A">
                  <w:pPr>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3#</w:t>
                  </w:r>
                </w:p>
              </w:tc>
              <w:tc>
                <w:tcPr>
                  <w:tcW w:w="1313" w:type="dxa"/>
                  <w:vAlign w:val="center"/>
                </w:tcPr>
                <w:p w14:paraId="7866676C">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51</w:t>
                  </w:r>
                </w:p>
              </w:tc>
              <w:tc>
                <w:tcPr>
                  <w:tcW w:w="1182" w:type="dxa"/>
                  <w:vAlign w:val="center"/>
                </w:tcPr>
                <w:p w14:paraId="6B579FED">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41</w:t>
                  </w:r>
                </w:p>
              </w:tc>
              <w:tc>
                <w:tcPr>
                  <w:tcW w:w="971" w:type="dxa"/>
                  <w:vMerge w:val="continue"/>
                  <w:vAlign w:val="center"/>
                </w:tcPr>
                <w:p w14:paraId="50F50C29">
                  <w:pPr>
                    <w:widowControl/>
                    <w:adjustRightInd w:val="0"/>
                    <w:snapToGrid w:val="0"/>
                    <w:jc w:val="center"/>
                    <w:rPr>
                      <w:i w:val="0"/>
                      <w:iCs w:val="0"/>
                      <w:color w:val="auto"/>
                      <w:sz w:val="18"/>
                      <w:szCs w:val="18"/>
                      <w:highlight w:val="none"/>
                      <w:u w:val="none" w:color="auto"/>
                      <w:lang w:val="en-GB"/>
                    </w:rPr>
                  </w:pPr>
                </w:p>
              </w:tc>
              <w:tc>
                <w:tcPr>
                  <w:tcW w:w="971" w:type="dxa"/>
                  <w:vMerge w:val="continue"/>
                  <w:vAlign w:val="center"/>
                </w:tcPr>
                <w:p w14:paraId="2DB8B4FF">
                  <w:pPr>
                    <w:widowControl/>
                    <w:adjustRightInd w:val="0"/>
                    <w:snapToGrid w:val="0"/>
                    <w:jc w:val="center"/>
                    <w:rPr>
                      <w:i w:val="0"/>
                      <w:iCs w:val="0"/>
                      <w:color w:val="auto"/>
                      <w:sz w:val="18"/>
                      <w:szCs w:val="18"/>
                      <w:highlight w:val="none"/>
                      <w:u w:val="none" w:color="auto"/>
                      <w:lang w:val="en-GB"/>
                    </w:rPr>
                  </w:pPr>
                </w:p>
              </w:tc>
              <w:tc>
                <w:tcPr>
                  <w:tcW w:w="971" w:type="dxa"/>
                  <w:vAlign w:val="center"/>
                </w:tcPr>
                <w:p w14:paraId="13960F5D">
                  <w:pPr>
                    <w:widowControl/>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达标</w:t>
                  </w:r>
                </w:p>
              </w:tc>
            </w:tr>
            <w:tr w14:paraId="2335C50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9" w:hRule="atLeast"/>
                <w:jc w:val="center"/>
              </w:trPr>
              <w:tc>
                <w:tcPr>
                  <w:tcW w:w="1368" w:type="dxa"/>
                  <w:vMerge w:val="continue"/>
                  <w:vAlign w:val="center"/>
                </w:tcPr>
                <w:p w14:paraId="06878C74">
                  <w:pPr>
                    <w:adjustRightInd w:val="0"/>
                    <w:snapToGrid w:val="0"/>
                    <w:jc w:val="center"/>
                    <w:rPr>
                      <w:i w:val="0"/>
                      <w:iCs w:val="0"/>
                      <w:color w:val="auto"/>
                      <w:sz w:val="18"/>
                      <w:szCs w:val="18"/>
                      <w:highlight w:val="none"/>
                      <w:u w:val="none" w:color="auto"/>
                      <w:lang w:val="en-GB"/>
                    </w:rPr>
                  </w:pPr>
                </w:p>
              </w:tc>
              <w:tc>
                <w:tcPr>
                  <w:tcW w:w="1181" w:type="dxa"/>
                  <w:shd w:val="clear" w:color="auto" w:fill="auto"/>
                  <w:vAlign w:val="center"/>
                </w:tcPr>
                <w:p w14:paraId="37D1A978">
                  <w:pPr>
                    <w:adjustRightInd w:val="0"/>
                    <w:snapToGrid w:val="0"/>
                    <w:jc w:val="center"/>
                    <w:rPr>
                      <w:rFonts w:ascii="Times New Roman" w:hAnsi="Times New Roman" w:eastAsia="宋体" w:cs="Times New Roman"/>
                      <w:i w:val="0"/>
                      <w:iCs w:val="0"/>
                      <w:color w:val="auto"/>
                      <w:sz w:val="18"/>
                      <w:szCs w:val="18"/>
                      <w:highlight w:val="none"/>
                      <w:u w:val="none" w:color="auto"/>
                      <w:lang w:val="en-GB" w:eastAsia="zh-CN" w:bidi="ar-SA"/>
                    </w:rPr>
                  </w:pPr>
                  <w:r>
                    <w:rPr>
                      <w:i w:val="0"/>
                      <w:iCs w:val="0"/>
                      <w:color w:val="auto"/>
                      <w:sz w:val="18"/>
                      <w:szCs w:val="18"/>
                      <w:highlight w:val="none"/>
                      <w:u w:val="none" w:color="auto"/>
                    </w:rPr>
                    <w:t>4#</w:t>
                  </w:r>
                </w:p>
              </w:tc>
              <w:tc>
                <w:tcPr>
                  <w:tcW w:w="1313" w:type="dxa"/>
                  <w:shd w:val="clear" w:color="auto" w:fill="auto"/>
                  <w:vAlign w:val="center"/>
                </w:tcPr>
                <w:p w14:paraId="46F3D27C">
                  <w:pPr>
                    <w:jc w:val="center"/>
                    <w:rPr>
                      <w:rFonts w:hint="default" w:ascii="Times New Roman" w:hAnsi="Times New Roman" w:eastAsia="宋体" w:cs="Times New Roman"/>
                      <w:i w:val="0"/>
                      <w:iCs w:val="0"/>
                      <w:color w:val="auto"/>
                      <w:sz w:val="18"/>
                      <w:szCs w:val="18"/>
                      <w:highlight w:val="none"/>
                      <w:u w:val="none" w:color="auto"/>
                      <w:lang w:val="en-US" w:eastAsia="zh-CN" w:bidi="ar-SA"/>
                    </w:rPr>
                  </w:pPr>
                  <w:r>
                    <w:rPr>
                      <w:rFonts w:hint="eastAsia" w:ascii="Times New Roman" w:hAnsi="Times New Roman" w:eastAsia="宋体" w:cs="Times New Roman"/>
                      <w:i w:val="0"/>
                      <w:iCs w:val="0"/>
                      <w:color w:val="auto"/>
                      <w:sz w:val="18"/>
                      <w:szCs w:val="18"/>
                      <w:highlight w:val="none"/>
                      <w:u w:val="none" w:color="auto"/>
                      <w:lang w:val="en-US" w:eastAsia="zh-CN" w:bidi="ar-SA"/>
                    </w:rPr>
                    <w:t>53</w:t>
                  </w:r>
                </w:p>
              </w:tc>
              <w:tc>
                <w:tcPr>
                  <w:tcW w:w="1182" w:type="dxa"/>
                  <w:shd w:val="clear" w:color="auto" w:fill="auto"/>
                  <w:vAlign w:val="center"/>
                </w:tcPr>
                <w:p w14:paraId="3F0041FB">
                  <w:pPr>
                    <w:jc w:val="center"/>
                    <w:rPr>
                      <w:rFonts w:hint="default" w:ascii="Times New Roman" w:hAnsi="Times New Roman" w:eastAsia="宋体" w:cs="Times New Roman"/>
                      <w:i w:val="0"/>
                      <w:iCs w:val="0"/>
                      <w:color w:val="auto"/>
                      <w:sz w:val="18"/>
                      <w:szCs w:val="18"/>
                      <w:highlight w:val="none"/>
                      <w:u w:val="none" w:color="auto"/>
                      <w:lang w:val="en-US" w:eastAsia="zh-CN" w:bidi="ar-SA"/>
                    </w:rPr>
                  </w:pPr>
                  <w:r>
                    <w:rPr>
                      <w:rFonts w:hint="eastAsia" w:ascii="Times New Roman" w:hAnsi="Times New Roman" w:eastAsia="宋体" w:cs="Times New Roman"/>
                      <w:i w:val="0"/>
                      <w:iCs w:val="0"/>
                      <w:color w:val="auto"/>
                      <w:sz w:val="18"/>
                      <w:szCs w:val="18"/>
                      <w:highlight w:val="none"/>
                      <w:u w:val="none" w:color="auto"/>
                      <w:lang w:val="en-US" w:eastAsia="zh-CN" w:bidi="ar-SA"/>
                    </w:rPr>
                    <w:t>42</w:t>
                  </w:r>
                </w:p>
              </w:tc>
              <w:tc>
                <w:tcPr>
                  <w:tcW w:w="971" w:type="dxa"/>
                  <w:vMerge w:val="continue"/>
                  <w:vAlign w:val="center"/>
                </w:tcPr>
                <w:p w14:paraId="07FA2DC8">
                  <w:pPr>
                    <w:widowControl/>
                    <w:adjustRightInd w:val="0"/>
                    <w:snapToGrid w:val="0"/>
                    <w:jc w:val="center"/>
                    <w:rPr>
                      <w:i w:val="0"/>
                      <w:iCs w:val="0"/>
                      <w:color w:val="auto"/>
                      <w:sz w:val="18"/>
                      <w:szCs w:val="18"/>
                      <w:highlight w:val="none"/>
                      <w:u w:val="none" w:color="auto"/>
                      <w:lang w:val="en-GB"/>
                    </w:rPr>
                  </w:pPr>
                </w:p>
              </w:tc>
              <w:tc>
                <w:tcPr>
                  <w:tcW w:w="971" w:type="dxa"/>
                  <w:vMerge w:val="continue"/>
                  <w:vAlign w:val="center"/>
                </w:tcPr>
                <w:p w14:paraId="7A6C5C55">
                  <w:pPr>
                    <w:widowControl/>
                    <w:adjustRightInd w:val="0"/>
                    <w:snapToGrid w:val="0"/>
                    <w:jc w:val="center"/>
                    <w:rPr>
                      <w:i w:val="0"/>
                      <w:iCs w:val="0"/>
                      <w:color w:val="auto"/>
                      <w:sz w:val="18"/>
                      <w:szCs w:val="18"/>
                      <w:highlight w:val="none"/>
                      <w:u w:val="none" w:color="auto"/>
                      <w:lang w:val="en-GB"/>
                    </w:rPr>
                  </w:pPr>
                </w:p>
              </w:tc>
              <w:tc>
                <w:tcPr>
                  <w:tcW w:w="971" w:type="dxa"/>
                  <w:vAlign w:val="center"/>
                </w:tcPr>
                <w:p w14:paraId="74CD050E">
                  <w:pPr>
                    <w:widowControl/>
                    <w:adjustRightInd w:val="0"/>
                    <w:snapToGrid w:val="0"/>
                    <w:jc w:val="center"/>
                    <w:rPr>
                      <w:rFonts w:hint="eastAsia" w:eastAsia="宋体"/>
                      <w:i w:val="0"/>
                      <w:iCs w:val="0"/>
                      <w:color w:val="auto"/>
                      <w:sz w:val="18"/>
                      <w:szCs w:val="18"/>
                      <w:highlight w:val="none"/>
                      <w:u w:val="none" w:color="auto"/>
                      <w:lang w:val="en-US" w:eastAsia="zh-CN"/>
                    </w:rPr>
                  </w:pPr>
                  <w:r>
                    <w:rPr>
                      <w:rFonts w:hint="eastAsia"/>
                      <w:i w:val="0"/>
                      <w:iCs w:val="0"/>
                      <w:color w:val="auto"/>
                      <w:sz w:val="18"/>
                      <w:szCs w:val="18"/>
                      <w:highlight w:val="none"/>
                      <w:u w:val="none" w:color="auto"/>
                      <w:lang w:val="en-US" w:eastAsia="zh-CN"/>
                    </w:rPr>
                    <w:t>达标</w:t>
                  </w:r>
                </w:p>
              </w:tc>
            </w:tr>
            <w:tr w14:paraId="04F6CCF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4" w:hRule="atLeast"/>
                <w:jc w:val="center"/>
              </w:trPr>
              <w:tc>
                <w:tcPr>
                  <w:tcW w:w="1368" w:type="dxa"/>
                  <w:vMerge w:val="continue"/>
                  <w:vAlign w:val="center"/>
                </w:tcPr>
                <w:p w14:paraId="69650B4F">
                  <w:pPr>
                    <w:adjustRightInd w:val="0"/>
                    <w:snapToGrid w:val="0"/>
                    <w:jc w:val="center"/>
                    <w:rPr>
                      <w:i w:val="0"/>
                      <w:iCs w:val="0"/>
                      <w:color w:val="auto"/>
                      <w:sz w:val="18"/>
                      <w:szCs w:val="18"/>
                      <w:highlight w:val="none"/>
                      <w:u w:val="none" w:color="auto"/>
                    </w:rPr>
                  </w:pPr>
                </w:p>
              </w:tc>
              <w:tc>
                <w:tcPr>
                  <w:tcW w:w="1181" w:type="dxa"/>
                  <w:vAlign w:val="center"/>
                </w:tcPr>
                <w:p w14:paraId="47AC53A5">
                  <w:pPr>
                    <w:adjustRightInd w:val="0"/>
                    <w:snapToGrid w:val="0"/>
                    <w:jc w:val="center"/>
                    <w:rPr>
                      <w:i w:val="0"/>
                      <w:iCs w:val="0"/>
                      <w:color w:val="auto"/>
                      <w:sz w:val="18"/>
                      <w:szCs w:val="18"/>
                      <w:highlight w:val="none"/>
                      <w:u w:val="none" w:color="auto"/>
                    </w:rPr>
                  </w:pPr>
                  <w:r>
                    <w:rPr>
                      <w:rFonts w:hint="eastAsia"/>
                      <w:i w:val="0"/>
                      <w:iCs w:val="0"/>
                      <w:color w:val="auto"/>
                      <w:sz w:val="18"/>
                      <w:szCs w:val="18"/>
                      <w:highlight w:val="none"/>
                      <w:u w:val="none" w:color="auto"/>
                      <w:lang w:val="en-US" w:eastAsia="zh-CN"/>
                    </w:rPr>
                    <w:t>5</w:t>
                  </w:r>
                  <w:r>
                    <w:rPr>
                      <w:i w:val="0"/>
                      <w:iCs w:val="0"/>
                      <w:color w:val="auto"/>
                      <w:sz w:val="18"/>
                      <w:szCs w:val="18"/>
                      <w:highlight w:val="none"/>
                      <w:u w:val="none" w:color="auto"/>
                    </w:rPr>
                    <w:t>#</w:t>
                  </w:r>
                </w:p>
              </w:tc>
              <w:tc>
                <w:tcPr>
                  <w:tcW w:w="1313" w:type="dxa"/>
                  <w:vAlign w:val="center"/>
                </w:tcPr>
                <w:p w14:paraId="4011EDE4">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50</w:t>
                  </w:r>
                </w:p>
              </w:tc>
              <w:tc>
                <w:tcPr>
                  <w:tcW w:w="1182" w:type="dxa"/>
                  <w:vAlign w:val="center"/>
                </w:tcPr>
                <w:p w14:paraId="610A6E82">
                  <w:pPr>
                    <w:jc w:val="center"/>
                    <w:rPr>
                      <w:rFonts w:hint="default" w:ascii="Times New Roman" w:hAnsi="Times New Roman" w:eastAsia="宋体" w:cs="Times New Roman"/>
                      <w:i w:val="0"/>
                      <w:iCs w:val="0"/>
                      <w:color w:val="auto"/>
                      <w:sz w:val="18"/>
                      <w:szCs w:val="18"/>
                      <w:highlight w:val="none"/>
                      <w:u w:val="none" w:color="auto"/>
                      <w:lang w:val="en-US" w:eastAsia="zh-CN"/>
                    </w:rPr>
                  </w:pPr>
                  <w:r>
                    <w:rPr>
                      <w:rFonts w:hint="eastAsia" w:ascii="Times New Roman" w:hAnsi="Times New Roman" w:eastAsia="宋体" w:cs="Times New Roman"/>
                      <w:i w:val="0"/>
                      <w:iCs w:val="0"/>
                      <w:color w:val="auto"/>
                      <w:sz w:val="18"/>
                      <w:szCs w:val="18"/>
                      <w:highlight w:val="none"/>
                      <w:u w:val="none" w:color="auto"/>
                      <w:lang w:val="en-US" w:eastAsia="zh-CN"/>
                    </w:rPr>
                    <w:t>39</w:t>
                  </w:r>
                </w:p>
              </w:tc>
              <w:tc>
                <w:tcPr>
                  <w:tcW w:w="971" w:type="dxa"/>
                  <w:vMerge w:val="continue"/>
                  <w:vAlign w:val="center"/>
                </w:tcPr>
                <w:p w14:paraId="25C7D6FF">
                  <w:pPr>
                    <w:widowControl/>
                    <w:adjustRightInd w:val="0"/>
                    <w:snapToGrid w:val="0"/>
                    <w:jc w:val="center"/>
                    <w:rPr>
                      <w:i w:val="0"/>
                      <w:iCs w:val="0"/>
                      <w:color w:val="auto"/>
                      <w:sz w:val="18"/>
                      <w:szCs w:val="18"/>
                      <w:highlight w:val="none"/>
                      <w:u w:val="none" w:color="auto"/>
                      <w:lang w:val="en-GB"/>
                    </w:rPr>
                  </w:pPr>
                </w:p>
              </w:tc>
              <w:tc>
                <w:tcPr>
                  <w:tcW w:w="971" w:type="dxa"/>
                  <w:vMerge w:val="continue"/>
                  <w:vAlign w:val="center"/>
                </w:tcPr>
                <w:p w14:paraId="3F2147D6">
                  <w:pPr>
                    <w:widowControl/>
                    <w:adjustRightInd w:val="0"/>
                    <w:snapToGrid w:val="0"/>
                    <w:jc w:val="center"/>
                    <w:rPr>
                      <w:i w:val="0"/>
                      <w:iCs w:val="0"/>
                      <w:color w:val="auto"/>
                      <w:sz w:val="18"/>
                      <w:szCs w:val="18"/>
                      <w:highlight w:val="none"/>
                      <w:u w:val="none" w:color="auto"/>
                      <w:lang w:val="en-GB"/>
                    </w:rPr>
                  </w:pPr>
                </w:p>
              </w:tc>
              <w:tc>
                <w:tcPr>
                  <w:tcW w:w="971" w:type="dxa"/>
                  <w:vAlign w:val="center"/>
                </w:tcPr>
                <w:p w14:paraId="282B53A2">
                  <w:pPr>
                    <w:widowControl/>
                    <w:adjustRightInd w:val="0"/>
                    <w:snapToGrid w:val="0"/>
                    <w:jc w:val="center"/>
                    <w:rPr>
                      <w:i w:val="0"/>
                      <w:iCs w:val="0"/>
                      <w:color w:val="auto"/>
                      <w:sz w:val="18"/>
                      <w:szCs w:val="18"/>
                      <w:highlight w:val="none"/>
                      <w:u w:val="none" w:color="auto"/>
                      <w:lang w:val="en-GB"/>
                    </w:rPr>
                  </w:pPr>
                  <w:r>
                    <w:rPr>
                      <w:i w:val="0"/>
                      <w:iCs w:val="0"/>
                      <w:color w:val="auto"/>
                      <w:sz w:val="18"/>
                      <w:szCs w:val="18"/>
                      <w:highlight w:val="none"/>
                      <w:u w:val="none" w:color="auto"/>
                      <w:lang w:val="en-GB"/>
                    </w:rPr>
                    <w:t>达标</w:t>
                  </w:r>
                </w:p>
              </w:tc>
            </w:tr>
          </w:tbl>
          <w:p w14:paraId="70F11F4D">
            <w:pPr>
              <w:adjustRightInd w:val="0"/>
              <w:snapToGrid w:val="0"/>
              <w:ind w:firstLine="200" w:firstLineChars="200"/>
              <w:rPr>
                <w:i w:val="0"/>
                <w:iCs w:val="0"/>
                <w:color w:val="auto"/>
                <w:sz w:val="10"/>
                <w:szCs w:val="10"/>
                <w:highlight w:val="none"/>
                <w:u w:val="none" w:color="auto"/>
              </w:rPr>
            </w:pPr>
          </w:p>
          <w:p w14:paraId="38BB8DA8">
            <w:pPr>
              <w:spacing w:line="360" w:lineRule="auto"/>
              <w:ind w:firstLine="420" w:firstLineChars="200"/>
              <w:rPr>
                <w:rFonts w:ascii="Times New Roman" w:hAnsi="Times New Roman" w:eastAsia="宋体" w:cs="Times New Roman"/>
                <w:i w:val="0"/>
                <w:iCs w:val="0"/>
                <w:color w:val="auto"/>
                <w:sz w:val="21"/>
                <w:szCs w:val="21"/>
                <w:highlight w:val="none"/>
                <w:u w:val="none" w:color="auto"/>
              </w:rPr>
            </w:pPr>
            <w:r>
              <w:rPr>
                <w:rFonts w:ascii="Times New Roman" w:hAnsi="Times New Roman" w:eastAsia="宋体" w:cs="Times New Roman"/>
                <w:i w:val="0"/>
                <w:iCs w:val="0"/>
                <w:color w:val="auto"/>
                <w:sz w:val="21"/>
                <w:szCs w:val="21"/>
                <w:highlight w:val="none"/>
                <w:u w:val="none" w:color="auto"/>
              </w:rPr>
              <w:t>由</w:t>
            </w:r>
            <w:r>
              <w:rPr>
                <w:rFonts w:hint="eastAsia" w:ascii="Times New Roman" w:hAnsi="Times New Roman" w:eastAsia="宋体" w:cs="Times New Roman"/>
                <w:i w:val="0"/>
                <w:iCs w:val="0"/>
                <w:color w:val="auto"/>
                <w:sz w:val="21"/>
                <w:szCs w:val="21"/>
                <w:highlight w:val="none"/>
                <w:u w:val="none" w:color="auto"/>
              </w:rPr>
              <w:t>上</w:t>
            </w:r>
            <w:r>
              <w:rPr>
                <w:rFonts w:ascii="Times New Roman" w:hAnsi="Times New Roman" w:eastAsia="宋体" w:cs="Times New Roman"/>
                <w:i w:val="0"/>
                <w:iCs w:val="0"/>
                <w:color w:val="auto"/>
                <w:sz w:val="21"/>
                <w:szCs w:val="21"/>
                <w:highlight w:val="none"/>
                <w:u w:val="none" w:color="auto"/>
              </w:rPr>
              <w:t>表可见，项目声环境质量现状较好，各监测点昼间、夜间噪声值均满足《声环境质量标准》（GB3096-2008）中</w:t>
            </w:r>
            <w:r>
              <w:rPr>
                <w:rFonts w:hint="eastAsia" w:ascii="Times New Roman" w:hAnsi="Times New Roman" w:eastAsia="宋体" w:cs="Times New Roman"/>
                <w:i w:val="0"/>
                <w:iCs w:val="0"/>
                <w:color w:val="auto"/>
                <w:sz w:val="21"/>
                <w:szCs w:val="21"/>
                <w:highlight w:val="none"/>
                <w:u w:val="none" w:color="auto"/>
                <w:lang w:val="en-US" w:eastAsia="zh-CN"/>
              </w:rPr>
              <w:t>1</w:t>
            </w:r>
            <w:r>
              <w:rPr>
                <w:rFonts w:ascii="Times New Roman" w:hAnsi="Times New Roman" w:eastAsia="宋体" w:cs="Times New Roman"/>
                <w:i w:val="0"/>
                <w:iCs w:val="0"/>
                <w:color w:val="auto"/>
                <w:sz w:val="21"/>
                <w:szCs w:val="21"/>
                <w:highlight w:val="none"/>
                <w:u w:val="none" w:color="auto"/>
              </w:rPr>
              <w:t>类标准</w:t>
            </w:r>
            <w:r>
              <w:rPr>
                <w:rFonts w:hint="eastAsia" w:ascii="Times New Roman" w:hAnsi="Times New Roman" w:eastAsia="宋体" w:cs="Times New Roman"/>
                <w:i w:val="0"/>
                <w:iCs w:val="0"/>
                <w:color w:val="auto"/>
                <w:sz w:val="21"/>
                <w:szCs w:val="21"/>
                <w:highlight w:val="none"/>
                <w:u w:val="none" w:color="auto"/>
                <w:lang w:val="en-US" w:eastAsia="zh-CN"/>
              </w:rPr>
              <w:t>要求</w:t>
            </w:r>
            <w:r>
              <w:rPr>
                <w:rFonts w:ascii="Times New Roman" w:hAnsi="Times New Roman" w:eastAsia="宋体" w:cs="Times New Roman"/>
                <w:i w:val="0"/>
                <w:iCs w:val="0"/>
                <w:color w:val="auto"/>
                <w:sz w:val="21"/>
                <w:szCs w:val="21"/>
                <w:highlight w:val="none"/>
                <w:u w:val="none" w:color="auto"/>
              </w:rPr>
              <w:t>。</w:t>
            </w:r>
          </w:p>
          <w:p w14:paraId="1CCC4E0C">
            <w:pPr>
              <w:adjustRightInd w:val="0"/>
              <w:snapToGrid w:val="0"/>
              <w:spacing w:line="336" w:lineRule="auto"/>
              <w:jc w:val="left"/>
              <w:rPr>
                <w:color w:val="auto"/>
              </w:rPr>
            </w:pPr>
            <w:r>
              <w:rPr>
                <w:rFonts w:hint="eastAsia"/>
                <w:color w:val="auto"/>
              </w:rPr>
              <w:t>3、地下水环境质量现状评价</w:t>
            </w:r>
          </w:p>
          <w:p w14:paraId="788D29D2">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hint="eastAsia" w:ascii="Times New Roman" w:hAnsi="Times New Roman" w:cs="Times New Roman"/>
                <w:i w:val="0"/>
                <w:iCs w:val="0"/>
                <w:color w:val="auto"/>
                <w:u w:val="none"/>
              </w:rPr>
              <w:t>（1）</w:t>
            </w:r>
            <w:r>
              <w:rPr>
                <w:rFonts w:ascii="Times New Roman" w:hAnsi="Times New Roman" w:cs="Times New Roman"/>
                <w:i w:val="0"/>
                <w:iCs w:val="0"/>
                <w:color w:val="auto"/>
                <w:u w:val="none"/>
              </w:rPr>
              <w:t xml:space="preserve">监测点的布设  </w:t>
            </w:r>
          </w:p>
          <w:p w14:paraId="53992EE1">
            <w:pPr>
              <w:pStyle w:val="12"/>
              <w:shd w:val="clear" w:color="auto" w:fill="FFFFFF"/>
              <w:adjustRightInd w:val="0"/>
              <w:snapToGrid w:val="0"/>
              <w:spacing w:after="0" w:line="360" w:lineRule="auto"/>
              <w:ind w:left="0" w:leftChars="0" w:firstLine="420" w:firstLineChars="200"/>
              <w:rPr>
                <w:i w:val="0"/>
                <w:iCs w:val="0"/>
                <w:color w:val="auto"/>
                <w:u w:val="none"/>
              </w:rPr>
            </w:pPr>
            <w:r>
              <w:rPr>
                <w:rFonts w:hint="eastAsia"/>
                <w:i w:val="0"/>
                <w:iCs w:val="0"/>
                <w:color w:val="auto"/>
                <w:u w:val="none"/>
              </w:rPr>
              <w:t>项目拟在厂区内水井进行</w:t>
            </w:r>
            <w:r>
              <w:rPr>
                <w:i w:val="0"/>
                <w:iCs w:val="0"/>
                <w:color w:val="auto"/>
                <w:u w:val="none"/>
              </w:rPr>
              <w:t>地下水环境质量现状监测，留作背景值，具体布设见下表；</w:t>
            </w:r>
          </w:p>
          <w:p w14:paraId="47D21DC1">
            <w:pPr>
              <w:pStyle w:val="61"/>
              <w:adjustRightInd w:val="0"/>
              <w:snapToGrid w:val="0"/>
              <w:spacing w:line="240" w:lineRule="auto"/>
              <w:ind w:firstLine="482"/>
              <w:rPr>
                <w:rFonts w:hAnsiTheme="minorEastAsia" w:eastAsiaTheme="minorEastAsia"/>
                <w:b w:val="0"/>
                <w:i w:val="0"/>
                <w:iCs w:val="0"/>
                <w:color w:val="auto"/>
                <w:kern w:val="0"/>
                <w:szCs w:val="21"/>
                <w:u w:val="none"/>
              </w:rPr>
            </w:pPr>
            <w:r>
              <w:rPr>
                <w:rFonts w:hAnsiTheme="minorEastAsia" w:eastAsiaTheme="minorEastAsia"/>
                <w:b w:val="0"/>
                <w:i w:val="0"/>
                <w:iCs w:val="0"/>
                <w:color w:val="auto"/>
                <w:kern w:val="0"/>
                <w:szCs w:val="21"/>
                <w:u w:val="none"/>
              </w:rPr>
              <w:t>地下水环境现状监测点位一览表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646"/>
              <w:gridCol w:w="3946"/>
            </w:tblGrid>
            <w:tr w14:paraId="1AB30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69" w:type="pct"/>
                  <w:vAlign w:val="center"/>
                </w:tcPr>
                <w:p w14:paraId="0BFB62C1">
                  <w:pPr>
                    <w:jc w:val="center"/>
                    <w:rPr>
                      <w:i w:val="0"/>
                      <w:iCs w:val="0"/>
                      <w:color w:val="auto"/>
                      <w:sz w:val="18"/>
                      <w:szCs w:val="18"/>
                      <w:u w:val="none"/>
                    </w:rPr>
                  </w:pPr>
                  <w:r>
                    <w:rPr>
                      <w:i w:val="0"/>
                      <w:iCs w:val="0"/>
                      <w:color w:val="auto"/>
                      <w:sz w:val="18"/>
                      <w:szCs w:val="18"/>
                      <w:u w:val="none"/>
                    </w:rPr>
                    <w:t>编号</w:t>
                  </w:r>
                </w:p>
              </w:tc>
              <w:tc>
                <w:tcPr>
                  <w:tcW w:w="1658" w:type="pct"/>
                  <w:vAlign w:val="center"/>
                </w:tcPr>
                <w:p w14:paraId="669EDB6C">
                  <w:pPr>
                    <w:jc w:val="center"/>
                    <w:rPr>
                      <w:i w:val="0"/>
                      <w:iCs w:val="0"/>
                      <w:color w:val="auto"/>
                      <w:sz w:val="18"/>
                      <w:szCs w:val="18"/>
                      <w:u w:val="none"/>
                    </w:rPr>
                  </w:pPr>
                  <w:r>
                    <w:rPr>
                      <w:i w:val="0"/>
                      <w:iCs w:val="0"/>
                      <w:color w:val="auto"/>
                      <w:sz w:val="18"/>
                      <w:szCs w:val="18"/>
                      <w:u w:val="none"/>
                    </w:rPr>
                    <w:t>监测点名称</w:t>
                  </w:r>
                </w:p>
              </w:tc>
              <w:tc>
                <w:tcPr>
                  <w:tcW w:w="2473" w:type="pct"/>
                  <w:tcBorders>
                    <w:bottom w:val="single" w:color="auto" w:sz="4" w:space="0"/>
                  </w:tcBorders>
                  <w:vAlign w:val="center"/>
                </w:tcPr>
                <w:p w14:paraId="0D6BDB4D">
                  <w:pPr>
                    <w:jc w:val="center"/>
                    <w:rPr>
                      <w:i w:val="0"/>
                      <w:iCs w:val="0"/>
                      <w:color w:val="auto"/>
                      <w:sz w:val="18"/>
                      <w:szCs w:val="18"/>
                      <w:u w:val="none"/>
                    </w:rPr>
                  </w:pPr>
                  <w:r>
                    <w:rPr>
                      <w:rFonts w:hint="eastAsia"/>
                      <w:i w:val="0"/>
                      <w:iCs w:val="0"/>
                      <w:color w:val="auto"/>
                      <w:sz w:val="18"/>
                      <w:szCs w:val="18"/>
                      <w:u w:val="none"/>
                    </w:rPr>
                    <w:t>断面布设目的</w:t>
                  </w:r>
                </w:p>
              </w:tc>
            </w:tr>
            <w:tr w14:paraId="50DCC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869" w:type="pct"/>
                  <w:vAlign w:val="center"/>
                </w:tcPr>
                <w:p w14:paraId="2E49F0F3">
                  <w:pPr>
                    <w:jc w:val="center"/>
                    <w:rPr>
                      <w:i w:val="0"/>
                      <w:iCs w:val="0"/>
                      <w:color w:val="auto"/>
                      <w:sz w:val="18"/>
                      <w:szCs w:val="18"/>
                      <w:u w:val="none"/>
                    </w:rPr>
                  </w:pPr>
                  <w:r>
                    <w:rPr>
                      <w:i w:val="0"/>
                      <w:iCs w:val="0"/>
                      <w:color w:val="auto"/>
                      <w:sz w:val="18"/>
                      <w:szCs w:val="18"/>
                      <w:u w:val="none"/>
                    </w:rPr>
                    <w:t>1#</w:t>
                  </w:r>
                </w:p>
              </w:tc>
              <w:tc>
                <w:tcPr>
                  <w:tcW w:w="1658" w:type="pct"/>
                  <w:vAlign w:val="center"/>
                </w:tcPr>
                <w:p w14:paraId="6C34749D">
                  <w:pPr>
                    <w:jc w:val="center"/>
                    <w:rPr>
                      <w:i w:val="0"/>
                      <w:iCs w:val="0"/>
                      <w:color w:val="auto"/>
                      <w:sz w:val="18"/>
                      <w:szCs w:val="18"/>
                      <w:u w:val="none"/>
                    </w:rPr>
                  </w:pPr>
                  <w:r>
                    <w:rPr>
                      <w:rFonts w:hint="eastAsia"/>
                      <w:i w:val="0"/>
                      <w:iCs w:val="0"/>
                      <w:color w:val="auto"/>
                      <w:sz w:val="18"/>
                      <w:szCs w:val="18"/>
                      <w:u w:val="none"/>
                    </w:rPr>
                    <w:t>厂区内水井</w:t>
                  </w:r>
                </w:p>
              </w:tc>
              <w:tc>
                <w:tcPr>
                  <w:tcW w:w="2473" w:type="pct"/>
                  <w:tcBorders>
                    <w:top w:val="single" w:color="auto" w:sz="4" w:space="0"/>
                  </w:tcBorders>
                  <w:vAlign w:val="center"/>
                </w:tcPr>
                <w:p w14:paraId="7AF19BBA">
                  <w:pPr>
                    <w:jc w:val="center"/>
                    <w:rPr>
                      <w:i w:val="0"/>
                      <w:iCs w:val="0"/>
                      <w:color w:val="auto"/>
                      <w:sz w:val="18"/>
                      <w:szCs w:val="18"/>
                      <w:u w:val="none"/>
                    </w:rPr>
                  </w:pPr>
                  <w:r>
                    <w:rPr>
                      <w:i w:val="0"/>
                      <w:iCs w:val="0"/>
                      <w:color w:val="auto"/>
                      <w:sz w:val="18"/>
                      <w:szCs w:val="18"/>
                      <w:u w:val="none"/>
                    </w:rPr>
                    <w:t>了解</w:t>
                  </w:r>
                  <w:r>
                    <w:rPr>
                      <w:rFonts w:hint="eastAsia"/>
                      <w:i w:val="0"/>
                      <w:iCs w:val="0"/>
                      <w:color w:val="auto"/>
                      <w:sz w:val="18"/>
                      <w:szCs w:val="18"/>
                      <w:u w:val="none"/>
                    </w:rPr>
                    <w:t>拟建项目</w:t>
                  </w:r>
                  <w:r>
                    <w:rPr>
                      <w:rFonts w:hint="eastAsia"/>
                      <w:i w:val="0"/>
                      <w:iCs w:val="0"/>
                      <w:color w:val="auto"/>
                      <w:sz w:val="18"/>
                      <w:szCs w:val="18"/>
                      <w:u w:val="none"/>
                      <w:lang w:val="en-US" w:eastAsia="zh-CN"/>
                    </w:rPr>
                    <w:t>所在地区域</w:t>
                  </w:r>
                  <w:r>
                    <w:rPr>
                      <w:i w:val="0"/>
                      <w:iCs w:val="0"/>
                      <w:color w:val="auto"/>
                      <w:sz w:val="18"/>
                      <w:szCs w:val="18"/>
                      <w:u w:val="none"/>
                    </w:rPr>
                    <w:t>地下水</w:t>
                  </w:r>
                  <w:r>
                    <w:rPr>
                      <w:rFonts w:hint="eastAsia"/>
                      <w:i w:val="0"/>
                      <w:iCs w:val="0"/>
                      <w:color w:val="auto"/>
                      <w:sz w:val="18"/>
                      <w:szCs w:val="18"/>
                      <w:u w:val="none"/>
                    </w:rPr>
                    <w:t>环境质量现状</w:t>
                  </w:r>
                </w:p>
              </w:tc>
            </w:tr>
          </w:tbl>
          <w:p w14:paraId="3581DEC3">
            <w:pPr>
              <w:pStyle w:val="14"/>
              <w:adjustRightInd w:val="0"/>
              <w:snapToGrid w:val="0"/>
              <w:ind w:firstLine="360" w:firstLineChars="200"/>
              <w:jc w:val="right"/>
              <w:rPr>
                <w:rFonts w:ascii="Times New Roman" w:hAnsi="Times New Roman" w:cs="Times New Roman"/>
                <w:i w:val="0"/>
                <w:iCs w:val="0"/>
                <w:color w:val="auto"/>
                <w:sz w:val="18"/>
                <w:szCs w:val="18"/>
                <w:u w:val="none"/>
              </w:rPr>
            </w:pPr>
            <w:r>
              <w:rPr>
                <w:rFonts w:ascii="Times New Roman" w:hAnsi="Times New Roman" w:cs="Times New Roman"/>
                <w:i w:val="0"/>
                <w:iCs w:val="0"/>
                <w:color w:val="auto"/>
                <w:sz w:val="18"/>
                <w:szCs w:val="18"/>
                <w:u w:val="none"/>
              </w:rPr>
              <w:t>注：以上点位均为潜水层。</w:t>
            </w:r>
          </w:p>
          <w:p w14:paraId="06BD3C20">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（2）监测项目</w:t>
            </w:r>
          </w:p>
          <w:p w14:paraId="1CF68F8F">
            <w:pPr>
              <w:adjustRightInd w:val="0"/>
              <w:snapToGrid w:val="0"/>
              <w:spacing w:line="360" w:lineRule="auto"/>
              <w:ind w:firstLine="315" w:firstLineChars="150"/>
              <w:rPr>
                <w:rFonts w:hint="eastAsia" w:ascii="宋体" w:hAnsi="宋体" w:eastAsia="宋体" w:cs="宋体"/>
                <w:i w:val="0"/>
                <w:iCs w:val="0"/>
                <w:color w:val="auto"/>
                <w:kern w:val="2"/>
                <w:sz w:val="21"/>
                <w:szCs w:val="21"/>
                <w:u w:val="none"/>
                <w:lang w:val="en-US" w:eastAsia="zh-CN" w:bidi="ar-SA"/>
              </w:rPr>
            </w:pPr>
            <w:r>
              <w:rPr>
                <w:i w:val="0"/>
                <w:iCs w:val="0"/>
                <w:color w:val="auto"/>
                <w:u w:val="none"/>
              </w:rPr>
              <w:t>根据污染特征及拟建项目废水排放情况，选择监测项</w:t>
            </w:r>
            <w:r>
              <w:rPr>
                <w:rFonts w:hint="eastAsia" w:ascii="Times New Roman" w:hAnsi="Times New Roman" w:eastAsia="宋体" w:cs="Times New Roman"/>
                <w:i w:val="0"/>
                <w:iCs w:val="0"/>
                <w:color w:val="auto"/>
                <w:kern w:val="2"/>
                <w:sz w:val="21"/>
                <w:szCs w:val="21"/>
                <w:u w:val="none"/>
                <w:lang w:val="en-US" w:eastAsia="zh-CN" w:bidi="ar-SA"/>
              </w:rPr>
              <w:t>目：pH、</w:t>
            </w:r>
            <w:r>
              <w:rPr>
                <w:rFonts w:hint="eastAsia" w:ascii="宋体" w:hAnsi="宋体" w:eastAsia="宋体" w:cs="宋体"/>
                <w:i w:val="0"/>
                <w:iCs w:val="0"/>
                <w:color w:val="auto"/>
                <w:kern w:val="2"/>
                <w:sz w:val="21"/>
                <w:szCs w:val="21"/>
                <w:u w:val="none"/>
                <w:lang w:val="en-US" w:eastAsia="zh-CN" w:bidi="ar-SA"/>
              </w:rPr>
              <w:t>氨氮、硝酸盐、亚硝酸盐、氰化物、溶解性总固体、耗氧量、硫酸盐、氟化物、氯化物、铅、总大肠菌群</w:t>
            </w:r>
            <w:r>
              <w:rPr>
                <w:rFonts w:hint="eastAsia" w:ascii="Times New Roman" w:hAnsi="Times New Roman" w:eastAsia="宋体" w:cs="Times New Roman"/>
                <w:i w:val="0"/>
                <w:iCs w:val="0"/>
                <w:color w:val="auto"/>
                <w:kern w:val="2"/>
                <w:sz w:val="21"/>
                <w:szCs w:val="21"/>
                <w:u w:val="none"/>
                <w:lang w:val="en-US" w:eastAsia="zh-CN" w:bidi="ar-SA"/>
              </w:rPr>
              <w:t>共计12项。</w:t>
            </w:r>
          </w:p>
          <w:p w14:paraId="0F40475E">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hint="eastAsia" w:ascii="Times New Roman" w:hAnsi="Times New Roman" w:cs="Times New Roman"/>
                <w:i w:val="0"/>
                <w:iCs w:val="0"/>
                <w:color w:val="auto"/>
                <w:u w:val="none"/>
              </w:rPr>
              <w:t>（3）</w:t>
            </w:r>
            <w:r>
              <w:rPr>
                <w:rFonts w:ascii="Times New Roman" w:hAnsi="Times New Roman" w:cs="Times New Roman"/>
                <w:i w:val="0"/>
                <w:iCs w:val="0"/>
                <w:color w:val="auto"/>
                <w:u w:val="none"/>
              </w:rPr>
              <w:t>监测单位及监测时间</w:t>
            </w:r>
          </w:p>
          <w:p w14:paraId="349971CA">
            <w:pPr>
              <w:pStyle w:val="14"/>
              <w:adjustRightInd w:val="0"/>
              <w:snapToGrid w:val="0"/>
              <w:spacing w:line="360" w:lineRule="auto"/>
              <w:ind w:firstLine="420" w:firstLineChars="200"/>
              <w:rPr>
                <w:rFonts w:ascii="Times New Roman" w:hAnsi="Times New Roman" w:cs="Times New Roman"/>
                <w:i w:val="0"/>
                <w:iCs w:val="0"/>
                <w:color w:val="auto"/>
                <w:u w:val="none"/>
              </w:rPr>
            </w:pPr>
            <w:r>
              <w:rPr>
                <w:i w:val="0"/>
                <w:iCs w:val="0"/>
                <w:color w:val="auto"/>
                <w:u w:val="none"/>
              </w:rPr>
              <w:t>监测单位：</w:t>
            </w:r>
            <w:r>
              <w:rPr>
                <w:rFonts w:hint="eastAsia" w:ascii="Times New Roman" w:hAnsi="宋体" w:eastAsia="宋体" w:cs="Times New Roman"/>
                <w:color w:val="auto"/>
                <w:lang w:val="en-US" w:eastAsia="zh-CN"/>
              </w:rPr>
              <w:t>吉林</w:t>
            </w:r>
            <w:r>
              <w:rPr>
                <w:rFonts w:hint="eastAsia" w:hAnsi="宋体" w:cs="Times New Roman"/>
                <w:color w:val="auto"/>
                <w:lang w:val="en-US" w:eastAsia="zh-CN"/>
              </w:rPr>
              <w:t>启兴环保检测</w:t>
            </w:r>
            <w:r>
              <w:rPr>
                <w:rFonts w:hint="eastAsia" w:ascii="Times New Roman" w:hAnsi="宋体" w:eastAsia="宋体" w:cs="Times New Roman"/>
                <w:color w:val="auto"/>
                <w:lang w:val="en-US" w:eastAsia="zh-CN"/>
              </w:rPr>
              <w:t>有限公司</w:t>
            </w:r>
          </w:p>
          <w:p w14:paraId="592D5B00">
            <w:pPr>
              <w:pStyle w:val="17"/>
              <w:adjustRightInd w:val="0"/>
              <w:snapToGrid w:val="0"/>
              <w:spacing w:after="0" w:line="360" w:lineRule="auto"/>
              <w:ind w:left="0" w:leftChars="0" w:firstLine="420" w:firstLineChars="200"/>
              <w:rPr>
                <w:i w:val="0"/>
                <w:iCs w:val="0"/>
                <w:color w:val="auto"/>
                <w:u w:val="none"/>
              </w:rPr>
            </w:pPr>
            <w:r>
              <w:rPr>
                <w:i w:val="0"/>
                <w:iCs w:val="0"/>
                <w:color w:val="auto"/>
                <w:u w:val="none"/>
              </w:rPr>
              <w:t>监测时间：</w:t>
            </w:r>
            <w:r>
              <w:rPr>
                <w:rFonts w:hint="eastAsia"/>
                <w:i w:val="0"/>
                <w:iCs w:val="0"/>
                <w:color w:val="auto"/>
                <w:u w:val="none"/>
              </w:rPr>
              <w:t>202</w:t>
            </w:r>
            <w:r>
              <w:rPr>
                <w:rFonts w:hint="eastAsia"/>
                <w:i w:val="0"/>
                <w:iCs w:val="0"/>
                <w:color w:val="auto"/>
                <w:u w:val="none"/>
                <w:lang w:val="en-US" w:eastAsia="zh-CN"/>
              </w:rPr>
              <w:t>5</w:t>
            </w:r>
            <w:r>
              <w:rPr>
                <w:i w:val="0"/>
                <w:iCs w:val="0"/>
                <w:color w:val="auto"/>
                <w:u w:val="none"/>
              </w:rPr>
              <w:t>年0</w:t>
            </w:r>
            <w:r>
              <w:rPr>
                <w:rFonts w:hint="eastAsia"/>
                <w:i w:val="0"/>
                <w:iCs w:val="0"/>
                <w:color w:val="auto"/>
                <w:u w:val="none"/>
                <w:lang w:val="en-US" w:eastAsia="zh-CN"/>
              </w:rPr>
              <w:t>8</w:t>
            </w:r>
            <w:r>
              <w:rPr>
                <w:i w:val="0"/>
                <w:iCs w:val="0"/>
                <w:color w:val="auto"/>
                <w:u w:val="none"/>
              </w:rPr>
              <w:t>月</w:t>
            </w:r>
            <w:r>
              <w:rPr>
                <w:rFonts w:hint="eastAsia"/>
                <w:i w:val="0"/>
                <w:iCs w:val="0"/>
                <w:color w:val="auto"/>
                <w:u w:val="none"/>
                <w:lang w:val="en-US" w:eastAsia="zh-CN"/>
              </w:rPr>
              <w:t>11</w:t>
            </w:r>
            <w:r>
              <w:rPr>
                <w:i w:val="0"/>
                <w:iCs w:val="0"/>
                <w:color w:val="auto"/>
                <w:u w:val="none"/>
              </w:rPr>
              <w:t>日</w:t>
            </w:r>
            <w:r>
              <w:rPr>
                <w:rFonts w:hint="eastAsia"/>
                <w:i w:val="0"/>
                <w:iCs w:val="0"/>
                <w:color w:val="auto"/>
                <w:u w:val="none"/>
              </w:rPr>
              <w:t>。</w:t>
            </w:r>
          </w:p>
          <w:p w14:paraId="60E658B9">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hint="eastAsia" w:ascii="Times New Roman" w:hAnsi="Times New Roman" w:cs="Times New Roman"/>
                <w:i w:val="0"/>
                <w:iCs w:val="0"/>
                <w:color w:val="auto"/>
                <w:u w:val="none"/>
              </w:rPr>
              <w:t>（4）</w:t>
            </w:r>
            <w:r>
              <w:rPr>
                <w:rFonts w:ascii="Times New Roman" w:hAnsi="Times New Roman" w:cs="Times New Roman"/>
                <w:i w:val="0"/>
                <w:iCs w:val="0"/>
                <w:color w:val="auto"/>
                <w:u w:val="none"/>
              </w:rPr>
              <w:t>评价标准</w:t>
            </w:r>
          </w:p>
          <w:p w14:paraId="61EE3C57">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采用GB/T14848-</w:t>
            </w:r>
            <w:r>
              <w:rPr>
                <w:rFonts w:hint="eastAsia" w:ascii="Times New Roman" w:hAnsi="Times New Roman" w:cs="Times New Roman"/>
                <w:i w:val="0"/>
                <w:iCs w:val="0"/>
                <w:color w:val="auto"/>
                <w:u w:val="none"/>
              </w:rPr>
              <w:t>2017</w:t>
            </w:r>
            <w:r>
              <w:rPr>
                <w:rFonts w:ascii="Times New Roman" w:hAnsi="Times New Roman" w:cs="Times New Roman"/>
                <w:i w:val="0"/>
                <w:iCs w:val="0"/>
                <w:color w:val="auto"/>
                <w:u w:val="none"/>
              </w:rPr>
              <w:t>《地下水质量标准》中Ⅲ类标准。</w:t>
            </w:r>
          </w:p>
          <w:p w14:paraId="69A0878E">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hint="eastAsia" w:ascii="Times New Roman" w:hAnsi="Times New Roman" w:cs="Times New Roman"/>
                <w:i w:val="0"/>
                <w:iCs w:val="0"/>
                <w:color w:val="auto"/>
                <w:u w:val="none"/>
              </w:rPr>
              <w:t>（5）</w:t>
            </w:r>
            <w:r>
              <w:rPr>
                <w:rFonts w:ascii="Times New Roman" w:hAnsi="Times New Roman" w:cs="Times New Roman"/>
                <w:i w:val="0"/>
                <w:iCs w:val="0"/>
                <w:color w:val="auto"/>
                <w:u w:val="none"/>
              </w:rPr>
              <w:t>评价方法</w:t>
            </w:r>
          </w:p>
          <w:p w14:paraId="57993083">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采用单项标准指数法进行地下水质量评价，公式如下：</w:t>
            </w:r>
          </w:p>
          <w:p w14:paraId="29B1DE2A">
            <w:pPr>
              <w:pStyle w:val="14"/>
              <w:spacing w:line="360" w:lineRule="auto"/>
              <w:ind w:left="540" w:leftChars="257"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object>
                <v:shape id="_x0000_i1025" o:spt="75" type="#_x0000_t75" style="height:24.55pt;width:47.45pt;" o:ole="t" filled="f" o:preferrelative="t" stroked="f" coordsize="21600,21600">
                  <v:path/>
                  <v:fill on="f" focussize="0,0"/>
                  <v:stroke on="f" joinstyle="miter"/>
                  <v:imagedata r:id="rId16" o:title=""/>
                  <o:lock v:ext="edit" aspectratio="t"/>
                  <w10:wrap type="none"/>
                  <w10:anchorlock/>
                </v:shape>
                <o:OLEObject Type="Embed" ProgID="Equations" ShapeID="_x0000_i1025" DrawAspect="Content" ObjectID="_1468075725" r:id="rId15">
                  <o:LockedField>false</o:LockedField>
                </o:OLEObject>
              </w:object>
            </w:r>
            <w:r>
              <w:rPr>
                <w:rFonts w:ascii="Times New Roman" w:hAnsi="Times New Roman" w:cs="Times New Roman"/>
                <w:i w:val="0"/>
                <w:iCs w:val="0"/>
                <w:color w:val="auto"/>
                <w:u w:val="none"/>
              </w:rPr>
              <w:t xml:space="preserve">  (pH除外)</w:t>
            </w:r>
          </w:p>
          <w:p w14:paraId="3E8E97F6">
            <w:pPr>
              <w:pStyle w:val="14"/>
              <w:spacing w:line="360" w:lineRule="auto"/>
              <w:ind w:left="540" w:leftChars="257"/>
              <w:rPr>
                <w:rFonts w:ascii="Times New Roman" w:hAnsi="Times New Roman" w:cs="Times New Roman"/>
                <w:i w:val="0"/>
                <w:iCs w:val="0"/>
                <w:color w:val="auto"/>
                <w:u w:val="none"/>
              </w:rPr>
            </w:pPr>
            <w:r>
              <w:rPr>
                <w:rFonts w:ascii="Times New Roman" w:hAnsi="Times New Roman" w:cs="Times New Roman"/>
                <w:i w:val="0"/>
                <w:iCs w:val="0"/>
                <w:color w:val="auto"/>
                <w:u w:val="none"/>
              </w:rPr>
              <w:t>P</w:t>
            </w:r>
            <w:r>
              <w:rPr>
                <w:rFonts w:ascii="Times New Roman" w:hAnsi="Times New Roman" w:cs="Times New Roman"/>
                <w:i w:val="0"/>
                <w:iCs w:val="0"/>
                <w:color w:val="auto"/>
                <w:u w:val="none"/>
                <w:vertAlign w:val="subscript"/>
              </w:rPr>
              <w:t>pH</w:t>
            </w:r>
            <w:r>
              <w:rPr>
                <w:rFonts w:ascii="Times New Roman" w:hAnsi="Times New Roman" w:cs="Times New Roman"/>
                <w:i w:val="0"/>
                <w:iCs w:val="0"/>
                <w:color w:val="auto"/>
                <w:u w:val="none"/>
              </w:rPr>
              <w:t>计算公式如下：</w:t>
            </w:r>
          </w:p>
          <w:p w14:paraId="527E4BC6">
            <w:pPr>
              <w:pStyle w:val="14"/>
              <w:spacing w:line="360" w:lineRule="auto"/>
              <w:ind w:left="540" w:leftChars="257"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object>
                <v:shape id="_x0000_i1026" o:spt="75" type="#_x0000_t75" style="height:30.55pt;width:79.65pt;" o:ole="t" filled="f" o:preferrelative="t" stroked="f" coordsize="21600,21600">
                  <v:path/>
                  <v:fill on="f" focussize="0,0"/>
                  <v:stroke on="f" joinstyle="miter"/>
                  <v:imagedata r:id="rId18" o:title=""/>
                  <o:lock v:ext="edit" aspectratio="t"/>
                  <w10:wrap type="none"/>
                  <w10:anchorlock/>
                </v:shape>
                <o:OLEObject Type="Embed" ProgID="Equations" ShapeID="_x0000_i1026" DrawAspect="Content" ObjectID="_1468075726" r:id="rId17">
                  <o:LockedField>false</o:LockedField>
                </o:OLEObject>
              </w:object>
            </w:r>
            <w:r>
              <w:rPr>
                <w:rFonts w:ascii="Times New Roman" w:hAnsi="Times New Roman" w:cs="Times New Roman"/>
                <w:i w:val="0"/>
                <w:iCs w:val="0"/>
                <w:color w:val="auto"/>
                <w:u w:val="none"/>
              </w:rPr>
              <w:t xml:space="preserve">  (pH</w:t>
            </w:r>
            <w:r>
              <w:rPr>
                <w:rFonts w:ascii="Times New Roman" w:hAnsi="Times New Roman" w:cs="Times New Roman"/>
                <w:i w:val="0"/>
                <w:iCs w:val="0"/>
                <w:color w:val="auto"/>
                <w:u w:val="none"/>
                <w:vertAlign w:val="subscript"/>
              </w:rPr>
              <w:t>j</w:t>
            </w:r>
            <w:r>
              <w:rPr>
                <w:rFonts w:ascii="Times New Roman" w:hAnsi="Times New Roman" w:cs="Times New Roman"/>
                <w:i w:val="0"/>
                <w:iCs w:val="0"/>
                <w:color w:val="auto"/>
                <w:u w:val="none"/>
              </w:rPr>
              <w:t>≤7.0) ；</w:t>
            </w:r>
          </w:p>
          <w:p w14:paraId="2F85E1EE">
            <w:pPr>
              <w:pStyle w:val="14"/>
              <w:spacing w:line="360" w:lineRule="auto"/>
              <w:ind w:left="540" w:leftChars="257"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kern w:val="0"/>
                <w:position w:val="-30"/>
                <w:u w:val="none"/>
                <w:lang w:val="zh-CN"/>
              </w:rPr>
              <w:object>
                <v:shape id="_x0000_i1027" o:spt="75" type="#_x0000_t75" style="height:36pt;width:90pt;" o:ole="t" filled="f" o:preferrelative="t" stroked="f" coordsize="21600,21600">
                  <v:path/>
                  <v:fill on="f" focussize="0,0"/>
                  <v:stroke on="f" joinstyle="miter"/>
                  <v:imagedata r:id="rId20" o:title=""/>
                  <o:lock v:ext="edit" aspectratio="t"/>
                  <w10:wrap type="none"/>
                  <w10:anchorlock/>
                </v:shape>
                <o:OLEObject Type="Embed" ProgID="Equations" ShapeID="_x0000_i1027" DrawAspect="Content" ObjectID="_1468075727" r:id="rId19">
                  <o:LockedField>false</o:LockedField>
                </o:OLEObject>
              </w:object>
            </w:r>
            <w:r>
              <w:rPr>
                <w:rFonts w:ascii="Times New Roman" w:hAnsi="Times New Roman" w:cs="Times New Roman"/>
                <w:i w:val="0"/>
                <w:iCs w:val="0"/>
                <w:color w:val="auto"/>
                <w:u w:val="none"/>
              </w:rPr>
              <w:t xml:space="preserve">  (pH</w:t>
            </w:r>
            <w:r>
              <w:rPr>
                <w:rFonts w:ascii="Times New Roman" w:hAnsi="Times New Roman" w:cs="Times New Roman"/>
                <w:i w:val="0"/>
                <w:iCs w:val="0"/>
                <w:color w:val="auto"/>
                <w:u w:val="none"/>
                <w:vertAlign w:val="subscript"/>
              </w:rPr>
              <w:t>j</w:t>
            </w:r>
            <w:r>
              <w:rPr>
                <w:rFonts w:ascii="Times New Roman" w:hAnsi="Times New Roman" w:cs="Times New Roman"/>
                <w:i w:val="0"/>
                <w:iCs w:val="0"/>
                <w:color w:val="auto"/>
                <w:u w:val="none"/>
              </w:rPr>
              <w:t>＞7.0)</w:t>
            </w:r>
          </w:p>
          <w:p w14:paraId="6637E705">
            <w:pPr>
              <w:pStyle w:val="14"/>
              <w:spacing w:line="360" w:lineRule="auto"/>
              <w:ind w:left="540" w:leftChars="257"/>
              <w:rPr>
                <w:rFonts w:ascii="Times New Roman" w:hAnsi="Times New Roman" w:cs="Times New Roman"/>
                <w:i w:val="0"/>
                <w:iCs w:val="0"/>
                <w:color w:val="auto"/>
                <w:u w:val="none"/>
              </w:rPr>
            </w:pPr>
            <w:r>
              <w:rPr>
                <w:rFonts w:ascii="Times New Roman" w:hAnsi="Times New Roman" w:cs="Times New Roman"/>
                <w:i w:val="0"/>
                <w:iCs w:val="0"/>
                <w:color w:val="auto"/>
                <w:u w:val="none"/>
              </w:rPr>
              <w:t>式中：P</w:t>
            </w:r>
            <w:r>
              <w:rPr>
                <w:rFonts w:ascii="Times New Roman" w:hAnsi="Times New Roman" w:cs="Times New Roman"/>
                <w:i w:val="0"/>
                <w:iCs w:val="0"/>
                <w:color w:val="auto"/>
                <w:u w:val="none"/>
                <w:vertAlign w:val="subscript"/>
              </w:rPr>
              <w:t>pH</w:t>
            </w:r>
            <w:r>
              <w:rPr>
                <w:rFonts w:ascii="Times New Roman" w:hAnsi="Times New Roman" w:cs="Times New Roman"/>
                <w:i w:val="0"/>
                <w:iCs w:val="0"/>
                <w:color w:val="auto"/>
                <w:u w:val="none"/>
              </w:rPr>
              <w:t>—pH的标准指数；</w:t>
            </w:r>
          </w:p>
          <w:p w14:paraId="6094D79A">
            <w:pPr>
              <w:pStyle w:val="14"/>
              <w:spacing w:line="360" w:lineRule="auto"/>
              <w:ind w:left="540" w:leftChars="257"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pH</w:t>
            </w:r>
            <w:r>
              <w:rPr>
                <w:rFonts w:ascii="Times New Roman" w:hAnsi="Times New Roman" w:cs="Times New Roman"/>
                <w:i w:val="0"/>
                <w:iCs w:val="0"/>
                <w:color w:val="auto"/>
                <w:u w:val="none"/>
                <w:vertAlign w:val="subscript"/>
              </w:rPr>
              <w:t>j</w:t>
            </w:r>
            <w:r>
              <w:rPr>
                <w:rFonts w:ascii="Times New Roman" w:hAnsi="Times New Roman" w:cs="Times New Roman"/>
                <w:i w:val="0"/>
                <w:iCs w:val="0"/>
                <w:color w:val="auto"/>
                <w:u w:val="none"/>
              </w:rPr>
              <w:t>—pH的监测值；</w:t>
            </w:r>
          </w:p>
          <w:p w14:paraId="314970BE">
            <w:pPr>
              <w:pStyle w:val="14"/>
              <w:spacing w:line="360" w:lineRule="auto"/>
              <w:ind w:left="540" w:leftChars="257"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pH</w:t>
            </w:r>
            <w:r>
              <w:rPr>
                <w:rFonts w:ascii="Times New Roman" w:hAnsi="Times New Roman" w:cs="Times New Roman"/>
                <w:i w:val="0"/>
                <w:iCs w:val="0"/>
                <w:color w:val="auto"/>
                <w:u w:val="none"/>
                <w:vertAlign w:val="subscript"/>
              </w:rPr>
              <w:t>sd</w:t>
            </w:r>
            <w:r>
              <w:rPr>
                <w:rFonts w:ascii="Times New Roman" w:hAnsi="Times New Roman" w:cs="Times New Roman"/>
                <w:i w:val="0"/>
                <w:iCs w:val="0"/>
                <w:color w:val="auto"/>
                <w:u w:val="none"/>
              </w:rPr>
              <w:t>—标准规定pH值的下限；</w:t>
            </w:r>
          </w:p>
          <w:p w14:paraId="1BC43A91">
            <w:pPr>
              <w:pStyle w:val="14"/>
              <w:adjustRightInd w:val="0"/>
              <w:snapToGrid w:val="0"/>
              <w:spacing w:line="360" w:lineRule="auto"/>
              <w:ind w:left="540" w:leftChars="257"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pH</w:t>
            </w:r>
            <w:r>
              <w:rPr>
                <w:rFonts w:ascii="Times New Roman" w:hAnsi="Times New Roman" w:cs="Times New Roman"/>
                <w:i w:val="0"/>
                <w:iCs w:val="0"/>
                <w:color w:val="auto"/>
                <w:u w:val="none"/>
                <w:vertAlign w:val="subscript"/>
              </w:rPr>
              <w:t>su</w:t>
            </w:r>
            <w:r>
              <w:rPr>
                <w:rFonts w:ascii="Times New Roman" w:hAnsi="Times New Roman" w:cs="Times New Roman"/>
                <w:i w:val="0"/>
                <w:iCs w:val="0"/>
                <w:color w:val="auto"/>
                <w:u w:val="none"/>
              </w:rPr>
              <w:t>—标准规定pH值的上限。</w:t>
            </w:r>
          </w:p>
          <w:p w14:paraId="5776AE8C">
            <w:pPr>
              <w:adjustRightInd w:val="0"/>
              <w:snapToGrid w:val="0"/>
              <w:spacing w:line="360" w:lineRule="auto"/>
              <w:ind w:firstLine="420" w:firstLineChars="200"/>
              <w:rPr>
                <w:i w:val="0"/>
                <w:iCs w:val="0"/>
                <w:color w:val="auto"/>
                <w:u w:val="none"/>
              </w:rPr>
            </w:pPr>
            <w:r>
              <w:rPr>
                <w:rFonts w:hint="eastAsia"/>
                <w:i w:val="0"/>
                <w:iCs w:val="0"/>
                <w:color w:val="auto"/>
                <w:u w:val="none"/>
              </w:rPr>
              <w:t>（6）</w:t>
            </w:r>
            <w:r>
              <w:rPr>
                <w:i w:val="0"/>
                <w:iCs w:val="0"/>
                <w:color w:val="auto"/>
                <w:u w:val="none"/>
              </w:rPr>
              <w:t>监测结果</w:t>
            </w:r>
          </w:p>
          <w:p w14:paraId="3C18D11A">
            <w:pPr>
              <w:adjustRightInd w:val="0"/>
              <w:snapToGrid w:val="0"/>
              <w:spacing w:line="360" w:lineRule="auto"/>
              <w:ind w:firstLine="420" w:firstLineChars="200"/>
              <w:rPr>
                <w:i w:val="0"/>
                <w:iCs w:val="0"/>
                <w:color w:val="auto"/>
                <w:u w:val="none"/>
              </w:rPr>
            </w:pPr>
            <w:r>
              <w:rPr>
                <w:i w:val="0"/>
                <w:iCs w:val="0"/>
                <w:color w:val="auto"/>
                <w:u w:val="none"/>
              </w:rPr>
              <w:t>项目地表水监测结果见</w:t>
            </w:r>
            <w:r>
              <w:rPr>
                <w:rFonts w:hint="eastAsia"/>
                <w:i w:val="0"/>
                <w:iCs w:val="0"/>
                <w:color w:val="auto"/>
                <w:u w:val="none"/>
              </w:rPr>
              <w:t>下</w:t>
            </w:r>
            <w:r>
              <w:rPr>
                <w:i w:val="0"/>
                <w:iCs w:val="0"/>
                <w:color w:val="auto"/>
                <w:u w:val="none"/>
              </w:rPr>
              <w:t>表。</w:t>
            </w:r>
          </w:p>
          <w:p w14:paraId="6E0E5B4B">
            <w:pPr>
              <w:pStyle w:val="61"/>
              <w:adjustRightInd w:val="0"/>
              <w:snapToGrid w:val="0"/>
              <w:spacing w:line="240" w:lineRule="auto"/>
              <w:ind w:firstLine="482"/>
              <w:rPr>
                <w:rFonts w:eastAsia="宋体"/>
                <w:bCs/>
                <w:i w:val="0"/>
                <w:iCs w:val="0"/>
                <w:color w:val="auto"/>
                <w:u w:val="none"/>
              </w:rPr>
            </w:pPr>
            <w:r>
              <w:rPr>
                <w:rFonts w:hAnsiTheme="minorEastAsia" w:eastAsiaTheme="minorEastAsia"/>
                <w:b w:val="0"/>
                <w:i w:val="0"/>
                <w:iCs w:val="0"/>
                <w:color w:val="auto"/>
                <w:kern w:val="0"/>
                <w:szCs w:val="21"/>
                <w:u w:val="none"/>
              </w:rPr>
              <w:t>地</w:t>
            </w:r>
            <w:r>
              <w:rPr>
                <w:rFonts w:hint="eastAsia" w:hAnsiTheme="minorEastAsia" w:eastAsiaTheme="minorEastAsia"/>
                <w:b w:val="0"/>
                <w:i w:val="0"/>
                <w:iCs w:val="0"/>
                <w:color w:val="auto"/>
                <w:kern w:val="0"/>
                <w:szCs w:val="21"/>
                <w:u w:val="none"/>
              </w:rPr>
              <w:t>下</w:t>
            </w:r>
            <w:r>
              <w:rPr>
                <w:rFonts w:hAnsiTheme="minorEastAsia" w:eastAsiaTheme="minorEastAsia"/>
                <w:b w:val="0"/>
                <w:i w:val="0"/>
                <w:iCs w:val="0"/>
                <w:color w:val="auto"/>
                <w:kern w:val="0"/>
                <w:szCs w:val="21"/>
                <w:u w:val="none"/>
              </w:rPr>
              <w:t>水水质监测结果表</w:t>
            </w:r>
            <w:r>
              <w:rPr>
                <w:rFonts w:eastAsia="宋体"/>
                <w:b w:val="0"/>
                <w:i w:val="0"/>
                <w:iCs w:val="0"/>
                <w:color w:val="auto"/>
                <w:u w:val="none"/>
              </w:rPr>
              <w:t>单位：mg/L</w:t>
            </w:r>
          </w:p>
          <w:tbl>
            <w:tblPr>
              <w:tblStyle w:val="29"/>
              <w:tblW w:w="4942" w:type="pct"/>
              <w:tblInd w:w="0" w:type="dxa"/>
              <w:tblLayout w:type="autofit"/>
              <w:tblCellMar>
                <w:top w:w="15" w:type="dxa"/>
                <w:left w:w="108" w:type="dxa"/>
                <w:bottom w:w="15" w:type="dxa"/>
                <w:right w:w="108" w:type="dxa"/>
              </w:tblCellMar>
            </w:tblPr>
            <w:tblGrid>
              <w:gridCol w:w="633"/>
              <w:gridCol w:w="1357"/>
              <w:gridCol w:w="1768"/>
              <w:gridCol w:w="1925"/>
              <w:gridCol w:w="2203"/>
            </w:tblGrid>
            <w:tr w14:paraId="3F6A45A3">
              <w:tblPrEx>
                <w:tblCellMar>
                  <w:top w:w="15" w:type="dxa"/>
                  <w:left w:w="108" w:type="dxa"/>
                  <w:bottom w:w="15" w:type="dxa"/>
                  <w:right w:w="108" w:type="dxa"/>
                </w:tblCellMar>
              </w:tblPrEx>
              <w:trPr>
                <w:trHeight w:val="272" w:hRule="atLeast"/>
                <w:tblHeader/>
              </w:trPr>
              <w:tc>
                <w:tcPr>
                  <w:tcW w:w="401" w:type="pct"/>
                  <w:vMerge w:val="restart"/>
                  <w:tcBorders>
                    <w:top w:val="single" w:color="auto" w:sz="12" w:space="0"/>
                    <w:left w:val="single" w:color="FFFFFF" w:sz="4" w:space="0"/>
                    <w:bottom w:val="single" w:color="000000" w:sz="4" w:space="0"/>
                    <w:right w:val="single" w:color="000000" w:sz="4" w:space="0"/>
                  </w:tcBorders>
                  <w:vAlign w:val="center"/>
                </w:tcPr>
                <w:p w14:paraId="27BA2BA5">
                  <w:pPr>
                    <w:widowControl/>
                    <w:adjustRightInd w:val="0"/>
                    <w:snapToGrid w:val="0"/>
                    <w:jc w:val="center"/>
                    <w:rPr>
                      <w:bCs/>
                      <w:i w:val="0"/>
                      <w:iCs w:val="0"/>
                      <w:color w:val="auto"/>
                      <w:sz w:val="18"/>
                      <w:szCs w:val="18"/>
                      <w:u w:val="none"/>
                    </w:rPr>
                  </w:pPr>
                  <w:r>
                    <w:rPr>
                      <w:bCs/>
                      <w:i w:val="0"/>
                      <w:iCs w:val="0"/>
                      <w:color w:val="auto"/>
                      <w:sz w:val="18"/>
                      <w:szCs w:val="18"/>
                      <w:u w:val="none"/>
                    </w:rPr>
                    <w:t>序号</w:t>
                  </w:r>
                </w:p>
              </w:tc>
              <w:tc>
                <w:tcPr>
                  <w:tcW w:w="860" w:type="pct"/>
                  <w:vMerge w:val="restart"/>
                  <w:tcBorders>
                    <w:top w:val="single" w:color="auto" w:sz="12" w:space="0"/>
                    <w:left w:val="single" w:color="000000" w:sz="4" w:space="0"/>
                    <w:bottom w:val="single" w:color="000000" w:sz="4" w:space="0"/>
                    <w:right w:val="single" w:color="000000" w:sz="4" w:space="0"/>
                  </w:tcBorders>
                  <w:vAlign w:val="center"/>
                </w:tcPr>
                <w:p w14:paraId="56CC939F">
                  <w:pPr>
                    <w:widowControl/>
                    <w:adjustRightInd w:val="0"/>
                    <w:snapToGrid w:val="0"/>
                    <w:jc w:val="center"/>
                    <w:rPr>
                      <w:bCs/>
                      <w:i w:val="0"/>
                      <w:iCs w:val="0"/>
                      <w:color w:val="auto"/>
                      <w:sz w:val="18"/>
                      <w:szCs w:val="18"/>
                      <w:u w:val="none"/>
                    </w:rPr>
                  </w:pPr>
                  <w:r>
                    <w:rPr>
                      <w:bCs/>
                      <w:i w:val="0"/>
                      <w:iCs w:val="0"/>
                      <w:color w:val="auto"/>
                      <w:sz w:val="18"/>
                      <w:szCs w:val="18"/>
                      <w:u w:val="none"/>
                    </w:rPr>
                    <w:t>采样日期</w:t>
                  </w:r>
                </w:p>
              </w:tc>
              <w:tc>
                <w:tcPr>
                  <w:tcW w:w="1120" w:type="pct"/>
                  <w:vMerge w:val="restart"/>
                  <w:tcBorders>
                    <w:top w:val="single" w:color="auto" w:sz="12" w:space="0"/>
                    <w:left w:val="single" w:color="000000" w:sz="4" w:space="0"/>
                    <w:bottom w:val="single" w:color="000000" w:sz="4" w:space="0"/>
                    <w:right w:val="single" w:color="000000" w:sz="4" w:space="0"/>
                  </w:tcBorders>
                  <w:vAlign w:val="center"/>
                </w:tcPr>
                <w:p w14:paraId="1E677029">
                  <w:pPr>
                    <w:widowControl/>
                    <w:adjustRightInd w:val="0"/>
                    <w:snapToGrid w:val="0"/>
                    <w:jc w:val="center"/>
                    <w:rPr>
                      <w:bCs/>
                      <w:i w:val="0"/>
                      <w:iCs w:val="0"/>
                      <w:color w:val="auto"/>
                      <w:sz w:val="18"/>
                      <w:szCs w:val="18"/>
                      <w:u w:val="none"/>
                    </w:rPr>
                  </w:pPr>
                  <w:r>
                    <w:rPr>
                      <w:bCs/>
                      <w:i w:val="0"/>
                      <w:iCs w:val="0"/>
                      <w:color w:val="auto"/>
                      <w:sz w:val="18"/>
                      <w:szCs w:val="18"/>
                      <w:u w:val="none"/>
                    </w:rPr>
                    <w:t>检测项目</w:t>
                  </w:r>
                </w:p>
              </w:tc>
              <w:tc>
                <w:tcPr>
                  <w:tcW w:w="2616" w:type="pct"/>
                  <w:gridSpan w:val="2"/>
                  <w:tcBorders>
                    <w:top w:val="single" w:color="auto" w:sz="12" w:space="0"/>
                    <w:left w:val="single" w:color="000000" w:sz="4" w:space="0"/>
                    <w:bottom w:val="single" w:color="000000" w:sz="4" w:space="0"/>
                    <w:right w:val="single" w:color="FFFFFF" w:themeColor="background1" w:sz="4" w:space="0"/>
                  </w:tcBorders>
                  <w:vAlign w:val="center"/>
                </w:tcPr>
                <w:p w14:paraId="426FD4F8">
                  <w:pPr>
                    <w:widowControl/>
                    <w:adjustRightInd w:val="0"/>
                    <w:snapToGrid w:val="0"/>
                    <w:jc w:val="center"/>
                    <w:rPr>
                      <w:bCs/>
                      <w:i w:val="0"/>
                      <w:iCs w:val="0"/>
                      <w:color w:val="auto"/>
                      <w:sz w:val="18"/>
                      <w:szCs w:val="18"/>
                      <w:u w:val="none"/>
                    </w:rPr>
                  </w:pPr>
                  <w:r>
                    <w:rPr>
                      <w:bCs/>
                      <w:i w:val="0"/>
                      <w:iCs w:val="0"/>
                      <w:color w:val="auto"/>
                      <w:sz w:val="18"/>
                      <w:szCs w:val="18"/>
                      <w:u w:val="none"/>
                    </w:rPr>
                    <w:t>检测结果</w:t>
                  </w:r>
                </w:p>
              </w:tc>
            </w:tr>
            <w:tr w14:paraId="6AE3E4F3">
              <w:tblPrEx>
                <w:tblCellMar>
                  <w:top w:w="15" w:type="dxa"/>
                  <w:left w:w="108" w:type="dxa"/>
                  <w:bottom w:w="15" w:type="dxa"/>
                  <w:right w:w="108" w:type="dxa"/>
                </w:tblCellMar>
              </w:tblPrEx>
              <w:trPr>
                <w:trHeight w:val="254" w:hRule="atLeast"/>
                <w:tblHeader/>
              </w:trPr>
              <w:tc>
                <w:tcPr>
                  <w:tcW w:w="401" w:type="pct"/>
                  <w:vMerge w:val="continue"/>
                  <w:tcBorders>
                    <w:top w:val="single" w:color="000000" w:sz="4" w:space="0"/>
                    <w:left w:val="single" w:color="FFFFFF" w:sz="4" w:space="0"/>
                    <w:bottom w:val="single" w:color="000000" w:sz="4" w:space="0"/>
                    <w:right w:val="single" w:color="000000" w:sz="4" w:space="0"/>
                  </w:tcBorders>
                  <w:vAlign w:val="center"/>
                </w:tcPr>
                <w:p w14:paraId="6FF3FE34">
                  <w:pPr>
                    <w:widowControl/>
                    <w:adjustRightInd w:val="0"/>
                    <w:snapToGrid w:val="0"/>
                    <w:jc w:val="left"/>
                    <w:rPr>
                      <w:bCs/>
                      <w:i w:val="0"/>
                      <w:iCs w:val="0"/>
                      <w:color w:val="auto"/>
                      <w:sz w:val="18"/>
                      <w:szCs w:val="18"/>
                      <w:u w:val="none"/>
                    </w:rPr>
                  </w:pPr>
                </w:p>
              </w:tc>
              <w:tc>
                <w:tcPr>
                  <w:tcW w:w="860" w:type="pct"/>
                  <w:vMerge w:val="continue"/>
                  <w:tcBorders>
                    <w:top w:val="single" w:color="000000" w:sz="4" w:space="0"/>
                    <w:left w:val="single" w:color="000000" w:sz="4" w:space="0"/>
                    <w:bottom w:val="single" w:color="000000" w:sz="4" w:space="0"/>
                    <w:right w:val="single" w:color="000000" w:sz="4" w:space="0"/>
                  </w:tcBorders>
                  <w:vAlign w:val="center"/>
                </w:tcPr>
                <w:p w14:paraId="5B1F0D64">
                  <w:pPr>
                    <w:widowControl/>
                    <w:adjustRightInd w:val="0"/>
                    <w:snapToGrid w:val="0"/>
                    <w:jc w:val="left"/>
                    <w:rPr>
                      <w:bCs/>
                      <w:i w:val="0"/>
                      <w:iCs w:val="0"/>
                      <w:color w:val="auto"/>
                      <w:sz w:val="18"/>
                      <w:szCs w:val="18"/>
                      <w:u w:val="none"/>
                    </w:rPr>
                  </w:pPr>
                </w:p>
              </w:tc>
              <w:tc>
                <w:tcPr>
                  <w:tcW w:w="1120" w:type="pct"/>
                  <w:vMerge w:val="continue"/>
                  <w:tcBorders>
                    <w:top w:val="single" w:color="000000" w:sz="4" w:space="0"/>
                    <w:left w:val="single" w:color="000000" w:sz="4" w:space="0"/>
                    <w:bottom w:val="single" w:color="000000" w:sz="4" w:space="0"/>
                    <w:right w:val="single" w:color="000000" w:sz="4" w:space="0"/>
                  </w:tcBorders>
                  <w:vAlign w:val="center"/>
                </w:tcPr>
                <w:p w14:paraId="7848CC64">
                  <w:pPr>
                    <w:widowControl/>
                    <w:adjustRightInd w:val="0"/>
                    <w:snapToGrid w:val="0"/>
                    <w:jc w:val="left"/>
                    <w:rPr>
                      <w:bCs/>
                      <w:i w:val="0"/>
                      <w:iCs w:val="0"/>
                      <w:color w:val="auto"/>
                      <w:sz w:val="18"/>
                      <w:szCs w:val="18"/>
                      <w:u w:val="none"/>
                    </w:rPr>
                  </w:pPr>
                </w:p>
              </w:tc>
              <w:tc>
                <w:tcPr>
                  <w:tcW w:w="1220" w:type="pct"/>
                  <w:tcBorders>
                    <w:top w:val="single" w:color="000000" w:sz="4" w:space="0"/>
                    <w:left w:val="single" w:color="000000" w:sz="4" w:space="0"/>
                    <w:bottom w:val="single" w:color="000000" w:sz="4" w:space="0"/>
                    <w:right w:val="single" w:color="000000" w:sz="4" w:space="0"/>
                  </w:tcBorders>
                  <w:vAlign w:val="center"/>
                </w:tcPr>
                <w:p w14:paraId="162CC82B">
                  <w:pPr>
                    <w:widowControl/>
                    <w:adjustRightInd w:val="0"/>
                    <w:snapToGrid w:val="0"/>
                    <w:jc w:val="center"/>
                    <w:rPr>
                      <w:i w:val="0"/>
                      <w:iCs w:val="0"/>
                      <w:color w:val="auto"/>
                      <w:sz w:val="18"/>
                      <w:szCs w:val="18"/>
                      <w:u w:val="none"/>
                    </w:rPr>
                  </w:pPr>
                  <w:r>
                    <w:rPr>
                      <w:i w:val="0"/>
                      <w:iCs w:val="0"/>
                      <w:color w:val="auto"/>
                      <w:sz w:val="18"/>
                      <w:szCs w:val="18"/>
                      <w:u w:val="none"/>
                    </w:rPr>
                    <w:t>单位</w:t>
                  </w:r>
                </w:p>
              </w:tc>
              <w:tc>
                <w:tcPr>
                  <w:tcW w:w="1396" w:type="pct"/>
                  <w:tcBorders>
                    <w:top w:val="single" w:color="000000" w:sz="4" w:space="0"/>
                    <w:left w:val="single" w:color="000000" w:sz="4" w:space="0"/>
                    <w:bottom w:val="single" w:color="000000" w:sz="4" w:space="0"/>
                    <w:right w:val="single" w:color="FFFFFF" w:themeColor="background1" w:sz="4" w:space="0"/>
                  </w:tcBorders>
                  <w:vAlign w:val="center"/>
                </w:tcPr>
                <w:p w14:paraId="39694114">
                  <w:pPr>
                    <w:widowControl/>
                    <w:adjustRightInd w:val="0"/>
                    <w:snapToGrid w:val="0"/>
                    <w:jc w:val="center"/>
                    <w:rPr>
                      <w:i w:val="0"/>
                      <w:iCs w:val="0"/>
                      <w:color w:val="auto"/>
                      <w:sz w:val="18"/>
                      <w:szCs w:val="18"/>
                      <w:u w:val="none"/>
                    </w:rPr>
                  </w:pPr>
                  <w:r>
                    <w:rPr>
                      <w:i w:val="0"/>
                      <w:iCs w:val="0"/>
                      <w:color w:val="auto"/>
                      <w:sz w:val="18"/>
                      <w:szCs w:val="18"/>
                      <w:u w:val="none"/>
                    </w:rPr>
                    <w:t>结果</w:t>
                  </w:r>
                </w:p>
              </w:tc>
            </w:tr>
            <w:tr w14:paraId="4C6C542E">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vAlign w:val="center"/>
                </w:tcPr>
                <w:p w14:paraId="771D1393">
                  <w:pPr>
                    <w:widowControl/>
                    <w:adjustRightInd w:val="0"/>
                    <w:snapToGrid w:val="0"/>
                    <w:jc w:val="center"/>
                    <w:rPr>
                      <w:i w:val="0"/>
                      <w:iCs w:val="0"/>
                      <w:color w:val="auto"/>
                      <w:sz w:val="18"/>
                      <w:szCs w:val="18"/>
                      <w:u w:val="none"/>
                    </w:rPr>
                  </w:pPr>
                  <w:r>
                    <w:rPr>
                      <w:i w:val="0"/>
                      <w:iCs w:val="0"/>
                      <w:color w:val="auto"/>
                      <w:sz w:val="18"/>
                      <w:szCs w:val="18"/>
                      <w:u w:val="none"/>
                    </w:rPr>
                    <w:t>1</w:t>
                  </w:r>
                </w:p>
              </w:tc>
              <w:tc>
                <w:tcPr>
                  <w:tcW w:w="860" w:type="pct"/>
                  <w:vMerge w:val="restart"/>
                  <w:tcBorders>
                    <w:top w:val="single" w:color="000000" w:sz="4" w:space="0"/>
                    <w:left w:val="single" w:color="000000" w:sz="4" w:space="0"/>
                    <w:right w:val="single" w:color="000000" w:sz="4" w:space="0"/>
                  </w:tcBorders>
                  <w:vAlign w:val="center"/>
                </w:tcPr>
                <w:p w14:paraId="5CAD17EB">
                  <w:pPr>
                    <w:widowControl/>
                    <w:adjustRightInd w:val="0"/>
                    <w:snapToGrid w:val="0"/>
                    <w:jc w:val="center"/>
                    <w:rPr>
                      <w:rFonts w:hint="default" w:eastAsia="宋体"/>
                      <w:i w:val="0"/>
                      <w:iCs w:val="0"/>
                      <w:color w:val="auto"/>
                      <w:sz w:val="18"/>
                      <w:szCs w:val="18"/>
                      <w:u w:val="none"/>
                      <w:lang w:val="en-US" w:eastAsia="zh-CN"/>
                    </w:rPr>
                  </w:pPr>
                  <w:r>
                    <w:rPr>
                      <w:i w:val="0"/>
                      <w:iCs w:val="0"/>
                      <w:color w:val="auto"/>
                      <w:sz w:val="18"/>
                      <w:szCs w:val="18"/>
                      <w:u w:val="none"/>
                    </w:rPr>
                    <w:t>202</w:t>
                  </w:r>
                  <w:r>
                    <w:rPr>
                      <w:rFonts w:hint="eastAsia"/>
                      <w:i w:val="0"/>
                      <w:iCs w:val="0"/>
                      <w:color w:val="auto"/>
                      <w:sz w:val="18"/>
                      <w:szCs w:val="18"/>
                      <w:u w:val="none"/>
                      <w:lang w:val="en-US" w:eastAsia="zh-CN"/>
                    </w:rPr>
                    <w:t>5</w:t>
                  </w:r>
                  <w:r>
                    <w:rPr>
                      <w:i w:val="0"/>
                      <w:iCs w:val="0"/>
                      <w:color w:val="auto"/>
                      <w:sz w:val="18"/>
                      <w:szCs w:val="18"/>
                      <w:u w:val="none"/>
                    </w:rPr>
                    <w:t>.0</w:t>
                  </w:r>
                  <w:r>
                    <w:rPr>
                      <w:rFonts w:hint="eastAsia"/>
                      <w:i w:val="0"/>
                      <w:iCs w:val="0"/>
                      <w:color w:val="auto"/>
                      <w:sz w:val="18"/>
                      <w:szCs w:val="18"/>
                      <w:u w:val="none"/>
                      <w:lang w:val="en-US" w:eastAsia="zh-CN"/>
                    </w:rPr>
                    <w:t>8.11</w:t>
                  </w:r>
                </w:p>
              </w:tc>
              <w:tc>
                <w:tcPr>
                  <w:tcW w:w="1120" w:type="pct"/>
                  <w:tcBorders>
                    <w:top w:val="single" w:color="000000" w:sz="4" w:space="0"/>
                    <w:left w:val="single" w:color="000000" w:sz="4" w:space="0"/>
                    <w:bottom w:val="single" w:color="000000" w:sz="4" w:space="0"/>
                    <w:right w:val="single" w:color="000000" w:sz="4" w:space="0"/>
                  </w:tcBorders>
                  <w:vAlign w:val="center"/>
                </w:tcPr>
                <w:p w14:paraId="1A4FF7E5">
                  <w:pPr>
                    <w:widowControl/>
                    <w:jc w:val="center"/>
                    <w:rPr>
                      <w:i w:val="0"/>
                      <w:iCs w:val="0"/>
                      <w:color w:val="auto"/>
                      <w:sz w:val="18"/>
                      <w:szCs w:val="18"/>
                      <w:u w:val="none"/>
                    </w:rPr>
                  </w:pPr>
                  <w:r>
                    <w:rPr>
                      <w:i w:val="0"/>
                      <w:iCs w:val="0"/>
                      <w:color w:val="auto"/>
                      <w:sz w:val="18"/>
                      <w:szCs w:val="18"/>
                      <w:u w:val="none"/>
                    </w:rPr>
                    <w:t>pH</w:t>
                  </w:r>
                </w:p>
              </w:tc>
              <w:tc>
                <w:tcPr>
                  <w:tcW w:w="1220" w:type="pct"/>
                  <w:tcBorders>
                    <w:top w:val="single" w:color="000000" w:sz="4" w:space="0"/>
                    <w:left w:val="single" w:color="000000" w:sz="4" w:space="0"/>
                    <w:bottom w:val="single" w:color="000000" w:sz="4" w:space="0"/>
                    <w:right w:val="single" w:color="000000" w:sz="4" w:space="0"/>
                  </w:tcBorders>
                  <w:vAlign w:val="center"/>
                </w:tcPr>
                <w:p w14:paraId="1DBF550A">
                  <w:pPr>
                    <w:jc w:val="center"/>
                    <w:rPr>
                      <w:i w:val="0"/>
                      <w:iCs w:val="0"/>
                      <w:color w:val="auto"/>
                      <w:sz w:val="18"/>
                      <w:szCs w:val="18"/>
                      <w:u w:val="none"/>
                    </w:rPr>
                  </w:pPr>
                  <w:r>
                    <w:rPr>
                      <w:i w:val="0"/>
                      <w:iCs w:val="0"/>
                      <w:color w:val="auto"/>
                      <w:sz w:val="18"/>
                      <w:szCs w:val="18"/>
                      <w:u w:val="none"/>
                    </w:rPr>
                    <w:t>无量纲</w:t>
                  </w:r>
                </w:p>
              </w:tc>
              <w:tc>
                <w:tcPr>
                  <w:tcW w:w="2172" w:type="dxa"/>
                  <w:tcBorders>
                    <w:top w:val="single" w:color="000000" w:sz="4" w:space="0"/>
                    <w:left w:val="single" w:color="000000" w:sz="4" w:space="0"/>
                    <w:bottom w:val="single" w:color="000000" w:sz="4" w:space="0"/>
                    <w:right w:val="single" w:color="FFFFFF" w:themeColor="background1" w:sz="4" w:space="0"/>
                  </w:tcBorders>
                  <w:vAlign w:val="center"/>
                </w:tcPr>
                <w:p w14:paraId="70C2019A">
                  <w:pPr>
                    <w:jc w:val="center"/>
                    <w:rPr>
                      <w:rFonts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eastAsia="zh-CN"/>
                    </w:rPr>
                    <w:t>6.8</w:t>
                  </w:r>
                </w:p>
              </w:tc>
            </w:tr>
            <w:tr w14:paraId="310674D4">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60D4302B">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2</w:t>
                  </w:r>
                </w:p>
              </w:tc>
              <w:tc>
                <w:tcPr>
                  <w:tcW w:w="860" w:type="pct"/>
                  <w:vMerge w:val="continue"/>
                  <w:tcBorders>
                    <w:left w:val="single" w:color="000000" w:sz="4" w:space="0"/>
                    <w:right w:val="single" w:color="000000" w:sz="4" w:space="0"/>
                  </w:tcBorders>
                  <w:vAlign w:val="center"/>
                </w:tcPr>
                <w:p w14:paraId="58808FCE">
                  <w:pPr>
                    <w:widowControl/>
                    <w:adjustRightInd w:val="0"/>
                    <w:snapToGrid w:val="0"/>
                    <w:jc w:val="center"/>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45D80">
                  <w:pPr>
                    <w:jc w:val="center"/>
                    <w:rPr>
                      <w:rFonts w:ascii="Times New Roman" w:hAnsi="Times New Roman" w:eastAsia="宋体" w:cs="Times New Roman"/>
                      <w:i w:val="0"/>
                      <w:iCs w:val="0"/>
                      <w:color w:val="auto"/>
                      <w:sz w:val="18"/>
                      <w:szCs w:val="18"/>
                      <w:u w:val="none"/>
                      <w:lang w:val="en-US" w:eastAsia="zh-CN" w:bidi="ar-SA"/>
                    </w:rPr>
                  </w:pPr>
                  <w:r>
                    <w:rPr>
                      <w:i w:val="0"/>
                      <w:iCs w:val="0"/>
                      <w:color w:val="auto"/>
                      <w:kern w:val="2"/>
                      <w:sz w:val="18"/>
                      <w:szCs w:val="18"/>
                      <w:u w:val="none"/>
                    </w:rPr>
                    <w:t>溶解性总固体</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82BDB">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243D512B">
                  <w:pPr>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eastAsia="zh-CN"/>
                    </w:rPr>
                    <w:t>52</w:t>
                  </w:r>
                </w:p>
              </w:tc>
            </w:tr>
            <w:tr w14:paraId="082ACA98">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69097340">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3</w:t>
                  </w:r>
                </w:p>
              </w:tc>
              <w:tc>
                <w:tcPr>
                  <w:tcW w:w="860" w:type="pct"/>
                  <w:vMerge w:val="continue"/>
                  <w:tcBorders>
                    <w:left w:val="single" w:color="000000" w:sz="4" w:space="0"/>
                    <w:right w:val="single" w:color="000000" w:sz="4" w:space="0"/>
                  </w:tcBorders>
                  <w:vAlign w:val="center"/>
                </w:tcPr>
                <w:p w14:paraId="7AB6C885">
                  <w:pPr>
                    <w:widowControl/>
                    <w:adjustRightInd w:val="0"/>
                    <w:snapToGrid w:val="0"/>
                    <w:jc w:val="center"/>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C6F6">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硫酸盐</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3D228">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7C61B66C">
                  <w:pPr>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eastAsia="zh-CN"/>
                    </w:rPr>
                    <w:t>34.5</w:t>
                  </w:r>
                </w:p>
              </w:tc>
            </w:tr>
            <w:tr w14:paraId="0F7B7B49">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3AB7F8F0">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4</w:t>
                  </w:r>
                </w:p>
              </w:tc>
              <w:tc>
                <w:tcPr>
                  <w:tcW w:w="860" w:type="pct"/>
                  <w:vMerge w:val="continue"/>
                  <w:tcBorders>
                    <w:left w:val="single" w:color="000000" w:sz="4" w:space="0"/>
                    <w:right w:val="single" w:color="000000" w:sz="4" w:space="0"/>
                  </w:tcBorders>
                  <w:vAlign w:val="center"/>
                </w:tcPr>
                <w:p w14:paraId="34A56552">
                  <w:pPr>
                    <w:widowControl/>
                    <w:adjustRightInd w:val="0"/>
                    <w:snapToGrid w:val="0"/>
                    <w:jc w:val="center"/>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9631E">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氯化物</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2C19">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3B54AB31">
                  <w:pPr>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eastAsia="zh-CN"/>
                    </w:rPr>
                    <w:t>2.96</w:t>
                  </w:r>
                </w:p>
              </w:tc>
            </w:tr>
            <w:tr w14:paraId="25C43654">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27144915">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5</w:t>
                  </w:r>
                </w:p>
              </w:tc>
              <w:tc>
                <w:tcPr>
                  <w:tcW w:w="860" w:type="pct"/>
                  <w:vMerge w:val="continue"/>
                  <w:tcBorders>
                    <w:left w:val="single" w:color="000000" w:sz="4" w:space="0"/>
                    <w:right w:val="single" w:color="000000" w:sz="4" w:space="0"/>
                  </w:tcBorders>
                  <w:vAlign w:val="center"/>
                </w:tcPr>
                <w:p w14:paraId="119BE059">
                  <w:pPr>
                    <w:widowControl/>
                    <w:adjustRightInd w:val="0"/>
                    <w:snapToGrid w:val="0"/>
                    <w:jc w:val="center"/>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DE44">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硝酸盐（以N计）</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41CC2">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215CFA21">
                  <w:pPr>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 xml:space="preserve">0.31 </w:t>
                  </w:r>
                </w:p>
              </w:tc>
            </w:tr>
            <w:tr w14:paraId="12A28348">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0C706E5F">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6</w:t>
                  </w:r>
                </w:p>
              </w:tc>
              <w:tc>
                <w:tcPr>
                  <w:tcW w:w="860" w:type="pct"/>
                  <w:vMerge w:val="continue"/>
                  <w:tcBorders>
                    <w:left w:val="single" w:color="000000" w:sz="4" w:space="0"/>
                    <w:right w:val="single" w:color="000000" w:sz="4" w:space="0"/>
                  </w:tcBorders>
                  <w:vAlign w:val="center"/>
                </w:tcPr>
                <w:p w14:paraId="4FE2767C">
                  <w:pPr>
                    <w:widowControl/>
                    <w:adjustRightInd w:val="0"/>
                    <w:snapToGrid w:val="0"/>
                    <w:jc w:val="center"/>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B96C0">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亚硝酸盐（以N计）</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8E5A6">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05E649DC">
                  <w:pPr>
                    <w:jc w:val="center"/>
                    <w:rPr>
                      <w:rFonts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ND</w:t>
                  </w:r>
                </w:p>
              </w:tc>
            </w:tr>
            <w:tr w14:paraId="0898ECDE">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656A6495">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7</w:t>
                  </w:r>
                </w:p>
              </w:tc>
              <w:tc>
                <w:tcPr>
                  <w:tcW w:w="860" w:type="pct"/>
                  <w:vMerge w:val="continue"/>
                  <w:tcBorders>
                    <w:left w:val="single" w:color="000000" w:sz="4" w:space="0"/>
                    <w:right w:val="single" w:color="000000" w:sz="4" w:space="0"/>
                  </w:tcBorders>
                  <w:vAlign w:val="center"/>
                </w:tcPr>
                <w:p w14:paraId="7966B624">
                  <w:pPr>
                    <w:widowControl/>
                    <w:adjustRightInd w:val="0"/>
                    <w:snapToGrid w:val="0"/>
                    <w:jc w:val="left"/>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D3536">
                  <w:pPr>
                    <w:tabs>
                      <w:tab w:val="left" w:pos="7920"/>
                    </w:tabs>
                    <w:jc w:val="center"/>
                    <w:rPr>
                      <w:rFonts w:ascii="Times New Roman" w:hAnsi="Times New Roman" w:eastAsia="宋体" w:cs="Times New Roman"/>
                      <w:i w:val="0"/>
                      <w:iCs w:val="0"/>
                      <w:color w:val="auto"/>
                      <w:sz w:val="18"/>
                      <w:szCs w:val="18"/>
                      <w:u w:val="none"/>
                      <w:lang w:val="en-US" w:eastAsia="zh-CN" w:bidi="ar-SA"/>
                    </w:rPr>
                  </w:pPr>
                  <w:r>
                    <w:rPr>
                      <w:rFonts w:hint="eastAsia"/>
                      <w:bCs/>
                      <w:i w:val="0"/>
                      <w:iCs w:val="0"/>
                      <w:color w:val="auto"/>
                      <w:sz w:val="18"/>
                      <w:szCs w:val="18"/>
                      <w:u w:val="none"/>
                    </w:rPr>
                    <w:t>耗氧量</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15C94">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69BB8600">
                  <w:pPr>
                    <w:jc w:val="center"/>
                    <w:rPr>
                      <w:rFonts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1.47</w:t>
                  </w:r>
                </w:p>
              </w:tc>
            </w:tr>
            <w:tr w14:paraId="14644205">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79D5AA9C">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8</w:t>
                  </w:r>
                </w:p>
              </w:tc>
              <w:tc>
                <w:tcPr>
                  <w:tcW w:w="860" w:type="pct"/>
                  <w:vMerge w:val="continue"/>
                  <w:tcBorders>
                    <w:left w:val="single" w:color="000000" w:sz="4" w:space="0"/>
                    <w:right w:val="single" w:color="000000" w:sz="4" w:space="0"/>
                  </w:tcBorders>
                  <w:vAlign w:val="center"/>
                </w:tcPr>
                <w:p w14:paraId="73D4C1FC">
                  <w:pPr>
                    <w:widowControl/>
                    <w:adjustRightInd w:val="0"/>
                    <w:snapToGrid w:val="0"/>
                    <w:jc w:val="left"/>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E5015">
                  <w:pPr>
                    <w:jc w:val="center"/>
                    <w:rPr>
                      <w:rFonts w:ascii="Times New Roman" w:hAnsi="Times New Roman" w:eastAsia="宋体" w:cs="Times New Roman"/>
                      <w:i w:val="0"/>
                      <w:iCs w:val="0"/>
                      <w:color w:val="auto"/>
                      <w:sz w:val="18"/>
                      <w:szCs w:val="18"/>
                      <w:u w:val="none"/>
                      <w:lang w:val="en-US" w:eastAsia="zh-CN" w:bidi="ar-SA"/>
                    </w:rPr>
                  </w:pPr>
                  <w:r>
                    <w:rPr>
                      <w:bCs/>
                      <w:i w:val="0"/>
                      <w:iCs w:val="0"/>
                      <w:color w:val="auto"/>
                      <w:sz w:val="18"/>
                      <w:szCs w:val="18"/>
                      <w:u w:val="none"/>
                    </w:rPr>
                    <w:t>氨氮</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6C66A">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2D292A2F">
                  <w:pPr>
                    <w:jc w:val="center"/>
                    <w:rPr>
                      <w:rFonts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0.1</w:t>
                  </w:r>
                  <w:r>
                    <w:rPr>
                      <w:rFonts w:hint="eastAsia" w:ascii="Times New Roman" w:hAnsi="Times New Roman" w:eastAsia="宋体" w:cs="Times New Roman"/>
                      <w:i w:val="0"/>
                      <w:iCs w:val="0"/>
                      <w:color w:val="auto"/>
                      <w:sz w:val="18"/>
                      <w:szCs w:val="18"/>
                      <w:u w:val="none"/>
                      <w:lang w:eastAsia="zh-CN"/>
                    </w:rPr>
                    <w:t>4</w:t>
                  </w:r>
                </w:p>
              </w:tc>
            </w:tr>
            <w:tr w14:paraId="6247AAFD">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5274454E">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9</w:t>
                  </w:r>
                </w:p>
              </w:tc>
              <w:tc>
                <w:tcPr>
                  <w:tcW w:w="860" w:type="pct"/>
                  <w:vMerge w:val="continue"/>
                  <w:tcBorders>
                    <w:left w:val="single" w:color="000000" w:sz="4" w:space="0"/>
                    <w:right w:val="single" w:color="000000" w:sz="4" w:space="0"/>
                  </w:tcBorders>
                  <w:vAlign w:val="center"/>
                </w:tcPr>
                <w:p w14:paraId="0D3BB0F0">
                  <w:pPr>
                    <w:widowControl/>
                    <w:adjustRightInd w:val="0"/>
                    <w:snapToGrid w:val="0"/>
                    <w:jc w:val="left"/>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B86F3">
                  <w:pPr>
                    <w:tabs>
                      <w:tab w:val="left" w:pos="7920"/>
                    </w:tabs>
                    <w:jc w:val="center"/>
                    <w:rPr>
                      <w:rFonts w:hint="default" w:ascii="Times New Roman" w:hAnsi="Times New Roman" w:eastAsia="宋体" w:cs="Times New Roman"/>
                      <w:i w:val="0"/>
                      <w:iCs w:val="0"/>
                      <w:color w:val="auto"/>
                      <w:sz w:val="18"/>
                      <w:szCs w:val="18"/>
                      <w:u w:val="none"/>
                      <w:lang w:val="en-US" w:eastAsia="zh-CN" w:bidi="ar-SA"/>
                    </w:rPr>
                  </w:pPr>
                  <w:r>
                    <w:rPr>
                      <w:rFonts w:hint="eastAsia" w:ascii="Times New Roman" w:hAnsi="Times New Roman" w:eastAsia="宋体" w:cs="Times New Roman"/>
                      <w:i w:val="0"/>
                      <w:iCs w:val="0"/>
                      <w:color w:val="auto"/>
                      <w:sz w:val="18"/>
                      <w:szCs w:val="18"/>
                      <w:u w:val="none"/>
                      <w:lang w:val="en-US" w:eastAsia="zh-CN" w:bidi="ar-SA"/>
                    </w:rPr>
                    <w:t>氰化物</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80CF8">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3D310AEE">
                  <w:pPr>
                    <w:jc w:val="center"/>
                    <w:rPr>
                      <w:rFonts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ND</w:t>
                  </w:r>
                </w:p>
              </w:tc>
            </w:tr>
            <w:tr w14:paraId="39A3AF23">
              <w:tblPrEx>
                <w:tblCellMar>
                  <w:top w:w="15" w:type="dxa"/>
                  <w:left w:w="108" w:type="dxa"/>
                  <w:bottom w:w="15" w:type="dxa"/>
                  <w:right w:w="108" w:type="dxa"/>
                </w:tblCellMar>
              </w:tblPrEx>
              <w:trPr>
                <w:trHeight w:val="254"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510BC5E3">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10</w:t>
                  </w:r>
                </w:p>
              </w:tc>
              <w:tc>
                <w:tcPr>
                  <w:tcW w:w="860" w:type="pct"/>
                  <w:vMerge w:val="continue"/>
                  <w:tcBorders>
                    <w:left w:val="single" w:color="000000" w:sz="4" w:space="0"/>
                    <w:right w:val="single" w:color="000000" w:sz="4" w:space="0"/>
                  </w:tcBorders>
                  <w:vAlign w:val="center"/>
                </w:tcPr>
                <w:p w14:paraId="5E186D64">
                  <w:pPr>
                    <w:widowControl/>
                    <w:adjustRightInd w:val="0"/>
                    <w:snapToGrid w:val="0"/>
                    <w:jc w:val="left"/>
                    <w:rPr>
                      <w:i w:val="0"/>
                      <w:iCs w:val="0"/>
                      <w:color w:val="auto"/>
                      <w:sz w:val="18"/>
                      <w:szCs w:val="18"/>
                      <w:u w:val="none"/>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CDCA7">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氟化物</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0D0DE">
                  <w:pPr>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mg/L</w:t>
                  </w:r>
                </w:p>
              </w:tc>
              <w:tc>
                <w:tcPr>
                  <w:tcW w:w="2172" w:type="dxa"/>
                  <w:tcBorders>
                    <w:top w:val="single" w:color="000000" w:sz="4" w:space="0"/>
                    <w:left w:val="single" w:color="000000" w:sz="4" w:space="0"/>
                    <w:bottom w:val="single" w:color="000000" w:sz="4" w:space="0"/>
                    <w:right w:val="single" w:color="FFFFFF" w:themeColor="background1" w:sz="4" w:space="0"/>
                  </w:tcBorders>
                  <w:shd w:val="clear" w:color="auto" w:fill="auto"/>
                  <w:vAlign w:val="center"/>
                </w:tcPr>
                <w:p w14:paraId="6794402E">
                  <w:pPr>
                    <w:jc w:val="center"/>
                    <w:rPr>
                      <w:rFonts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ND</w:t>
                  </w:r>
                </w:p>
              </w:tc>
            </w:tr>
            <w:tr w14:paraId="3154769D">
              <w:tblPrEx>
                <w:tblCellMar>
                  <w:top w:w="15" w:type="dxa"/>
                  <w:left w:w="108" w:type="dxa"/>
                  <w:bottom w:w="15" w:type="dxa"/>
                  <w:right w:w="108" w:type="dxa"/>
                </w:tblCellMar>
              </w:tblPrEx>
              <w:trPr>
                <w:trHeight w:val="239" w:hRule="atLeast"/>
              </w:trPr>
              <w:tc>
                <w:tcPr>
                  <w:tcW w:w="401" w:type="pct"/>
                  <w:tcBorders>
                    <w:top w:val="single" w:color="000000" w:sz="4" w:space="0"/>
                    <w:left w:val="single" w:color="FFFFFF" w:sz="4" w:space="0"/>
                    <w:bottom w:val="single" w:color="000000" w:sz="4" w:space="0"/>
                    <w:right w:val="single" w:color="000000" w:sz="4" w:space="0"/>
                  </w:tcBorders>
                  <w:shd w:val="clear" w:color="auto" w:fill="auto"/>
                  <w:vAlign w:val="center"/>
                </w:tcPr>
                <w:p w14:paraId="6E0E5564">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11</w:t>
                  </w:r>
                </w:p>
              </w:tc>
              <w:tc>
                <w:tcPr>
                  <w:tcW w:w="860" w:type="pct"/>
                  <w:vMerge w:val="continue"/>
                  <w:tcBorders>
                    <w:left w:val="single" w:color="000000" w:sz="4" w:space="0"/>
                    <w:right w:val="single" w:color="000000" w:sz="4" w:space="0"/>
                  </w:tcBorders>
                  <w:vAlign w:val="center"/>
                </w:tcPr>
                <w:p w14:paraId="3C663FD8">
                  <w:pPr>
                    <w:widowControl/>
                    <w:adjustRightInd w:val="0"/>
                    <w:snapToGrid w:val="0"/>
                    <w:jc w:val="left"/>
                    <w:rPr>
                      <w:i w:val="0"/>
                      <w:iCs w:val="0"/>
                      <w:color w:val="auto"/>
                      <w:sz w:val="18"/>
                      <w:szCs w:val="18"/>
                      <w:u w:val="none"/>
                    </w:rPr>
                  </w:pPr>
                </w:p>
              </w:tc>
              <w:tc>
                <w:tcPr>
                  <w:tcW w:w="1120" w:type="pct"/>
                  <w:tcBorders>
                    <w:top w:val="single" w:color="000000" w:sz="4" w:space="0"/>
                    <w:left w:val="single" w:color="000000" w:sz="4" w:space="0"/>
                    <w:right w:val="single" w:color="000000" w:sz="4" w:space="0"/>
                  </w:tcBorders>
                  <w:vAlign w:val="center"/>
                </w:tcPr>
                <w:p w14:paraId="6BECB947">
                  <w:pPr>
                    <w:jc w:val="center"/>
                    <w:rPr>
                      <w:i w:val="0"/>
                      <w:iCs w:val="0"/>
                      <w:color w:val="auto"/>
                      <w:sz w:val="18"/>
                      <w:szCs w:val="18"/>
                      <w:u w:val="none"/>
                    </w:rPr>
                  </w:pPr>
                  <w:r>
                    <w:rPr>
                      <w:i w:val="0"/>
                      <w:iCs w:val="0"/>
                      <w:color w:val="auto"/>
                      <w:sz w:val="18"/>
                      <w:szCs w:val="18"/>
                      <w:u w:val="none"/>
                    </w:rPr>
                    <w:t>铅</w:t>
                  </w:r>
                </w:p>
              </w:tc>
              <w:tc>
                <w:tcPr>
                  <w:tcW w:w="1220" w:type="pct"/>
                  <w:tcBorders>
                    <w:top w:val="single" w:color="000000" w:sz="4" w:space="0"/>
                    <w:left w:val="single" w:color="000000" w:sz="4" w:space="0"/>
                    <w:right w:val="single" w:color="000000" w:sz="4" w:space="0"/>
                  </w:tcBorders>
                  <w:vAlign w:val="center"/>
                </w:tcPr>
                <w:p w14:paraId="4C11DE08">
                  <w:pPr>
                    <w:jc w:val="center"/>
                    <w:rPr>
                      <w:i w:val="0"/>
                      <w:iCs w:val="0"/>
                      <w:color w:val="auto"/>
                      <w:sz w:val="18"/>
                      <w:szCs w:val="18"/>
                      <w:u w:val="none"/>
                    </w:rPr>
                  </w:pPr>
                  <w:r>
                    <w:rPr>
                      <w:i w:val="0"/>
                      <w:iCs w:val="0"/>
                      <w:color w:val="auto"/>
                      <w:sz w:val="18"/>
                      <w:szCs w:val="18"/>
                      <w:u w:val="none"/>
                    </w:rPr>
                    <w:t>mg/L</w:t>
                  </w:r>
                </w:p>
              </w:tc>
              <w:tc>
                <w:tcPr>
                  <w:tcW w:w="2172" w:type="dxa"/>
                  <w:tcBorders>
                    <w:top w:val="single" w:color="000000" w:sz="4" w:space="0"/>
                    <w:left w:val="single" w:color="000000" w:sz="4" w:space="0"/>
                    <w:right w:val="single" w:color="FFFFFF" w:themeColor="background1" w:sz="4" w:space="0"/>
                  </w:tcBorders>
                  <w:vAlign w:val="center"/>
                </w:tcPr>
                <w:p w14:paraId="2F1DD0CD">
                  <w:pPr>
                    <w:jc w:val="center"/>
                    <w:rPr>
                      <w:rFonts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ND</w:t>
                  </w:r>
                </w:p>
              </w:tc>
            </w:tr>
            <w:tr w14:paraId="024DD341">
              <w:tblPrEx>
                <w:tblCellMar>
                  <w:top w:w="15" w:type="dxa"/>
                  <w:left w:w="108" w:type="dxa"/>
                  <w:bottom w:w="15" w:type="dxa"/>
                  <w:right w:w="108" w:type="dxa"/>
                </w:tblCellMar>
              </w:tblPrEx>
              <w:trPr>
                <w:trHeight w:val="282" w:hRule="atLeast"/>
              </w:trPr>
              <w:tc>
                <w:tcPr>
                  <w:tcW w:w="401" w:type="pct"/>
                  <w:tcBorders>
                    <w:top w:val="single" w:color="000000" w:sz="4" w:space="0"/>
                    <w:left w:val="single" w:color="FFFFFF" w:sz="4" w:space="0"/>
                    <w:bottom w:val="single" w:color="auto" w:sz="12" w:space="0"/>
                    <w:right w:val="single" w:color="000000" w:sz="4" w:space="0"/>
                  </w:tcBorders>
                  <w:vAlign w:val="center"/>
                </w:tcPr>
                <w:p w14:paraId="00B693E3">
                  <w:pPr>
                    <w:adjustRightInd w:val="0"/>
                    <w:snapToGrid w:val="0"/>
                    <w:jc w:val="center"/>
                    <w:rPr>
                      <w:rFonts w:hint="default" w:eastAsia="宋体"/>
                      <w:i w:val="0"/>
                      <w:iCs w:val="0"/>
                      <w:color w:val="auto"/>
                      <w:sz w:val="18"/>
                      <w:szCs w:val="18"/>
                      <w:u w:val="none"/>
                      <w:lang w:val="en-US" w:eastAsia="zh-CN"/>
                    </w:rPr>
                  </w:pPr>
                  <w:r>
                    <w:rPr>
                      <w:rFonts w:hint="eastAsia"/>
                      <w:i w:val="0"/>
                      <w:iCs w:val="0"/>
                      <w:color w:val="auto"/>
                      <w:sz w:val="18"/>
                      <w:szCs w:val="18"/>
                      <w:u w:val="none"/>
                      <w:lang w:val="en-US" w:eastAsia="zh-CN"/>
                    </w:rPr>
                    <w:t>12</w:t>
                  </w:r>
                </w:p>
              </w:tc>
              <w:tc>
                <w:tcPr>
                  <w:tcW w:w="860" w:type="pct"/>
                  <w:vMerge w:val="continue"/>
                  <w:tcBorders>
                    <w:left w:val="single" w:color="000000" w:sz="4" w:space="0"/>
                    <w:bottom w:val="single" w:color="auto" w:sz="12" w:space="0"/>
                    <w:right w:val="single" w:color="000000" w:sz="4" w:space="0"/>
                  </w:tcBorders>
                  <w:vAlign w:val="center"/>
                </w:tcPr>
                <w:p w14:paraId="4A8BFD1D">
                  <w:pPr>
                    <w:widowControl/>
                    <w:adjustRightInd w:val="0"/>
                    <w:snapToGrid w:val="0"/>
                    <w:jc w:val="left"/>
                    <w:rPr>
                      <w:i w:val="0"/>
                      <w:iCs w:val="0"/>
                      <w:color w:val="auto"/>
                      <w:sz w:val="18"/>
                      <w:szCs w:val="18"/>
                      <w:u w:val="none"/>
                    </w:rPr>
                  </w:pPr>
                </w:p>
              </w:tc>
              <w:tc>
                <w:tcPr>
                  <w:tcW w:w="1120" w:type="pct"/>
                  <w:tcBorders>
                    <w:top w:val="single" w:color="000000" w:sz="4" w:space="0"/>
                    <w:left w:val="single" w:color="000000" w:sz="4" w:space="0"/>
                    <w:bottom w:val="single" w:color="auto" w:sz="12" w:space="0"/>
                    <w:right w:val="single" w:color="000000" w:sz="4" w:space="0"/>
                  </w:tcBorders>
                  <w:vAlign w:val="center"/>
                </w:tcPr>
                <w:p w14:paraId="00F70D0C">
                  <w:pPr>
                    <w:jc w:val="center"/>
                    <w:rPr>
                      <w:i w:val="0"/>
                      <w:iCs w:val="0"/>
                      <w:color w:val="auto"/>
                      <w:sz w:val="18"/>
                      <w:szCs w:val="18"/>
                      <w:u w:val="none"/>
                    </w:rPr>
                  </w:pPr>
                  <w:r>
                    <w:rPr>
                      <w:i w:val="0"/>
                      <w:iCs w:val="0"/>
                      <w:color w:val="auto"/>
                      <w:sz w:val="18"/>
                      <w:szCs w:val="18"/>
                      <w:u w:val="none"/>
                    </w:rPr>
                    <w:t>总大肠菌群</w:t>
                  </w:r>
                </w:p>
              </w:tc>
              <w:tc>
                <w:tcPr>
                  <w:tcW w:w="1220" w:type="pct"/>
                  <w:tcBorders>
                    <w:top w:val="single" w:color="000000" w:sz="4" w:space="0"/>
                    <w:left w:val="single" w:color="000000" w:sz="4" w:space="0"/>
                    <w:bottom w:val="single" w:color="auto" w:sz="12" w:space="0"/>
                    <w:right w:val="single" w:color="000000" w:sz="4" w:space="0"/>
                  </w:tcBorders>
                  <w:vAlign w:val="center"/>
                </w:tcPr>
                <w:p w14:paraId="52CD1D3C">
                  <w:pPr>
                    <w:ind w:left="-105" w:leftChars="-50" w:right="-105" w:rightChars="-50"/>
                    <w:jc w:val="center"/>
                    <w:rPr>
                      <w:i w:val="0"/>
                      <w:iCs w:val="0"/>
                      <w:color w:val="auto"/>
                      <w:sz w:val="18"/>
                      <w:szCs w:val="18"/>
                      <w:u w:val="none"/>
                    </w:rPr>
                  </w:pPr>
                  <w:r>
                    <w:rPr>
                      <w:i w:val="0"/>
                      <w:iCs w:val="0"/>
                      <w:color w:val="auto"/>
                      <w:sz w:val="18"/>
                      <w:szCs w:val="18"/>
                      <w:u w:val="none"/>
                    </w:rPr>
                    <w:t>MPN/L</w:t>
                  </w:r>
                </w:p>
              </w:tc>
              <w:tc>
                <w:tcPr>
                  <w:tcW w:w="2172" w:type="dxa"/>
                  <w:tcBorders>
                    <w:top w:val="single" w:color="000000" w:sz="4" w:space="0"/>
                    <w:left w:val="single" w:color="000000" w:sz="4" w:space="0"/>
                    <w:bottom w:val="single" w:color="auto" w:sz="12" w:space="0"/>
                    <w:right w:val="single" w:color="FFFFFF" w:themeColor="background1" w:sz="4" w:space="0"/>
                  </w:tcBorders>
                  <w:vAlign w:val="center"/>
                </w:tcPr>
                <w:p w14:paraId="5DBF8A83">
                  <w:pPr>
                    <w:jc w:val="center"/>
                    <w:rPr>
                      <w:rFonts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ND</w:t>
                  </w:r>
                </w:p>
              </w:tc>
            </w:tr>
          </w:tbl>
          <w:p w14:paraId="1FCC1627">
            <w:pPr>
              <w:adjustRightInd w:val="0"/>
              <w:snapToGrid w:val="0"/>
              <w:spacing w:line="360" w:lineRule="auto"/>
              <w:ind w:firstLine="200" w:firstLineChars="200"/>
              <w:rPr>
                <w:i w:val="0"/>
                <w:iCs w:val="0"/>
                <w:color w:val="auto"/>
                <w:sz w:val="10"/>
                <w:szCs w:val="10"/>
                <w:u w:val="none"/>
              </w:rPr>
            </w:pPr>
          </w:p>
          <w:p w14:paraId="087385AB">
            <w:pPr>
              <w:adjustRightInd w:val="0"/>
              <w:snapToGrid w:val="0"/>
              <w:spacing w:line="360" w:lineRule="auto"/>
              <w:ind w:firstLine="420" w:firstLineChars="200"/>
              <w:rPr>
                <w:i w:val="0"/>
                <w:iCs w:val="0"/>
                <w:color w:val="auto"/>
                <w:u w:val="none"/>
              </w:rPr>
            </w:pPr>
            <w:r>
              <w:rPr>
                <w:i w:val="0"/>
                <w:iCs w:val="0"/>
                <w:color w:val="auto"/>
                <w:u w:val="none"/>
              </w:rPr>
              <w:t>（</w:t>
            </w:r>
            <w:r>
              <w:rPr>
                <w:rFonts w:hint="eastAsia"/>
                <w:i w:val="0"/>
                <w:iCs w:val="0"/>
                <w:color w:val="auto"/>
                <w:u w:val="none"/>
              </w:rPr>
              <w:t>7</w:t>
            </w:r>
            <w:r>
              <w:rPr>
                <w:i w:val="0"/>
                <w:iCs w:val="0"/>
                <w:color w:val="auto"/>
                <w:u w:val="none"/>
              </w:rPr>
              <w:t>）评价结果</w:t>
            </w:r>
          </w:p>
          <w:p w14:paraId="6163AF8A">
            <w:pPr>
              <w:pStyle w:val="14"/>
              <w:adjustRightInd w:val="0"/>
              <w:snapToGrid w:val="0"/>
              <w:spacing w:line="360" w:lineRule="auto"/>
              <w:ind w:firstLine="420" w:firstLineChars="200"/>
              <w:rPr>
                <w:rFonts w:ascii="Times New Roman" w:hAnsi="Times New Roman" w:cs="Times New Roman"/>
                <w:i w:val="0"/>
                <w:iCs w:val="0"/>
                <w:color w:val="auto"/>
                <w:u w:val="none"/>
              </w:rPr>
            </w:pPr>
            <w:r>
              <w:rPr>
                <w:rFonts w:ascii="Times New Roman" w:hAnsi="Times New Roman" w:cs="Times New Roman"/>
                <w:i w:val="0"/>
                <w:iCs w:val="0"/>
                <w:color w:val="auto"/>
                <w:u w:val="none"/>
              </w:rPr>
              <w:t>地表水评价结果详见</w:t>
            </w:r>
            <w:r>
              <w:rPr>
                <w:rFonts w:hint="eastAsia" w:ascii="Times New Roman" w:hAnsi="Times New Roman" w:cs="Times New Roman"/>
                <w:i w:val="0"/>
                <w:iCs w:val="0"/>
                <w:color w:val="auto"/>
                <w:u w:val="none"/>
              </w:rPr>
              <w:t>下</w:t>
            </w:r>
            <w:r>
              <w:rPr>
                <w:rFonts w:ascii="Times New Roman" w:hAnsi="Times New Roman" w:cs="Times New Roman"/>
                <w:i w:val="0"/>
                <w:iCs w:val="0"/>
                <w:color w:val="auto"/>
                <w:u w:val="none"/>
              </w:rPr>
              <w:t>表。</w:t>
            </w:r>
          </w:p>
          <w:p w14:paraId="245E344E">
            <w:pPr>
              <w:pStyle w:val="61"/>
              <w:adjustRightInd w:val="0"/>
              <w:snapToGrid w:val="0"/>
              <w:spacing w:line="240" w:lineRule="auto"/>
              <w:ind w:firstLine="482"/>
              <w:rPr>
                <w:rFonts w:eastAsia="宋体" w:cs="宋体"/>
                <w:b w:val="0"/>
                <w:i w:val="0"/>
                <w:iCs w:val="0"/>
                <w:color w:val="auto"/>
                <w:kern w:val="0"/>
                <w:szCs w:val="21"/>
                <w:u w:val="none"/>
              </w:rPr>
            </w:pPr>
            <w:r>
              <w:rPr>
                <w:rFonts w:eastAsia="宋体" w:cs="宋体"/>
                <w:b w:val="0"/>
                <w:i w:val="0"/>
                <w:iCs w:val="0"/>
                <w:color w:val="auto"/>
                <w:kern w:val="0"/>
                <w:szCs w:val="21"/>
                <w:u w:val="none"/>
              </w:rPr>
              <w:t>地下水现状评价结果</w:t>
            </w:r>
          </w:p>
          <w:tbl>
            <w:tblPr>
              <w:tblStyle w:val="29"/>
              <w:tblW w:w="5000" w:type="pct"/>
              <w:tblInd w:w="0" w:type="dxa"/>
              <w:tblLayout w:type="autofit"/>
              <w:tblCellMar>
                <w:top w:w="15" w:type="dxa"/>
                <w:left w:w="108" w:type="dxa"/>
                <w:bottom w:w="15" w:type="dxa"/>
                <w:right w:w="108" w:type="dxa"/>
              </w:tblCellMar>
            </w:tblPr>
            <w:tblGrid>
              <w:gridCol w:w="997"/>
              <w:gridCol w:w="2497"/>
              <w:gridCol w:w="1509"/>
              <w:gridCol w:w="1501"/>
              <w:gridCol w:w="1464"/>
              <w:gridCol w:w="11"/>
            </w:tblGrid>
            <w:tr w14:paraId="0E1482D6">
              <w:tblPrEx>
                <w:tblCellMar>
                  <w:top w:w="15" w:type="dxa"/>
                  <w:left w:w="108" w:type="dxa"/>
                  <w:bottom w:w="15" w:type="dxa"/>
                  <w:right w:w="108" w:type="dxa"/>
                </w:tblCellMar>
              </w:tblPrEx>
              <w:trPr>
                <w:trHeight w:val="284" w:hRule="atLeast"/>
                <w:tblHeader/>
              </w:trPr>
              <w:tc>
                <w:tcPr>
                  <w:tcW w:w="625" w:type="pct"/>
                  <w:tcBorders>
                    <w:top w:val="single" w:color="auto" w:sz="12" w:space="0"/>
                    <w:left w:val="single" w:color="FFFFFF" w:sz="4" w:space="0"/>
                    <w:bottom w:val="single" w:color="auto" w:sz="4" w:space="0"/>
                    <w:right w:val="single" w:color="000000" w:sz="4" w:space="0"/>
                  </w:tcBorders>
                  <w:vAlign w:val="center"/>
                </w:tcPr>
                <w:p w14:paraId="435D14EC">
                  <w:pPr>
                    <w:widowControl/>
                    <w:adjustRightInd w:val="0"/>
                    <w:snapToGrid w:val="0"/>
                    <w:jc w:val="center"/>
                    <w:rPr>
                      <w:bCs/>
                      <w:i w:val="0"/>
                      <w:iCs w:val="0"/>
                      <w:color w:val="auto"/>
                      <w:sz w:val="18"/>
                      <w:szCs w:val="18"/>
                      <w:u w:val="none"/>
                    </w:rPr>
                  </w:pPr>
                  <w:r>
                    <w:rPr>
                      <w:rFonts w:hAnsi="宋体"/>
                      <w:bCs/>
                      <w:i w:val="0"/>
                      <w:iCs w:val="0"/>
                      <w:color w:val="auto"/>
                      <w:sz w:val="18"/>
                      <w:szCs w:val="18"/>
                      <w:u w:val="none"/>
                    </w:rPr>
                    <w:t>序号</w:t>
                  </w:r>
                </w:p>
              </w:tc>
              <w:tc>
                <w:tcPr>
                  <w:tcW w:w="1564" w:type="pct"/>
                  <w:tcBorders>
                    <w:top w:val="single" w:color="auto" w:sz="12" w:space="0"/>
                    <w:left w:val="single" w:color="000000" w:sz="4" w:space="0"/>
                    <w:bottom w:val="single" w:color="auto" w:sz="4" w:space="0"/>
                    <w:right w:val="single" w:color="auto" w:sz="4" w:space="0"/>
                  </w:tcBorders>
                  <w:vAlign w:val="center"/>
                </w:tcPr>
                <w:p w14:paraId="3F1A865B">
                  <w:pPr>
                    <w:widowControl/>
                    <w:adjustRightInd w:val="0"/>
                    <w:snapToGrid w:val="0"/>
                    <w:jc w:val="center"/>
                    <w:rPr>
                      <w:bCs/>
                      <w:i w:val="0"/>
                      <w:iCs w:val="0"/>
                      <w:color w:val="auto"/>
                      <w:sz w:val="18"/>
                      <w:szCs w:val="18"/>
                      <w:u w:val="none"/>
                    </w:rPr>
                  </w:pPr>
                  <w:r>
                    <w:rPr>
                      <w:rFonts w:hint="eastAsia" w:hAnsi="宋体"/>
                      <w:bCs/>
                      <w:i w:val="0"/>
                      <w:iCs w:val="0"/>
                      <w:color w:val="auto"/>
                      <w:sz w:val="18"/>
                      <w:szCs w:val="18"/>
                      <w:u w:val="none"/>
                    </w:rPr>
                    <w:t>评价</w:t>
                  </w:r>
                  <w:r>
                    <w:rPr>
                      <w:rFonts w:hAnsi="宋体"/>
                      <w:bCs/>
                      <w:i w:val="0"/>
                      <w:iCs w:val="0"/>
                      <w:color w:val="auto"/>
                      <w:sz w:val="18"/>
                      <w:szCs w:val="18"/>
                      <w:u w:val="none"/>
                    </w:rPr>
                    <w:t>项目</w:t>
                  </w:r>
                </w:p>
              </w:tc>
              <w:tc>
                <w:tcPr>
                  <w:tcW w:w="945" w:type="pct"/>
                  <w:tcBorders>
                    <w:top w:val="single" w:color="auto" w:sz="12" w:space="0"/>
                    <w:left w:val="single" w:color="auto" w:sz="4" w:space="0"/>
                    <w:bottom w:val="single" w:color="auto" w:sz="4" w:space="0"/>
                    <w:right w:val="single" w:color="000000" w:sz="4" w:space="0"/>
                  </w:tcBorders>
                  <w:vAlign w:val="center"/>
                </w:tcPr>
                <w:p w14:paraId="28F6A88D">
                  <w:pPr>
                    <w:widowControl/>
                    <w:adjustRightInd w:val="0"/>
                    <w:snapToGrid w:val="0"/>
                    <w:jc w:val="center"/>
                    <w:rPr>
                      <w:bCs/>
                      <w:i w:val="0"/>
                      <w:iCs w:val="0"/>
                      <w:color w:val="auto"/>
                      <w:sz w:val="18"/>
                      <w:szCs w:val="18"/>
                      <w:u w:val="none"/>
                    </w:rPr>
                  </w:pPr>
                  <w:r>
                    <w:rPr>
                      <w:bCs/>
                      <w:i w:val="0"/>
                      <w:iCs w:val="0"/>
                      <w:color w:val="auto"/>
                      <w:sz w:val="18"/>
                      <w:szCs w:val="18"/>
                      <w:u w:val="none"/>
                    </w:rPr>
                    <w:t>标准值</w:t>
                  </w:r>
                </w:p>
              </w:tc>
              <w:tc>
                <w:tcPr>
                  <w:tcW w:w="1864" w:type="pct"/>
                  <w:gridSpan w:val="3"/>
                  <w:tcBorders>
                    <w:top w:val="single" w:color="auto" w:sz="12" w:space="0"/>
                    <w:left w:val="single" w:color="000000" w:sz="4" w:space="0"/>
                    <w:bottom w:val="single" w:color="000000" w:sz="4" w:space="0"/>
                    <w:right w:val="single" w:color="FFFFFF" w:themeColor="background1" w:sz="4" w:space="0"/>
                  </w:tcBorders>
                  <w:vAlign w:val="center"/>
                </w:tcPr>
                <w:p w14:paraId="0DAB8E82">
                  <w:pPr>
                    <w:widowControl/>
                    <w:adjustRightInd w:val="0"/>
                    <w:snapToGrid w:val="0"/>
                    <w:jc w:val="center"/>
                    <w:rPr>
                      <w:bCs/>
                      <w:i w:val="0"/>
                      <w:iCs w:val="0"/>
                      <w:color w:val="auto"/>
                      <w:sz w:val="18"/>
                      <w:szCs w:val="18"/>
                      <w:u w:val="none"/>
                    </w:rPr>
                  </w:pPr>
                  <w:r>
                    <w:rPr>
                      <w:rFonts w:hint="eastAsia" w:hAnsi="宋体"/>
                      <w:bCs/>
                      <w:i w:val="0"/>
                      <w:iCs w:val="0"/>
                      <w:color w:val="auto"/>
                      <w:sz w:val="18"/>
                      <w:szCs w:val="18"/>
                      <w:u w:val="none"/>
                    </w:rPr>
                    <w:t>评价</w:t>
                  </w:r>
                  <w:r>
                    <w:rPr>
                      <w:rFonts w:hAnsi="宋体"/>
                      <w:bCs/>
                      <w:i w:val="0"/>
                      <w:iCs w:val="0"/>
                      <w:color w:val="auto"/>
                      <w:sz w:val="18"/>
                      <w:szCs w:val="18"/>
                      <w:u w:val="none"/>
                    </w:rPr>
                    <w:t>结果</w:t>
                  </w:r>
                </w:p>
              </w:tc>
            </w:tr>
            <w:tr w14:paraId="436F1B3A">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7F76F66A">
                  <w:pPr>
                    <w:widowControl/>
                    <w:adjustRightInd w:val="0"/>
                    <w:snapToGrid w:val="0"/>
                    <w:jc w:val="center"/>
                    <w:rPr>
                      <w:i w:val="0"/>
                      <w:iCs w:val="0"/>
                      <w:color w:val="auto"/>
                      <w:sz w:val="18"/>
                      <w:szCs w:val="18"/>
                      <w:u w:val="none"/>
                    </w:rPr>
                  </w:pPr>
                  <w:r>
                    <w:rPr>
                      <w:rFonts w:hint="eastAsia"/>
                      <w:i w:val="0"/>
                      <w:iCs w:val="0"/>
                      <w:color w:val="auto"/>
                      <w:sz w:val="18"/>
                      <w:szCs w:val="18"/>
                      <w:u w:val="none"/>
                    </w:rPr>
                    <w:t>1</w:t>
                  </w:r>
                </w:p>
              </w:tc>
              <w:tc>
                <w:tcPr>
                  <w:tcW w:w="1564" w:type="pct"/>
                  <w:tcBorders>
                    <w:top w:val="single" w:color="000000" w:sz="4" w:space="0"/>
                    <w:left w:val="single" w:color="000000" w:sz="4" w:space="0"/>
                    <w:bottom w:val="single" w:color="000000" w:sz="4" w:space="0"/>
                    <w:right w:val="single" w:color="auto" w:sz="4" w:space="0"/>
                  </w:tcBorders>
                  <w:vAlign w:val="center"/>
                </w:tcPr>
                <w:p w14:paraId="49550C36">
                  <w:pPr>
                    <w:snapToGrid w:val="0"/>
                    <w:jc w:val="center"/>
                    <w:rPr>
                      <w:i w:val="0"/>
                      <w:iCs w:val="0"/>
                      <w:color w:val="auto"/>
                      <w:sz w:val="18"/>
                      <w:szCs w:val="18"/>
                      <w:u w:val="none"/>
                    </w:rPr>
                  </w:pPr>
                  <w:r>
                    <w:rPr>
                      <w:i w:val="0"/>
                      <w:iCs w:val="0"/>
                      <w:color w:val="auto"/>
                      <w:sz w:val="18"/>
                      <w:szCs w:val="18"/>
                      <w:u w:val="none"/>
                    </w:rPr>
                    <w:t>pH</w:t>
                  </w:r>
                </w:p>
              </w:tc>
              <w:tc>
                <w:tcPr>
                  <w:tcW w:w="945" w:type="pct"/>
                  <w:tcBorders>
                    <w:top w:val="single" w:color="000000" w:sz="4" w:space="0"/>
                    <w:left w:val="single" w:color="auto" w:sz="4" w:space="0"/>
                    <w:bottom w:val="single" w:color="000000" w:sz="4" w:space="0"/>
                    <w:right w:val="single" w:color="000000" w:sz="4" w:space="0"/>
                  </w:tcBorders>
                  <w:vAlign w:val="center"/>
                </w:tcPr>
                <w:p w14:paraId="543B4CE0">
                  <w:pPr>
                    <w:widowControl/>
                    <w:adjustRightInd w:val="0"/>
                    <w:snapToGrid w:val="0"/>
                    <w:jc w:val="center"/>
                    <w:rPr>
                      <w:i w:val="0"/>
                      <w:iCs w:val="0"/>
                      <w:color w:val="auto"/>
                      <w:sz w:val="18"/>
                      <w:szCs w:val="18"/>
                      <w:u w:val="none"/>
                    </w:rPr>
                  </w:pPr>
                  <w:r>
                    <w:rPr>
                      <w:i w:val="0"/>
                      <w:iCs w:val="0"/>
                      <w:color w:val="auto"/>
                      <w:sz w:val="18"/>
                      <w:szCs w:val="18"/>
                      <w:u w:val="none"/>
                    </w:rPr>
                    <w:t>≤</w:t>
                  </w:r>
                  <w:r>
                    <w:rPr>
                      <w:rFonts w:hint="eastAsia"/>
                      <w:i w:val="0"/>
                      <w:iCs w:val="0"/>
                      <w:color w:val="auto"/>
                      <w:sz w:val="18"/>
                      <w:szCs w:val="18"/>
                      <w:u w:val="none"/>
                    </w:rPr>
                    <w:t>6.5-8.5</w:t>
                  </w:r>
                </w:p>
              </w:tc>
              <w:tc>
                <w:tcPr>
                  <w:tcW w:w="940" w:type="pct"/>
                  <w:tcBorders>
                    <w:top w:val="single" w:color="000000" w:sz="4" w:space="0"/>
                    <w:left w:val="single" w:color="000000" w:sz="4" w:space="0"/>
                    <w:bottom w:val="single" w:color="000000" w:sz="4" w:space="0"/>
                    <w:right w:val="single" w:color="auto" w:sz="4" w:space="0"/>
                  </w:tcBorders>
                  <w:vAlign w:val="center"/>
                </w:tcPr>
                <w:p w14:paraId="6BC949C6">
                  <w:pPr>
                    <w:adjustRightInd w:val="0"/>
                    <w:snapToGrid w:val="0"/>
                    <w:jc w:val="center"/>
                    <w:rPr>
                      <w:rFonts w:hint="default" w:eastAsia="宋体"/>
                      <w:i w:val="0"/>
                      <w:iCs w:val="0"/>
                      <w:color w:val="auto"/>
                      <w:sz w:val="18"/>
                      <w:szCs w:val="18"/>
                      <w:u w:val="none"/>
                      <w:lang w:val="en-US" w:eastAsia="zh-CN"/>
                    </w:rPr>
                  </w:pPr>
                  <w:r>
                    <w:rPr>
                      <w:rFonts w:hint="eastAsia" w:eastAsia="宋体"/>
                      <w:i w:val="0"/>
                      <w:iCs w:val="0"/>
                      <w:color w:val="auto"/>
                      <w:sz w:val="18"/>
                      <w:szCs w:val="18"/>
                      <w:u w:val="none"/>
                      <w:lang w:val="en-US" w:eastAsia="zh-CN"/>
                    </w:rPr>
                    <w:t>0.4</w:t>
                  </w:r>
                </w:p>
              </w:tc>
              <w:tc>
                <w:tcPr>
                  <w:tcW w:w="917" w:type="pct"/>
                  <w:tcBorders>
                    <w:top w:val="single" w:color="000000" w:sz="4" w:space="0"/>
                    <w:left w:val="single" w:color="auto" w:sz="4" w:space="0"/>
                    <w:bottom w:val="single" w:color="000000" w:sz="4" w:space="0"/>
                    <w:right w:val="single" w:color="FFFFFF" w:themeColor="background1" w:sz="4" w:space="0"/>
                  </w:tcBorders>
                  <w:vAlign w:val="center"/>
                </w:tcPr>
                <w:p w14:paraId="3313E47D">
                  <w:pPr>
                    <w:adjustRightInd w:val="0"/>
                    <w:snapToGrid w:val="0"/>
                    <w:jc w:val="center"/>
                    <w:rPr>
                      <w:i w:val="0"/>
                      <w:iCs w:val="0"/>
                      <w:color w:val="auto"/>
                      <w:sz w:val="18"/>
                      <w:szCs w:val="18"/>
                      <w:u w:val="none"/>
                    </w:rPr>
                  </w:pPr>
                  <w:r>
                    <w:rPr>
                      <w:i w:val="0"/>
                      <w:iCs w:val="0"/>
                      <w:color w:val="auto"/>
                      <w:sz w:val="18"/>
                      <w:szCs w:val="18"/>
                      <w:u w:val="none"/>
                    </w:rPr>
                    <w:t>达标</w:t>
                  </w:r>
                </w:p>
              </w:tc>
            </w:tr>
            <w:tr w14:paraId="3DEB5FA9">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5E47C846">
                  <w:pPr>
                    <w:widowControl/>
                    <w:adjustRightInd w:val="0"/>
                    <w:snapToGrid w:val="0"/>
                    <w:jc w:val="center"/>
                    <w:rPr>
                      <w:i w:val="0"/>
                      <w:iCs w:val="0"/>
                      <w:color w:val="auto"/>
                      <w:sz w:val="18"/>
                      <w:szCs w:val="18"/>
                      <w:u w:val="none"/>
                    </w:rPr>
                  </w:pPr>
                  <w:r>
                    <w:rPr>
                      <w:rFonts w:hint="eastAsia"/>
                      <w:i w:val="0"/>
                      <w:iCs w:val="0"/>
                      <w:color w:val="auto"/>
                      <w:sz w:val="18"/>
                      <w:szCs w:val="18"/>
                      <w:u w:val="none"/>
                    </w:rPr>
                    <w:t>2</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21CD3528">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溶解性总固体</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4747BDAA">
                  <w:pPr>
                    <w:adjustRightInd w:val="0"/>
                    <w:snapToGrid w:val="0"/>
                    <w:jc w:val="center"/>
                    <w:rPr>
                      <w:rFonts w:ascii="宋体" w:hAnsi="宋体" w:eastAsia="宋体" w:cs="宋体"/>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1000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76B99488">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0.052</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center"/>
                </w:tcPr>
                <w:p w14:paraId="20A2BD6B">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达标</w:t>
                  </w:r>
                </w:p>
              </w:tc>
            </w:tr>
            <w:tr w14:paraId="060DD0DE">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664EBC35">
                  <w:pPr>
                    <w:widowControl/>
                    <w:adjustRightInd w:val="0"/>
                    <w:snapToGrid w:val="0"/>
                    <w:jc w:val="center"/>
                    <w:rPr>
                      <w:i w:val="0"/>
                      <w:iCs w:val="0"/>
                      <w:color w:val="auto"/>
                      <w:sz w:val="18"/>
                      <w:szCs w:val="18"/>
                      <w:u w:val="none"/>
                    </w:rPr>
                  </w:pPr>
                  <w:r>
                    <w:rPr>
                      <w:rFonts w:hint="eastAsia"/>
                      <w:i w:val="0"/>
                      <w:iCs w:val="0"/>
                      <w:color w:val="auto"/>
                      <w:sz w:val="18"/>
                      <w:szCs w:val="18"/>
                      <w:u w:val="none"/>
                    </w:rPr>
                    <w:t>3</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22E98FBA">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硫酸盐</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56377C79">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250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16BC60E1">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0.138</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center"/>
                </w:tcPr>
                <w:p w14:paraId="4872C18B">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达标</w:t>
                  </w:r>
                </w:p>
              </w:tc>
            </w:tr>
            <w:tr w14:paraId="266F37A4">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5FE4DF40">
                  <w:pPr>
                    <w:widowControl/>
                    <w:adjustRightInd w:val="0"/>
                    <w:snapToGrid w:val="0"/>
                    <w:jc w:val="center"/>
                    <w:rPr>
                      <w:i w:val="0"/>
                      <w:iCs w:val="0"/>
                      <w:color w:val="auto"/>
                      <w:sz w:val="18"/>
                      <w:szCs w:val="18"/>
                      <w:u w:val="none"/>
                    </w:rPr>
                  </w:pPr>
                  <w:r>
                    <w:rPr>
                      <w:rFonts w:hint="eastAsia"/>
                      <w:i w:val="0"/>
                      <w:iCs w:val="0"/>
                      <w:color w:val="auto"/>
                      <w:sz w:val="18"/>
                      <w:szCs w:val="18"/>
                      <w:u w:val="none"/>
                    </w:rPr>
                    <w:t>4</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1FE3BD5D">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氯化物</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688CE038">
                  <w:pPr>
                    <w:adjustRightInd w:val="0"/>
                    <w:snapToGrid w:val="0"/>
                    <w:jc w:val="center"/>
                    <w:rPr>
                      <w:rFonts w:ascii="宋体" w:hAnsi="宋体" w:eastAsia="宋体" w:cs="宋体"/>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250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4248BB42">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0.012</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center"/>
                </w:tcPr>
                <w:p w14:paraId="68E1B452">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达标</w:t>
                  </w:r>
                </w:p>
              </w:tc>
            </w:tr>
            <w:tr w14:paraId="30EA8E7A">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218D7F6A">
                  <w:pPr>
                    <w:widowControl/>
                    <w:adjustRightInd w:val="0"/>
                    <w:snapToGrid w:val="0"/>
                    <w:jc w:val="center"/>
                    <w:rPr>
                      <w:i w:val="0"/>
                      <w:iCs w:val="0"/>
                      <w:color w:val="auto"/>
                      <w:sz w:val="18"/>
                      <w:szCs w:val="18"/>
                      <w:u w:val="none"/>
                    </w:rPr>
                  </w:pPr>
                  <w:r>
                    <w:rPr>
                      <w:rFonts w:hint="eastAsia"/>
                      <w:i w:val="0"/>
                      <w:iCs w:val="0"/>
                      <w:color w:val="auto"/>
                      <w:sz w:val="18"/>
                      <w:szCs w:val="18"/>
                      <w:u w:val="none"/>
                    </w:rPr>
                    <w:t>5</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05C95D0B">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硝酸盐</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123E2B53">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20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2CA4617B">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0.016</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top"/>
                </w:tcPr>
                <w:p w14:paraId="3C6C1760">
                  <w:pPr>
                    <w:jc w:val="center"/>
                    <w:rPr>
                      <w:rFonts w:ascii="Times New Roman" w:hAnsi="Times New Roman" w:eastAsia="宋体" w:cs="Times New Roman"/>
                      <w:i w:val="0"/>
                      <w:iCs w:val="0"/>
                      <w:color w:val="auto"/>
                      <w:sz w:val="21"/>
                      <w:szCs w:val="21"/>
                      <w:u w:val="none"/>
                      <w:lang w:val="en-US" w:eastAsia="zh-CN" w:bidi="ar-SA"/>
                    </w:rPr>
                  </w:pPr>
                  <w:r>
                    <w:rPr>
                      <w:i w:val="0"/>
                      <w:iCs w:val="0"/>
                      <w:color w:val="auto"/>
                      <w:sz w:val="18"/>
                      <w:szCs w:val="18"/>
                      <w:u w:val="none"/>
                    </w:rPr>
                    <w:t>达标</w:t>
                  </w:r>
                </w:p>
              </w:tc>
            </w:tr>
            <w:tr w14:paraId="6D8A372B">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0298DB4F">
                  <w:pPr>
                    <w:widowControl/>
                    <w:adjustRightInd w:val="0"/>
                    <w:snapToGrid w:val="0"/>
                    <w:jc w:val="center"/>
                    <w:rPr>
                      <w:i w:val="0"/>
                      <w:iCs w:val="0"/>
                      <w:color w:val="auto"/>
                      <w:sz w:val="18"/>
                      <w:szCs w:val="18"/>
                      <w:u w:val="none"/>
                    </w:rPr>
                  </w:pPr>
                  <w:r>
                    <w:rPr>
                      <w:rFonts w:hint="eastAsia"/>
                      <w:i w:val="0"/>
                      <w:iCs w:val="0"/>
                      <w:color w:val="auto"/>
                      <w:sz w:val="18"/>
                      <w:szCs w:val="18"/>
                      <w:u w:val="none"/>
                    </w:rPr>
                    <w:t>6</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5925ECCF">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亚硝酸盐</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1437B3B1">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1.00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65A13736">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top"/>
                </w:tcPr>
                <w:p w14:paraId="1AACFB30">
                  <w:pPr>
                    <w:jc w:val="center"/>
                    <w:rPr>
                      <w:rFonts w:ascii="Times New Roman" w:hAnsi="Times New Roman" w:eastAsia="宋体" w:cs="Times New Roman"/>
                      <w:i w:val="0"/>
                      <w:iCs w:val="0"/>
                      <w:color w:val="auto"/>
                      <w:sz w:val="21"/>
                      <w:szCs w:val="21"/>
                      <w:u w:val="none"/>
                      <w:lang w:val="en-US" w:eastAsia="zh-CN" w:bidi="ar-SA"/>
                    </w:rPr>
                  </w:pPr>
                  <w:r>
                    <w:rPr>
                      <w:i w:val="0"/>
                      <w:iCs w:val="0"/>
                      <w:color w:val="auto"/>
                      <w:sz w:val="18"/>
                      <w:szCs w:val="18"/>
                      <w:u w:val="none"/>
                    </w:rPr>
                    <w:t>达标</w:t>
                  </w:r>
                </w:p>
              </w:tc>
            </w:tr>
            <w:tr w14:paraId="2FADB548">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02A7AB45">
                  <w:pPr>
                    <w:widowControl/>
                    <w:adjustRightInd w:val="0"/>
                    <w:snapToGrid w:val="0"/>
                    <w:jc w:val="center"/>
                    <w:rPr>
                      <w:i w:val="0"/>
                      <w:iCs w:val="0"/>
                      <w:color w:val="auto"/>
                      <w:sz w:val="18"/>
                      <w:szCs w:val="18"/>
                      <w:u w:val="none"/>
                    </w:rPr>
                  </w:pPr>
                  <w:r>
                    <w:rPr>
                      <w:rFonts w:hint="eastAsia"/>
                      <w:i w:val="0"/>
                      <w:iCs w:val="0"/>
                      <w:color w:val="auto"/>
                      <w:sz w:val="18"/>
                      <w:szCs w:val="18"/>
                      <w:u w:val="none"/>
                    </w:rPr>
                    <w:t>7</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65679B6C">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耗氧量</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4794FF48">
                  <w:pPr>
                    <w:widowControl/>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3.0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208600AD">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0.49</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center"/>
                </w:tcPr>
                <w:p w14:paraId="4444A049">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达标</w:t>
                  </w:r>
                </w:p>
              </w:tc>
            </w:tr>
            <w:tr w14:paraId="7604E1D5">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4A6E5D22">
                  <w:pPr>
                    <w:widowControl/>
                    <w:adjustRightInd w:val="0"/>
                    <w:snapToGrid w:val="0"/>
                    <w:jc w:val="center"/>
                    <w:rPr>
                      <w:i w:val="0"/>
                      <w:iCs w:val="0"/>
                      <w:color w:val="auto"/>
                      <w:sz w:val="18"/>
                      <w:szCs w:val="18"/>
                      <w:u w:val="none"/>
                    </w:rPr>
                  </w:pPr>
                  <w:r>
                    <w:rPr>
                      <w:rFonts w:hint="eastAsia"/>
                      <w:i w:val="0"/>
                      <w:iCs w:val="0"/>
                      <w:color w:val="auto"/>
                      <w:sz w:val="18"/>
                      <w:szCs w:val="18"/>
                      <w:u w:val="none"/>
                    </w:rPr>
                    <w:t>8</w:t>
                  </w:r>
                </w:p>
              </w:tc>
              <w:tc>
                <w:tcPr>
                  <w:tcW w:w="1564" w:type="pct"/>
                  <w:tcBorders>
                    <w:top w:val="single" w:color="000000" w:sz="4" w:space="0"/>
                    <w:left w:val="single" w:color="000000" w:sz="4" w:space="0"/>
                    <w:bottom w:val="single" w:color="000000" w:sz="4" w:space="0"/>
                    <w:right w:val="single" w:color="auto" w:sz="4" w:space="0"/>
                  </w:tcBorders>
                  <w:shd w:val="clear" w:color="auto" w:fill="auto"/>
                  <w:vAlign w:val="center"/>
                </w:tcPr>
                <w:p w14:paraId="431E9DAD">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氨氮</w:t>
                  </w: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14:paraId="2B36D8CE">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0.50</w:t>
                  </w:r>
                </w:p>
              </w:tc>
              <w:tc>
                <w:tcPr>
                  <w:tcW w:w="940" w:type="pct"/>
                  <w:tcBorders>
                    <w:top w:val="single" w:color="000000" w:sz="4" w:space="0"/>
                    <w:left w:val="single" w:color="000000" w:sz="4" w:space="0"/>
                    <w:bottom w:val="single" w:color="000000" w:sz="4" w:space="0"/>
                    <w:right w:val="single" w:color="auto" w:sz="4" w:space="0"/>
                  </w:tcBorders>
                  <w:shd w:val="clear" w:color="auto" w:fill="auto"/>
                  <w:vAlign w:val="center"/>
                </w:tcPr>
                <w:p w14:paraId="166D5E72">
                  <w:pPr>
                    <w:adjustRightInd w:val="0"/>
                    <w:snapToGrid w:val="0"/>
                    <w:jc w:val="center"/>
                    <w:rPr>
                      <w:rFonts w:hint="default" w:ascii="Times New Roman" w:hAnsi="Times New Roman" w:eastAsia="宋体" w:cs="Times New Roman"/>
                      <w:i w:val="0"/>
                      <w:iCs w:val="0"/>
                      <w:color w:val="auto"/>
                      <w:sz w:val="18"/>
                      <w:szCs w:val="18"/>
                      <w:u w:val="none"/>
                      <w:lang w:val="en-US" w:eastAsia="zh-CN" w:bidi="ar-SA"/>
                    </w:rPr>
                  </w:pPr>
                  <w:r>
                    <w:rPr>
                      <w:rFonts w:hint="eastAsia" w:eastAsia="宋体" w:cs="Times New Roman"/>
                      <w:i w:val="0"/>
                      <w:iCs w:val="0"/>
                      <w:color w:val="auto"/>
                      <w:sz w:val="18"/>
                      <w:szCs w:val="18"/>
                      <w:u w:val="none"/>
                      <w:lang w:val="en-US" w:eastAsia="zh-CN" w:bidi="ar-SA"/>
                    </w:rPr>
                    <w:t>0.28</w:t>
                  </w:r>
                </w:p>
              </w:tc>
              <w:tc>
                <w:tcPr>
                  <w:tcW w:w="917" w:type="pct"/>
                  <w:tcBorders>
                    <w:top w:val="single" w:color="000000" w:sz="4" w:space="0"/>
                    <w:left w:val="single" w:color="auto" w:sz="4" w:space="0"/>
                    <w:bottom w:val="single" w:color="000000" w:sz="4" w:space="0"/>
                    <w:right w:val="single" w:color="FFFFFF" w:themeColor="background1" w:sz="4" w:space="0"/>
                  </w:tcBorders>
                  <w:shd w:val="clear" w:color="auto" w:fill="auto"/>
                  <w:vAlign w:val="center"/>
                </w:tcPr>
                <w:p w14:paraId="28B7B1CF">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达标</w:t>
                  </w:r>
                </w:p>
              </w:tc>
            </w:tr>
            <w:tr w14:paraId="711C59FB">
              <w:tblPrEx>
                <w:tblCellMar>
                  <w:top w:w="15" w:type="dxa"/>
                  <w:left w:w="108" w:type="dxa"/>
                  <w:bottom w:w="15" w:type="dxa"/>
                  <w:right w:w="108" w:type="dxa"/>
                </w:tblCellMar>
              </w:tblPrEx>
              <w:trPr>
                <w:gridAfter w:val="1"/>
                <w:wAfter w:w="6" w:type="pct"/>
                <w:trHeight w:val="90"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353EA7AF">
                  <w:pPr>
                    <w:widowControl/>
                    <w:adjustRightInd w:val="0"/>
                    <w:snapToGrid w:val="0"/>
                    <w:jc w:val="center"/>
                    <w:rPr>
                      <w:i w:val="0"/>
                      <w:iCs w:val="0"/>
                      <w:color w:val="auto"/>
                      <w:sz w:val="18"/>
                      <w:szCs w:val="18"/>
                      <w:u w:val="none"/>
                    </w:rPr>
                  </w:pPr>
                  <w:r>
                    <w:rPr>
                      <w:rFonts w:hint="eastAsia"/>
                      <w:i w:val="0"/>
                      <w:iCs w:val="0"/>
                      <w:color w:val="auto"/>
                      <w:sz w:val="18"/>
                      <w:szCs w:val="18"/>
                      <w:u w:val="none"/>
                    </w:rPr>
                    <w:t>9</w:t>
                  </w:r>
                </w:p>
              </w:tc>
              <w:tc>
                <w:tcPr>
                  <w:tcW w:w="1564" w:type="pct"/>
                  <w:tcBorders>
                    <w:top w:val="single" w:color="000000" w:sz="4" w:space="0"/>
                    <w:left w:val="single" w:color="000000" w:sz="4" w:space="0"/>
                    <w:bottom w:val="single" w:color="000000" w:sz="4" w:space="0"/>
                    <w:right w:val="single" w:color="auto" w:sz="4" w:space="0"/>
                  </w:tcBorders>
                  <w:vAlign w:val="center"/>
                </w:tcPr>
                <w:p w14:paraId="2BFA88F0">
                  <w:pPr>
                    <w:snapToGrid w:val="0"/>
                    <w:jc w:val="center"/>
                    <w:rPr>
                      <w:rFonts w:hint="eastAsia" w:eastAsia="宋体"/>
                      <w:i w:val="0"/>
                      <w:iCs w:val="0"/>
                      <w:color w:val="auto"/>
                      <w:sz w:val="18"/>
                      <w:szCs w:val="18"/>
                      <w:u w:val="none"/>
                      <w:lang w:val="en-US" w:eastAsia="zh-CN"/>
                    </w:rPr>
                  </w:pPr>
                  <w:r>
                    <w:rPr>
                      <w:rFonts w:hint="eastAsia"/>
                      <w:i w:val="0"/>
                      <w:iCs w:val="0"/>
                      <w:color w:val="auto"/>
                      <w:sz w:val="18"/>
                      <w:szCs w:val="18"/>
                      <w:u w:val="none"/>
                      <w:lang w:val="en-US" w:eastAsia="zh-CN"/>
                    </w:rPr>
                    <w:t>氰化物</w:t>
                  </w:r>
                </w:p>
              </w:tc>
              <w:tc>
                <w:tcPr>
                  <w:tcW w:w="945" w:type="pct"/>
                  <w:tcBorders>
                    <w:top w:val="single" w:color="000000" w:sz="4" w:space="0"/>
                    <w:left w:val="single" w:color="auto" w:sz="4" w:space="0"/>
                    <w:bottom w:val="single" w:color="000000" w:sz="4" w:space="0"/>
                    <w:right w:val="single" w:color="000000" w:sz="4" w:space="0"/>
                  </w:tcBorders>
                  <w:vAlign w:val="center"/>
                </w:tcPr>
                <w:p w14:paraId="63C99381">
                  <w:pPr>
                    <w:adjustRightInd w:val="0"/>
                    <w:snapToGrid w:val="0"/>
                    <w:jc w:val="center"/>
                    <w:rPr>
                      <w:rFonts w:hint="eastAsia" w:eastAsia="宋体"/>
                      <w:i w:val="0"/>
                      <w:iCs w:val="0"/>
                      <w:color w:val="auto"/>
                      <w:sz w:val="18"/>
                      <w:szCs w:val="18"/>
                      <w:u w:val="none"/>
                      <w:lang w:val="en-US" w:eastAsia="zh-CN"/>
                    </w:rPr>
                  </w:pPr>
                  <w:r>
                    <w:rPr>
                      <w:i w:val="0"/>
                      <w:iCs w:val="0"/>
                      <w:color w:val="auto"/>
                      <w:sz w:val="18"/>
                      <w:szCs w:val="18"/>
                      <w:u w:val="none"/>
                    </w:rPr>
                    <w:t>≤</w:t>
                  </w:r>
                  <w:r>
                    <w:rPr>
                      <w:rFonts w:hint="eastAsia"/>
                      <w:i w:val="0"/>
                      <w:iCs w:val="0"/>
                      <w:color w:val="auto"/>
                      <w:sz w:val="18"/>
                      <w:szCs w:val="18"/>
                      <w:u w:val="none"/>
                    </w:rPr>
                    <w:t>0.0</w:t>
                  </w:r>
                  <w:r>
                    <w:rPr>
                      <w:rFonts w:hint="eastAsia"/>
                      <w:i w:val="0"/>
                      <w:iCs w:val="0"/>
                      <w:color w:val="auto"/>
                      <w:sz w:val="18"/>
                      <w:szCs w:val="18"/>
                      <w:u w:val="none"/>
                      <w:lang w:val="en-US" w:eastAsia="zh-CN"/>
                    </w:rPr>
                    <w:t>5</w:t>
                  </w:r>
                </w:p>
              </w:tc>
              <w:tc>
                <w:tcPr>
                  <w:tcW w:w="940" w:type="pct"/>
                  <w:tcBorders>
                    <w:top w:val="single" w:color="000000" w:sz="4" w:space="0"/>
                    <w:left w:val="single" w:color="000000" w:sz="4" w:space="0"/>
                    <w:bottom w:val="single" w:color="000000" w:sz="4" w:space="0"/>
                    <w:right w:val="single" w:color="auto" w:sz="4" w:space="0"/>
                  </w:tcBorders>
                  <w:vAlign w:val="center"/>
                </w:tcPr>
                <w:p w14:paraId="2D60A900">
                  <w:pPr>
                    <w:adjustRightInd w:val="0"/>
                    <w:snapToGrid w:val="0"/>
                    <w:jc w:val="center"/>
                    <w:rPr>
                      <w:rFonts w:hint="default" w:eastAsia="宋体"/>
                      <w:i w:val="0"/>
                      <w:iCs w:val="0"/>
                      <w:color w:val="auto"/>
                      <w:sz w:val="18"/>
                      <w:szCs w:val="18"/>
                      <w:u w:val="none"/>
                      <w:lang w:val="en-US" w:eastAsia="zh-CN"/>
                    </w:rPr>
                  </w:pPr>
                  <w:r>
                    <w:rPr>
                      <w:rFonts w:hint="eastAsia" w:eastAsia="宋体"/>
                      <w:i w:val="0"/>
                      <w:iCs w:val="0"/>
                      <w:color w:val="auto"/>
                      <w:sz w:val="18"/>
                      <w:szCs w:val="18"/>
                      <w:u w:val="none"/>
                      <w:lang w:val="en-US" w:eastAsia="zh-CN"/>
                    </w:rPr>
                    <w:t>/</w:t>
                  </w:r>
                </w:p>
              </w:tc>
              <w:tc>
                <w:tcPr>
                  <w:tcW w:w="917" w:type="pct"/>
                  <w:tcBorders>
                    <w:top w:val="single" w:color="000000" w:sz="4" w:space="0"/>
                    <w:left w:val="single" w:color="auto" w:sz="4" w:space="0"/>
                    <w:bottom w:val="single" w:color="000000" w:sz="4" w:space="0"/>
                    <w:right w:val="single" w:color="FFFFFF" w:themeColor="background1" w:sz="4" w:space="0"/>
                  </w:tcBorders>
                </w:tcPr>
                <w:p w14:paraId="74A38295">
                  <w:pPr>
                    <w:jc w:val="center"/>
                    <w:rPr>
                      <w:i w:val="0"/>
                      <w:iCs w:val="0"/>
                      <w:color w:val="auto"/>
                      <w:u w:val="none"/>
                    </w:rPr>
                  </w:pPr>
                  <w:r>
                    <w:rPr>
                      <w:i w:val="0"/>
                      <w:iCs w:val="0"/>
                      <w:color w:val="auto"/>
                      <w:sz w:val="18"/>
                      <w:szCs w:val="18"/>
                      <w:u w:val="none"/>
                    </w:rPr>
                    <w:t>达标</w:t>
                  </w:r>
                </w:p>
              </w:tc>
            </w:tr>
            <w:tr w14:paraId="60DEF599">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045C9FE2">
                  <w:pPr>
                    <w:widowControl/>
                    <w:adjustRightInd w:val="0"/>
                    <w:snapToGrid w:val="0"/>
                    <w:jc w:val="center"/>
                    <w:rPr>
                      <w:i w:val="0"/>
                      <w:iCs w:val="0"/>
                      <w:color w:val="auto"/>
                      <w:sz w:val="18"/>
                      <w:szCs w:val="18"/>
                      <w:u w:val="none"/>
                    </w:rPr>
                  </w:pPr>
                  <w:r>
                    <w:rPr>
                      <w:rFonts w:hint="eastAsia"/>
                      <w:i w:val="0"/>
                      <w:iCs w:val="0"/>
                      <w:color w:val="auto"/>
                      <w:sz w:val="18"/>
                      <w:szCs w:val="18"/>
                      <w:u w:val="none"/>
                    </w:rPr>
                    <w:t>1</w:t>
                  </w:r>
                  <w:r>
                    <w:rPr>
                      <w:i w:val="0"/>
                      <w:iCs w:val="0"/>
                      <w:color w:val="auto"/>
                      <w:sz w:val="18"/>
                      <w:szCs w:val="18"/>
                      <w:u w:val="none"/>
                    </w:rPr>
                    <w:t>0</w:t>
                  </w:r>
                </w:p>
              </w:tc>
              <w:tc>
                <w:tcPr>
                  <w:tcW w:w="1564" w:type="pct"/>
                  <w:tcBorders>
                    <w:top w:val="single" w:color="000000" w:sz="4" w:space="0"/>
                    <w:left w:val="single" w:color="000000" w:sz="4" w:space="0"/>
                    <w:bottom w:val="single" w:color="000000" w:sz="4" w:space="0"/>
                    <w:right w:val="single" w:color="auto" w:sz="4" w:space="0"/>
                  </w:tcBorders>
                  <w:vAlign w:val="center"/>
                </w:tcPr>
                <w:p w14:paraId="4FA7D311">
                  <w:pPr>
                    <w:snapToGrid w:val="0"/>
                    <w:jc w:val="center"/>
                    <w:rPr>
                      <w:i w:val="0"/>
                      <w:iCs w:val="0"/>
                      <w:color w:val="auto"/>
                      <w:sz w:val="18"/>
                      <w:szCs w:val="18"/>
                      <w:u w:val="none"/>
                    </w:rPr>
                  </w:pPr>
                  <w:r>
                    <w:rPr>
                      <w:i w:val="0"/>
                      <w:iCs w:val="0"/>
                      <w:color w:val="auto"/>
                      <w:sz w:val="18"/>
                      <w:szCs w:val="18"/>
                      <w:u w:val="none"/>
                    </w:rPr>
                    <w:t>氟化物</w:t>
                  </w:r>
                </w:p>
              </w:tc>
              <w:tc>
                <w:tcPr>
                  <w:tcW w:w="945" w:type="pct"/>
                  <w:tcBorders>
                    <w:top w:val="single" w:color="000000" w:sz="4" w:space="0"/>
                    <w:left w:val="single" w:color="auto" w:sz="4" w:space="0"/>
                    <w:bottom w:val="single" w:color="000000" w:sz="4" w:space="0"/>
                    <w:right w:val="single" w:color="000000" w:sz="4" w:space="0"/>
                  </w:tcBorders>
                  <w:vAlign w:val="center"/>
                </w:tcPr>
                <w:p w14:paraId="30FA32FE">
                  <w:pPr>
                    <w:adjustRightInd w:val="0"/>
                    <w:snapToGrid w:val="0"/>
                    <w:jc w:val="center"/>
                    <w:rPr>
                      <w:i w:val="0"/>
                      <w:iCs w:val="0"/>
                      <w:color w:val="auto"/>
                      <w:sz w:val="18"/>
                      <w:szCs w:val="18"/>
                      <w:u w:val="none"/>
                    </w:rPr>
                  </w:pPr>
                  <w:r>
                    <w:rPr>
                      <w:i w:val="0"/>
                      <w:iCs w:val="0"/>
                      <w:color w:val="auto"/>
                      <w:sz w:val="18"/>
                      <w:szCs w:val="18"/>
                      <w:u w:val="none"/>
                    </w:rPr>
                    <w:t>≤</w:t>
                  </w:r>
                  <w:r>
                    <w:rPr>
                      <w:rFonts w:hint="eastAsia"/>
                      <w:i w:val="0"/>
                      <w:iCs w:val="0"/>
                      <w:color w:val="auto"/>
                      <w:sz w:val="18"/>
                      <w:szCs w:val="18"/>
                      <w:u w:val="none"/>
                    </w:rPr>
                    <w:t>1.0</w:t>
                  </w:r>
                </w:p>
              </w:tc>
              <w:tc>
                <w:tcPr>
                  <w:tcW w:w="940" w:type="pct"/>
                  <w:tcBorders>
                    <w:top w:val="single" w:color="000000" w:sz="4" w:space="0"/>
                    <w:left w:val="single" w:color="000000" w:sz="4" w:space="0"/>
                    <w:bottom w:val="single" w:color="000000" w:sz="4" w:space="0"/>
                    <w:right w:val="single" w:color="auto" w:sz="4" w:space="0"/>
                  </w:tcBorders>
                  <w:vAlign w:val="center"/>
                </w:tcPr>
                <w:p w14:paraId="381B13D6">
                  <w:pPr>
                    <w:adjustRightInd w:val="0"/>
                    <w:snapToGrid w:val="0"/>
                    <w:jc w:val="center"/>
                    <w:rPr>
                      <w:rFonts w:hint="eastAsia" w:eastAsia="宋体"/>
                      <w:i w:val="0"/>
                      <w:iCs w:val="0"/>
                      <w:color w:val="auto"/>
                      <w:sz w:val="18"/>
                      <w:szCs w:val="18"/>
                      <w:u w:val="none"/>
                      <w:lang w:val="en-US" w:eastAsia="zh-CN"/>
                    </w:rPr>
                  </w:pPr>
                  <w:r>
                    <w:rPr>
                      <w:rFonts w:hint="eastAsia"/>
                      <w:i w:val="0"/>
                      <w:iCs w:val="0"/>
                      <w:color w:val="auto"/>
                      <w:sz w:val="18"/>
                      <w:szCs w:val="18"/>
                      <w:u w:val="none"/>
                      <w:lang w:val="en-US" w:eastAsia="zh-CN"/>
                    </w:rPr>
                    <w:t>/</w:t>
                  </w:r>
                </w:p>
              </w:tc>
              <w:tc>
                <w:tcPr>
                  <w:tcW w:w="917" w:type="pct"/>
                  <w:tcBorders>
                    <w:top w:val="single" w:color="000000" w:sz="4" w:space="0"/>
                    <w:left w:val="single" w:color="auto" w:sz="4" w:space="0"/>
                    <w:bottom w:val="single" w:color="000000" w:sz="4" w:space="0"/>
                    <w:right w:val="single" w:color="FFFFFF" w:themeColor="background1" w:sz="4" w:space="0"/>
                  </w:tcBorders>
                </w:tcPr>
                <w:p w14:paraId="7F90ABA3">
                  <w:pPr>
                    <w:jc w:val="center"/>
                    <w:rPr>
                      <w:i w:val="0"/>
                      <w:iCs w:val="0"/>
                      <w:color w:val="auto"/>
                      <w:u w:val="none"/>
                    </w:rPr>
                  </w:pPr>
                  <w:r>
                    <w:rPr>
                      <w:i w:val="0"/>
                      <w:iCs w:val="0"/>
                      <w:color w:val="auto"/>
                      <w:sz w:val="18"/>
                      <w:szCs w:val="18"/>
                      <w:u w:val="none"/>
                    </w:rPr>
                    <w:t>达标</w:t>
                  </w:r>
                </w:p>
              </w:tc>
            </w:tr>
            <w:tr w14:paraId="17C54567">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000000" w:sz="4" w:space="0"/>
                    <w:right w:val="single" w:color="000000" w:sz="4" w:space="0"/>
                  </w:tcBorders>
                  <w:vAlign w:val="center"/>
                </w:tcPr>
                <w:p w14:paraId="514F283E">
                  <w:pPr>
                    <w:widowControl/>
                    <w:adjustRightInd w:val="0"/>
                    <w:snapToGrid w:val="0"/>
                    <w:jc w:val="center"/>
                    <w:rPr>
                      <w:i w:val="0"/>
                      <w:iCs w:val="0"/>
                      <w:color w:val="auto"/>
                      <w:sz w:val="18"/>
                      <w:szCs w:val="18"/>
                      <w:u w:val="none"/>
                    </w:rPr>
                  </w:pPr>
                  <w:r>
                    <w:rPr>
                      <w:rFonts w:hint="eastAsia"/>
                      <w:i w:val="0"/>
                      <w:iCs w:val="0"/>
                      <w:color w:val="auto"/>
                      <w:sz w:val="18"/>
                      <w:szCs w:val="18"/>
                      <w:u w:val="none"/>
                    </w:rPr>
                    <w:t>1</w:t>
                  </w:r>
                  <w:r>
                    <w:rPr>
                      <w:i w:val="0"/>
                      <w:iCs w:val="0"/>
                      <w:color w:val="auto"/>
                      <w:sz w:val="18"/>
                      <w:szCs w:val="18"/>
                      <w:u w:val="none"/>
                    </w:rPr>
                    <w:t>1</w:t>
                  </w:r>
                </w:p>
              </w:tc>
              <w:tc>
                <w:tcPr>
                  <w:tcW w:w="1564" w:type="pct"/>
                  <w:tcBorders>
                    <w:top w:val="single" w:color="000000" w:sz="4" w:space="0"/>
                    <w:left w:val="single" w:color="000000" w:sz="4" w:space="0"/>
                    <w:bottom w:val="single" w:color="000000" w:sz="4" w:space="0"/>
                    <w:right w:val="single" w:color="auto" w:sz="4" w:space="0"/>
                  </w:tcBorders>
                  <w:vAlign w:val="center"/>
                </w:tcPr>
                <w:p w14:paraId="06E3F8E1">
                  <w:pPr>
                    <w:snapToGrid w:val="0"/>
                    <w:jc w:val="center"/>
                    <w:rPr>
                      <w:i w:val="0"/>
                      <w:iCs w:val="0"/>
                      <w:color w:val="auto"/>
                      <w:sz w:val="18"/>
                      <w:szCs w:val="18"/>
                      <w:u w:val="none"/>
                    </w:rPr>
                  </w:pPr>
                  <w:r>
                    <w:rPr>
                      <w:i w:val="0"/>
                      <w:iCs w:val="0"/>
                      <w:color w:val="auto"/>
                      <w:sz w:val="18"/>
                      <w:szCs w:val="18"/>
                      <w:u w:val="none"/>
                    </w:rPr>
                    <w:t>铅</w:t>
                  </w:r>
                </w:p>
              </w:tc>
              <w:tc>
                <w:tcPr>
                  <w:tcW w:w="945" w:type="pct"/>
                  <w:tcBorders>
                    <w:top w:val="single" w:color="000000" w:sz="4" w:space="0"/>
                    <w:left w:val="single" w:color="auto" w:sz="4" w:space="0"/>
                    <w:bottom w:val="single" w:color="000000" w:sz="4" w:space="0"/>
                    <w:right w:val="single" w:color="000000" w:sz="4" w:space="0"/>
                  </w:tcBorders>
                  <w:vAlign w:val="center"/>
                </w:tcPr>
                <w:p w14:paraId="3140E60C">
                  <w:pPr>
                    <w:adjustRightInd w:val="0"/>
                    <w:snapToGrid w:val="0"/>
                    <w:jc w:val="center"/>
                    <w:rPr>
                      <w:i w:val="0"/>
                      <w:iCs w:val="0"/>
                      <w:color w:val="auto"/>
                      <w:sz w:val="18"/>
                      <w:szCs w:val="18"/>
                      <w:u w:val="none"/>
                    </w:rPr>
                  </w:pPr>
                  <w:r>
                    <w:rPr>
                      <w:i w:val="0"/>
                      <w:iCs w:val="0"/>
                      <w:color w:val="auto"/>
                      <w:sz w:val="18"/>
                      <w:szCs w:val="18"/>
                      <w:u w:val="none"/>
                    </w:rPr>
                    <w:t>≤</w:t>
                  </w:r>
                  <w:r>
                    <w:rPr>
                      <w:rFonts w:hint="eastAsia"/>
                      <w:i w:val="0"/>
                      <w:iCs w:val="0"/>
                      <w:color w:val="auto"/>
                      <w:sz w:val="18"/>
                      <w:szCs w:val="18"/>
                      <w:u w:val="none"/>
                    </w:rPr>
                    <w:t>0.01</w:t>
                  </w:r>
                </w:p>
              </w:tc>
              <w:tc>
                <w:tcPr>
                  <w:tcW w:w="940" w:type="pct"/>
                  <w:tcBorders>
                    <w:top w:val="single" w:color="000000" w:sz="4" w:space="0"/>
                    <w:left w:val="single" w:color="000000" w:sz="4" w:space="0"/>
                    <w:bottom w:val="single" w:color="000000" w:sz="4" w:space="0"/>
                    <w:right w:val="single" w:color="auto" w:sz="4" w:space="0"/>
                  </w:tcBorders>
                  <w:vAlign w:val="center"/>
                </w:tcPr>
                <w:p w14:paraId="2902C8F5">
                  <w:pPr>
                    <w:adjustRightInd w:val="0"/>
                    <w:snapToGrid w:val="0"/>
                    <w:jc w:val="center"/>
                    <w:rPr>
                      <w:rFonts w:hint="eastAsia" w:eastAsia="宋体"/>
                      <w:i w:val="0"/>
                      <w:iCs w:val="0"/>
                      <w:color w:val="auto"/>
                      <w:sz w:val="18"/>
                      <w:szCs w:val="18"/>
                      <w:u w:val="none"/>
                      <w:lang w:val="en-US" w:eastAsia="zh-CN"/>
                    </w:rPr>
                  </w:pPr>
                  <w:r>
                    <w:rPr>
                      <w:rFonts w:hint="eastAsia"/>
                      <w:i w:val="0"/>
                      <w:iCs w:val="0"/>
                      <w:color w:val="auto"/>
                      <w:sz w:val="18"/>
                      <w:szCs w:val="18"/>
                      <w:u w:val="none"/>
                      <w:lang w:val="en-US" w:eastAsia="zh-CN"/>
                    </w:rPr>
                    <w:t>/</w:t>
                  </w:r>
                </w:p>
              </w:tc>
              <w:tc>
                <w:tcPr>
                  <w:tcW w:w="917" w:type="pct"/>
                  <w:tcBorders>
                    <w:top w:val="single" w:color="000000" w:sz="4" w:space="0"/>
                    <w:left w:val="single" w:color="auto" w:sz="4" w:space="0"/>
                    <w:bottom w:val="single" w:color="000000" w:sz="4" w:space="0"/>
                    <w:right w:val="single" w:color="FFFFFF" w:themeColor="background1" w:sz="4" w:space="0"/>
                  </w:tcBorders>
                </w:tcPr>
                <w:p w14:paraId="103C63DB">
                  <w:pPr>
                    <w:jc w:val="center"/>
                    <w:rPr>
                      <w:i w:val="0"/>
                      <w:iCs w:val="0"/>
                      <w:color w:val="auto"/>
                      <w:u w:val="none"/>
                    </w:rPr>
                  </w:pPr>
                  <w:r>
                    <w:rPr>
                      <w:i w:val="0"/>
                      <w:iCs w:val="0"/>
                      <w:color w:val="auto"/>
                      <w:sz w:val="18"/>
                      <w:szCs w:val="18"/>
                      <w:u w:val="none"/>
                    </w:rPr>
                    <w:t>达标</w:t>
                  </w:r>
                </w:p>
              </w:tc>
            </w:tr>
            <w:tr w14:paraId="59479157">
              <w:tblPrEx>
                <w:tblCellMar>
                  <w:top w:w="15" w:type="dxa"/>
                  <w:left w:w="108" w:type="dxa"/>
                  <w:bottom w:w="15" w:type="dxa"/>
                  <w:right w:w="108" w:type="dxa"/>
                </w:tblCellMar>
              </w:tblPrEx>
              <w:trPr>
                <w:gridAfter w:val="1"/>
                <w:wAfter w:w="6" w:type="pct"/>
                <w:trHeight w:val="284" w:hRule="atLeast"/>
              </w:trPr>
              <w:tc>
                <w:tcPr>
                  <w:tcW w:w="625" w:type="pct"/>
                  <w:tcBorders>
                    <w:top w:val="single" w:color="000000" w:sz="4" w:space="0"/>
                    <w:left w:val="single" w:color="FFFFFF" w:sz="4" w:space="0"/>
                    <w:bottom w:val="single" w:color="auto" w:sz="12" w:space="0"/>
                    <w:right w:val="single" w:color="000000" w:sz="4" w:space="0"/>
                  </w:tcBorders>
                  <w:vAlign w:val="center"/>
                </w:tcPr>
                <w:p w14:paraId="651763D1">
                  <w:pPr>
                    <w:widowControl/>
                    <w:adjustRightInd w:val="0"/>
                    <w:snapToGrid w:val="0"/>
                    <w:jc w:val="center"/>
                    <w:rPr>
                      <w:rFonts w:hint="default" w:eastAsia="宋体"/>
                      <w:i w:val="0"/>
                      <w:iCs w:val="0"/>
                      <w:color w:val="auto"/>
                      <w:sz w:val="18"/>
                      <w:szCs w:val="18"/>
                      <w:u w:val="none"/>
                      <w:lang w:val="en-US" w:eastAsia="zh-CN"/>
                    </w:rPr>
                  </w:pPr>
                  <w:r>
                    <w:rPr>
                      <w:rFonts w:hint="eastAsia"/>
                      <w:i w:val="0"/>
                      <w:iCs w:val="0"/>
                      <w:color w:val="auto"/>
                      <w:sz w:val="18"/>
                      <w:szCs w:val="18"/>
                      <w:u w:val="none"/>
                      <w:lang w:val="en-US" w:eastAsia="zh-CN"/>
                    </w:rPr>
                    <w:t>12</w:t>
                  </w:r>
                </w:p>
              </w:tc>
              <w:tc>
                <w:tcPr>
                  <w:tcW w:w="1564" w:type="pct"/>
                  <w:tcBorders>
                    <w:top w:val="single" w:color="000000" w:sz="4" w:space="0"/>
                    <w:left w:val="single" w:color="000000" w:sz="4" w:space="0"/>
                    <w:bottom w:val="single" w:color="auto" w:sz="12" w:space="0"/>
                    <w:right w:val="single" w:color="auto" w:sz="4" w:space="0"/>
                  </w:tcBorders>
                  <w:shd w:val="clear" w:color="auto" w:fill="auto"/>
                  <w:vAlign w:val="center"/>
                </w:tcPr>
                <w:p w14:paraId="1C105492">
                  <w:pPr>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总大肠菌群</w:t>
                  </w:r>
                </w:p>
              </w:tc>
              <w:tc>
                <w:tcPr>
                  <w:tcW w:w="945" w:type="pct"/>
                  <w:tcBorders>
                    <w:top w:val="single" w:color="000000" w:sz="4" w:space="0"/>
                    <w:left w:val="single" w:color="auto" w:sz="4" w:space="0"/>
                    <w:bottom w:val="single" w:color="auto" w:sz="12" w:space="0"/>
                    <w:right w:val="single" w:color="000000" w:sz="4" w:space="0"/>
                  </w:tcBorders>
                  <w:shd w:val="clear" w:color="auto" w:fill="auto"/>
                  <w:vAlign w:val="center"/>
                </w:tcPr>
                <w:p w14:paraId="5BE0CD12">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w:t>
                  </w:r>
                  <w:r>
                    <w:rPr>
                      <w:rFonts w:hint="eastAsia"/>
                      <w:i w:val="0"/>
                      <w:iCs w:val="0"/>
                      <w:color w:val="auto"/>
                      <w:sz w:val="18"/>
                      <w:szCs w:val="18"/>
                      <w:u w:val="none"/>
                    </w:rPr>
                    <w:t>3.0</w:t>
                  </w:r>
                </w:p>
              </w:tc>
              <w:tc>
                <w:tcPr>
                  <w:tcW w:w="940" w:type="pct"/>
                  <w:tcBorders>
                    <w:top w:val="single" w:color="000000" w:sz="4" w:space="0"/>
                    <w:left w:val="single" w:color="000000" w:sz="4" w:space="0"/>
                    <w:bottom w:val="single" w:color="auto" w:sz="12" w:space="0"/>
                    <w:right w:val="single" w:color="auto" w:sz="4" w:space="0"/>
                  </w:tcBorders>
                  <w:shd w:val="clear" w:color="auto" w:fill="auto"/>
                  <w:vAlign w:val="center"/>
                </w:tcPr>
                <w:p w14:paraId="3B7AA077">
                  <w:pPr>
                    <w:adjustRightInd w:val="0"/>
                    <w:snapToGrid w:val="0"/>
                    <w:jc w:val="center"/>
                    <w:rPr>
                      <w:rFonts w:hint="eastAsia" w:ascii="Times New Roman" w:hAnsi="Times New Roman" w:eastAsia="宋体" w:cs="Times New Roman"/>
                      <w:i w:val="0"/>
                      <w:iCs w:val="0"/>
                      <w:color w:val="auto"/>
                      <w:sz w:val="18"/>
                      <w:szCs w:val="18"/>
                      <w:u w:val="none"/>
                      <w:lang w:val="en-US" w:eastAsia="zh-CN" w:bidi="ar-SA"/>
                    </w:rPr>
                  </w:pPr>
                  <w:r>
                    <w:rPr>
                      <w:rFonts w:hint="eastAsia"/>
                      <w:i w:val="0"/>
                      <w:iCs w:val="0"/>
                      <w:color w:val="auto"/>
                      <w:sz w:val="18"/>
                      <w:szCs w:val="18"/>
                      <w:u w:val="none"/>
                      <w:lang w:val="en-US" w:eastAsia="zh-CN"/>
                    </w:rPr>
                    <w:t>/</w:t>
                  </w:r>
                </w:p>
              </w:tc>
              <w:tc>
                <w:tcPr>
                  <w:tcW w:w="917" w:type="pct"/>
                  <w:tcBorders>
                    <w:top w:val="single" w:color="000000" w:sz="4" w:space="0"/>
                    <w:left w:val="single" w:color="auto" w:sz="4" w:space="0"/>
                    <w:bottom w:val="single" w:color="auto" w:sz="12" w:space="0"/>
                    <w:right w:val="single" w:color="FFFFFF" w:themeColor="background1" w:sz="4" w:space="0"/>
                  </w:tcBorders>
                  <w:shd w:val="clear" w:color="auto" w:fill="auto"/>
                  <w:vAlign w:val="center"/>
                </w:tcPr>
                <w:p w14:paraId="6ADFD994">
                  <w:pPr>
                    <w:adjustRightInd w:val="0"/>
                    <w:snapToGrid w:val="0"/>
                    <w:jc w:val="center"/>
                    <w:rPr>
                      <w:rFonts w:ascii="Times New Roman" w:hAnsi="Times New Roman" w:eastAsia="宋体" w:cs="Times New Roman"/>
                      <w:i w:val="0"/>
                      <w:iCs w:val="0"/>
                      <w:color w:val="auto"/>
                      <w:sz w:val="18"/>
                      <w:szCs w:val="18"/>
                      <w:u w:val="none"/>
                      <w:lang w:val="en-US" w:eastAsia="zh-CN" w:bidi="ar-SA"/>
                    </w:rPr>
                  </w:pPr>
                  <w:r>
                    <w:rPr>
                      <w:i w:val="0"/>
                      <w:iCs w:val="0"/>
                      <w:color w:val="auto"/>
                      <w:sz w:val="18"/>
                      <w:szCs w:val="18"/>
                      <w:u w:val="none"/>
                    </w:rPr>
                    <w:t>达标</w:t>
                  </w:r>
                </w:p>
              </w:tc>
            </w:tr>
          </w:tbl>
          <w:p w14:paraId="0D9152D4">
            <w:pPr>
              <w:pStyle w:val="71"/>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textAlignment w:val="auto"/>
              <w:rPr>
                <w:rFonts w:hint="eastAsia"/>
                <w:i w:val="0"/>
                <w:iCs w:val="0"/>
                <w:color w:val="auto"/>
                <w:sz w:val="10"/>
                <w:szCs w:val="10"/>
                <w:u w:val="none"/>
              </w:rPr>
            </w:pPr>
          </w:p>
          <w:p w14:paraId="2D674076">
            <w:pPr>
              <w:pStyle w:val="12"/>
              <w:shd w:val="clear" w:color="auto" w:fill="FFFFFF"/>
              <w:adjustRightInd w:val="0"/>
              <w:snapToGrid w:val="0"/>
              <w:ind w:left="0" w:leftChars="0" w:firstLine="420" w:firstLineChars="200"/>
              <w:rPr>
                <w:i w:val="0"/>
                <w:iCs w:val="0"/>
                <w:color w:val="auto"/>
                <w:sz w:val="21"/>
                <w:szCs w:val="21"/>
                <w:u w:val="none"/>
              </w:rPr>
            </w:pPr>
            <w:r>
              <w:rPr>
                <w:rFonts w:hint="eastAsia"/>
                <w:i w:val="0"/>
                <w:iCs w:val="0"/>
                <w:color w:val="auto"/>
                <w:sz w:val="21"/>
                <w:szCs w:val="21"/>
                <w:u w:val="none"/>
              </w:rPr>
              <w:t>由上表可见，</w:t>
            </w:r>
            <w:r>
              <w:rPr>
                <w:i w:val="0"/>
                <w:iCs w:val="0"/>
                <w:color w:val="auto"/>
                <w:sz w:val="21"/>
                <w:szCs w:val="21"/>
                <w:u w:val="none"/>
              </w:rPr>
              <w:t>监测</w:t>
            </w:r>
            <w:r>
              <w:rPr>
                <w:rFonts w:hint="eastAsia"/>
                <w:i w:val="0"/>
                <w:iCs w:val="0"/>
                <w:color w:val="auto"/>
                <w:sz w:val="21"/>
                <w:szCs w:val="21"/>
                <w:u w:val="none"/>
              </w:rPr>
              <w:t>点位</w:t>
            </w:r>
            <w:r>
              <w:rPr>
                <w:i w:val="0"/>
                <w:iCs w:val="0"/>
                <w:color w:val="auto"/>
                <w:sz w:val="21"/>
                <w:szCs w:val="21"/>
                <w:u w:val="none"/>
              </w:rPr>
              <w:t>水质均满</w:t>
            </w:r>
            <w:r>
              <w:rPr>
                <w:rFonts w:hint="eastAsia" w:ascii="Times New Roman" w:hAnsi="Times New Roman" w:eastAsia="宋体" w:cs="Times New Roman"/>
                <w:i w:val="0"/>
                <w:iCs w:val="0"/>
                <w:color w:val="auto"/>
                <w:kern w:val="0"/>
                <w:sz w:val="21"/>
                <w:szCs w:val="21"/>
                <w:u w:val="none"/>
                <w:lang w:val="en-US" w:eastAsia="zh-CN" w:bidi="ar-SA"/>
              </w:rPr>
              <w:t>足 GB/T14848-2017《地下</w:t>
            </w:r>
            <w:r>
              <w:rPr>
                <w:rFonts w:hint="eastAsia"/>
                <w:i w:val="0"/>
                <w:iCs w:val="0"/>
                <w:color w:val="auto"/>
                <w:sz w:val="21"/>
                <w:szCs w:val="21"/>
                <w:u w:val="none"/>
              </w:rPr>
              <w:t>水质量标准</w:t>
            </w:r>
            <w:r>
              <w:rPr>
                <w:rFonts w:hint="eastAsia" w:ascii="Times New Roman" w:hAnsi="Times New Roman" w:eastAsia="宋体" w:cs="Times New Roman"/>
                <w:i w:val="0"/>
                <w:iCs w:val="0"/>
                <w:color w:val="auto"/>
                <w:kern w:val="0"/>
                <w:sz w:val="21"/>
                <w:szCs w:val="21"/>
                <w:u w:val="none"/>
                <w:lang w:val="en-US" w:eastAsia="zh-CN" w:bidi="ar-SA"/>
              </w:rPr>
              <w:t>》中Ⅲ类标</w:t>
            </w:r>
            <w:r>
              <w:rPr>
                <w:rFonts w:hint="eastAsia"/>
                <w:i w:val="0"/>
                <w:iCs w:val="0"/>
                <w:color w:val="auto"/>
                <w:sz w:val="21"/>
                <w:szCs w:val="21"/>
                <w:u w:val="none"/>
              </w:rPr>
              <w:t>准</w:t>
            </w:r>
            <w:r>
              <w:rPr>
                <w:i w:val="0"/>
                <w:iCs w:val="0"/>
                <w:color w:val="auto"/>
                <w:sz w:val="21"/>
                <w:szCs w:val="21"/>
                <w:u w:val="none"/>
              </w:rPr>
              <w:t>。</w:t>
            </w:r>
          </w:p>
          <w:p w14:paraId="19D41899">
            <w:pPr>
              <w:pStyle w:val="12"/>
              <w:shd w:val="clear" w:color="auto" w:fill="FFFFFF"/>
              <w:adjustRightInd w:val="0"/>
              <w:snapToGrid w:val="0"/>
              <w:ind w:left="0" w:leftChars="0" w:firstLine="0" w:firstLineChars="0"/>
              <w:rPr>
                <w:color w:val="auto"/>
              </w:rPr>
            </w:pPr>
            <w:r>
              <w:rPr>
                <w:rFonts w:hint="eastAsia"/>
                <w:color w:val="auto"/>
              </w:rPr>
              <w:t>4、土壤环境质量现状调查与评价</w:t>
            </w:r>
          </w:p>
          <w:p w14:paraId="447FD716">
            <w:pPr>
              <w:pStyle w:val="14"/>
              <w:adjustRightInd w:val="0"/>
              <w:snapToGrid w:val="0"/>
              <w:spacing w:line="360" w:lineRule="auto"/>
              <w:ind w:firstLine="420" w:firstLineChars="200"/>
              <w:rPr>
                <w:rFonts w:hint="eastAsia" w:ascii="Times New Roman" w:hAnsi="Times New Roman" w:eastAsia="宋体" w:cs="Times New Roman"/>
                <w:i w:val="0"/>
                <w:iCs w:val="0"/>
                <w:color w:val="auto"/>
                <w:kern w:val="0"/>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SA"/>
              </w:rPr>
              <w:t>（1）监测点布设</w:t>
            </w:r>
          </w:p>
          <w:p w14:paraId="5E4EBAE6">
            <w:pPr>
              <w:pStyle w:val="7"/>
              <w:snapToGrid w:val="0"/>
              <w:spacing w:line="360" w:lineRule="auto"/>
              <w:ind w:firstLine="480"/>
              <w:rPr>
                <w:rFonts w:hint="eastAsia"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拟在项目所在区域布设1</w:t>
            </w:r>
            <w:r>
              <w:rPr>
                <w:rFonts w:ascii="Times New Roman" w:hAnsi="Times New Roman" w:eastAsia="宋体" w:cs="Times New Roman"/>
                <w:i w:val="0"/>
                <w:iCs w:val="0"/>
                <w:color w:val="auto"/>
                <w:sz w:val="21"/>
                <w:szCs w:val="21"/>
                <w:u w:val="none"/>
                <w:lang w:val="en-US" w:eastAsia="zh-CN" w:bidi="ar-SA"/>
              </w:rPr>
              <w:t>个监测</w:t>
            </w:r>
            <w:r>
              <w:rPr>
                <w:rFonts w:hint="eastAsia" w:ascii="Times New Roman" w:hAnsi="Times New Roman" w:eastAsia="宋体" w:cs="Times New Roman"/>
                <w:i w:val="0"/>
                <w:iCs w:val="0"/>
                <w:color w:val="auto"/>
                <w:sz w:val="21"/>
                <w:szCs w:val="21"/>
                <w:u w:val="none"/>
                <w:lang w:val="en-US" w:eastAsia="zh-CN" w:bidi="ar-SA"/>
              </w:rPr>
              <w:t>点，详见下表。</w:t>
            </w:r>
          </w:p>
          <w:p w14:paraId="1C40DDEB">
            <w:pPr>
              <w:pStyle w:val="61"/>
              <w:adjustRightInd w:val="0"/>
              <w:snapToGrid w:val="0"/>
              <w:spacing w:line="240" w:lineRule="auto"/>
              <w:ind w:firstLine="482"/>
              <w:rPr>
                <w:rFonts w:hAnsiTheme="minorEastAsia" w:eastAsiaTheme="minorEastAsia"/>
                <w:b w:val="0"/>
                <w:i w:val="0"/>
                <w:iCs w:val="0"/>
                <w:color w:val="auto"/>
                <w:kern w:val="0"/>
                <w:szCs w:val="21"/>
                <w:u w:val="none"/>
              </w:rPr>
            </w:pPr>
            <w:r>
              <w:rPr>
                <w:rFonts w:hAnsiTheme="minorEastAsia" w:eastAsiaTheme="minorEastAsia"/>
                <w:b w:val="0"/>
                <w:i w:val="0"/>
                <w:iCs w:val="0"/>
                <w:color w:val="auto"/>
                <w:kern w:val="0"/>
                <w:szCs w:val="21"/>
                <w:u w:val="none"/>
              </w:rPr>
              <w:t>地下水环境现状监测点位一览表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29"/>
              <w:gridCol w:w="2775"/>
              <w:gridCol w:w="2591"/>
              <w:gridCol w:w="1584"/>
            </w:tblGrid>
            <w:tr w14:paraId="15E0F6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645" w:type="pct"/>
                  <w:tcBorders>
                    <w:top w:val="single" w:color="auto" w:sz="12" w:space="0"/>
                  </w:tcBorders>
                  <w:vAlign w:val="center"/>
                </w:tcPr>
                <w:p w14:paraId="778B7BB0">
                  <w:pPr>
                    <w:tabs>
                      <w:tab w:val="left" w:pos="5670"/>
                    </w:tabs>
                    <w:jc w:val="center"/>
                    <w:rPr>
                      <w:color w:val="auto"/>
                      <w:sz w:val="18"/>
                      <w:szCs w:val="18"/>
                    </w:rPr>
                  </w:pPr>
                  <w:r>
                    <w:rPr>
                      <w:rFonts w:hAnsi="宋体"/>
                      <w:color w:val="auto"/>
                      <w:sz w:val="18"/>
                      <w:szCs w:val="18"/>
                    </w:rPr>
                    <w:t>点位名称</w:t>
                  </w:r>
                </w:p>
              </w:tc>
              <w:tc>
                <w:tcPr>
                  <w:tcW w:w="1738" w:type="pct"/>
                  <w:tcBorders>
                    <w:top w:val="single" w:color="auto" w:sz="12" w:space="0"/>
                    <w:right w:val="single" w:color="auto" w:sz="4" w:space="0"/>
                  </w:tcBorders>
                  <w:vAlign w:val="center"/>
                </w:tcPr>
                <w:p w14:paraId="701A2EAF">
                  <w:pPr>
                    <w:tabs>
                      <w:tab w:val="left" w:pos="5670"/>
                    </w:tabs>
                    <w:jc w:val="center"/>
                    <w:rPr>
                      <w:color w:val="auto"/>
                      <w:sz w:val="18"/>
                      <w:szCs w:val="18"/>
                    </w:rPr>
                  </w:pPr>
                  <w:r>
                    <w:rPr>
                      <w:rFonts w:hAnsi="宋体"/>
                      <w:color w:val="auto"/>
                      <w:sz w:val="18"/>
                      <w:szCs w:val="18"/>
                    </w:rPr>
                    <w:t>检查点位名称</w:t>
                  </w:r>
                </w:p>
              </w:tc>
              <w:tc>
                <w:tcPr>
                  <w:tcW w:w="1623" w:type="pct"/>
                  <w:tcBorders>
                    <w:top w:val="single" w:color="auto" w:sz="12" w:space="0"/>
                    <w:right w:val="single" w:color="auto" w:sz="4" w:space="0"/>
                  </w:tcBorders>
                  <w:vAlign w:val="center"/>
                </w:tcPr>
                <w:p w14:paraId="746F30C9">
                  <w:pPr>
                    <w:tabs>
                      <w:tab w:val="left" w:pos="5670"/>
                    </w:tabs>
                    <w:jc w:val="center"/>
                    <w:rPr>
                      <w:color w:val="auto"/>
                      <w:sz w:val="18"/>
                      <w:szCs w:val="18"/>
                    </w:rPr>
                  </w:pPr>
                  <w:r>
                    <w:rPr>
                      <w:color w:val="auto"/>
                      <w:sz w:val="18"/>
                      <w:szCs w:val="18"/>
                    </w:rPr>
                    <w:t>取样</w:t>
                  </w:r>
                </w:p>
              </w:tc>
              <w:tc>
                <w:tcPr>
                  <w:tcW w:w="992" w:type="pct"/>
                  <w:tcBorders>
                    <w:top w:val="single" w:color="auto" w:sz="12" w:space="0"/>
                    <w:left w:val="single" w:color="auto" w:sz="4" w:space="0"/>
                  </w:tcBorders>
                  <w:vAlign w:val="center"/>
                </w:tcPr>
                <w:p w14:paraId="498A0066">
                  <w:pPr>
                    <w:tabs>
                      <w:tab w:val="left" w:pos="5670"/>
                    </w:tabs>
                    <w:jc w:val="center"/>
                    <w:rPr>
                      <w:color w:val="auto"/>
                      <w:sz w:val="18"/>
                      <w:szCs w:val="18"/>
                    </w:rPr>
                  </w:pPr>
                  <w:r>
                    <w:rPr>
                      <w:rFonts w:hAnsi="宋体"/>
                      <w:color w:val="auto"/>
                      <w:sz w:val="18"/>
                      <w:szCs w:val="18"/>
                    </w:rPr>
                    <w:t>备注</w:t>
                  </w:r>
                </w:p>
              </w:tc>
            </w:tr>
            <w:tr w14:paraId="5E683C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71" w:hRule="atLeast"/>
                <w:jc w:val="center"/>
              </w:trPr>
              <w:tc>
                <w:tcPr>
                  <w:tcW w:w="645" w:type="pct"/>
                  <w:tcBorders>
                    <w:bottom w:val="single" w:color="auto" w:sz="12" w:space="0"/>
                  </w:tcBorders>
                  <w:vAlign w:val="center"/>
                </w:tcPr>
                <w:p w14:paraId="2212F01F">
                  <w:pPr>
                    <w:jc w:val="center"/>
                    <w:rPr>
                      <w:color w:val="auto"/>
                      <w:sz w:val="18"/>
                      <w:szCs w:val="18"/>
                    </w:rPr>
                  </w:pPr>
                  <w:r>
                    <w:rPr>
                      <w:rFonts w:hint="eastAsia"/>
                      <w:color w:val="auto"/>
                      <w:sz w:val="18"/>
                      <w:szCs w:val="18"/>
                    </w:rPr>
                    <w:t>1</w:t>
                  </w:r>
                  <w:r>
                    <w:rPr>
                      <w:color w:val="auto"/>
                      <w:sz w:val="18"/>
                      <w:szCs w:val="18"/>
                    </w:rPr>
                    <w:t>#</w:t>
                  </w:r>
                </w:p>
              </w:tc>
              <w:tc>
                <w:tcPr>
                  <w:tcW w:w="1738" w:type="pct"/>
                  <w:tcBorders>
                    <w:bottom w:val="single" w:color="auto" w:sz="12" w:space="0"/>
                    <w:right w:val="single" w:color="auto" w:sz="4" w:space="0"/>
                  </w:tcBorders>
                  <w:vAlign w:val="center"/>
                </w:tcPr>
                <w:p w14:paraId="2E5C924F">
                  <w:pPr>
                    <w:jc w:val="center"/>
                    <w:rPr>
                      <w:color w:val="auto"/>
                      <w:sz w:val="18"/>
                      <w:szCs w:val="18"/>
                    </w:rPr>
                  </w:pPr>
                  <w:r>
                    <w:rPr>
                      <w:color w:val="auto"/>
                      <w:sz w:val="18"/>
                      <w:szCs w:val="18"/>
                    </w:rPr>
                    <w:t>厂界</w:t>
                  </w:r>
                  <w:r>
                    <w:rPr>
                      <w:rFonts w:hint="eastAsia"/>
                      <w:color w:val="auto"/>
                      <w:sz w:val="18"/>
                      <w:szCs w:val="18"/>
                      <w:lang w:val="en-US" w:eastAsia="zh-CN"/>
                    </w:rPr>
                    <w:t>区内发酵车间</w:t>
                  </w:r>
                  <w:r>
                    <w:rPr>
                      <w:rFonts w:hAnsi="宋体"/>
                      <w:color w:val="auto"/>
                      <w:sz w:val="18"/>
                      <w:szCs w:val="18"/>
                    </w:rPr>
                    <w:t>，表层样</w:t>
                  </w:r>
                </w:p>
              </w:tc>
              <w:tc>
                <w:tcPr>
                  <w:tcW w:w="1623" w:type="pct"/>
                  <w:tcBorders>
                    <w:bottom w:val="single" w:color="auto" w:sz="12" w:space="0"/>
                    <w:right w:val="single" w:color="auto" w:sz="4" w:space="0"/>
                  </w:tcBorders>
                  <w:vAlign w:val="center"/>
                </w:tcPr>
                <w:p w14:paraId="4EC2FDB1">
                  <w:pPr>
                    <w:tabs>
                      <w:tab w:val="left" w:pos="5670"/>
                    </w:tabs>
                    <w:jc w:val="center"/>
                    <w:rPr>
                      <w:color w:val="auto"/>
                      <w:sz w:val="18"/>
                      <w:szCs w:val="18"/>
                    </w:rPr>
                  </w:pPr>
                  <w:r>
                    <w:rPr>
                      <w:color w:val="auto"/>
                      <w:sz w:val="18"/>
                      <w:szCs w:val="18"/>
                    </w:rPr>
                    <w:t>表层样应在0-0.2m取样</w:t>
                  </w:r>
                </w:p>
              </w:tc>
              <w:tc>
                <w:tcPr>
                  <w:tcW w:w="992" w:type="pct"/>
                  <w:tcBorders>
                    <w:left w:val="single" w:color="auto" w:sz="4" w:space="0"/>
                  </w:tcBorders>
                  <w:vAlign w:val="center"/>
                </w:tcPr>
                <w:p w14:paraId="2772201F">
                  <w:pPr>
                    <w:tabs>
                      <w:tab w:val="left" w:pos="5670"/>
                    </w:tabs>
                    <w:jc w:val="center"/>
                    <w:rPr>
                      <w:rFonts w:hint="eastAsia" w:eastAsia="宋体"/>
                      <w:color w:val="auto"/>
                      <w:sz w:val="18"/>
                      <w:szCs w:val="18"/>
                      <w:lang w:eastAsia="zh-CN"/>
                    </w:rPr>
                  </w:pPr>
                  <w:r>
                    <w:rPr>
                      <w:rFonts w:hint="eastAsia"/>
                      <w:color w:val="auto"/>
                      <w:sz w:val="18"/>
                      <w:szCs w:val="18"/>
                      <w:lang w:val="en-US" w:eastAsia="zh-CN"/>
                    </w:rPr>
                    <w:t>工业用地</w:t>
                  </w:r>
                </w:p>
              </w:tc>
            </w:tr>
          </w:tbl>
          <w:p w14:paraId="0C2C6F52">
            <w:pPr>
              <w:pStyle w:val="14"/>
              <w:keepNext w:val="0"/>
              <w:keepLines w:val="0"/>
              <w:pageBreakBefore w:val="0"/>
              <w:widowControl w:val="0"/>
              <w:kinsoku/>
              <w:wordWrap/>
              <w:overflowPunct/>
              <w:topLinePunct w:val="0"/>
              <w:autoSpaceDE/>
              <w:autoSpaceDN/>
              <w:bidi w:val="0"/>
              <w:adjustRightInd w:val="0"/>
              <w:snapToGrid w:val="0"/>
              <w:spacing w:line="360" w:lineRule="auto"/>
              <w:ind w:firstLine="200" w:firstLineChars="200"/>
              <w:textAlignment w:val="auto"/>
              <w:rPr>
                <w:rFonts w:hint="eastAsia" w:ascii="Times New Roman" w:hAnsi="Times New Roman" w:cs="Times New Roman"/>
                <w:i w:val="0"/>
                <w:iCs w:val="0"/>
                <w:color w:val="auto"/>
                <w:sz w:val="10"/>
                <w:szCs w:val="10"/>
                <w:highlight w:val="none"/>
                <w:u w:val="none" w:color="auto"/>
              </w:rPr>
            </w:pPr>
          </w:p>
          <w:p w14:paraId="38D9F183">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i w:val="0"/>
                <w:iCs w:val="0"/>
                <w:color w:val="auto"/>
                <w:sz w:val="21"/>
                <w:szCs w:val="21"/>
                <w:highlight w:val="none"/>
                <w:u w:val="none" w:color="auto"/>
              </w:rPr>
            </w:pPr>
            <w:r>
              <w:rPr>
                <w:rFonts w:hint="eastAsia" w:ascii="Times New Roman" w:hAnsi="Times New Roman" w:cs="Times New Roman"/>
                <w:i w:val="0"/>
                <w:iCs w:val="0"/>
                <w:color w:val="auto"/>
                <w:sz w:val="21"/>
                <w:szCs w:val="21"/>
                <w:highlight w:val="none"/>
                <w:u w:val="none" w:color="auto"/>
              </w:rPr>
              <w:t>（2）</w:t>
            </w:r>
            <w:r>
              <w:rPr>
                <w:rFonts w:ascii="Times New Roman" w:hAnsi="Times New Roman" w:cs="Times New Roman"/>
                <w:i w:val="0"/>
                <w:iCs w:val="0"/>
                <w:color w:val="auto"/>
                <w:sz w:val="21"/>
                <w:szCs w:val="21"/>
                <w:highlight w:val="none"/>
                <w:u w:val="none" w:color="auto"/>
              </w:rPr>
              <w:t>监测项目</w:t>
            </w:r>
          </w:p>
          <w:p w14:paraId="0A352A8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i w:val="0"/>
                <w:iCs w:val="0"/>
                <w:color w:val="auto"/>
                <w:sz w:val="21"/>
                <w:szCs w:val="21"/>
                <w:highlight w:val="none"/>
                <w:u w:val="none" w:color="auto"/>
              </w:rPr>
            </w:pPr>
            <w:r>
              <w:rPr>
                <w:rFonts w:ascii="Times New Roman" w:hAnsi="Times New Roman" w:eastAsia="宋体" w:cs="Times New Roman"/>
                <w:i w:val="0"/>
                <w:iCs w:val="0"/>
                <w:color w:val="auto"/>
                <w:sz w:val="21"/>
                <w:szCs w:val="21"/>
                <w:highlight w:val="none"/>
                <w:u w:val="none" w:color="auto"/>
                <w:lang w:val="en-US" w:eastAsia="zh-CN" w:bidi="ar-SA"/>
              </w:rPr>
              <w:t>铜、镍、铅、镉、砷、汞、六价铬、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类，共计</w:t>
            </w:r>
            <w:r>
              <w:rPr>
                <w:rFonts w:hint="eastAsia" w:ascii="Times New Roman" w:hAnsi="Times New Roman" w:eastAsia="宋体" w:cs="Times New Roman"/>
                <w:i w:val="0"/>
                <w:iCs w:val="0"/>
                <w:color w:val="auto"/>
                <w:sz w:val="21"/>
                <w:szCs w:val="21"/>
                <w:highlight w:val="none"/>
                <w:u w:val="none" w:color="auto"/>
                <w:lang w:val="en-US" w:eastAsia="zh-CN" w:bidi="ar-SA"/>
              </w:rPr>
              <w:t>45</w:t>
            </w:r>
            <w:r>
              <w:rPr>
                <w:rFonts w:ascii="Times New Roman" w:hAnsi="Times New Roman" w:eastAsia="宋体" w:cs="Times New Roman"/>
                <w:i w:val="0"/>
                <w:iCs w:val="0"/>
                <w:color w:val="auto"/>
                <w:sz w:val="21"/>
                <w:szCs w:val="21"/>
                <w:highlight w:val="none"/>
                <w:u w:val="none" w:color="auto"/>
                <w:lang w:val="en-US" w:eastAsia="zh-CN" w:bidi="ar-SA"/>
              </w:rPr>
              <w:t>项。</w:t>
            </w:r>
          </w:p>
          <w:p w14:paraId="1CC55D0F">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i w:val="0"/>
                <w:iCs w:val="0"/>
                <w:color w:val="auto"/>
                <w:sz w:val="21"/>
                <w:szCs w:val="21"/>
                <w:highlight w:val="none"/>
                <w:u w:val="none" w:color="auto"/>
              </w:rPr>
            </w:pPr>
            <w:r>
              <w:rPr>
                <w:rFonts w:hint="eastAsia" w:ascii="Times New Roman" w:hAnsi="Times New Roman" w:cs="Times New Roman"/>
                <w:i w:val="0"/>
                <w:iCs w:val="0"/>
                <w:color w:val="auto"/>
                <w:sz w:val="21"/>
                <w:szCs w:val="21"/>
                <w:highlight w:val="none"/>
                <w:u w:val="none" w:color="auto"/>
              </w:rPr>
              <w:t>（3）</w:t>
            </w:r>
            <w:r>
              <w:rPr>
                <w:rFonts w:ascii="Times New Roman" w:hAnsi="Times New Roman" w:cs="Times New Roman"/>
                <w:i w:val="0"/>
                <w:iCs w:val="0"/>
                <w:color w:val="auto"/>
                <w:sz w:val="21"/>
                <w:szCs w:val="21"/>
                <w:highlight w:val="none"/>
                <w:u w:val="none" w:color="auto"/>
              </w:rPr>
              <w:t>监测时间及数据来源</w:t>
            </w:r>
          </w:p>
          <w:p w14:paraId="54F5E0B2">
            <w:pPr>
              <w:pStyle w:val="1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ascii="Times New Roman" w:eastAsia="宋体"/>
                <w:i w:val="0"/>
                <w:iCs w:val="0"/>
                <w:color w:val="auto"/>
                <w:sz w:val="21"/>
                <w:szCs w:val="21"/>
                <w:highlight w:val="none"/>
                <w:u w:val="none" w:color="auto"/>
              </w:rPr>
            </w:pPr>
            <w:r>
              <w:rPr>
                <w:rFonts w:ascii="Times New Roman" w:eastAsia="宋体"/>
                <w:i w:val="0"/>
                <w:iCs w:val="0"/>
                <w:color w:val="auto"/>
                <w:sz w:val="21"/>
                <w:szCs w:val="21"/>
                <w:highlight w:val="none"/>
                <w:u w:val="none" w:color="auto"/>
              </w:rPr>
              <w:t>202</w:t>
            </w:r>
            <w:r>
              <w:rPr>
                <w:rFonts w:hint="eastAsia" w:ascii="Times New Roman" w:eastAsia="宋体"/>
                <w:i w:val="0"/>
                <w:iCs w:val="0"/>
                <w:color w:val="auto"/>
                <w:sz w:val="21"/>
                <w:szCs w:val="21"/>
                <w:highlight w:val="none"/>
                <w:u w:val="none" w:color="auto"/>
                <w:lang w:val="en-US" w:eastAsia="zh-CN"/>
              </w:rPr>
              <w:t>5</w:t>
            </w:r>
            <w:r>
              <w:rPr>
                <w:rFonts w:ascii="Times New Roman" w:eastAsia="宋体"/>
                <w:i w:val="0"/>
                <w:iCs w:val="0"/>
                <w:color w:val="auto"/>
                <w:sz w:val="21"/>
                <w:szCs w:val="21"/>
                <w:highlight w:val="none"/>
                <w:u w:val="none" w:color="auto"/>
              </w:rPr>
              <w:t>年0</w:t>
            </w:r>
            <w:r>
              <w:rPr>
                <w:rFonts w:hint="eastAsia" w:ascii="Times New Roman" w:eastAsia="宋体"/>
                <w:i w:val="0"/>
                <w:iCs w:val="0"/>
                <w:color w:val="auto"/>
                <w:sz w:val="21"/>
                <w:szCs w:val="21"/>
                <w:highlight w:val="none"/>
                <w:u w:val="none" w:color="auto"/>
                <w:lang w:val="en-US" w:eastAsia="zh-CN"/>
              </w:rPr>
              <w:t>8</w:t>
            </w:r>
            <w:r>
              <w:rPr>
                <w:rFonts w:ascii="Times New Roman" w:eastAsia="宋体"/>
                <w:i w:val="0"/>
                <w:iCs w:val="0"/>
                <w:color w:val="auto"/>
                <w:sz w:val="21"/>
                <w:szCs w:val="21"/>
                <w:highlight w:val="none"/>
                <w:u w:val="none" w:color="auto"/>
              </w:rPr>
              <w:t>月</w:t>
            </w:r>
            <w:r>
              <w:rPr>
                <w:rFonts w:hint="eastAsia" w:ascii="Times New Roman" w:eastAsia="宋体"/>
                <w:i w:val="0"/>
                <w:iCs w:val="0"/>
                <w:color w:val="auto"/>
                <w:sz w:val="21"/>
                <w:szCs w:val="21"/>
                <w:highlight w:val="none"/>
                <w:u w:val="none" w:color="auto"/>
                <w:lang w:val="en-US" w:eastAsia="zh-CN"/>
              </w:rPr>
              <w:t>11</w:t>
            </w:r>
            <w:r>
              <w:rPr>
                <w:rFonts w:ascii="Times New Roman" w:eastAsia="宋体"/>
                <w:i w:val="0"/>
                <w:iCs w:val="0"/>
                <w:color w:val="auto"/>
                <w:sz w:val="21"/>
                <w:szCs w:val="21"/>
                <w:highlight w:val="none"/>
                <w:u w:val="none" w:color="auto"/>
              </w:rPr>
              <w:t>日，采样一天，每天一次采样。</w:t>
            </w:r>
          </w:p>
          <w:p w14:paraId="29140358">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i w:val="0"/>
                <w:iCs w:val="0"/>
                <w:color w:val="auto"/>
                <w:sz w:val="21"/>
                <w:szCs w:val="21"/>
                <w:highlight w:val="none"/>
                <w:u w:val="none" w:color="auto"/>
              </w:rPr>
            </w:pPr>
            <w:r>
              <w:rPr>
                <w:rFonts w:hint="eastAsia" w:ascii="Times New Roman" w:hAnsi="Times New Roman" w:cs="Times New Roman"/>
                <w:i w:val="0"/>
                <w:iCs w:val="0"/>
                <w:color w:val="auto"/>
                <w:sz w:val="21"/>
                <w:szCs w:val="21"/>
                <w:highlight w:val="none"/>
                <w:u w:val="none" w:color="auto"/>
              </w:rPr>
              <w:t>（4）</w:t>
            </w:r>
            <w:r>
              <w:rPr>
                <w:rFonts w:ascii="Times New Roman" w:hAnsi="Times New Roman" w:cs="Times New Roman"/>
                <w:i w:val="0"/>
                <w:iCs w:val="0"/>
                <w:color w:val="auto"/>
                <w:sz w:val="21"/>
                <w:szCs w:val="21"/>
                <w:highlight w:val="none"/>
                <w:u w:val="none" w:color="auto"/>
              </w:rPr>
              <w:t>监测频次</w:t>
            </w:r>
          </w:p>
          <w:p w14:paraId="3E572F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i w:val="0"/>
                <w:iCs w:val="0"/>
                <w:color w:val="auto"/>
                <w:sz w:val="21"/>
                <w:szCs w:val="21"/>
                <w:highlight w:val="none"/>
                <w:u w:val="none" w:color="auto"/>
              </w:rPr>
            </w:pPr>
            <w:r>
              <w:rPr>
                <w:i w:val="0"/>
                <w:iCs w:val="0"/>
                <w:color w:val="auto"/>
                <w:sz w:val="21"/>
                <w:szCs w:val="21"/>
                <w:highlight w:val="none"/>
                <w:u w:val="none" w:color="auto"/>
              </w:rPr>
              <w:t>监测时间及频率：采样一天，每天一次采样。</w:t>
            </w:r>
          </w:p>
          <w:p w14:paraId="1A1C269B">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i w:val="0"/>
                <w:iCs w:val="0"/>
                <w:color w:val="auto"/>
                <w:sz w:val="21"/>
                <w:szCs w:val="21"/>
                <w:highlight w:val="none"/>
                <w:u w:val="none" w:color="auto"/>
              </w:rPr>
            </w:pPr>
            <w:r>
              <w:rPr>
                <w:rFonts w:hint="eastAsia" w:ascii="Times New Roman" w:hAnsi="Times New Roman" w:cs="Times New Roman"/>
                <w:i w:val="0"/>
                <w:iCs w:val="0"/>
                <w:color w:val="auto"/>
                <w:sz w:val="21"/>
                <w:szCs w:val="21"/>
                <w:highlight w:val="none"/>
                <w:u w:val="none" w:color="auto"/>
              </w:rPr>
              <w:t>（5）</w:t>
            </w:r>
            <w:r>
              <w:rPr>
                <w:rFonts w:ascii="Times New Roman" w:hAnsi="Times New Roman" w:cs="Times New Roman"/>
                <w:i w:val="0"/>
                <w:iCs w:val="0"/>
                <w:color w:val="auto"/>
                <w:sz w:val="21"/>
                <w:szCs w:val="21"/>
                <w:highlight w:val="none"/>
                <w:u w:val="none" w:color="auto"/>
              </w:rPr>
              <w:t>评价标准及评价方法</w:t>
            </w:r>
          </w:p>
          <w:p w14:paraId="204A14FF">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360" w:lineRule="auto"/>
              <w:ind w:left="0" w:leftChars="0" w:firstLine="420" w:firstLineChars="200"/>
              <w:textAlignment w:val="auto"/>
              <w:rPr>
                <w:rFonts w:ascii="Times New Roman" w:hAnsi="Times New Roman" w:eastAsia="宋体" w:cs="Times New Roman"/>
                <w:i w:val="0"/>
                <w:iCs w:val="0"/>
                <w:color w:val="auto"/>
                <w:sz w:val="21"/>
                <w:szCs w:val="21"/>
                <w:highlight w:val="none"/>
                <w:u w:val="none" w:color="auto"/>
              </w:rPr>
            </w:pPr>
            <w:r>
              <w:rPr>
                <w:rFonts w:ascii="Times New Roman" w:hAnsi="Times New Roman" w:eastAsia="宋体" w:cs="Times New Roman"/>
                <w:i w:val="0"/>
                <w:iCs w:val="0"/>
                <w:color w:val="auto"/>
                <w:sz w:val="21"/>
                <w:szCs w:val="21"/>
                <w:highlight w:val="none"/>
                <w:u w:val="none" w:color="auto"/>
              </w:rPr>
              <w:t>评价标准：根据《环境影响评价技术导则  土壤环境（试行）》中7.5.2.1根据调查评价范围内的土地利用类型，</w:t>
            </w:r>
            <w:r>
              <w:rPr>
                <w:rFonts w:hint="eastAsia" w:ascii="Times New Roman" w:hAnsi="Times New Roman" w:eastAsia="宋体" w:cs="Times New Roman"/>
                <w:i w:val="0"/>
                <w:iCs w:val="0"/>
                <w:color w:val="auto"/>
                <w:sz w:val="21"/>
                <w:szCs w:val="21"/>
                <w:highlight w:val="none"/>
                <w:u w:val="none" w:color="auto"/>
                <w:lang w:val="en-US" w:eastAsia="zh-CN"/>
              </w:rPr>
              <w:t>分别</w:t>
            </w:r>
            <w:r>
              <w:rPr>
                <w:rFonts w:ascii="Times New Roman" w:hAnsi="Times New Roman" w:eastAsia="宋体" w:cs="Times New Roman"/>
                <w:i w:val="0"/>
                <w:iCs w:val="0"/>
                <w:color w:val="auto"/>
                <w:sz w:val="21"/>
                <w:szCs w:val="21"/>
                <w:highlight w:val="none"/>
                <w:u w:val="none" w:color="auto"/>
              </w:rPr>
              <w:t>选取GB15618</w:t>
            </w:r>
            <w:r>
              <w:rPr>
                <w:rFonts w:hint="eastAsia" w:ascii="Times New Roman" w:hAnsi="Times New Roman" w:eastAsia="宋体" w:cs="Times New Roman"/>
                <w:i w:val="0"/>
                <w:iCs w:val="0"/>
                <w:color w:val="auto"/>
                <w:sz w:val="21"/>
                <w:szCs w:val="21"/>
                <w:highlight w:val="none"/>
                <w:u w:val="none" w:color="auto"/>
                <w:lang w:eastAsia="zh-CN"/>
              </w:rPr>
              <w:t>、</w:t>
            </w:r>
            <w:r>
              <w:rPr>
                <w:rFonts w:hint="eastAsia" w:ascii="Times New Roman" w:hAnsi="Times New Roman" w:eastAsia="宋体" w:cs="Times New Roman"/>
                <w:i w:val="0"/>
                <w:iCs w:val="0"/>
                <w:color w:val="auto"/>
                <w:sz w:val="21"/>
                <w:szCs w:val="21"/>
                <w:highlight w:val="none"/>
                <w:u w:val="none" w:color="auto"/>
                <w:lang w:val="en-US" w:eastAsia="zh-CN"/>
              </w:rPr>
              <w:t>GB36600等</w:t>
            </w:r>
            <w:r>
              <w:rPr>
                <w:rFonts w:ascii="Times New Roman" w:hAnsi="Times New Roman" w:eastAsia="宋体" w:cs="Times New Roman"/>
                <w:i w:val="0"/>
                <w:iCs w:val="0"/>
                <w:color w:val="auto"/>
                <w:sz w:val="21"/>
                <w:szCs w:val="21"/>
                <w:highlight w:val="none"/>
                <w:u w:val="none" w:color="auto"/>
              </w:rPr>
              <w:t>标准中的筛选值进行评价，土地利用类型无相应标准的可只给出现状监测值。</w:t>
            </w:r>
          </w:p>
          <w:p w14:paraId="44CE1B9D">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360" w:lineRule="auto"/>
              <w:ind w:left="0" w:leftChars="0" w:firstLine="420" w:firstLineChars="200"/>
              <w:textAlignment w:val="auto"/>
              <w:rPr>
                <w:rFonts w:ascii="Times New Roman" w:eastAsia="宋体"/>
                <w:i w:val="0"/>
                <w:iCs w:val="0"/>
                <w:color w:val="auto"/>
                <w:sz w:val="21"/>
                <w:szCs w:val="21"/>
                <w:highlight w:val="none"/>
                <w:u w:val="none" w:color="auto"/>
              </w:rPr>
            </w:pPr>
            <w:r>
              <w:rPr>
                <w:rFonts w:ascii="Times New Roman" w:eastAsia="宋体"/>
                <w:i w:val="0"/>
                <w:iCs w:val="0"/>
                <w:color w:val="auto"/>
                <w:sz w:val="21"/>
                <w:szCs w:val="21"/>
                <w:highlight w:val="none"/>
                <w:u w:val="none" w:color="auto"/>
              </w:rPr>
              <w:t>评价方法：根据《环境影响评价技术导则  土壤环境（试行）》中7.5.3.1土壤环境质量现状评价应采用标准指数法，进行统计分析。</w:t>
            </w:r>
          </w:p>
          <w:p w14:paraId="63A04E9E">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i w:val="0"/>
                <w:iCs w:val="0"/>
                <w:color w:val="auto"/>
                <w:sz w:val="21"/>
                <w:szCs w:val="21"/>
                <w:highlight w:val="none"/>
                <w:u w:val="none" w:color="auto"/>
              </w:rPr>
            </w:pPr>
            <w:r>
              <w:rPr>
                <w:rFonts w:hint="eastAsia" w:ascii="Times New Roman" w:hAnsi="Times New Roman" w:cs="Times New Roman"/>
                <w:i w:val="0"/>
                <w:iCs w:val="0"/>
                <w:color w:val="auto"/>
                <w:sz w:val="21"/>
                <w:szCs w:val="21"/>
                <w:highlight w:val="none"/>
                <w:u w:val="none" w:color="auto"/>
              </w:rPr>
              <w:t>（6）</w:t>
            </w:r>
            <w:r>
              <w:rPr>
                <w:rFonts w:ascii="Times New Roman" w:hAnsi="Times New Roman" w:cs="Times New Roman"/>
                <w:i w:val="0"/>
                <w:iCs w:val="0"/>
                <w:color w:val="auto"/>
                <w:sz w:val="21"/>
                <w:szCs w:val="21"/>
                <w:highlight w:val="none"/>
                <w:u w:val="none" w:color="auto"/>
              </w:rPr>
              <w:t>监测结果</w:t>
            </w:r>
          </w:p>
          <w:p w14:paraId="35E52061">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360" w:lineRule="auto"/>
              <w:ind w:left="0" w:leftChars="0" w:firstLine="420" w:firstLineChars="200"/>
              <w:textAlignment w:val="auto"/>
              <w:rPr>
                <w:rFonts w:ascii="Times New Roman" w:eastAsia="宋体"/>
                <w:i w:val="0"/>
                <w:iCs w:val="0"/>
                <w:color w:val="auto"/>
                <w:highlight w:val="none"/>
                <w:u w:val="none" w:color="auto"/>
              </w:rPr>
            </w:pPr>
            <w:r>
              <w:rPr>
                <w:rFonts w:ascii="Times New Roman" w:eastAsia="宋体"/>
                <w:i w:val="0"/>
                <w:iCs w:val="0"/>
                <w:color w:val="auto"/>
                <w:sz w:val="21"/>
                <w:szCs w:val="21"/>
                <w:highlight w:val="none"/>
                <w:u w:val="none" w:color="auto"/>
              </w:rPr>
              <w:t>监测统计结果详见下表。</w:t>
            </w:r>
          </w:p>
          <w:p w14:paraId="7BEAA5CB">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cs="宋体"/>
                <w:color w:val="auto"/>
                <w:lang w:val="en-US" w:eastAsia="zh-CN"/>
              </w:rPr>
            </w:pPr>
          </w:p>
          <w:p w14:paraId="271CFB9B">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cs="宋体"/>
                <w:color w:val="auto"/>
                <w:lang w:val="en-US" w:eastAsia="zh-CN"/>
              </w:rPr>
            </w:pPr>
          </w:p>
          <w:p w14:paraId="465EE1A4">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cs="宋体"/>
                <w:color w:val="auto"/>
                <w:lang w:val="en-US" w:eastAsia="zh-CN"/>
              </w:rPr>
            </w:pPr>
          </w:p>
          <w:p w14:paraId="1F4A02A1">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cs="宋体"/>
                <w:color w:val="auto"/>
                <w:lang w:val="en-US" w:eastAsia="zh-CN"/>
              </w:rPr>
            </w:pPr>
            <w:r>
              <w:rPr>
                <w:rFonts w:hint="eastAsia" w:ascii="宋体" w:hAnsi="宋体" w:cs="宋体"/>
                <w:color w:val="auto"/>
                <w:lang w:val="en-US" w:eastAsia="zh-CN"/>
              </w:rPr>
              <w:t>土壤监测统计结果一览表</w:t>
            </w:r>
          </w:p>
          <w:tbl>
            <w:tblPr>
              <w:tblStyle w:val="29"/>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81"/>
              <w:gridCol w:w="1342"/>
              <w:gridCol w:w="2544"/>
              <w:gridCol w:w="1435"/>
              <w:gridCol w:w="1174"/>
            </w:tblGrid>
            <w:tr w14:paraId="72C0ABA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exact"/>
                <w:tblHeader/>
                <w:jc w:val="center"/>
              </w:trPr>
              <w:tc>
                <w:tcPr>
                  <w:tcW w:w="928" w:type="pct"/>
                  <w:tcBorders>
                    <w:tl2br w:val="nil"/>
                    <w:tr2bl w:val="nil"/>
                  </w:tcBorders>
                  <w:vAlign w:val="center"/>
                </w:tcPr>
                <w:p w14:paraId="6275C330">
                  <w:pPr>
                    <w:widowControl/>
                    <w:spacing w:beforeLines="0" w:afterLines="0" w:line="240" w:lineRule="auto"/>
                    <w:jc w:val="center"/>
                    <w:textAlignment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采样</w:t>
                  </w:r>
                  <w:r>
                    <w:rPr>
                      <w:rFonts w:hint="default" w:ascii="Times New Roman" w:hAnsi="Times New Roman" w:cs="Times New Roman" w:eastAsiaTheme="minorEastAsia"/>
                      <w:b w:val="0"/>
                      <w:bCs w:val="0"/>
                      <w:color w:val="auto"/>
                      <w:sz w:val="18"/>
                      <w:szCs w:val="18"/>
                      <w:highlight w:val="none"/>
                      <w:lang w:val="en-US" w:eastAsia="zh-CN"/>
                    </w:rPr>
                    <w:t>日期</w:t>
                  </w:r>
                </w:p>
              </w:tc>
              <w:tc>
                <w:tcPr>
                  <w:tcW w:w="841" w:type="pct"/>
                  <w:tcBorders>
                    <w:tl2br w:val="nil"/>
                    <w:tr2bl w:val="nil"/>
                  </w:tcBorders>
                  <w:vAlign w:val="center"/>
                </w:tcPr>
                <w:p w14:paraId="08DBC22B">
                  <w:pPr>
                    <w:widowControl/>
                    <w:spacing w:beforeLines="0" w:afterLines="0" w:line="240" w:lineRule="auto"/>
                    <w:jc w:val="center"/>
                    <w:textAlignment w:val="center"/>
                    <w:rPr>
                      <w:rFonts w:hint="default" w:ascii="Times New Roman" w:hAnsi="Times New Roman" w:cs="Times New Roman" w:eastAsiaTheme="minorEastAsia"/>
                      <w:b w:val="0"/>
                      <w:bCs w:val="0"/>
                      <w:color w:val="auto"/>
                      <w:kern w:val="0"/>
                      <w:sz w:val="18"/>
                      <w:szCs w:val="18"/>
                      <w:highlight w:val="none"/>
                      <w:lang w:val="en-US" w:eastAsia="zh-CN"/>
                    </w:rPr>
                  </w:pPr>
                  <w:r>
                    <w:rPr>
                      <w:rFonts w:hint="default" w:ascii="Times New Roman" w:hAnsi="Times New Roman" w:cs="Times New Roman" w:eastAsiaTheme="minorEastAsia"/>
                      <w:b w:val="0"/>
                      <w:bCs w:val="0"/>
                      <w:color w:val="auto"/>
                      <w:kern w:val="0"/>
                      <w:sz w:val="18"/>
                      <w:szCs w:val="18"/>
                      <w:highlight w:val="none"/>
                      <w:lang w:val="en-US" w:eastAsia="zh-CN"/>
                    </w:rPr>
                    <w:t>采样</w:t>
                  </w:r>
                </w:p>
                <w:p w14:paraId="218ECA87">
                  <w:pPr>
                    <w:widowControl/>
                    <w:spacing w:beforeLines="0" w:afterLines="0" w:line="240" w:lineRule="auto"/>
                    <w:jc w:val="center"/>
                    <w:textAlignment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eastAsiaTheme="minorEastAsia"/>
                      <w:b w:val="0"/>
                      <w:bCs w:val="0"/>
                      <w:color w:val="auto"/>
                      <w:kern w:val="0"/>
                      <w:sz w:val="18"/>
                      <w:szCs w:val="18"/>
                      <w:highlight w:val="none"/>
                      <w:lang w:val="en-US" w:eastAsia="zh-CN"/>
                    </w:rPr>
                    <w:t>地点</w:t>
                  </w:r>
                </w:p>
              </w:tc>
              <w:tc>
                <w:tcPr>
                  <w:tcW w:w="1594" w:type="pct"/>
                  <w:tcBorders>
                    <w:tl2br w:val="nil"/>
                    <w:tr2bl w:val="nil"/>
                  </w:tcBorders>
                  <w:vAlign w:val="center"/>
                </w:tcPr>
                <w:p w14:paraId="1D99405C">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检测项目</w:t>
                  </w:r>
                </w:p>
              </w:tc>
              <w:tc>
                <w:tcPr>
                  <w:tcW w:w="899" w:type="pct"/>
                  <w:tcBorders>
                    <w:tl2br w:val="nil"/>
                    <w:tr2bl w:val="nil"/>
                  </w:tcBorders>
                  <w:vAlign w:val="center"/>
                </w:tcPr>
                <w:p w14:paraId="7AAB2F41">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检测值</w:t>
                  </w:r>
                </w:p>
              </w:tc>
              <w:tc>
                <w:tcPr>
                  <w:tcW w:w="735" w:type="pct"/>
                  <w:tcBorders>
                    <w:tl2br w:val="nil"/>
                    <w:tr2bl w:val="nil"/>
                  </w:tcBorders>
                  <w:vAlign w:val="center"/>
                </w:tcPr>
                <w:p w14:paraId="5705D64A">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单位</w:t>
                  </w:r>
                </w:p>
              </w:tc>
            </w:tr>
            <w:tr w14:paraId="5C5F76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restart"/>
                  <w:tcBorders>
                    <w:tl2br w:val="nil"/>
                    <w:tr2bl w:val="nil"/>
                  </w:tcBorders>
                  <w:vAlign w:val="center"/>
                </w:tcPr>
                <w:p w14:paraId="347E29CA">
                  <w:pPr>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8</w:t>
                  </w:r>
                  <w:r>
                    <w:rPr>
                      <w:rFonts w:hint="default" w:ascii="Times New Roman" w:hAnsi="Times New Roman" w:cs="Times New Roman" w:eastAsiaTheme="minorEastAsia"/>
                      <w:color w:val="auto"/>
                      <w:sz w:val="18"/>
                      <w:szCs w:val="18"/>
                      <w:highlight w:val="none"/>
                      <w:lang w:val="en-US" w:eastAsia="zh-CN"/>
                    </w:rPr>
                    <w:t>月</w:t>
                  </w:r>
                  <w:r>
                    <w:rPr>
                      <w:rFonts w:hint="default" w:ascii="Times New Roman" w:hAnsi="Times New Roman" w:cs="Times New Roman"/>
                      <w:color w:val="auto"/>
                      <w:sz w:val="18"/>
                      <w:szCs w:val="18"/>
                      <w:highlight w:val="none"/>
                      <w:lang w:val="en-US" w:eastAsia="zh-CN"/>
                    </w:rPr>
                    <w:t>13</w:t>
                  </w:r>
                  <w:r>
                    <w:rPr>
                      <w:rFonts w:hint="default" w:ascii="Times New Roman" w:hAnsi="Times New Roman" w:cs="Times New Roman" w:eastAsiaTheme="minorEastAsia"/>
                      <w:color w:val="auto"/>
                      <w:sz w:val="18"/>
                      <w:szCs w:val="18"/>
                      <w:highlight w:val="none"/>
                      <w:lang w:val="en-US" w:eastAsia="zh-CN"/>
                    </w:rPr>
                    <w:t>日</w:t>
                  </w:r>
                </w:p>
              </w:tc>
              <w:tc>
                <w:tcPr>
                  <w:tcW w:w="841" w:type="pct"/>
                  <w:vMerge w:val="restart"/>
                  <w:tcBorders>
                    <w:tl2br w:val="nil"/>
                    <w:tr2bl w:val="nil"/>
                  </w:tcBorders>
                  <w:vAlign w:val="center"/>
                </w:tcPr>
                <w:p w14:paraId="0AAE65CA">
                  <w:pPr>
                    <w:widowControl/>
                    <w:spacing w:beforeLines="0" w:afterLines="0" w:line="240" w:lineRule="auto"/>
                    <w:jc w:val="center"/>
                    <w:textAlignment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厂界区内发酵车间</w:t>
                  </w:r>
                </w:p>
              </w:tc>
              <w:tc>
                <w:tcPr>
                  <w:tcW w:w="1594" w:type="pct"/>
                  <w:tcBorders>
                    <w:tl2br w:val="nil"/>
                    <w:tr2bl w:val="nil"/>
                  </w:tcBorders>
                  <w:shd w:val="clear" w:color="auto" w:fill="auto"/>
                  <w:vAlign w:val="center"/>
                </w:tcPr>
                <w:p w14:paraId="6AEC50D0">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砷</w:t>
                  </w:r>
                </w:p>
              </w:tc>
              <w:tc>
                <w:tcPr>
                  <w:tcW w:w="899" w:type="pct"/>
                  <w:tcBorders>
                    <w:tl2br w:val="nil"/>
                    <w:tr2bl w:val="nil"/>
                  </w:tcBorders>
                  <w:vAlign w:val="center"/>
                </w:tcPr>
                <w:p w14:paraId="3A5DC7BB">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8.60</w:t>
                  </w:r>
                </w:p>
              </w:tc>
              <w:tc>
                <w:tcPr>
                  <w:tcW w:w="735" w:type="pct"/>
                  <w:vMerge w:val="restart"/>
                  <w:tcBorders>
                    <w:tl2br w:val="nil"/>
                    <w:tr2bl w:val="nil"/>
                  </w:tcBorders>
                  <w:vAlign w:val="center"/>
                </w:tcPr>
                <w:p w14:paraId="478C2A45">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color w:val="auto"/>
                      <w:kern w:val="0"/>
                      <w:sz w:val="18"/>
                      <w:szCs w:val="18"/>
                      <w:highlight w:val="none"/>
                      <w:lang w:val="en-US" w:eastAsia="zh-CN" w:bidi="ar-SA"/>
                    </w:rPr>
                    <w:t>mg/kg</w:t>
                  </w:r>
                </w:p>
              </w:tc>
            </w:tr>
            <w:tr w14:paraId="13C3FB0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vAlign w:val="center"/>
                </w:tcPr>
                <w:p w14:paraId="6FBB0E35">
                  <w:pPr>
                    <w:jc w:val="center"/>
                    <w:rPr>
                      <w:rFonts w:hint="default" w:ascii="Times New Roman" w:hAnsi="Times New Roman" w:cs="Times New Roman" w:eastAsiaTheme="minorEastAsia"/>
                      <w:color w:val="auto"/>
                      <w:sz w:val="18"/>
                      <w:szCs w:val="18"/>
                      <w:highlight w:val="none"/>
                      <w:lang w:val="en-US" w:eastAsia="zh-CN"/>
                    </w:rPr>
                  </w:pPr>
                </w:p>
              </w:tc>
              <w:tc>
                <w:tcPr>
                  <w:tcW w:w="841" w:type="pct"/>
                  <w:vMerge w:val="continue"/>
                  <w:tcBorders>
                    <w:tl2br w:val="nil"/>
                    <w:tr2bl w:val="nil"/>
                  </w:tcBorders>
                  <w:vAlign w:val="center"/>
                </w:tcPr>
                <w:p w14:paraId="03924016">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27AF1D71">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镉</w:t>
                  </w:r>
                </w:p>
              </w:tc>
              <w:tc>
                <w:tcPr>
                  <w:tcW w:w="899" w:type="pct"/>
                  <w:tcBorders>
                    <w:tl2br w:val="nil"/>
                    <w:tr2bl w:val="nil"/>
                  </w:tcBorders>
                  <w:vAlign w:val="center"/>
                </w:tcPr>
                <w:p w14:paraId="096FBD54">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0.40</w:t>
                  </w:r>
                </w:p>
              </w:tc>
              <w:tc>
                <w:tcPr>
                  <w:tcW w:w="735" w:type="pct"/>
                  <w:vMerge w:val="continue"/>
                  <w:tcBorders>
                    <w:tl2br w:val="nil"/>
                    <w:tr2bl w:val="nil"/>
                  </w:tcBorders>
                  <w:vAlign w:val="center"/>
                </w:tcPr>
                <w:p w14:paraId="538DFBBC">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4198C29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58E264F3">
                  <w:pPr>
                    <w:jc w:val="center"/>
                    <w:rPr>
                      <w:rFonts w:hint="default" w:ascii="Times New Roman" w:hAnsi="Times New Roman" w:cs="Times New Roman" w:eastAsiaTheme="minorEastAsia"/>
                      <w:color w:val="auto"/>
                      <w:sz w:val="18"/>
                      <w:szCs w:val="18"/>
                      <w:highlight w:val="none"/>
                      <w:lang w:val="en-US" w:eastAsia="zh-CN"/>
                    </w:rPr>
                  </w:pPr>
                </w:p>
              </w:tc>
              <w:tc>
                <w:tcPr>
                  <w:tcW w:w="841" w:type="pct"/>
                  <w:vMerge w:val="continue"/>
                  <w:tcBorders>
                    <w:tl2br w:val="nil"/>
                    <w:tr2bl w:val="nil"/>
                  </w:tcBorders>
                </w:tcPr>
                <w:p w14:paraId="6ADB7608">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70985438">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铬(六价)</w:t>
                  </w:r>
                </w:p>
              </w:tc>
              <w:tc>
                <w:tcPr>
                  <w:tcW w:w="899" w:type="pct"/>
                  <w:tcBorders>
                    <w:tl2br w:val="nil"/>
                    <w:tr2bl w:val="nil"/>
                  </w:tcBorders>
                  <w:vAlign w:val="center"/>
                </w:tcPr>
                <w:p w14:paraId="5D3A75E1">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vAlign w:val="center"/>
                </w:tcPr>
                <w:p w14:paraId="76F0E1BF">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1C6BD4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13B5E23B">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105859BA">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6B4CEC2D">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铜</w:t>
                  </w:r>
                </w:p>
              </w:tc>
              <w:tc>
                <w:tcPr>
                  <w:tcW w:w="899" w:type="pct"/>
                  <w:tcBorders>
                    <w:tl2br w:val="nil"/>
                    <w:tr2bl w:val="nil"/>
                  </w:tcBorders>
                  <w:vAlign w:val="center"/>
                </w:tcPr>
                <w:p w14:paraId="2A43E970">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22</w:t>
                  </w:r>
                </w:p>
              </w:tc>
              <w:tc>
                <w:tcPr>
                  <w:tcW w:w="735" w:type="pct"/>
                  <w:vMerge w:val="continue"/>
                  <w:tcBorders>
                    <w:tl2br w:val="nil"/>
                    <w:tr2bl w:val="nil"/>
                  </w:tcBorders>
                  <w:vAlign w:val="center"/>
                </w:tcPr>
                <w:p w14:paraId="5704EF6D">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4E19EA4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73B42773">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DCB19EE">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298524D5">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铅</w:t>
                  </w:r>
                </w:p>
              </w:tc>
              <w:tc>
                <w:tcPr>
                  <w:tcW w:w="899" w:type="pct"/>
                  <w:tcBorders>
                    <w:tl2br w:val="nil"/>
                    <w:tr2bl w:val="nil"/>
                  </w:tcBorders>
                  <w:vAlign w:val="center"/>
                </w:tcPr>
                <w:p w14:paraId="74F729F0">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9.0</w:t>
                  </w:r>
                </w:p>
              </w:tc>
              <w:tc>
                <w:tcPr>
                  <w:tcW w:w="735" w:type="pct"/>
                  <w:vMerge w:val="continue"/>
                  <w:tcBorders>
                    <w:tl2br w:val="nil"/>
                    <w:tr2bl w:val="nil"/>
                  </w:tcBorders>
                  <w:vAlign w:val="center"/>
                </w:tcPr>
                <w:p w14:paraId="3753492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6D8BFFE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8FCAA2B">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1B6E2805">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6067D699">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汞</w:t>
                  </w:r>
                </w:p>
              </w:tc>
              <w:tc>
                <w:tcPr>
                  <w:tcW w:w="899" w:type="pct"/>
                  <w:tcBorders>
                    <w:tl2br w:val="nil"/>
                    <w:tr2bl w:val="nil"/>
                  </w:tcBorders>
                  <w:vAlign w:val="center"/>
                </w:tcPr>
                <w:p w14:paraId="10A73CB3">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0.133</w:t>
                  </w:r>
                </w:p>
              </w:tc>
              <w:tc>
                <w:tcPr>
                  <w:tcW w:w="735" w:type="pct"/>
                  <w:vMerge w:val="continue"/>
                  <w:tcBorders>
                    <w:tl2br w:val="nil"/>
                    <w:tr2bl w:val="nil"/>
                  </w:tcBorders>
                  <w:vAlign w:val="center"/>
                </w:tcPr>
                <w:p w14:paraId="4D7B2C6D">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4D65467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DD16389">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1694F3B3">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68638F27">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镍</w:t>
                  </w:r>
                </w:p>
              </w:tc>
              <w:tc>
                <w:tcPr>
                  <w:tcW w:w="899" w:type="pct"/>
                  <w:tcBorders>
                    <w:tl2br w:val="nil"/>
                    <w:tr2bl w:val="nil"/>
                  </w:tcBorders>
                  <w:vAlign w:val="center"/>
                </w:tcPr>
                <w:p w14:paraId="710A8683">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26</w:t>
                  </w:r>
                </w:p>
              </w:tc>
              <w:tc>
                <w:tcPr>
                  <w:tcW w:w="735" w:type="pct"/>
                  <w:vMerge w:val="continue"/>
                  <w:tcBorders>
                    <w:tl2br w:val="nil"/>
                    <w:tr2bl w:val="nil"/>
                  </w:tcBorders>
                  <w:vAlign w:val="center"/>
                </w:tcPr>
                <w:p w14:paraId="759B61FD">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9A178C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364D453">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E3DA812">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493B44F5">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四氯化碳</w:t>
                  </w:r>
                </w:p>
              </w:tc>
              <w:tc>
                <w:tcPr>
                  <w:tcW w:w="899" w:type="pct"/>
                  <w:tcBorders>
                    <w:tl2br w:val="nil"/>
                    <w:tr2bl w:val="nil"/>
                  </w:tcBorders>
                  <w:vAlign w:val="center"/>
                </w:tcPr>
                <w:p w14:paraId="039D4EBD">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restart"/>
                  <w:tcBorders>
                    <w:tl2br w:val="nil"/>
                    <w:tr2bl w:val="nil"/>
                  </w:tcBorders>
                  <w:vAlign w:val="center"/>
                </w:tcPr>
                <w:p w14:paraId="0E92430B">
                  <w:pPr>
                    <w:widowControl/>
                    <w:spacing w:beforeLines="0" w:afterLines="0" w:line="240" w:lineRule="auto"/>
                    <w:jc w:val="center"/>
                    <w:textAlignment w:val="center"/>
                    <w:rPr>
                      <w:rFonts w:hint="default" w:ascii="Times New Roman" w:hAnsi="Times New Roman" w:cs="Times New Roman" w:eastAsiaTheme="minorEastAsia"/>
                      <w:b w:val="0"/>
                      <w:bCs w:val="0"/>
                      <w:color w:val="auto"/>
                      <w:kern w:val="0"/>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lang w:val="en-US" w:eastAsia="zh-CN"/>
                    </w:rPr>
                    <w:t>μg/</w:t>
                  </w:r>
                  <w:r>
                    <w:rPr>
                      <w:rFonts w:hint="default" w:ascii="Times New Roman" w:hAnsi="Times New Roman" w:cs="Times New Roman" w:eastAsiaTheme="minorEastAsia"/>
                      <w:b w:val="0"/>
                      <w:bCs w:val="0"/>
                      <w:color w:val="auto"/>
                      <w:kern w:val="0"/>
                      <w:sz w:val="18"/>
                      <w:szCs w:val="18"/>
                      <w:highlight w:val="none"/>
                      <w:lang w:val="en-US" w:eastAsia="zh-CN" w:bidi="ar-SA"/>
                    </w:rPr>
                    <w:t>kg</w:t>
                  </w:r>
                </w:p>
              </w:tc>
            </w:tr>
            <w:tr w14:paraId="2B13A709">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277721B9">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7C3CF7CC">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2D3DB765">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氯仿</w:t>
                  </w:r>
                </w:p>
              </w:tc>
              <w:tc>
                <w:tcPr>
                  <w:tcW w:w="899" w:type="pct"/>
                  <w:tcBorders>
                    <w:tl2br w:val="nil"/>
                    <w:tr2bl w:val="nil"/>
                  </w:tcBorders>
                  <w:vAlign w:val="center"/>
                </w:tcPr>
                <w:p w14:paraId="144B26B2">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5.5</w:t>
                  </w:r>
                </w:p>
              </w:tc>
              <w:tc>
                <w:tcPr>
                  <w:tcW w:w="735" w:type="pct"/>
                  <w:vMerge w:val="continue"/>
                  <w:tcBorders>
                    <w:tl2br w:val="nil"/>
                    <w:tr2bl w:val="nil"/>
                  </w:tcBorders>
                </w:tcPr>
                <w:p w14:paraId="491B1A40">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5C4A330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31EF0BA9">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264C7016">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59651EB7">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氯甲烷</w:t>
                  </w:r>
                </w:p>
              </w:tc>
              <w:tc>
                <w:tcPr>
                  <w:tcW w:w="899" w:type="pct"/>
                  <w:tcBorders>
                    <w:tl2br w:val="nil"/>
                    <w:tr2bl w:val="nil"/>
                  </w:tcBorders>
                  <w:vAlign w:val="center"/>
                </w:tcPr>
                <w:p w14:paraId="7D55422F">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4841E58A">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D1B5D1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63EFE22E">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27C9B442">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094200B0">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1,1-二氯乙烷</w:t>
                  </w:r>
                </w:p>
              </w:tc>
              <w:tc>
                <w:tcPr>
                  <w:tcW w:w="899" w:type="pct"/>
                  <w:tcBorders>
                    <w:tl2br w:val="nil"/>
                    <w:tr2bl w:val="nil"/>
                  </w:tcBorders>
                  <w:vAlign w:val="center"/>
                </w:tcPr>
                <w:p w14:paraId="60D497A2">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28A3B078">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4614EB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5AC406F7">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38EA3595">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98A845D">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1,2-二氯乙烷</w:t>
                  </w:r>
                </w:p>
              </w:tc>
              <w:tc>
                <w:tcPr>
                  <w:tcW w:w="899" w:type="pct"/>
                  <w:tcBorders>
                    <w:tl2br w:val="nil"/>
                    <w:tr2bl w:val="nil"/>
                  </w:tcBorders>
                  <w:vAlign w:val="center"/>
                </w:tcPr>
                <w:p w14:paraId="6BE7942E">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024E8073">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940383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59A537CF">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18F20CEB">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07BE3B34">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1,1-二氯乙烯</w:t>
                  </w:r>
                </w:p>
              </w:tc>
              <w:tc>
                <w:tcPr>
                  <w:tcW w:w="899" w:type="pct"/>
                  <w:tcBorders>
                    <w:tl2br w:val="nil"/>
                    <w:tr2bl w:val="nil"/>
                  </w:tcBorders>
                  <w:vAlign w:val="center"/>
                </w:tcPr>
                <w:p w14:paraId="0C72D23E">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6F3AA725">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55A5810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6A9DAF3A">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628ECA72">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5906A1A">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sz w:val="18"/>
                      <w:szCs w:val="18"/>
                      <w:highlight w:val="none"/>
                      <w:vertAlign w:val="baseline"/>
                      <w:lang w:val="en-US" w:eastAsia="zh-CN"/>
                    </w:rPr>
                    <w:t>顺-1,2-二氯乙烯</w:t>
                  </w:r>
                </w:p>
              </w:tc>
              <w:tc>
                <w:tcPr>
                  <w:tcW w:w="899" w:type="pct"/>
                  <w:tcBorders>
                    <w:tl2br w:val="nil"/>
                    <w:tr2bl w:val="nil"/>
                  </w:tcBorders>
                  <w:vAlign w:val="center"/>
                </w:tcPr>
                <w:p w14:paraId="34094617">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022D7A3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3282568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27D11B66">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28113A97">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581274B5">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sz w:val="18"/>
                      <w:szCs w:val="18"/>
                      <w:highlight w:val="none"/>
                      <w:vertAlign w:val="baseline"/>
                      <w:lang w:val="en-US" w:eastAsia="zh-CN"/>
                    </w:rPr>
                    <w:t>反-1,2-二氯乙烯</w:t>
                  </w:r>
                </w:p>
              </w:tc>
              <w:tc>
                <w:tcPr>
                  <w:tcW w:w="899" w:type="pct"/>
                  <w:tcBorders>
                    <w:tl2br w:val="nil"/>
                    <w:tr2bl w:val="nil"/>
                  </w:tcBorders>
                  <w:vAlign w:val="center"/>
                </w:tcPr>
                <w:p w14:paraId="4F465E30">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3C717ABB">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62C997F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609A427">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CCAC971">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A5BED01">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二氯甲烷</w:t>
                  </w:r>
                </w:p>
              </w:tc>
              <w:tc>
                <w:tcPr>
                  <w:tcW w:w="899" w:type="pct"/>
                  <w:tcBorders>
                    <w:tl2br w:val="nil"/>
                    <w:tr2bl w:val="nil"/>
                  </w:tcBorders>
                  <w:vAlign w:val="center"/>
                </w:tcPr>
                <w:p w14:paraId="12C5BC17">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A1B16AA">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5C9676EC">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7D507AB7">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729F730D">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6D13EC66">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1,2-二氯丙烷</w:t>
                  </w:r>
                </w:p>
              </w:tc>
              <w:tc>
                <w:tcPr>
                  <w:tcW w:w="899" w:type="pct"/>
                  <w:tcBorders>
                    <w:tl2br w:val="nil"/>
                    <w:tr2bl w:val="nil"/>
                  </w:tcBorders>
                  <w:vAlign w:val="center"/>
                </w:tcPr>
                <w:p w14:paraId="139C1700">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2D328094">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90CC49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C73EDBE">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61AE986D">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681FE103">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1,1,1,2-四氯乙烷</w:t>
                  </w:r>
                </w:p>
              </w:tc>
              <w:tc>
                <w:tcPr>
                  <w:tcW w:w="899" w:type="pct"/>
                  <w:tcBorders>
                    <w:tl2br w:val="nil"/>
                    <w:tr2bl w:val="nil"/>
                  </w:tcBorders>
                  <w:vAlign w:val="center"/>
                </w:tcPr>
                <w:p w14:paraId="7C707ED3">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253254E0">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4F238A2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27CC72D6">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30080422">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768EDACA">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1,1,2,2-四氯乙烷</w:t>
                  </w:r>
                </w:p>
              </w:tc>
              <w:tc>
                <w:tcPr>
                  <w:tcW w:w="899" w:type="pct"/>
                  <w:tcBorders>
                    <w:tl2br w:val="nil"/>
                    <w:tr2bl w:val="nil"/>
                  </w:tcBorders>
                  <w:shd w:val="clear" w:color="auto" w:fill="auto"/>
                  <w:vAlign w:val="center"/>
                </w:tcPr>
                <w:p w14:paraId="778C19B9">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1F10DC8F">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8FE02B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635753C5">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C6AB8FF">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4BE0B7D">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四氯乙烯</w:t>
                  </w:r>
                </w:p>
              </w:tc>
              <w:tc>
                <w:tcPr>
                  <w:tcW w:w="899" w:type="pct"/>
                  <w:tcBorders>
                    <w:tl2br w:val="nil"/>
                    <w:tr2bl w:val="nil"/>
                  </w:tcBorders>
                  <w:shd w:val="clear" w:color="auto" w:fill="auto"/>
                  <w:vAlign w:val="center"/>
                </w:tcPr>
                <w:p w14:paraId="2A8045AF">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69882F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D778EF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F6DB5B9">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533C8981">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2A7C7B8">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1,1,1-三氯乙烷</w:t>
                  </w:r>
                </w:p>
              </w:tc>
              <w:tc>
                <w:tcPr>
                  <w:tcW w:w="899" w:type="pct"/>
                  <w:tcBorders>
                    <w:tl2br w:val="nil"/>
                    <w:tr2bl w:val="nil"/>
                  </w:tcBorders>
                  <w:shd w:val="clear" w:color="auto" w:fill="auto"/>
                  <w:vAlign w:val="center"/>
                </w:tcPr>
                <w:p w14:paraId="7F2E09A5">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050371EA">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9A93B21">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shd w:val="clear" w:color="auto" w:fill="auto"/>
                  <w:vAlign w:val="center"/>
                </w:tcPr>
                <w:p w14:paraId="6688ABBD">
                  <w:pPr>
                    <w:jc w:val="center"/>
                    <w:rPr>
                      <w:rFonts w:hint="default" w:ascii="Times New Roman" w:hAnsi="Times New Roman" w:cs="Times New Roman" w:eastAsiaTheme="minorEastAsia"/>
                      <w:color w:val="auto"/>
                      <w:kern w:val="2"/>
                      <w:sz w:val="18"/>
                      <w:szCs w:val="18"/>
                      <w:highlight w:val="none"/>
                      <w:lang w:val="en-US" w:eastAsia="zh-CN" w:bidi="ar-SA"/>
                    </w:rPr>
                  </w:pPr>
                </w:p>
              </w:tc>
              <w:tc>
                <w:tcPr>
                  <w:tcW w:w="841" w:type="pct"/>
                  <w:vMerge w:val="continue"/>
                  <w:tcBorders>
                    <w:tl2br w:val="nil"/>
                    <w:tr2bl w:val="nil"/>
                  </w:tcBorders>
                  <w:shd w:val="clear" w:color="auto" w:fill="auto"/>
                  <w:vAlign w:val="center"/>
                </w:tcPr>
                <w:p w14:paraId="2BE8AFD0">
                  <w:pPr>
                    <w:widowControl/>
                    <w:spacing w:beforeLines="0" w:afterLines="0" w:line="240" w:lineRule="auto"/>
                    <w:jc w:val="center"/>
                    <w:textAlignment w:val="center"/>
                    <w:rPr>
                      <w:rFonts w:hint="default" w:ascii="Times New Roman" w:hAnsi="Times New Roman" w:cs="Times New Roman" w:eastAsiaTheme="minorEastAsia"/>
                      <w:b w:val="0"/>
                      <w:bCs/>
                      <w:color w:val="auto"/>
                      <w:kern w:val="0"/>
                      <w:sz w:val="18"/>
                      <w:szCs w:val="18"/>
                      <w:highlight w:val="none"/>
                      <w:lang w:val="en-US" w:eastAsia="zh-CN" w:bidi="ar-SA"/>
                    </w:rPr>
                  </w:pPr>
                </w:p>
              </w:tc>
              <w:tc>
                <w:tcPr>
                  <w:tcW w:w="1594" w:type="pct"/>
                  <w:tcBorders>
                    <w:tl2br w:val="nil"/>
                    <w:tr2bl w:val="nil"/>
                  </w:tcBorders>
                  <w:shd w:val="clear" w:color="auto" w:fill="auto"/>
                  <w:vAlign w:val="center"/>
                </w:tcPr>
                <w:p w14:paraId="786017B9">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1,1,2-三氯乙烷</w:t>
                  </w:r>
                </w:p>
              </w:tc>
              <w:tc>
                <w:tcPr>
                  <w:tcW w:w="899" w:type="pct"/>
                  <w:tcBorders>
                    <w:tl2br w:val="nil"/>
                    <w:tr2bl w:val="nil"/>
                  </w:tcBorders>
                  <w:shd w:val="clear" w:color="auto" w:fill="auto"/>
                  <w:vAlign w:val="center"/>
                </w:tcPr>
                <w:p w14:paraId="5E06561C">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vAlign w:val="center"/>
                </w:tcPr>
                <w:p w14:paraId="79B5238F">
                  <w:pPr>
                    <w:widowControl/>
                    <w:spacing w:beforeLines="0" w:afterLines="0" w:line="240" w:lineRule="auto"/>
                    <w:jc w:val="center"/>
                    <w:textAlignment w:val="center"/>
                    <w:rPr>
                      <w:rFonts w:hint="default" w:ascii="Times New Roman" w:hAnsi="Times New Roman" w:cs="Times New Roman" w:eastAsiaTheme="minorEastAsia"/>
                      <w:b w:val="0"/>
                      <w:bCs w:val="0"/>
                      <w:color w:val="auto"/>
                      <w:kern w:val="0"/>
                      <w:sz w:val="18"/>
                      <w:szCs w:val="18"/>
                      <w:highlight w:val="none"/>
                      <w:lang w:val="en-US" w:eastAsia="zh-CN" w:bidi="ar-SA"/>
                    </w:rPr>
                  </w:pPr>
                </w:p>
              </w:tc>
            </w:tr>
            <w:tr w14:paraId="46EEED6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1229E026">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43DBA77">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35C182C1">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三氯乙烯</w:t>
                  </w:r>
                </w:p>
              </w:tc>
              <w:tc>
                <w:tcPr>
                  <w:tcW w:w="899" w:type="pct"/>
                  <w:tcBorders>
                    <w:tl2br w:val="nil"/>
                    <w:tr2bl w:val="nil"/>
                  </w:tcBorders>
                  <w:shd w:val="clear" w:color="auto" w:fill="auto"/>
                  <w:vAlign w:val="center"/>
                </w:tcPr>
                <w:p w14:paraId="22C1CC5B">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628F3D69">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48EBAB7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45143A2A">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64AA8133">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75057E31">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1,2,3-三氯丙烷</w:t>
                  </w:r>
                </w:p>
              </w:tc>
              <w:tc>
                <w:tcPr>
                  <w:tcW w:w="899" w:type="pct"/>
                  <w:tcBorders>
                    <w:tl2br w:val="nil"/>
                    <w:tr2bl w:val="nil"/>
                  </w:tcBorders>
                  <w:shd w:val="clear" w:color="auto" w:fill="auto"/>
                  <w:vAlign w:val="center"/>
                </w:tcPr>
                <w:p w14:paraId="0588F26A">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CA0F3ED">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96B342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1FB29507">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0DF53BFF">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3DE6935E">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氯乙烯</w:t>
                  </w:r>
                </w:p>
              </w:tc>
              <w:tc>
                <w:tcPr>
                  <w:tcW w:w="899" w:type="pct"/>
                  <w:tcBorders>
                    <w:tl2br w:val="nil"/>
                    <w:tr2bl w:val="nil"/>
                  </w:tcBorders>
                  <w:shd w:val="clear" w:color="auto" w:fill="auto"/>
                  <w:vAlign w:val="center"/>
                </w:tcPr>
                <w:p w14:paraId="55F1C899">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6E9AA79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B90CD3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669CEFB3">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C56B421">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28B00E54">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w:t>
                  </w:r>
                </w:p>
              </w:tc>
              <w:tc>
                <w:tcPr>
                  <w:tcW w:w="899" w:type="pct"/>
                  <w:tcBorders>
                    <w:tl2br w:val="nil"/>
                    <w:tr2bl w:val="nil"/>
                  </w:tcBorders>
                  <w:shd w:val="clear" w:color="auto" w:fill="auto"/>
                  <w:vAlign w:val="center"/>
                </w:tcPr>
                <w:p w14:paraId="6BE31B39">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0C6D1FF4">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876A93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74836588">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57E8BB9E">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00C1F88C">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氯苯</w:t>
                  </w:r>
                </w:p>
              </w:tc>
              <w:tc>
                <w:tcPr>
                  <w:tcW w:w="899" w:type="pct"/>
                  <w:tcBorders>
                    <w:tl2br w:val="nil"/>
                    <w:tr2bl w:val="nil"/>
                  </w:tcBorders>
                  <w:shd w:val="clear" w:color="auto" w:fill="auto"/>
                  <w:vAlign w:val="center"/>
                </w:tcPr>
                <w:p w14:paraId="53FA31A7">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731DB7CF">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1775AD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44E0E32A">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1C088751">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5E831523">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1,2-二氯苯</w:t>
                  </w:r>
                </w:p>
              </w:tc>
              <w:tc>
                <w:tcPr>
                  <w:tcW w:w="899" w:type="pct"/>
                  <w:tcBorders>
                    <w:tl2br w:val="nil"/>
                    <w:tr2bl w:val="nil"/>
                  </w:tcBorders>
                  <w:shd w:val="clear" w:color="auto" w:fill="auto"/>
                  <w:vAlign w:val="center"/>
                </w:tcPr>
                <w:p w14:paraId="4CB8961F">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2C36767F">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630F042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6D08C6BB">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2FA6964D">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3411D4DC">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1,4-二氯苯</w:t>
                  </w:r>
                </w:p>
              </w:tc>
              <w:tc>
                <w:tcPr>
                  <w:tcW w:w="899" w:type="pct"/>
                  <w:tcBorders>
                    <w:tl2br w:val="nil"/>
                    <w:tr2bl w:val="nil"/>
                  </w:tcBorders>
                  <w:shd w:val="clear" w:color="auto" w:fill="auto"/>
                  <w:vAlign w:val="center"/>
                </w:tcPr>
                <w:p w14:paraId="1187EE31">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69B90A95">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2E49BD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038DD69E">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29684ABF">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34AD1D5D">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乙苯</w:t>
                  </w:r>
                </w:p>
              </w:tc>
              <w:tc>
                <w:tcPr>
                  <w:tcW w:w="899" w:type="pct"/>
                  <w:tcBorders>
                    <w:tl2br w:val="nil"/>
                    <w:tr2bl w:val="nil"/>
                  </w:tcBorders>
                  <w:shd w:val="clear" w:color="auto" w:fill="auto"/>
                  <w:vAlign w:val="center"/>
                </w:tcPr>
                <w:p w14:paraId="413E5E7D">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33FC5821">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EAA900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exact"/>
                <w:tblHeader/>
                <w:jc w:val="center"/>
              </w:trPr>
              <w:tc>
                <w:tcPr>
                  <w:tcW w:w="928" w:type="pct"/>
                  <w:vMerge w:val="continue"/>
                  <w:tcBorders>
                    <w:tl2br w:val="nil"/>
                    <w:tr2bl w:val="nil"/>
                  </w:tcBorders>
                </w:tcPr>
                <w:p w14:paraId="72509F81">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5E605B1">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0B197618">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苯乙烯</w:t>
                  </w:r>
                </w:p>
              </w:tc>
              <w:tc>
                <w:tcPr>
                  <w:tcW w:w="899" w:type="pct"/>
                  <w:tcBorders>
                    <w:tl2br w:val="nil"/>
                    <w:tr2bl w:val="nil"/>
                  </w:tcBorders>
                  <w:shd w:val="clear" w:color="auto" w:fill="auto"/>
                  <w:vAlign w:val="center"/>
                </w:tcPr>
                <w:p w14:paraId="12831645">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13B90FF1">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CE4D8E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4D4DAAA3">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3BC5AE2F">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7E9F2DC4">
                  <w:pPr>
                    <w:jc w:val="center"/>
                    <w:rPr>
                      <w:rFonts w:hint="default" w:ascii="Times New Roman" w:hAnsi="Times New Roman" w:cs="Times New Roman" w:eastAsiaTheme="minorEastAsia"/>
                      <w:b w:val="0"/>
                      <w:bCs/>
                      <w:color w:val="auto"/>
                      <w:kern w:val="0"/>
                      <w:sz w:val="18"/>
                      <w:szCs w:val="18"/>
                      <w:highlight w:val="none"/>
                      <w:lang w:val="en-US" w:eastAsia="zh-CN"/>
                    </w:rPr>
                  </w:pPr>
                  <w:r>
                    <w:rPr>
                      <w:rFonts w:hint="default" w:ascii="Times New Roman" w:hAnsi="Times New Roman" w:cs="Times New Roman" w:eastAsiaTheme="minorEastAsia"/>
                      <w:b w:val="0"/>
                      <w:bCs/>
                      <w:color w:val="auto"/>
                      <w:kern w:val="0"/>
                      <w:sz w:val="18"/>
                      <w:szCs w:val="18"/>
                      <w:highlight w:val="none"/>
                      <w:lang w:val="en-US" w:eastAsia="zh-CN"/>
                    </w:rPr>
                    <w:t>甲苯</w:t>
                  </w:r>
                </w:p>
              </w:tc>
              <w:tc>
                <w:tcPr>
                  <w:tcW w:w="899" w:type="pct"/>
                  <w:tcBorders>
                    <w:tl2br w:val="nil"/>
                    <w:tr2bl w:val="nil"/>
                  </w:tcBorders>
                  <w:shd w:val="clear" w:color="auto" w:fill="auto"/>
                  <w:vAlign w:val="center"/>
                </w:tcPr>
                <w:p w14:paraId="2E80F929">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6C4365F9">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7CC0764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1" w:hRule="exact"/>
                <w:tblHeader/>
                <w:jc w:val="center"/>
              </w:trPr>
              <w:tc>
                <w:tcPr>
                  <w:tcW w:w="928" w:type="pct"/>
                  <w:vMerge w:val="continue"/>
                  <w:tcBorders>
                    <w:tl2br w:val="nil"/>
                    <w:tr2bl w:val="nil"/>
                  </w:tcBorders>
                  <w:shd w:val="clear" w:color="auto" w:fill="auto"/>
                  <w:vAlign w:val="center"/>
                </w:tcPr>
                <w:p w14:paraId="2EE881A0">
                  <w:pPr>
                    <w:jc w:val="center"/>
                    <w:rPr>
                      <w:rFonts w:hint="default" w:ascii="Times New Roman" w:hAnsi="Times New Roman" w:cs="Times New Roman" w:eastAsiaTheme="minorEastAsia"/>
                      <w:color w:val="auto"/>
                      <w:kern w:val="2"/>
                      <w:sz w:val="18"/>
                      <w:szCs w:val="18"/>
                      <w:highlight w:val="none"/>
                      <w:lang w:val="en-US" w:eastAsia="zh-CN" w:bidi="ar-SA"/>
                    </w:rPr>
                  </w:pPr>
                </w:p>
              </w:tc>
              <w:tc>
                <w:tcPr>
                  <w:tcW w:w="841" w:type="pct"/>
                  <w:vMerge w:val="continue"/>
                  <w:tcBorders>
                    <w:tl2br w:val="nil"/>
                    <w:tr2bl w:val="nil"/>
                  </w:tcBorders>
                  <w:shd w:val="clear" w:color="auto" w:fill="auto"/>
                  <w:vAlign w:val="center"/>
                </w:tcPr>
                <w:p w14:paraId="6FC93CEE">
                  <w:pPr>
                    <w:widowControl/>
                    <w:spacing w:beforeLines="0" w:afterLines="0" w:line="240" w:lineRule="auto"/>
                    <w:jc w:val="center"/>
                    <w:textAlignment w:val="center"/>
                    <w:rPr>
                      <w:rFonts w:hint="default" w:ascii="Times New Roman" w:hAnsi="Times New Roman" w:cs="Times New Roman" w:eastAsiaTheme="minorEastAsia"/>
                      <w:b w:val="0"/>
                      <w:bCs/>
                      <w:color w:val="auto"/>
                      <w:kern w:val="0"/>
                      <w:sz w:val="18"/>
                      <w:szCs w:val="18"/>
                      <w:highlight w:val="none"/>
                      <w:lang w:val="en-US" w:eastAsia="zh-CN" w:bidi="ar-SA"/>
                    </w:rPr>
                  </w:pPr>
                </w:p>
              </w:tc>
              <w:tc>
                <w:tcPr>
                  <w:tcW w:w="1594" w:type="pct"/>
                  <w:tcBorders>
                    <w:tl2br w:val="nil"/>
                    <w:tr2bl w:val="nil"/>
                  </w:tcBorders>
                  <w:shd w:val="clear" w:color="auto" w:fill="auto"/>
                  <w:vAlign w:val="center"/>
                </w:tcPr>
                <w:p w14:paraId="16F63F66">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间二甲苯+对二甲苯</w:t>
                  </w:r>
                </w:p>
              </w:tc>
              <w:tc>
                <w:tcPr>
                  <w:tcW w:w="899" w:type="pct"/>
                  <w:tcBorders>
                    <w:tl2br w:val="nil"/>
                    <w:tr2bl w:val="nil"/>
                  </w:tcBorders>
                  <w:shd w:val="clear" w:color="auto" w:fill="auto"/>
                  <w:vAlign w:val="center"/>
                </w:tcPr>
                <w:p w14:paraId="13095311">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vAlign w:val="center"/>
                </w:tcPr>
                <w:p w14:paraId="3FDC358F">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2C0FA06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vAlign w:val="center"/>
                </w:tcPr>
                <w:p w14:paraId="0DD405BB">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vAlign w:val="center"/>
                </w:tcPr>
                <w:p w14:paraId="04A1436B">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4DE206AE">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邻二甲苯</w:t>
                  </w:r>
                </w:p>
              </w:tc>
              <w:tc>
                <w:tcPr>
                  <w:tcW w:w="899" w:type="pct"/>
                  <w:tcBorders>
                    <w:tl2br w:val="nil"/>
                    <w:tr2bl w:val="nil"/>
                  </w:tcBorders>
                  <w:shd w:val="clear" w:color="auto" w:fill="auto"/>
                  <w:vAlign w:val="center"/>
                </w:tcPr>
                <w:p w14:paraId="052BFABC">
                  <w:pPr>
                    <w:widowControl/>
                    <w:spacing w:beforeLines="0" w:afterLines="0" w:line="240" w:lineRule="auto"/>
                    <w:jc w:val="center"/>
                    <w:textAlignment w:val="cente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vAlign w:val="center"/>
                </w:tcPr>
                <w:p w14:paraId="1C7AB8AA">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4AED56B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588D800B">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3FDF396B">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54E0ABC4">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硝基苯</w:t>
                  </w:r>
                </w:p>
              </w:tc>
              <w:tc>
                <w:tcPr>
                  <w:tcW w:w="899" w:type="pct"/>
                  <w:tcBorders>
                    <w:tl2br w:val="nil"/>
                    <w:tr2bl w:val="nil"/>
                  </w:tcBorders>
                  <w:shd w:val="clear" w:color="auto" w:fill="auto"/>
                  <w:vAlign w:val="center"/>
                </w:tcPr>
                <w:p w14:paraId="788B022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restart"/>
                  <w:tcBorders>
                    <w:tl2br w:val="nil"/>
                    <w:tr2bl w:val="nil"/>
                  </w:tcBorders>
                  <w:vAlign w:val="center"/>
                </w:tcPr>
                <w:p w14:paraId="28DAC811">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color w:val="auto"/>
                      <w:kern w:val="0"/>
                      <w:sz w:val="18"/>
                      <w:szCs w:val="18"/>
                      <w:highlight w:val="none"/>
                      <w:lang w:val="en-US" w:eastAsia="zh-CN" w:bidi="ar-SA"/>
                    </w:rPr>
                    <w:t>mg/kg</w:t>
                  </w:r>
                </w:p>
              </w:tc>
            </w:tr>
            <w:tr w14:paraId="36178AA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774CB25F">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3484A248">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7AF727EA">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苯胺</w:t>
                  </w:r>
                </w:p>
              </w:tc>
              <w:tc>
                <w:tcPr>
                  <w:tcW w:w="899" w:type="pct"/>
                  <w:tcBorders>
                    <w:tl2br w:val="nil"/>
                    <w:tr2bl w:val="nil"/>
                  </w:tcBorders>
                  <w:shd w:val="clear" w:color="auto" w:fill="auto"/>
                  <w:vAlign w:val="center"/>
                </w:tcPr>
                <w:p w14:paraId="475EA8D6">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443C7564">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5AC106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215D508B">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5B15D421">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14E684C">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2-氯酚</w:t>
                  </w:r>
                </w:p>
              </w:tc>
              <w:tc>
                <w:tcPr>
                  <w:tcW w:w="899" w:type="pct"/>
                  <w:tcBorders>
                    <w:tl2br w:val="nil"/>
                    <w:tr2bl w:val="nil"/>
                  </w:tcBorders>
                  <w:shd w:val="clear" w:color="auto" w:fill="auto"/>
                  <w:vAlign w:val="center"/>
                </w:tcPr>
                <w:p w14:paraId="716822FA">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40171539">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8DA74B2">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48003BC0">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0B2E034">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1781C03">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苯并[a]蒽</w:t>
                  </w:r>
                </w:p>
              </w:tc>
              <w:tc>
                <w:tcPr>
                  <w:tcW w:w="899" w:type="pct"/>
                  <w:tcBorders>
                    <w:tl2br w:val="nil"/>
                    <w:tr2bl w:val="nil"/>
                  </w:tcBorders>
                  <w:shd w:val="clear" w:color="auto" w:fill="auto"/>
                  <w:vAlign w:val="center"/>
                </w:tcPr>
                <w:p w14:paraId="28CB7CE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C282746">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609420C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51A549C1">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56137887">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18B1DBC8">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苯并[a]芘</w:t>
                  </w:r>
                </w:p>
              </w:tc>
              <w:tc>
                <w:tcPr>
                  <w:tcW w:w="899" w:type="pct"/>
                  <w:tcBorders>
                    <w:tl2br w:val="nil"/>
                    <w:tr2bl w:val="nil"/>
                  </w:tcBorders>
                  <w:shd w:val="clear" w:color="auto" w:fill="auto"/>
                  <w:vAlign w:val="center"/>
                </w:tcPr>
                <w:p w14:paraId="57E24456">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3B05CF23">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9870E94">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1A2F4118">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01C051D6">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6BE78615">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苯并[b]荧蒽</w:t>
                  </w:r>
                </w:p>
              </w:tc>
              <w:tc>
                <w:tcPr>
                  <w:tcW w:w="899" w:type="pct"/>
                  <w:tcBorders>
                    <w:tl2br w:val="nil"/>
                    <w:tr2bl w:val="nil"/>
                  </w:tcBorders>
                  <w:shd w:val="clear" w:color="auto" w:fill="auto"/>
                  <w:vAlign w:val="center"/>
                </w:tcPr>
                <w:p w14:paraId="567AC3E5">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5DC3C7D">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256DC97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4C4F3C43">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BFAFB8B">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217B46AB">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苯并[k]荧蒽</w:t>
                  </w:r>
                </w:p>
              </w:tc>
              <w:tc>
                <w:tcPr>
                  <w:tcW w:w="899" w:type="pct"/>
                  <w:tcBorders>
                    <w:tl2br w:val="nil"/>
                    <w:tr2bl w:val="nil"/>
                  </w:tcBorders>
                  <w:shd w:val="clear" w:color="auto" w:fill="auto"/>
                  <w:vAlign w:val="center"/>
                </w:tcPr>
                <w:p w14:paraId="74DD4C0E">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FCDD20C">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3426464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33054BB6">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094FBD36">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2DA6274E">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䓛</w:t>
                  </w:r>
                </w:p>
              </w:tc>
              <w:tc>
                <w:tcPr>
                  <w:tcW w:w="899" w:type="pct"/>
                  <w:tcBorders>
                    <w:tl2br w:val="nil"/>
                    <w:tr2bl w:val="nil"/>
                  </w:tcBorders>
                  <w:shd w:val="clear" w:color="auto" w:fill="auto"/>
                  <w:vAlign w:val="center"/>
                </w:tcPr>
                <w:p w14:paraId="7B047785">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75A98CF">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4B180D0">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3C6438E3">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2EA291D7">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74E860C3">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二苯并[a,h]蒽</w:t>
                  </w:r>
                </w:p>
              </w:tc>
              <w:tc>
                <w:tcPr>
                  <w:tcW w:w="899" w:type="pct"/>
                  <w:tcBorders>
                    <w:tl2br w:val="nil"/>
                    <w:tr2bl w:val="nil"/>
                  </w:tcBorders>
                  <w:shd w:val="clear" w:color="auto" w:fill="auto"/>
                  <w:vAlign w:val="center"/>
                </w:tcPr>
                <w:p w14:paraId="14D67889">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207EC016">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0A9B96E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 w:hRule="exact"/>
                <w:tblHeader/>
                <w:jc w:val="center"/>
              </w:trPr>
              <w:tc>
                <w:tcPr>
                  <w:tcW w:w="928" w:type="pct"/>
                  <w:vMerge w:val="continue"/>
                  <w:tcBorders>
                    <w:tl2br w:val="nil"/>
                    <w:tr2bl w:val="nil"/>
                  </w:tcBorders>
                </w:tcPr>
                <w:p w14:paraId="7D350D4C">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6ED57E6C">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023DC4D7">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茚并[1,2,3-cd]芘</w:t>
                  </w:r>
                </w:p>
              </w:tc>
              <w:tc>
                <w:tcPr>
                  <w:tcW w:w="899" w:type="pct"/>
                  <w:tcBorders>
                    <w:tl2br w:val="nil"/>
                    <w:tr2bl w:val="nil"/>
                  </w:tcBorders>
                  <w:shd w:val="clear" w:color="auto" w:fill="auto"/>
                  <w:vAlign w:val="center"/>
                </w:tcPr>
                <w:p w14:paraId="4C3066AC">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7CE37152">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r w14:paraId="13EA983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2" w:hRule="exact"/>
                <w:tblHeader/>
                <w:jc w:val="center"/>
              </w:trPr>
              <w:tc>
                <w:tcPr>
                  <w:tcW w:w="928" w:type="pct"/>
                  <w:vMerge w:val="continue"/>
                  <w:tcBorders>
                    <w:tl2br w:val="nil"/>
                    <w:tr2bl w:val="nil"/>
                  </w:tcBorders>
                </w:tcPr>
                <w:p w14:paraId="436DFA51">
                  <w:pPr>
                    <w:widowControl/>
                    <w:spacing w:beforeLines="0" w:afterLines="0" w:line="240" w:lineRule="auto"/>
                    <w:jc w:val="center"/>
                    <w:textAlignment w:val="center"/>
                    <w:rPr>
                      <w:rFonts w:hint="default" w:ascii="Times New Roman" w:hAnsi="Times New Roman" w:cs="Times New Roman" w:eastAsiaTheme="minorEastAsia"/>
                      <w:b/>
                      <w:bCs/>
                      <w:color w:val="auto"/>
                      <w:sz w:val="18"/>
                      <w:szCs w:val="18"/>
                      <w:highlight w:val="none"/>
                      <w:lang w:val="en-US" w:eastAsia="zh-CN"/>
                    </w:rPr>
                  </w:pPr>
                </w:p>
              </w:tc>
              <w:tc>
                <w:tcPr>
                  <w:tcW w:w="841" w:type="pct"/>
                  <w:vMerge w:val="continue"/>
                  <w:tcBorders>
                    <w:tl2br w:val="nil"/>
                    <w:tr2bl w:val="nil"/>
                  </w:tcBorders>
                </w:tcPr>
                <w:p w14:paraId="4A0BE71A">
                  <w:pPr>
                    <w:widowControl/>
                    <w:spacing w:beforeLines="0" w:afterLines="0" w:line="240" w:lineRule="auto"/>
                    <w:jc w:val="center"/>
                    <w:textAlignment w:val="center"/>
                    <w:rPr>
                      <w:rFonts w:hint="default" w:ascii="Times New Roman" w:hAnsi="Times New Roman" w:cs="Times New Roman" w:eastAsiaTheme="minorEastAsia"/>
                      <w:b/>
                      <w:color w:val="auto"/>
                      <w:kern w:val="0"/>
                      <w:sz w:val="18"/>
                      <w:szCs w:val="18"/>
                      <w:highlight w:val="none"/>
                      <w:lang w:val="en-US" w:eastAsia="zh-CN"/>
                    </w:rPr>
                  </w:pPr>
                </w:p>
              </w:tc>
              <w:tc>
                <w:tcPr>
                  <w:tcW w:w="1594" w:type="pct"/>
                  <w:tcBorders>
                    <w:tl2br w:val="nil"/>
                    <w:tr2bl w:val="nil"/>
                  </w:tcBorders>
                  <w:shd w:val="clear" w:color="auto" w:fill="auto"/>
                  <w:vAlign w:val="center"/>
                </w:tcPr>
                <w:p w14:paraId="49433D48">
                  <w:pPr>
                    <w:jc w:val="center"/>
                    <w:rPr>
                      <w:rFonts w:hint="default" w:ascii="Times New Roman" w:hAnsi="Times New Roman" w:cs="Times New Roman" w:eastAsiaTheme="minorEastAsia"/>
                      <w:b w:val="0"/>
                      <w:bCs/>
                      <w:color w:val="auto"/>
                      <w:kern w:val="0"/>
                      <w:sz w:val="18"/>
                      <w:szCs w:val="18"/>
                      <w:highlight w:val="none"/>
                      <w:lang w:val="en-US" w:eastAsia="zh-CN" w:bidi="ar-SA"/>
                    </w:rPr>
                  </w:pPr>
                  <w:r>
                    <w:rPr>
                      <w:rFonts w:hint="default" w:ascii="Times New Roman" w:hAnsi="Times New Roman" w:cs="Times New Roman" w:eastAsiaTheme="minorEastAsia"/>
                      <w:b w:val="0"/>
                      <w:bCs/>
                      <w:color w:val="auto"/>
                      <w:kern w:val="0"/>
                      <w:sz w:val="18"/>
                      <w:szCs w:val="18"/>
                      <w:highlight w:val="none"/>
                      <w:lang w:val="en-US" w:eastAsia="zh-CN"/>
                    </w:rPr>
                    <w:t>萘</w:t>
                  </w:r>
                </w:p>
              </w:tc>
              <w:tc>
                <w:tcPr>
                  <w:tcW w:w="899" w:type="pct"/>
                  <w:tcBorders>
                    <w:tl2br w:val="nil"/>
                    <w:tr2bl w:val="nil"/>
                  </w:tcBorders>
                  <w:shd w:val="clear" w:color="auto" w:fill="auto"/>
                  <w:vAlign w:val="center"/>
                </w:tcPr>
                <w:p w14:paraId="5A8AD800">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r>
                    <w:rPr>
                      <w:rFonts w:hint="default" w:ascii="Times New Roman" w:hAnsi="Times New Roman" w:cs="Times New Roman" w:eastAsiaTheme="minorEastAsia"/>
                      <w:b w:val="0"/>
                      <w:bCs w:val="0"/>
                      <w:i w:val="0"/>
                      <w:iCs w:val="0"/>
                      <w:color w:val="auto"/>
                      <w:kern w:val="0"/>
                      <w:sz w:val="18"/>
                      <w:szCs w:val="18"/>
                      <w:highlight w:val="none"/>
                      <w:u w:val="none"/>
                      <w:lang w:val="en-US" w:eastAsia="zh-CN" w:bidi="ar"/>
                    </w:rPr>
                    <w:t>ND</w:t>
                  </w:r>
                </w:p>
              </w:tc>
              <w:tc>
                <w:tcPr>
                  <w:tcW w:w="735" w:type="pct"/>
                  <w:vMerge w:val="continue"/>
                  <w:tcBorders>
                    <w:tl2br w:val="nil"/>
                    <w:tr2bl w:val="nil"/>
                  </w:tcBorders>
                </w:tcPr>
                <w:p w14:paraId="54638F49">
                  <w:pPr>
                    <w:widowControl/>
                    <w:spacing w:beforeLines="0" w:afterLines="0" w:line="240" w:lineRule="auto"/>
                    <w:jc w:val="center"/>
                    <w:textAlignment w:val="center"/>
                    <w:rPr>
                      <w:rFonts w:hint="default" w:ascii="Times New Roman" w:hAnsi="Times New Roman" w:cs="Times New Roman" w:eastAsiaTheme="minorEastAsia"/>
                      <w:b/>
                      <w:bCs/>
                      <w:i w:val="0"/>
                      <w:iCs w:val="0"/>
                      <w:color w:val="auto"/>
                      <w:kern w:val="0"/>
                      <w:sz w:val="18"/>
                      <w:szCs w:val="18"/>
                      <w:highlight w:val="none"/>
                      <w:u w:val="none"/>
                      <w:lang w:val="en-US" w:eastAsia="zh-CN" w:bidi="ar"/>
                    </w:rPr>
                  </w:pPr>
                </w:p>
              </w:tc>
            </w:tr>
          </w:tbl>
          <w:p w14:paraId="05CC94BA">
            <w:pPr>
              <w:pStyle w:val="12"/>
              <w:shd w:val="clear" w:color="auto" w:fill="FFFFFF"/>
              <w:adjustRightInd w:val="0"/>
              <w:snapToGrid w:val="0"/>
              <w:spacing w:after="0" w:line="336" w:lineRule="auto"/>
              <w:ind w:left="0" w:leftChars="0" w:firstLine="0" w:firstLineChars="0"/>
              <w:jc w:val="right"/>
              <w:rPr>
                <w:rFonts w:hint="eastAsia" w:ascii="Times New Roman" w:hAnsi="Times New Roman" w:eastAsia="宋体" w:cs="Times New Roman"/>
                <w:i w:val="0"/>
                <w:iCs w:val="0"/>
                <w:color w:val="auto"/>
                <w:sz w:val="21"/>
                <w:szCs w:val="21"/>
                <w:highlight w:val="none"/>
                <w:u w:val="none" w:color="auto"/>
                <w:lang w:val="en-US" w:eastAsia="zh-CN" w:bidi="ar-SA"/>
              </w:rPr>
            </w:pPr>
            <w:r>
              <w:rPr>
                <w:rFonts w:hint="eastAsia" w:ascii="Times New Roman" w:hAnsi="Times New Roman" w:eastAsia="宋体" w:cs="Times New Roman"/>
                <w:i w:val="0"/>
                <w:iCs w:val="0"/>
                <w:color w:val="auto"/>
                <w:sz w:val="21"/>
                <w:szCs w:val="21"/>
                <w:highlight w:val="none"/>
                <w:u w:val="none" w:color="auto"/>
                <w:lang w:val="en-US" w:eastAsia="zh-CN" w:bidi="ar-SA"/>
              </w:rPr>
              <w:t>备注：“ND”代表未检出</w:t>
            </w:r>
          </w:p>
          <w:p w14:paraId="5F806A69">
            <w:pPr>
              <w:pStyle w:val="12"/>
              <w:shd w:val="clear" w:color="auto" w:fill="FFFFFF"/>
              <w:spacing w:line="360" w:lineRule="auto"/>
              <w:ind w:left="0" w:leftChars="0" w:firstLine="420" w:firstLineChars="200"/>
              <w:rPr>
                <w:rFonts w:ascii="Times New Roman" w:eastAsia="宋体"/>
                <w:i w:val="0"/>
                <w:iCs w:val="0"/>
                <w:color w:val="0000FF"/>
                <w:highlight w:val="none"/>
                <w:u w:val="none" w:color="auto"/>
              </w:rPr>
            </w:pPr>
            <w:r>
              <w:rPr>
                <w:rFonts w:hint="eastAsia" w:ascii="Times New Roman" w:eastAsia="宋体"/>
                <w:i w:val="0"/>
                <w:iCs w:val="0"/>
                <w:color w:val="0000FF"/>
                <w:highlight w:val="none"/>
                <w:u w:val="none" w:color="auto"/>
                <w:lang w:val="en-US" w:eastAsia="zh-CN"/>
              </w:rPr>
              <w:t>根据上表，</w:t>
            </w:r>
            <w:r>
              <w:rPr>
                <w:rFonts w:ascii="Times New Roman" w:eastAsia="宋体"/>
                <w:i w:val="0"/>
                <w:iCs w:val="0"/>
                <w:color w:val="0000FF"/>
                <w:highlight w:val="none"/>
                <w:u w:val="none" w:color="auto"/>
              </w:rPr>
              <w:t>项目土壤监测点位各项污染物指标小于</w:t>
            </w:r>
            <w:r>
              <w:rPr>
                <w:rFonts w:hint="eastAsia"/>
                <w:i w:val="0"/>
                <w:iCs w:val="0"/>
                <w:color w:val="0000FF"/>
                <w:highlight w:val="none"/>
                <w:u w:val="none" w:color="auto"/>
                <w:lang w:eastAsia="zh-CN"/>
              </w:rPr>
              <w:t>《土壤环境质量 建设用地土壤污染风险管控标准（试行）（GB36600</w:t>
            </w:r>
            <w:r>
              <w:rPr>
                <w:rFonts w:hint="eastAsia"/>
                <w:i w:val="0"/>
                <w:iCs w:val="0"/>
                <w:color w:val="0000FF"/>
                <w:highlight w:val="none"/>
                <w:u w:val="none" w:color="auto"/>
                <w:lang w:val="en-US" w:eastAsia="zh-CN"/>
              </w:rPr>
              <w:t>-</w:t>
            </w:r>
            <w:r>
              <w:rPr>
                <w:rFonts w:hint="eastAsia"/>
                <w:i w:val="0"/>
                <w:iCs w:val="0"/>
                <w:color w:val="0000FF"/>
                <w:highlight w:val="none"/>
                <w:u w:val="none" w:color="auto"/>
                <w:lang w:eastAsia="zh-CN"/>
              </w:rPr>
              <w:t>2018）》</w:t>
            </w:r>
            <w:r>
              <w:rPr>
                <w:rFonts w:hint="eastAsia"/>
                <w:i w:val="0"/>
                <w:iCs w:val="0"/>
                <w:color w:val="0000FF"/>
                <w:highlight w:val="none"/>
                <w:u w:val="none" w:color="auto"/>
                <w:lang w:val="en-US" w:eastAsia="zh-CN"/>
              </w:rPr>
              <w:t>中表1</w:t>
            </w:r>
            <w:r>
              <w:rPr>
                <w:rFonts w:ascii="Times New Roman" w:eastAsia="宋体"/>
                <w:i w:val="0"/>
                <w:iCs w:val="0"/>
                <w:color w:val="0000FF"/>
                <w:highlight w:val="none"/>
                <w:u w:val="none" w:color="auto"/>
              </w:rPr>
              <w:t>筛选值要求</w:t>
            </w:r>
            <w:r>
              <w:rPr>
                <w:rFonts w:hint="eastAsia" w:ascii="Times New Roman" w:eastAsia="宋体"/>
                <w:i w:val="0"/>
                <w:iCs w:val="0"/>
                <w:color w:val="0000FF"/>
                <w:highlight w:val="none"/>
                <w:u w:val="none" w:color="auto"/>
                <w:lang w:val="en-US" w:eastAsia="zh-CN"/>
              </w:rPr>
              <w:t>，</w:t>
            </w:r>
            <w:r>
              <w:rPr>
                <w:rFonts w:ascii="Times New Roman" w:eastAsia="宋体"/>
                <w:i w:val="0"/>
                <w:iCs w:val="0"/>
                <w:color w:val="0000FF"/>
                <w:highlight w:val="none"/>
                <w:u w:val="none" w:color="auto"/>
              </w:rPr>
              <w:t>因此土壤风险可忽略。</w:t>
            </w:r>
          </w:p>
          <w:p w14:paraId="7CEC52B9">
            <w:pPr>
              <w:pStyle w:val="12"/>
              <w:shd w:val="clear" w:color="auto" w:fill="FFFFFF"/>
              <w:adjustRightInd w:val="0"/>
              <w:snapToGrid w:val="0"/>
              <w:spacing w:after="0" w:line="336" w:lineRule="auto"/>
              <w:ind w:left="0" w:leftChars="0" w:firstLine="0" w:firstLineChars="0"/>
              <w:jc w:val="left"/>
              <w:rPr>
                <w:rFonts w:hint="default" w:ascii="Times New Roman" w:hAnsi="Times New Roman" w:eastAsia="宋体" w:cs="Times New Roman"/>
                <w:i w:val="0"/>
                <w:iCs w:val="0"/>
                <w:color w:val="auto"/>
                <w:sz w:val="21"/>
                <w:szCs w:val="21"/>
                <w:highlight w:val="none"/>
                <w:u w:val="none" w:color="auto"/>
                <w:lang w:val="en-US" w:eastAsia="zh-CN" w:bidi="ar-SA"/>
              </w:rPr>
            </w:pPr>
          </w:p>
        </w:tc>
      </w:tr>
      <w:tr w14:paraId="4216C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9" w:hRule="atLeast"/>
          <w:jc w:val="center"/>
        </w:trPr>
        <w:tc>
          <w:tcPr>
            <w:tcW w:w="979" w:type="dxa"/>
            <w:vAlign w:val="center"/>
          </w:tcPr>
          <w:p w14:paraId="2AA439C1">
            <w:pPr>
              <w:adjustRightInd w:val="0"/>
              <w:snapToGrid w:val="0"/>
              <w:jc w:val="center"/>
              <w:rPr>
                <w:rFonts w:ascii="宋体" w:hAnsi="宋体" w:cs="宋体"/>
                <w:color w:val="auto"/>
              </w:rPr>
            </w:pPr>
            <w:r>
              <w:rPr>
                <w:rFonts w:hint="eastAsia" w:ascii="宋体" w:hAnsi="宋体" w:cs="宋体"/>
                <w:color w:val="auto"/>
              </w:rPr>
              <w:t>环境</w:t>
            </w:r>
          </w:p>
          <w:p w14:paraId="6ECAD76D">
            <w:pPr>
              <w:adjustRightInd w:val="0"/>
              <w:snapToGrid w:val="0"/>
              <w:jc w:val="center"/>
              <w:rPr>
                <w:rFonts w:ascii="宋体" w:hAnsi="宋体" w:cs="宋体"/>
                <w:color w:val="auto"/>
              </w:rPr>
            </w:pPr>
            <w:r>
              <w:rPr>
                <w:rFonts w:hint="eastAsia" w:ascii="宋体" w:hAnsi="宋体" w:cs="宋体"/>
                <w:color w:val="auto"/>
              </w:rPr>
              <w:t>保护</w:t>
            </w:r>
          </w:p>
          <w:p w14:paraId="766CD418">
            <w:pPr>
              <w:adjustRightInd w:val="0"/>
              <w:snapToGrid w:val="0"/>
              <w:jc w:val="center"/>
              <w:rPr>
                <w:rFonts w:ascii="宋体" w:hAnsi="宋体" w:cs="宋体"/>
                <w:color w:val="auto"/>
              </w:rPr>
            </w:pPr>
            <w:r>
              <w:rPr>
                <w:rFonts w:hint="eastAsia" w:ascii="宋体" w:hAnsi="宋体" w:cs="宋体"/>
                <w:color w:val="auto"/>
              </w:rPr>
              <w:t>目标</w:t>
            </w:r>
          </w:p>
        </w:tc>
        <w:tc>
          <w:tcPr>
            <w:tcW w:w="8082" w:type="dxa"/>
            <w:vAlign w:val="center"/>
          </w:tcPr>
          <w:p w14:paraId="59C2018A">
            <w:pPr>
              <w:pStyle w:val="8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ascii="Times New Roman" w:hAnsi="Times New Roman" w:eastAsia="宋体" w:cs="宋体"/>
                <w:color w:val="auto"/>
              </w:rPr>
            </w:pPr>
            <w:r>
              <w:rPr>
                <w:rFonts w:hint="eastAsia" w:ascii="Times New Roman" w:cs="宋体" w:hAnsiTheme="minorHAnsi" w:eastAsiaTheme="minorEastAsia"/>
                <w:b w:val="0"/>
                <w:bCs w:val="0"/>
                <w:color w:val="0000FF"/>
                <w:spacing w:val="0"/>
                <w:sz w:val="21"/>
                <w:szCs w:val="18"/>
                <w:highlight w:val="none"/>
                <w:lang w:val="en-US" w:eastAsia="zh-CN" w:bidi="ar-SA"/>
              </w:rPr>
              <w:t>本项目位于白山市浑江区河口街道里岔沟</w:t>
            </w:r>
            <w:r>
              <w:rPr>
                <w:rFonts w:hint="eastAsia" w:ascii="Times New Roman" w:cs="宋体" w:hAnsiTheme="minorHAnsi" w:eastAsiaTheme="minorEastAsia"/>
                <w:b w:val="0"/>
                <w:bCs w:val="0"/>
                <w:color w:val="auto"/>
                <w:spacing w:val="0"/>
                <w:sz w:val="21"/>
                <w:szCs w:val="18"/>
                <w:highlight w:val="none"/>
                <w:lang w:val="en-US" w:eastAsia="zh-CN" w:bidi="ar-SA"/>
              </w:rPr>
              <w:t>，用地性质为工业用地（详见附件），厂界东侧隔空地为山林地及耕地，西侧为隔路为空地，南侧为闲置厂房，北侧为白山市锦屹钛业有限公司。距离厂界最近的敏感目标为厂界西侧32m的民宅，无人居住，闲置十余年（现状详见附图，情况说明详见附件），</w:t>
            </w:r>
            <w:r>
              <w:rPr>
                <w:rFonts w:hint="eastAsia" w:ascii="Times New Roman" w:cs="宋体" w:hAnsiTheme="minorHAnsi" w:eastAsiaTheme="minorEastAsia"/>
                <w:b w:val="0"/>
                <w:bCs w:val="0"/>
                <w:color w:val="0000FF"/>
                <w:spacing w:val="0"/>
                <w:sz w:val="21"/>
                <w:szCs w:val="18"/>
                <w:highlight w:val="none"/>
                <w:lang w:val="en-US" w:eastAsia="zh-CN" w:bidi="ar-SA"/>
              </w:rPr>
              <w:t>距离有人居住的民宅距离约为92m，位于厂界西北侧，约5户。</w:t>
            </w:r>
          </w:p>
          <w:p w14:paraId="2C10C064">
            <w:pPr>
              <w:pStyle w:val="85"/>
              <w:keepNext w:val="0"/>
              <w:keepLines w:val="0"/>
              <w:pageBreakBefore w:val="0"/>
              <w:widowControl/>
              <w:kinsoku/>
              <w:wordWrap/>
              <w:overflowPunct/>
              <w:topLinePunct w:val="0"/>
              <w:autoSpaceDE w:val="0"/>
              <w:autoSpaceDN w:val="0"/>
              <w:bidi w:val="0"/>
              <w:adjustRightInd w:val="0"/>
              <w:snapToGrid w:val="0"/>
              <w:ind w:firstLine="420"/>
              <w:textAlignment w:val="auto"/>
              <w:rPr>
                <w:color w:val="auto"/>
              </w:rPr>
            </w:pPr>
            <w:r>
              <w:rPr>
                <w:rFonts w:hint="eastAsia"/>
                <w:color w:val="auto"/>
              </w:rPr>
              <w:t>根据《建设项目环境影响报告表编制技术指南（污染影响类）》（试行），环境保护目标：</w:t>
            </w:r>
          </w:p>
          <w:p w14:paraId="0E328C35">
            <w:pPr>
              <w:pStyle w:val="85"/>
              <w:ind w:firstLine="420"/>
              <w:rPr>
                <w:rFonts w:hint="eastAsia"/>
                <w:color w:val="auto"/>
              </w:rPr>
            </w:pPr>
            <w:r>
              <w:rPr>
                <w:rFonts w:hint="eastAsia"/>
                <w:color w:val="auto"/>
              </w:rPr>
              <w:t>大气环境。明确厂界外5</w:t>
            </w:r>
            <w:r>
              <w:rPr>
                <w:color w:val="auto"/>
              </w:rPr>
              <w:t>00</w:t>
            </w:r>
            <w:r>
              <w:rPr>
                <w:rFonts w:hint="eastAsia"/>
                <w:color w:val="auto"/>
              </w:rPr>
              <w:t>m范围内的自然保护区、风景名胜区、居住区、文化区和农村地区中人群较集中的区域等保护目标的名称及与建设项目厂界位置关系。</w:t>
            </w:r>
          </w:p>
          <w:p w14:paraId="1AB3D8BA">
            <w:pPr>
              <w:pStyle w:val="85"/>
              <w:ind w:firstLine="420"/>
              <w:rPr>
                <w:rFonts w:hint="default" w:eastAsia="宋体"/>
                <w:color w:val="auto"/>
                <w:u w:val="single"/>
                <w:lang w:val="en-US" w:eastAsia="zh-CN"/>
              </w:rPr>
            </w:pPr>
            <w:r>
              <w:rPr>
                <w:rFonts w:hint="eastAsia"/>
                <w:color w:val="auto"/>
              </w:rPr>
              <w:t>项目所在地厂界外5</w:t>
            </w:r>
            <w:r>
              <w:rPr>
                <w:color w:val="auto"/>
              </w:rPr>
              <w:t>00</w:t>
            </w:r>
            <w:r>
              <w:rPr>
                <w:rFonts w:hint="eastAsia"/>
                <w:color w:val="auto"/>
              </w:rPr>
              <w:t>m范围内，不存在自然保护区、风景名胜区、文化区</w:t>
            </w:r>
            <w:r>
              <w:rPr>
                <w:rFonts w:hint="eastAsia"/>
                <w:color w:val="auto"/>
                <w:lang w:val="en-US" w:eastAsia="zh-CN"/>
              </w:rPr>
              <w:t>，存在</w:t>
            </w:r>
            <w:r>
              <w:rPr>
                <w:rFonts w:hint="eastAsia"/>
                <w:color w:val="auto"/>
              </w:rPr>
              <w:t>农村地区中人群较集中的村屯</w:t>
            </w:r>
            <w:r>
              <w:rPr>
                <w:rFonts w:hint="eastAsia"/>
                <w:color w:val="auto"/>
                <w:u w:val="none"/>
                <w:lang w:val="en-US" w:eastAsia="zh-CN"/>
              </w:rPr>
              <w:t>。</w:t>
            </w:r>
          </w:p>
          <w:p w14:paraId="7E38483D">
            <w:pPr>
              <w:pStyle w:val="85"/>
              <w:ind w:firstLine="420"/>
              <w:rPr>
                <w:color w:val="auto"/>
              </w:rPr>
            </w:pPr>
            <w:r>
              <w:rPr>
                <w:rFonts w:hint="eastAsia"/>
                <w:color w:val="auto"/>
              </w:rPr>
              <w:t>声环境。明确厂界外5</w:t>
            </w:r>
            <w:r>
              <w:rPr>
                <w:color w:val="auto"/>
              </w:rPr>
              <w:t>0</w:t>
            </w:r>
            <w:r>
              <w:rPr>
                <w:rFonts w:hint="eastAsia"/>
                <w:color w:val="auto"/>
              </w:rPr>
              <w:t>m范围内声环境保护目标；项目场界外5</w:t>
            </w:r>
            <w:r>
              <w:rPr>
                <w:color w:val="auto"/>
              </w:rPr>
              <w:t>0</w:t>
            </w:r>
            <w:r>
              <w:rPr>
                <w:rFonts w:hint="eastAsia"/>
                <w:color w:val="auto"/>
              </w:rPr>
              <w:t>m范围内存在</w:t>
            </w:r>
            <w:r>
              <w:rPr>
                <w:rFonts w:hint="eastAsia"/>
                <w:color w:val="auto"/>
                <w:lang w:val="en-US" w:eastAsia="zh-CN"/>
              </w:rPr>
              <w:t>一户民宅，无人居住，闲置十余年，定为</w:t>
            </w:r>
            <w:r>
              <w:rPr>
                <w:rFonts w:hint="eastAsia"/>
                <w:color w:val="auto"/>
              </w:rPr>
              <w:t>声环境保护目标。</w:t>
            </w:r>
          </w:p>
          <w:p w14:paraId="7CE04BFC">
            <w:pPr>
              <w:pStyle w:val="85"/>
              <w:ind w:firstLine="420"/>
              <w:rPr>
                <w:color w:val="auto"/>
              </w:rPr>
            </w:pPr>
            <w:r>
              <w:rPr>
                <w:rFonts w:hint="eastAsia"/>
                <w:color w:val="auto"/>
              </w:rPr>
              <w:t>地下水环境。明确厂界外500m范围内的地下水集中式饮用水水源和热水、矿泉水、温泉等特殊地下水资源。</w:t>
            </w:r>
          </w:p>
          <w:p w14:paraId="2A638DF8">
            <w:pPr>
              <w:pStyle w:val="85"/>
              <w:ind w:firstLine="420"/>
              <w:rPr>
                <w:color w:val="auto"/>
              </w:rPr>
            </w:pPr>
            <w:r>
              <w:rPr>
                <w:rFonts w:hint="eastAsia"/>
                <w:color w:val="auto"/>
              </w:rPr>
              <w:t>项目场界外500m范围内无热水、矿泉水、温泉等特殊地下水资源，村屯已经实现集中供水</w:t>
            </w:r>
            <w:r>
              <w:rPr>
                <w:rFonts w:hint="eastAsia"/>
                <w:color w:val="auto"/>
                <w:lang w:eastAsia="zh-CN"/>
              </w:rPr>
              <w:t>，</w:t>
            </w:r>
            <w:r>
              <w:rPr>
                <w:rFonts w:hint="eastAsia"/>
                <w:color w:val="auto"/>
                <w:lang w:val="en-US" w:eastAsia="zh-CN"/>
              </w:rPr>
              <w:t>水源地不在500m范围内</w:t>
            </w:r>
            <w:r>
              <w:rPr>
                <w:rFonts w:hint="eastAsia"/>
                <w:color w:val="auto"/>
              </w:rPr>
              <w:t>。</w:t>
            </w:r>
          </w:p>
          <w:p w14:paraId="112A6543">
            <w:pPr>
              <w:pStyle w:val="85"/>
              <w:ind w:firstLine="420"/>
              <w:rPr>
                <w:color w:val="auto"/>
              </w:rPr>
            </w:pPr>
            <w:r>
              <w:rPr>
                <w:rFonts w:hint="eastAsia"/>
                <w:color w:val="auto"/>
              </w:rPr>
              <w:t>生态环境。产业园区外建设项目新增用地的，应明确新增用地范围内生态环境保护目标。</w:t>
            </w:r>
          </w:p>
          <w:p w14:paraId="2FF9ED90">
            <w:pPr>
              <w:pStyle w:val="85"/>
              <w:ind w:firstLine="420"/>
              <w:rPr>
                <w:rFonts w:hint="eastAsia"/>
                <w:color w:val="auto"/>
              </w:rPr>
            </w:pPr>
            <w:r>
              <w:rPr>
                <w:rFonts w:hint="eastAsia"/>
                <w:color w:val="auto"/>
              </w:rPr>
              <w:t>项目无新增用地，利用现有建筑，不存在受项目影响的重要物种、生态敏感区以及其他需要保护的物种、种群、生态群落及生态空间。</w:t>
            </w:r>
          </w:p>
          <w:p w14:paraId="32A7734E">
            <w:pPr>
              <w:pStyle w:val="85"/>
              <w:ind w:firstLine="420"/>
              <w:rPr>
                <w:color w:val="auto"/>
              </w:rPr>
            </w:pPr>
            <w:r>
              <w:rPr>
                <w:rFonts w:hint="eastAsia"/>
                <w:color w:val="auto"/>
              </w:rPr>
              <w:t>项目主要环境保护目标详见下表。</w:t>
            </w:r>
          </w:p>
          <w:p w14:paraId="5449D4A8">
            <w:pPr>
              <w:adjustRightInd w:val="0"/>
              <w:snapToGrid w:val="0"/>
              <w:ind w:firstLine="420" w:firstLineChars="200"/>
              <w:jc w:val="center"/>
              <w:rPr>
                <w:rFonts w:hAnsi="宋体" w:cs="宋体"/>
                <w:color w:val="auto"/>
                <w:u w:val="single"/>
              </w:rPr>
            </w:pPr>
            <w:r>
              <w:rPr>
                <w:rFonts w:hint="eastAsia" w:hAnsi="宋体" w:cs="宋体"/>
                <w:color w:val="auto"/>
                <w:u w:val="single"/>
              </w:rPr>
              <w:t>主要环境保护目标一览表</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346"/>
              <w:gridCol w:w="873"/>
              <w:gridCol w:w="1191"/>
              <w:gridCol w:w="1782"/>
              <w:gridCol w:w="2078"/>
            </w:tblGrid>
            <w:tr w14:paraId="56120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3" w:type="pct"/>
                  <w:vMerge w:val="restart"/>
                  <w:vAlign w:val="center"/>
                </w:tcPr>
                <w:p w14:paraId="1C51AE3B">
                  <w:pPr>
                    <w:adjustRightInd w:val="0"/>
                    <w:snapToGrid w:val="0"/>
                    <w:jc w:val="center"/>
                    <w:rPr>
                      <w:bCs/>
                      <w:color w:val="auto"/>
                      <w:sz w:val="18"/>
                      <w:szCs w:val="18"/>
                      <w:u w:val="single"/>
                    </w:rPr>
                  </w:pPr>
                  <w:r>
                    <w:rPr>
                      <w:rFonts w:hAnsi="宋体"/>
                      <w:bCs/>
                      <w:color w:val="auto"/>
                      <w:sz w:val="18"/>
                      <w:szCs w:val="18"/>
                      <w:u w:val="single"/>
                    </w:rPr>
                    <w:t>环境要素</w:t>
                  </w:r>
                </w:p>
              </w:tc>
              <w:tc>
                <w:tcPr>
                  <w:tcW w:w="843" w:type="pct"/>
                  <w:vMerge w:val="restart"/>
                  <w:vAlign w:val="center"/>
                </w:tcPr>
                <w:p w14:paraId="428D518A">
                  <w:pPr>
                    <w:adjustRightInd w:val="0"/>
                    <w:snapToGrid w:val="0"/>
                    <w:jc w:val="center"/>
                    <w:rPr>
                      <w:bCs/>
                      <w:color w:val="auto"/>
                      <w:sz w:val="18"/>
                      <w:szCs w:val="18"/>
                      <w:u w:val="single"/>
                    </w:rPr>
                  </w:pPr>
                  <w:r>
                    <w:rPr>
                      <w:rFonts w:hAnsi="宋体"/>
                      <w:bCs/>
                      <w:color w:val="auto"/>
                      <w:sz w:val="18"/>
                      <w:szCs w:val="18"/>
                      <w:u w:val="single"/>
                    </w:rPr>
                    <w:t>保护对象</w:t>
                  </w:r>
                </w:p>
              </w:tc>
              <w:tc>
                <w:tcPr>
                  <w:tcW w:w="547" w:type="pct"/>
                  <w:vMerge w:val="restart"/>
                  <w:vAlign w:val="center"/>
                </w:tcPr>
                <w:p w14:paraId="130BDC1E">
                  <w:pPr>
                    <w:adjustRightInd w:val="0"/>
                    <w:snapToGrid w:val="0"/>
                    <w:jc w:val="center"/>
                    <w:rPr>
                      <w:bCs/>
                      <w:color w:val="auto"/>
                      <w:sz w:val="18"/>
                      <w:szCs w:val="18"/>
                      <w:u w:val="single"/>
                    </w:rPr>
                  </w:pPr>
                  <w:r>
                    <w:rPr>
                      <w:rFonts w:hAnsi="宋体"/>
                      <w:bCs/>
                      <w:color w:val="auto"/>
                      <w:sz w:val="18"/>
                      <w:szCs w:val="18"/>
                      <w:u w:val="single"/>
                    </w:rPr>
                    <w:t>相对场址方位</w:t>
                  </w:r>
                </w:p>
              </w:tc>
              <w:tc>
                <w:tcPr>
                  <w:tcW w:w="746" w:type="pct"/>
                  <w:vMerge w:val="restart"/>
                  <w:vAlign w:val="center"/>
                </w:tcPr>
                <w:p w14:paraId="7E52D6DB">
                  <w:pPr>
                    <w:adjustRightInd w:val="0"/>
                    <w:snapToGrid w:val="0"/>
                    <w:jc w:val="center"/>
                    <w:rPr>
                      <w:bCs/>
                      <w:color w:val="auto"/>
                      <w:sz w:val="18"/>
                      <w:szCs w:val="18"/>
                      <w:u w:val="single"/>
                    </w:rPr>
                  </w:pPr>
                  <w:r>
                    <w:rPr>
                      <w:rFonts w:hAnsi="宋体"/>
                      <w:bCs/>
                      <w:color w:val="auto"/>
                      <w:sz w:val="18"/>
                      <w:szCs w:val="18"/>
                      <w:u w:val="single"/>
                    </w:rPr>
                    <w:t>相对场</w:t>
                  </w:r>
                  <w:r>
                    <w:rPr>
                      <w:rFonts w:hint="eastAsia" w:hAnsi="宋体"/>
                      <w:bCs/>
                      <w:color w:val="auto"/>
                      <w:sz w:val="18"/>
                      <w:szCs w:val="18"/>
                      <w:u w:val="single"/>
                    </w:rPr>
                    <w:t>界</w:t>
                  </w:r>
                  <w:r>
                    <w:rPr>
                      <w:rFonts w:hAnsi="宋体"/>
                      <w:bCs/>
                      <w:color w:val="auto"/>
                      <w:sz w:val="18"/>
                      <w:szCs w:val="18"/>
                      <w:u w:val="single"/>
                    </w:rPr>
                    <w:t>距离</w:t>
                  </w:r>
                  <w:r>
                    <w:rPr>
                      <w:bCs/>
                      <w:color w:val="auto"/>
                      <w:sz w:val="18"/>
                      <w:szCs w:val="18"/>
                      <w:u w:val="single"/>
                    </w:rPr>
                    <w:t>/m</w:t>
                  </w:r>
                </w:p>
              </w:tc>
              <w:tc>
                <w:tcPr>
                  <w:tcW w:w="1116" w:type="pct"/>
                  <w:vMerge w:val="restart"/>
                  <w:vAlign w:val="center"/>
                </w:tcPr>
                <w:p w14:paraId="478DD837">
                  <w:pPr>
                    <w:adjustRightInd w:val="0"/>
                    <w:snapToGrid w:val="0"/>
                    <w:jc w:val="center"/>
                    <w:rPr>
                      <w:bCs/>
                      <w:color w:val="auto"/>
                      <w:sz w:val="18"/>
                      <w:szCs w:val="18"/>
                      <w:u w:val="single"/>
                    </w:rPr>
                  </w:pPr>
                  <w:r>
                    <w:rPr>
                      <w:rFonts w:hint="eastAsia" w:hAnsi="宋体"/>
                      <w:bCs/>
                      <w:color w:val="auto"/>
                      <w:sz w:val="18"/>
                      <w:szCs w:val="18"/>
                      <w:u w:val="single"/>
                    </w:rPr>
                    <w:t>规模</w:t>
                  </w:r>
                </w:p>
              </w:tc>
              <w:tc>
                <w:tcPr>
                  <w:tcW w:w="1301" w:type="pct"/>
                  <w:vMerge w:val="restart"/>
                  <w:vAlign w:val="center"/>
                </w:tcPr>
                <w:p w14:paraId="74DA7A7C">
                  <w:pPr>
                    <w:adjustRightInd w:val="0"/>
                    <w:snapToGrid w:val="0"/>
                    <w:jc w:val="center"/>
                    <w:rPr>
                      <w:bCs/>
                      <w:color w:val="auto"/>
                      <w:sz w:val="18"/>
                      <w:szCs w:val="18"/>
                      <w:u w:val="single"/>
                    </w:rPr>
                  </w:pPr>
                  <w:r>
                    <w:rPr>
                      <w:rFonts w:hAnsi="宋体"/>
                      <w:bCs/>
                      <w:color w:val="auto"/>
                      <w:sz w:val="18"/>
                      <w:szCs w:val="18"/>
                      <w:u w:val="single"/>
                    </w:rPr>
                    <w:t>保护内容</w:t>
                  </w:r>
                </w:p>
              </w:tc>
            </w:tr>
            <w:tr w14:paraId="16017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3" w:type="pct"/>
                  <w:vMerge w:val="continue"/>
                  <w:vAlign w:val="center"/>
                </w:tcPr>
                <w:p w14:paraId="258BC4FB">
                  <w:pPr>
                    <w:adjustRightInd w:val="0"/>
                    <w:snapToGrid w:val="0"/>
                    <w:jc w:val="center"/>
                    <w:rPr>
                      <w:b/>
                      <w:bCs/>
                      <w:color w:val="auto"/>
                      <w:sz w:val="18"/>
                      <w:szCs w:val="18"/>
                      <w:u w:val="single"/>
                    </w:rPr>
                  </w:pPr>
                </w:p>
              </w:tc>
              <w:tc>
                <w:tcPr>
                  <w:tcW w:w="843" w:type="pct"/>
                  <w:vMerge w:val="continue"/>
                  <w:vAlign w:val="center"/>
                </w:tcPr>
                <w:p w14:paraId="356063B6">
                  <w:pPr>
                    <w:adjustRightInd w:val="0"/>
                    <w:snapToGrid w:val="0"/>
                    <w:jc w:val="center"/>
                    <w:rPr>
                      <w:b/>
                      <w:bCs/>
                      <w:color w:val="auto"/>
                      <w:sz w:val="18"/>
                      <w:szCs w:val="18"/>
                      <w:u w:val="single"/>
                    </w:rPr>
                  </w:pPr>
                </w:p>
              </w:tc>
              <w:tc>
                <w:tcPr>
                  <w:tcW w:w="547" w:type="pct"/>
                  <w:vMerge w:val="continue"/>
                  <w:vAlign w:val="center"/>
                </w:tcPr>
                <w:p w14:paraId="2ED55768">
                  <w:pPr>
                    <w:adjustRightInd w:val="0"/>
                    <w:snapToGrid w:val="0"/>
                    <w:jc w:val="center"/>
                    <w:rPr>
                      <w:b/>
                      <w:bCs/>
                      <w:color w:val="auto"/>
                      <w:sz w:val="18"/>
                      <w:szCs w:val="18"/>
                      <w:u w:val="single"/>
                    </w:rPr>
                  </w:pPr>
                </w:p>
              </w:tc>
              <w:tc>
                <w:tcPr>
                  <w:tcW w:w="746" w:type="pct"/>
                  <w:vMerge w:val="continue"/>
                  <w:vAlign w:val="center"/>
                </w:tcPr>
                <w:p w14:paraId="7830707A">
                  <w:pPr>
                    <w:adjustRightInd w:val="0"/>
                    <w:snapToGrid w:val="0"/>
                    <w:jc w:val="center"/>
                    <w:rPr>
                      <w:b/>
                      <w:bCs/>
                      <w:color w:val="auto"/>
                      <w:sz w:val="18"/>
                      <w:szCs w:val="18"/>
                      <w:u w:val="single"/>
                    </w:rPr>
                  </w:pPr>
                </w:p>
              </w:tc>
              <w:tc>
                <w:tcPr>
                  <w:tcW w:w="1116" w:type="pct"/>
                  <w:vMerge w:val="continue"/>
                  <w:vAlign w:val="center"/>
                </w:tcPr>
                <w:p w14:paraId="58B03847">
                  <w:pPr>
                    <w:adjustRightInd w:val="0"/>
                    <w:snapToGrid w:val="0"/>
                    <w:jc w:val="center"/>
                    <w:rPr>
                      <w:b/>
                      <w:bCs/>
                      <w:color w:val="auto"/>
                      <w:sz w:val="18"/>
                      <w:szCs w:val="18"/>
                      <w:u w:val="single"/>
                    </w:rPr>
                  </w:pPr>
                </w:p>
              </w:tc>
              <w:tc>
                <w:tcPr>
                  <w:tcW w:w="1301" w:type="pct"/>
                  <w:vMerge w:val="continue"/>
                  <w:vAlign w:val="center"/>
                </w:tcPr>
                <w:p w14:paraId="40D27435">
                  <w:pPr>
                    <w:adjustRightInd w:val="0"/>
                    <w:snapToGrid w:val="0"/>
                    <w:jc w:val="center"/>
                    <w:rPr>
                      <w:b/>
                      <w:bCs/>
                      <w:color w:val="auto"/>
                      <w:sz w:val="18"/>
                      <w:szCs w:val="18"/>
                      <w:u w:val="single"/>
                    </w:rPr>
                  </w:pPr>
                </w:p>
              </w:tc>
            </w:tr>
            <w:tr w14:paraId="4B75D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3" w:type="pct"/>
                  <w:vAlign w:val="center"/>
                </w:tcPr>
                <w:p w14:paraId="7EE6CE3A">
                  <w:pPr>
                    <w:adjustRightInd w:val="0"/>
                    <w:snapToGrid w:val="0"/>
                    <w:jc w:val="center"/>
                    <w:rPr>
                      <w:rFonts w:hAnsi="宋体"/>
                      <w:color w:val="auto"/>
                      <w:sz w:val="18"/>
                      <w:szCs w:val="18"/>
                      <w:u w:val="single"/>
                    </w:rPr>
                  </w:pPr>
                  <w:r>
                    <w:rPr>
                      <w:rFonts w:hAnsi="宋体"/>
                      <w:color w:val="auto"/>
                      <w:sz w:val="18"/>
                      <w:szCs w:val="18"/>
                      <w:u w:val="single"/>
                    </w:rPr>
                    <w:t>大气环境</w:t>
                  </w:r>
                </w:p>
              </w:tc>
              <w:tc>
                <w:tcPr>
                  <w:tcW w:w="843" w:type="pct"/>
                  <w:vAlign w:val="center"/>
                </w:tcPr>
                <w:p w14:paraId="1E66F5B4">
                  <w:pPr>
                    <w:adjustRightInd w:val="0"/>
                    <w:snapToGrid w:val="0"/>
                    <w:jc w:val="center"/>
                    <w:rPr>
                      <w:color w:val="auto"/>
                      <w:spacing w:val="-8"/>
                      <w:sz w:val="18"/>
                      <w:szCs w:val="18"/>
                      <w:u w:val="single"/>
                    </w:rPr>
                  </w:pPr>
                  <w:r>
                    <w:rPr>
                      <w:rFonts w:hAnsi="宋体"/>
                      <w:color w:val="auto"/>
                      <w:sz w:val="18"/>
                      <w:szCs w:val="18"/>
                      <w:u w:val="single"/>
                    </w:rPr>
                    <w:t>厂界四周</w:t>
                  </w:r>
                  <w:r>
                    <w:rPr>
                      <w:rFonts w:hint="eastAsia" w:hAnsi="宋体"/>
                      <w:color w:val="auto"/>
                      <w:sz w:val="18"/>
                      <w:szCs w:val="18"/>
                      <w:u w:val="single"/>
                    </w:rPr>
                    <w:t>500m范围内</w:t>
                  </w:r>
                </w:p>
              </w:tc>
              <w:tc>
                <w:tcPr>
                  <w:tcW w:w="547" w:type="pct"/>
                  <w:vAlign w:val="center"/>
                </w:tcPr>
                <w:p w14:paraId="5FABADF7">
                  <w:pPr>
                    <w:adjustRightInd w:val="0"/>
                    <w:snapToGrid w:val="0"/>
                    <w:jc w:val="center"/>
                    <w:rPr>
                      <w:rFonts w:hint="default" w:eastAsia="宋体" w:cs="宋体"/>
                      <w:color w:val="auto"/>
                      <w:sz w:val="18"/>
                      <w:szCs w:val="18"/>
                      <w:u w:val="single"/>
                      <w:lang w:val="en-US" w:eastAsia="zh-CN"/>
                    </w:rPr>
                  </w:pPr>
                  <w:r>
                    <w:rPr>
                      <w:rFonts w:hint="eastAsia" w:cs="宋体"/>
                      <w:color w:val="auto"/>
                      <w:sz w:val="18"/>
                      <w:szCs w:val="18"/>
                      <w:u w:val="single"/>
                      <w:lang w:val="en-US" w:eastAsia="zh-CN"/>
                    </w:rPr>
                    <w:t>西测</w:t>
                  </w:r>
                </w:p>
              </w:tc>
              <w:tc>
                <w:tcPr>
                  <w:tcW w:w="746" w:type="pct"/>
                  <w:vAlign w:val="center"/>
                </w:tcPr>
                <w:p w14:paraId="7C05CCF0">
                  <w:pPr>
                    <w:adjustRightInd w:val="0"/>
                    <w:snapToGrid w:val="0"/>
                    <w:jc w:val="center"/>
                    <w:rPr>
                      <w:rFonts w:hint="default" w:eastAsia="宋体" w:cs="宋体"/>
                      <w:color w:val="auto"/>
                      <w:sz w:val="18"/>
                      <w:szCs w:val="18"/>
                      <w:u w:val="single"/>
                      <w:lang w:val="en-US" w:eastAsia="zh-CN"/>
                    </w:rPr>
                  </w:pPr>
                  <w:r>
                    <w:rPr>
                      <w:rFonts w:hint="eastAsia" w:cs="宋体"/>
                      <w:color w:val="auto"/>
                      <w:sz w:val="18"/>
                      <w:szCs w:val="18"/>
                      <w:u w:val="single"/>
                      <w:lang w:val="en-US" w:eastAsia="zh-CN"/>
                    </w:rPr>
                    <w:t>33</w:t>
                  </w:r>
                </w:p>
              </w:tc>
              <w:tc>
                <w:tcPr>
                  <w:tcW w:w="1116" w:type="pct"/>
                  <w:vAlign w:val="center"/>
                </w:tcPr>
                <w:p w14:paraId="410706C5">
                  <w:pPr>
                    <w:adjustRightInd w:val="0"/>
                    <w:snapToGrid w:val="0"/>
                    <w:jc w:val="center"/>
                    <w:rPr>
                      <w:rFonts w:cs="宋体"/>
                      <w:color w:val="auto"/>
                      <w:sz w:val="18"/>
                      <w:szCs w:val="18"/>
                      <w:u w:val="single"/>
                    </w:rPr>
                  </w:pPr>
                  <w:r>
                    <w:rPr>
                      <w:rFonts w:hint="eastAsia" w:cs="宋体" w:hAnsiTheme="minorHAnsi" w:eastAsiaTheme="minorEastAsia"/>
                      <w:b w:val="0"/>
                      <w:bCs w:val="0"/>
                      <w:color w:val="auto"/>
                      <w:spacing w:val="0"/>
                      <w:sz w:val="18"/>
                      <w:szCs w:val="18"/>
                      <w:highlight w:val="none"/>
                      <w:u w:val="single"/>
                      <w:lang w:val="en-US" w:eastAsia="zh-CN" w:bidi="ar-SA"/>
                    </w:rPr>
                    <w:t>里岔沟</w:t>
                  </w:r>
                  <w:r>
                    <w:rPr>
                      <w:rFonts w:hint="eastAsia" w:ascii="Times New Roman" w:cs="宋体" w:hAnsiTheme="minorHAnsi" w:eastAsiaTheme="minorEastAsia"/>
                      <w:b w:val="0"/>
                      <w:bCs w:val="0"/>
                      <w:color w:val="auto"/>
                      <w:spacing w:val="0"/>
                      <w:sz w:val="18"/>
                      <w:szCs w:val="18"/>
                      <w:highlight w:val="none"/>
                      <w:u w:val="single"/>
                      <w:lang w:val="en-US" w:eastAsia="zh-CN" w:bidi="ar-SA"/>
                    </w:rPr>
                    <w:t>村</w:t>
                  </w:r>
                  <w:r>
                    <w:rPr>
                      <w:rFonts w:hint="eastAsia" w:ascii="Times New Roman" w:hAnsi="Times New Roman" w:eastAsia="宋体" w:cs="Times New Roman"/>
                      <w:color w:val="auto"/>
                      <w:spacing w:val="-8"/>
                      <w:sz w:val="18"/>
                      <w:szCs w:val="18"/>
                      <w:u w:val="single"/>
                      <w:lang w:val="en-US" w:eastAsia="zh-CN"/>
                    </w:rPr>
                    <w:t>（96户，218人）</w:t>
                  </w:r>
                </w:p>
              </w:tc>
              <w:tc>
                <w:tcPr>
                  <w:tcW w:w="1301" w:type="pct"/>
                  <w:vAlign w:val="center"/>
                </w:tcPr>
                <w:p w14:paraId="6A247DF9">
                  <w:pPr>
                    <w:adjustRightInd w:val="0"/>
                    <w:snapToGrid w:val="0"/>
                    <w:jc w:val="center"/>
                    <w:rPr>
                      <w:color w:val="auto"/>
                      <w:sz w:val="18"/>
                      <w:szCs w:val="18"/>
                      <w:u w:val="single"/>
                    </w:rPr>
                  </w:pPr>
                  <w:r>
                    <w:rPr>
                      <w:color w:val="auto"/>
                      <w:sz w:val="18"/>
                      <w:szCs w:val="18"/>
                      <w:u w:val="single"/>
                    </w:rPr>
                    <w:t>GB3095-2012</w:t>
                  </w:r>
                  <w:r>
                    <w:rPr>
                      <w:rFonts w:hint="eastAsia"/>
                      <w:color w:val="auto"/>
                      <w:sz w:val="18"/>
                      <w:szCs w:val="18"/>
                      <w:u w:val="single"/>
                    </w:rPr>
                    <w:t>《环境空气质量标准》二级标准</w:t>
                  </w:r>
                </w:p>
              </w:tc>
            </w:tr>
            <w:tr w14:paraId="4D26F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43" w:type="pct"/>
                  <w:vAlign w:val="center"/>
                </w:tcPr>
                <w:p w14:paraId="65096B8B">
                  <w:pPr>
                    <w:adjustRightInd w:val="0"/>
                    <w:snapToGrid w:val="0"/>
                    <w:jc w:val="center"/>
                    <w:rPr>
                      <w:rFonts w:hint="default" w:hAnsi="宋体" w:eastAsia="宋体"/>
                      <w:color w:val="auto"/>
                      <w:sz w:val="18"/>
                      <w:szCs w:val="18"/>
                      <w:u w:val="single"/>
                      <w:lang w:val="en-US" w:eastAsia="zh-CN"/>
                    </w:rPr>
                  </w:pPr>
                  <w:r>
                    <w:rPr>
                      <w:rFonts w:hint="eastAsia" w:hAnsi="宋体"/>
                      <w:color w:val="auto"/>
                      <w:sz w:val="18"/>
                      <w:szCs w:val="18"/>
                      <w:u w:val="single"/>
                      <w:lang w:val="en-US" w:eastAsia="zh-CN"/>
                    </w:rPr>
                    <w:t>声环境</w:t>
                  </w:r>
                </w:p>
              </w:tc>
              <w:tc>
                <w:tcPr>
                  <w:tcW w:w="843" w:type="pct"/>
                  <w:vAlign w:val="center"/>
                </w:tcPr>
                <w:p w14:paraId="62578524">
                  <w:pPr>
                    <w:adjustRightInd w:val="0"/>
                    <w:snapToGrid w:val="0"/>
                    <w:jc w:val="center"/>
                    <w:rPr>
                      <w:rFonts w:hint="default" w:hAnsi="宋体" w:eastAsia="宋体"/>
                      <w:color w:val="auto"/>
                      <w:sz w:val="18"/>
                      <w:szCs w:val="18"/>
                      <w:u w:val="single"/>
                      <w:lang w:val="en-US" w:eastAsia="zh-CN"/>
                    </w:rPr>
                  </w:pPr>
                  <w:r>
                    <w:rPr>
                      <w:rFonts w:hint="eastAsia" w:hAnsi="宋体"/>
                      <w:color w:val="auto"/>
                      <w:sz w:val="18"/>
                      <w:szCs w:val="18"/>
                      <w:u w:val="single"/>
                      <w:lang w:val="en-US" w:eastAsia="zh-CN"/>
                    </w:rPr>
                    <w:t>厂界50m范围</w:t>
                  </w:r>
                </w:p>
              </w:tc>
              <w:tc>
                <w:tcPr>
                  <w:tcW w:w="547" w:type="pct"/>
                  <w:vAlign w:val="center"/>
                </w:tcPr>
                <w:p w14:paraId="39F52526">
                  <w:pPr>
                    <w:adjustRightInd w:val="0"/>
                    <w:snapToGrid w:val="0"/>
                    <w:jc w:val="center"/>
                    <w:rPr>
                      <w:rFonts w:hint="default" w:cs="宋体"/>
                      <w:color w:val="auto"/>
                      <w:sz w:val="18"/>
                      <w:szCs w:val="18"/>
                      <w:u w:val="single"/>
                      <w:lang w:val="en-US" w:eastAsia="zh-CN"/>
                    </w:rPr>
                  </w:pPr>
                  <w:r>
                    <w:rPr>
                      <w:rFonts w:hint="eastAsia" w:cs="宋体"/>
                      <w:color w:val="auto"/>
                      <w:sz w:val="18"/>
                      <w:szCs w:val="18"/>
                      <w:u w:val="single"/>
                      <w:lang w:val="en-US" w:eastAsia="zh-CN"/>
                    </w:rPr>
                    <w:t>西侧</w:t>
                  </w:r>
                </w:p>
              </w:tc>
              <w:tc>
                <w:tcPr>
                  <w:tcW w:w="746" w:type="pct"/>
                  <w:vAlign w:val="center"/>
                </w:tcPr>
                <w:p w14:paraId="2C232269">
                  <w:pPr>
                    <w:adjustRightInd w:val="0"/>
                    <w:snapToGrid w:val="0"/>
                    <w:jc w:val="center"/>
                    <w:rPr>
                      <w:rFonts w:hint="default" w:cs="宋体"/>
                      <w:color w:val="auto"/>
                      <w:sz w:val="18"/>
                      <w:szCs w:val="18"/>
                      <w:u w:val="single"/>
                      <w:lang w:val="en-US" w:eastAsia="zh-CN"/>
                    </w:rPr>
                  </w:pPr>
                  <w:r>
                    <w:rPr>
                      <w:rFonts w:hint="eastAsia" w:cs="宋体"/>
                      <w:color w:val="auto"/>
                      <w:sz w:val="18"/>
                      <w:szCs w:val="18"/>
                      <w:u w:val="single"/>
                      <w:lang w:val="en-US" w:eastAsia="zh-CN"/>
                    </w:rPr>
                    <w:t>33</w:t>
                  </w:r>
                </w:p>
              </w:tc>
              <w:tc>
                <w:tcPr>
                  <w:tcW w:w="1116" w:type="pct"/>
                  <w:vAlign w:val="center"/>
                </w:tcPr>
                <w:p w14:paraId="61F6CEE6">
                  <w:pPr>
                    <w:adjustRightInd w:val="0"/>
                    <w:snapToGrid w:val="0"/>
                    <w:jc w:val="center"/>
                    <w:rPr>
                      <w:rFonts w:hint="default" w:cs="Times New Roman"/>
                      <w:color w:val="auto"/>
                      <w:spacing w:val="-8"/>
                      <w:sz w:val="18"/>
                      <w:szCs w:val="18"/>
                      <w:u w:val="single"/>
                      <w:lang w:val="en-US" w:eastAsia="zh-CN"/>
                    </w:rPr>
                  </w:pPr>
                  <w:r>
                    <w:rPr>
                      <w:rFonts w:hint="eastAsia" w:cs="Times New Roman"/>
                      <w:color w:val="auto"/>
                      <w:spacing w:val="-8"/>
                      <w:sz w:val="18"/>
                      <w:szCs w:val="18"/>
                      <w:u w:val="single"/>
                      <w:lang w:val="en-US" w:eastAsia="zh-CN"/>
                    </w:rPr>
                    <w:t>1户（暂无人居住）</w:t>
                  </w:r>
                </w:p>
              </w:tc>
              <w:tc>
                <w:tcPr>
                  <w:tcW w:w="1301" w:type="pct"/>
                  <w:vAlign w:val="center"/>
                </w:tcPr>
                <w:p w14:paraId="6EF50063">
                  <w:pPr>
                    <w:adjustRightInd w:val="0"/>
                    <w:snapToGrid w:val="0"/>
                    <w:jc w:val="center"/>
                    <w:rPr>
                      <w:color w:val="auto"/>
                      <w:sz w:val="18"/>
                      <w:szCs w:val="18"/>
                      <w:u w:val="single"/>
                    </w:rPr>
                  </w:pPr>
                  <w:r>
                    <w:rPr>
                      <w:rFonts w:eastAsia="宋体"/>
                      <w:color w:val="auto"/>
                      <w:sz w:val="18"/>
                      <w:szCs w:val="18"/>
                      <w:u w:val="single"/>
                    </w:rPr>
                    <w:t>GB3096-2008《声环境质量标准》中</w:t>
                  </w:r>
                  <w:r>
                    <w:rPr>
                      <w:rFonts w:hint="eastAsia" w:eastAsia="宋体"/>
                      <w:color w:val="auto"/>
                      <w:sz w:val="18"/>
                      <w:szCs w:val="18"/>
                      <w:u w:val="single"/>
                      <w:lang w:val="en-US" w:eastAsia="zh-CN"/>
                    </w:rPr>
                    <w:t>1类</w:t>
                  </w:r>
                  <w:r>
                    <w:rPr>
                      <w:rFonts w:eastAsia="宋体"/>
                      <w:color w:val="auto"/>
                      <w:sz w:val="18"/>
                      <w:szCs w:val="18"/>
                      <w:u w:val="single"/>
                    </w:rPr>
                    <w:t>标准</w:t>
                  </w:r>
                </w:p>
              </w:tc>
            </w:tr>
          </w:tbl>
          <w:p w14:paraId="7552314A">
            <w:pPr>
              <w:pStyle w:val="85"/>
              <w:ind w:firstLine="420"/>
              <w:rPr>
                <w:rFonts w:hint="eastAsia"/>
                <w:color w:val="auto"/>
              </w:rPr>
            </w:pPr>
          </w:p>
        </w:tc>
      </w:tr>
      <w:tr w14:paraId="29E28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979" w:type="dxa"/>
            <w:tcMar>
              <w:left w:w="28" w:type="dxa"/>
              <w:right w:w="28" w:type="dxa"/>
            </w:tcMar>
            <w:vAlign w:val="center"/>
          </w:tcPr>
          <w:p w14:paraId="2B967768">
            <w:pPr>
              <w:adjustRightInd w:val="0"/>
              <w:snapToGrid w:val="0"/>
              <w:jc w:val="center"/>
              <w:rPr>
                <w:rFonts w:ascii="宋体" w:hAnsi="宋体" w:cs="宋体"/>
                <w:color w:val="auto"/>
              </w:rPr>
            </w:pPr>
            <w:r>
              <w:rPr>
                <w:rFonts w:hint="eastAsia" w:ascii="宋体" w:hAnsi="宋体" w:cs="宋体"/>
                <w:color w:val="auto"/>
              </w:rPr>
              <w:t>污染</w:t>
            </w:r>
          </w:p>
          <w:p w14:paraId="48A5FA43">
            <w:pPr>
              <w:adjustRightInd w:val="0"/>
              <w:snapToGrid w:val="0"/>
              <w:jc w:val="center"/>
              <w:rPr>
                <w:rFonts w:ascii="宋体" w:hAnsi="宋体" w:cs="宋体"/>
                <w:color w:val="auto"/>
              </w:rPr>
            </w:pPr>
            <w:r>
              <w:rPr>
                <w:rFonts w:hint="eastAsia" w:ascii="宋体" w:hAnsi="宋体" w:cs="宋体"/>
                <w:color w:val="auto"/>
              </w:rPr>
              <w:t>物排</w:t>
            </w:r>
          </w:p>
          <w:p w14:paraId="0296B234">
            <w:pPr>
              <w:adjustRightInd w:val="0"/>
              <w:snapToGrid w:val="0"/>
              <w:jc w:val="center"/>
              <w:rPr>
                <w:rFonts w:ascii="宋体" w:hAnsi="宋体" w:cs="宋体"/>
                <w:color w:val="auto"/>
              </w:rPr>
            </w:pPr>
            <w:r>
              <w:rPr>
                <w:rFonts w:hint="eastAsia" w:ascii="宋体" w:hAnsi="宋体" w:cs="宋体"/>
                <w:color w:val="auto"/>
              </w:rPr>
              <w:t>放控</w:t>
            </w:r>
          </w:p>
          <w:p w14:paraId="2B082EEF">
            <w:pPr>
              <w:adjustRightInd w:val="0"/>
              <w:snapToGrid w:val="0"/>
              <w:jc w:val="center"/>
              <w:rPr>
                <w:rFonts w:ascii="宋体" w:hAnsi="宋体" w:cs="宋体"/>
                <w:color w:val="auto"/>
              </w:rPr>
            </w:pPr>
            <w:r>
              <w:rPr>
                <w:rFonts w:hint="eastAsia" w:ascii="宋体" w:hAnsi="宋体" w:cs="宋体"/>
                <w:color w:val="auto"/>
              </w:rPr>
              <w:t>制标</w:t>
            </w:r>
          </w:p>
          <w:p w14:paraId="59F65F74">
            <w:pPr>
              <w:adjustRightInd w:val="0"/>
              <w:snapToGrid w:val="0"/>
              <w:jc w:val="center"/>
              <w:rPr>
                <w:rFonts w:ascii="宋体" w:hAnsi="宋体" w:cs="宋体"/>
                <w:color w:val="auto"/>
              </w:rPr>
            </w:pPr>
            <w:r>
              <w:rPr>
                <w:rFonts w:hint="eastAsia" w:ascii="宋体" w:hAnsi="宋体" w:cs="宋体"/>
                <w:color w:val="auto"/>
              </w:rPr>
              <w:t>准</w:t>
            </w:r>
          </w:p>
        </w:tc>
        <w:tc>
          <w:tcPr>
            <w:tcW w:w="8082" w:type="dxa"/>
            <w:vAlign w:val="center"/>
          </w:tcPr>
          <w:p w14:paraId="59B9CEB2">
            <w:pPr>
              <w:pStyle w:val="2"/>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b w:val="0"/>
                <w:bCs w:val="0"/>
                <w:color w:val="auto"/>
                <w:sz w:val="21"/>
                <w:szCs w:val="21"/>
              </w:rPr>
            </w:pPr>
            <w:r>
              <w:rPr>
                <w:rFonts w:hint="eastAsia"/>
                <w:b w:val="0"/>
                <w:bCs w:val="0"/>
                <w:color w:val="auto"/>
                <w:sz w:val="21"/>
                <w:szCs w:val="21"/>
              </w:rPr>
              <w:t>1、废气</w:t>
            </w:r>
          </w:p>
          <w:p w14:paraId="072EF0C5">
            <w:pPr>
              <w:pStyle w:val="14"/>
              <w:adjustRightInd w:val="0"/>
              <w:snapToGrid w:val="0"/>
              <w:spacing w:line="360" w:lineRule="auto"/>
              <w:ind w:firstLine="420" w:firstLineChars="200"/>
              <w:rPr>
                <w:rFonts w:ascii="Times New Roman" w:hAnsi="Times New Roman"/>
                <w:color w:val="auto"/>
                <w:kern w:val="0"/>
                <w:sz w:val="21"/>
                <w:szCs w:val="21"/>
              </w:rPr>
            </w:pPr>
            <w:r>
              <w:rPr>
                <w:rFonts w:hint="eastAsia" w:ascii="Times New Roman" w:hAnsi="Times New Roman" w:eastAsia="宋体"/>
                <w:color w:val="auto"/>
                <w:sz w:val="21"/>
                <w:szCs w:val="21"/>
              </w:rPr>
              <w:t>项目</w:t>
            </w:r>
            <w:r>
              <w:rPr>
                <w:rFonts w:hint="eastAsia" w:ascii="Times New Roman" w:hAnsi="Times New Roman" w:eastAsia="宋体" w:cs="宋体"/>
                <w:color w:val="auto"/>
                <w:sz w:val="21"/>
                <w:szCs w:val="21"/>
              </w:rPr>
              <w:t>生产</w:t>
            </w:r>
            <w:r>
              <w:rPr>
                <w:rFonts w:hint="eastAsia" w:ascii="Times New Roman" w:hAnsi="Times New Roman" w:eastAsia="宋体" w:cs="宋体"/>
                <w:color w:val="auto"/>
                <w:sz w:val="21"/>
                <w:szCs w:val="21"/>
                <w:lang w:val="en-US" w:eastAsia="zh-CN"/>
              </w:rPr>
              <w:t>过程中产生的</w:t>
            </w:r>
            <w:r>
              <w:rPr>
                <w:rFonts w:hint="eastAsia" w:ascii="Times New Roman" w:hAnsi="Times New Roman" w:eastAsia="宋体" w:cs="宋体"/>
                <w:color w:val="auto"/>
                <w:sz w:val="21"/>
                <w:szCs w:val="21"/>
              </w:rPr>
              <w:t>颗粒物执行《大气污染物综合排放标准》（GB16297-1996）中的二级标准限值，硫化氢、氨和臭气浓度执行《恶臭污染物排放标准》（GB14554-93）表1和表2中的标准限值</w:t>
            </w:r>
            <w:r>
              <w:rPr>
                <w:rFonts w:hint="eastAsia" w:ascii="Times New Roman" w:hAnsi="Times New Roman" w:eastAsia="宋体" w:cs="宋体"/>
                <w:color w:val="auto"/>
                <w:sz w:val="21"/>
                <w:szCs w:val="21"/>
                <w:lang w:eastAsia="zh-CN"/>
              </w:rPr>
              <w:t>，</w:t>
            </w:r>
            <w:r>
              <w:rPr>
                <w:rFonts w:hint="eastAsia" w:ascii="Times New Roman" w:hAnsi="Times New Roman"/>
                <w:color w:val="auto"/>
                <w:kern w:val="0"/>
                <w:sz w:val="21"/>
                <w:szCs w:val="21"/>
              </w:rPr>
              <w:t>详见下表。</w:t>
            </w:r>
          </w:p>
          <w:p w14:paraId="675B4E69">
            <w:pPr>
              <w:adjustRightInd w:val="0"/>
              <w:snapToGrid w:val="0"/>
              <w:jc w:val="center"/>
              <w:rPr>
                <w:b/>
                <w:iCs/>
                <w:color w:val="auto"/>
              </w:rPr>
            </w:pPr>
            <w:r>
              <w:rPr>
                <w:rFonts w:hint="eastAsia" w:hAnsi="宋体" w:cs="宋体"/>
                <w:color w:val="auto"/>
              </w:rPr>
              <w:t>大气污染物综合排放标准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586"/>
              <w:gridCol w:w="1323"/>
              <w:gridCol w:w="1060"/>
              <w:gridCol w:w="1852"/>
              <w:gridCol w:w="1116"/>
            </w:tblGrid>
            <w:tr w14:paraId="4E00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pct"/>
                  <w:vMerge w:val="restart"/>
                  <w:tcBorders>
                    <w:top w:val="single" w:color="auto" w:sz="12" w:space="0"/>
                    <w:left w:val="nil"/>
                  </w:tcBorders>
                  <w:vAlign w:val="center"/>
                </w:tcPr>
                <w:p w14:paraId="7DE74EF3">
                  <w:pPr>
                    <w:adjustRightInd w:val="0"/>
                    <w:snapToGrid w:val="0"/>
                    <w:rPr>
                      <w:color w:val="auto"/>
                      <w:sz w:val="18"/>
                      <w:szCs w:val="18"/>
                    </w:rPr>
                  </w:pPr>
                  <w:r>
                    <w:rPr>
                      <w:color w:val="auto"/>
                      <w:sz w:val="18"/>
                      <w:szCs w:val="18"/>
                    </w:rPr>
                    <w:t>污染物</w:t>
                  </w:r>
                </w:p>
                <w:p w14:paraId="628B83F3">
                  <w:pPr>
                    <w:adjustRightInd w:val="0"/>
                    <w:snapToGrid w:val="0"/>
                    <w:rPr>
                      <w:color w:val="auto"/>
                      <w:sz w:val="18"/>
                      <w:szCs w:val="18"/>
                    </w:rPr>
                  </w:pPr>
                  <w:r>
                    <w:rPr>
                      <w:color w:val="auto"/>
                      <w:sz w:val="18"/>
                      <w:szCs w:val="18"/>
                    </w:rPr>
                    <w:t>名称</w:t>
                  </w:r>
                </w:p>
              </w:tc>
              <w:tc>
                <w:tcPr>
                  <w:tcW w:w="995" w:type="pct"/>
                  <w:vMerge w:val="restart"/>
                  <w:tcBorders>
                    <w:top w:val="single" w:color="auto" w:sz="12" w:space="0"/>
                  </w:tcBorders>
                  <w:vAlign w:val="center"/>
                </w:tcPr>
                <w:p w14:paraId="49D9D51B">
                  <w:pPr>
                    <w:adjustRightInd w:val="0"/>
                    <w:snapToGrid w:val="0"/>
                    <w:rPr>
                      <w:color w:val="auto"/>
                      <w:sz w:val="18"/>
                      <w:szCs w:val="18"/>
                    </w:rPr>
                  </w:pPr>
                  <w:r>
                    <w:rPr>
                      <w:color w:val="auto"/>
                      <w:sz w:val="18"/>
                      <w:szCs w:val="18"/>
                    </w:rPr>
                    <w:t>最高允许排放浓度（mg/m</w:t>
                  </w:r>
                  <w:r>
                    <w:rPr>
                      <w:color w:val="auto"/>
                      <w:sz w:val="18"/>
                      <w:szCs w:val="18"/>
                      <w:vertAlign w:val="superscript"/>
                    </w:rPr>
                    <w:t>3</w:t>
                  </w:r>
                  <w:r>
                    <w:rPr>
                      <w:color w:val="auto"/>
                      <w:sz w:val="18"/>
                      <w:szCs w:val="18"/>
                    </w:rPr>
                    <w:t>）</w:t>
                  </w:r>
                </w:p>
              </w:tc>
              <w:tc>
                <w:tcPr>
                  <w:tcW w:w="1495" w:type="pct"/>
                  <w:gridSpan w:val="2"/>
                  <w:tcBorders>
                    <w:top w:val="single" w:color="auto" w:sz="12" w:space="0"/>
                  </w:tcBorders>
                  <w:vAlign w:val="center"/>
                </w:tcPr>
                <w:p w14:paraId="5726CCED">
                  <w:pPr>
                    <w:adjustRightInd w:val="0"/>
                    <w:snapToGrid w:val="0"/>
                    <w:jc w:val="center"/>
                    <w:rPr>
                      <w:color w:val="auto"/>
                      <w:sz w:val="18"/>
                      <w:szCs w:val="18"/>
                    </w:rPr>
                  </w:pPr>
                  <w:r>
                    <w:rPr>
                      <w:color w:val="auto"/>
                      <w:sz w:val="18"/>
                      <w:szCs w:val="18"/>
                    </w:rPr>
                    <w:t>最高允许排放速率</w:t>
                  </w:r>
                </w:p>
                <w:p w14:paraId="1F921012">
                  <w:pPr>
                    <w:adjustRightInd w:val="0"/>
                    <w:snapToGrid w:val="0"/>
                    <w:jc w:val="center"/>
                    <w:rPr>
                      <w:color w:val="auto"/>
                      <w:sz w:val="18"/>
                      <w:szCs w:val="18"/>
                    </w:rPr>
                  </w:pPr>
                  <w:r>
                    <w:rPr>
                      <w:color w:val="auto"/>
                      <w:sz w:val="18"/>
                      <w:szCs w:val="18"/>
                    </w:rPr>
                    <w:t>（kg/h）</w:t>
                  </w:r>
                </w:p>
              </w:tc>
              <w:tc>
                <w:tcPr>
                  <w:tcW w:w="1862" w:type="pct"/>
                  <w:gridSpan w:val="2"/>
                  <w:tcBorders>
                    <w:top w:val="single" w:color="auto" w:sz="12" w:space="0"/>
                    <w:right w:val="nil"/>
                  </w:tcBorders>
                  <w:vAlign w:val="center"/>
                </w:tcPr>
                <w:p w14:paraId="0F2477EE">
                  <w:pPr>
                    <w:adjustRightInd w:val="0"/>
                    <w:snapToGrid w:val="0"/>
                    <w:jc w:val="center"/>
                    <w:rPr>
                      <w:color w:val="auto"/>
                      <w:sz w:val="18"/>
                      <w:szCs w:val="18"/>
                    </w:rPr>
                  </w:pPr>
                  <w:r>
                    <w:rPr>
                      <w:color w:val="auto"/>
                      <w:sz w:val="18"/>
                      <w:szCs w:val="18"/>
                    </w:rPr>
                    <w:t>无组织排放监控点浓度限值（mg/m</w:t>
                  </w:r>
                  <w:r>
                    <w:rPr>
                      <w:color w:val="auto"/>
                      <w:sz w:val="18"/>
                      <w:szCs w:val="18"/>
                      <w:vertAlign w:val="superscript"/>
                    </w:rPr>
                    <w:t>3</w:t>
                  </w:r>
                  <w:r>
                    <w:rPr>
                      <w:color w:val="auto"/>
                      <w:sz w:val="18"/>
                      <w:szCs w:val="18"/>
                    </w:rPr>
                    <w:t>）</w:t>
                  </w:r>
                </w:p>
              </w:tc>
            </w:tr>
            <w:tr w14:paraId="3B0F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pct"/>
                  <w:vMerge w:val="continue"/>
                  <w:tcBorders>
                    <w:left w:val="nil"/>
                    <w:bottom w:val="single" w:color="auto" w:sz="4" w:space="0"/>
                  </w:tcBorders>
                  <w:vAlign w:val="center"/>
                </w:tcPr>
                <w:p w14:paraId="41A7CF74">
                  <w:pPr>
                    <w:adjustRightInd w:val="0"/>
                    <w:snapToGrid w:val="0"/>
                    <w:rPr>
                      <w:color w:val="auto"/>
                      <w:sz w:val="18"/>
                      <w:szCs w:val="18"/>
                    </w:rPr>
                  </w:pPr>
                </w:p>
              </w:tc>
              <w:tc>
                <w:tcPr>
                  <w:tcW w:w="995" w:type="pct"/>
                  <w:vMerge w:val="continue"/>
                  <w:tcBorders>
                    <w:bottom w:val="single" w:color="auto" w:sz="4" w:space="0"/>
                  </w:tcBorders>
                  <w:vAlign w:val="center"/>
                </w:tcPr>
                <w:p w14:paraId="47B52C3D">
                  <w:pPr>
                    <w:adjustRightInd w:val="0"/>
                    <w:snapToGrid w:val="0"/>
                    <w:rPr>
                      <w:color w:val="auto"/>
                      <w:sz w:val="18"/>
                      <w:szCs w:val="18"/>
                    </w:rPr>
                  </w:pPr>
                </w:p>
              </w:tc>
              <w:tc>
                <w:tcPr>
                  <w:tcW w:w="830" w:type="pct"/>
                  <w:tcBorders>
                    <w:bottom w:val="single" w:color="auto" w:sz="4" w:space="0"/>
                  </w:tcBorders>
                  <w:vAlign w:val="center"/>
                </w:tcPr>
                <w:p w14:paraId="43317431">
                  <w:pPr>
                    <w:adjustRightInd w:val="0"/>
                    <w:snapToGrid w:val="0"/>
                    <w:jc w:val="center"/>
                    <w:rPr>
                      <w:color w:val="auto"/>
                      <w:sz w:val="18"/>
                      <w:szCs w:val="18"/>
                    </w:rPr>
                  </w:pPr>
                  <w:r>
                    <w:rPr>
                      <w:color w:val="auto"/>
                      <w:sz w:val="18"/>
                      <w:szCs w:val="18"/>
                    </w:rPr>
                    <w:t>排气筒（m）</w:t>
                  </w:r>
                </w:p>
              </w:tc>
              <w:tc>
                <w:tcPr>
                  <w:tcW w:w="665" w:type="pct"/>
                  <w:tcBorders>
                    <w:bottom w:val="single" w:color="auto" w:sz="4" w:space="0"/>
                  </w:tcBorders>
                  <w:vAlign w:val="center"/>
                </w:tcPr>
                <w:p w14:paraId="4A8DE3BC">
                  <w:pPr>
                    <w:adjustRightInd w:val="0"/>
                    <w:snapToGrid w:val="0"/>
                    <w:jc w:val="center"/>
                    <w:rPr>
                      <w:color w:val="auto"/>
                      <w:sz w:val="18"/>
                      <w:szCs w:val="18"/>
                    </w:rPr>
                  </w:pPr>
                  <w:r>
                    <w:rPr>
                      <w:color w:val="auto"/>
                      <w:sz w:val="18"/>
                      <w:szCs w:val="18"/>
                    </w:rPr>
                    <w:t>二级</w:t>
                  </w:r>
                </w:p>
              </w:tc>
              <w:tc>
                <w:tcPr>
                  <w:tcW w:w="1162" w:type="pct"/>
                  <w:tcBorders>
                    <w:bottom w:val="single" w:color="auto" w:sz="4" w:space="0"/>
                  </w:tcBorders>
                  <w:vAlign w:val="center"/>
                </w:tcPr>
                <w:p w14:paraId="091CB5BD">
                  <w:pPr>
                    <w:adjustRightInd w:val="0"/>
                    <w:snapToGrid w:val="0"/>
                    <w:jc w:val="center"/>
                    <w:rPr>
                      <w:color w:val="auto"/>
                      <w:sz w:val="18"/>
                      <w:szCs w:val="18"/>
                    </w:rPr>
                  </w:pPr>
                  <w:r>
                    <w:rPr>
                      <w:color w:val="auto"/>
                      <w:sz w:val="18"/>
                      <w:szCs w:val="18"/>
                    </w:rPr>
                    <w:t>监控点</w:t>
                  </w:r>
                </w:p>
              </w:tc>
              <w:tc>
                <w:tcPr>
                  <w:tcW w:w="700" w:type="pct"/>
                  <w:tcBorders>
                    <w:bottom w:val="single" w:color="auto" w:sz="4" w:space="0"/>
                    <w:right w:val="nil"/>
                  </w:tcBorders>
                  <w:vAlign w:val="center"/>
                </w:tcPr>
                <w:p w14:paraId="002517A3">
                  <w:pPr>
                    <w:adjustRightInd w:val="0"/>
                    <w:snapToGrid w:val="0"/>
                    <w:jc w:val="center"/>
                    <w:rPr>
                      <w:color w:val="auto"/>
                      <w:sz w:val="18"/>
                      <w:szCs w:val="18"/>
                    </w:rPr>
                  </w:pPr>
                  <w:r>
                    <w:rPr>
                      <w:color w:val="auto"/>
                      <w:sz w:val="18"/>
                      <w:szCs w:val="18"/>
                    </w:rPr>
                    <w:t>浓度</w:t>
                  </w:r>
                </w:p>
              </w:tc>
            </w:tr>
            <w:tr w14:paraId="0540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pct"/>
                  <w:tcBorders>
                    <w:left w:val="nil"/>
                    <w:bottom w:val="single" w:color="auto" w:sz="12" w:space="0"/>
                  </w:tcBorders>
                  <w:vAlign w:val="center"/>
                </w:tcPr>
                <w:p w14:paraId="40A98513">
                  <w:pPr>
                    <w:adjustRightInd w:val="0"/>
                    <w:snapToGrid w:val="0"/>
                    <w:jc w:val="center"/>
                    <w:rPr>
                      <w:color w:val="auto"/>
                      <w:sz w:val="18"/>
                      <w:szCs w:val="18"/>
                    </w:rPr>
                  </w:pPr>
                  <w:r>
                    <w:rPr>
                      <w:color w:val="auto"/>
                      <w:sz w:val="18"/>
                      <w:szCs w:val="18"/>
                    </w:rPr>
                    <w:t>颗粒物</w:t>
                  </w:r>
                </w:p>
              </w:tc>
              <w:tc>
                <w:tcPr>
                  <w:tcW w:w="995" w:type="pct"/>
                  <w:tcBorders>
                    <w:bottom w:val="single" w:color="auto" w:sz="12" w:space="0"/>
                  </w:tcBorders>
                  <w:vAlign w:val="center"/>
                </w:tcPr>
                <w:p w14:paraId="64D78C02">
                  <w:pPr>
                    <w:adjustRightInd w:val="0"/>
                    <w:snapToGrid w:val="0"/>
                    <w:jc w:val="center"/>
                    <w:rPr>
                      <w:color w:val="auto"/>
                      <w:sz w:val="18"/>
                      <w:szCs w:val="18"/>
                    </w:rPr>
                  </w:pPr>
                  <w:r>
                    <w:rPr>
                      <w:color w:val="auto"/>
                      <w:sz w:val="18"/>
                      <w:szCs w:val="18"/>
                    </w:rPr>
                    <w:t>120</w:t>
                  </w:r>
                </w:p>
              </w:tc>
              <w:tc>
                <w:tcPr>
                  <w:tcW w:w="830" w:type="pct"/>
                  <w:tcBorders>
                    <w:bottom w:val="single" w:color="auto" w:sz="12" w:space="0"/>
                  </w:tcBorders>
                  <w:vAlign w:val="center"/>
                </w:tcPr>
                <w:p w14:paraId="49F4584C">
                  <w:pPr>
                    <w:adjustRightInd w:val="0"/>
                    <w:snapToGrid w:val="0"/>
                    <w:jc w:val="center"/>
                    <w:rPr>
                      <w:color w:val="auto"/>
                      <w:sz w:val="18"/>
                      <w:szCs w:val="18"/>
                    </w:rPr>
                  </w:pPr>
                  <w:r>
                    <w:rPr>
                      <w:color w:val="auto"/>
                      <w:sz w:val="18"/>
                      <w:szCs w:val="18"/>
                    </w:rPr>
                    <w:t>15</w:t>
                  </w:r>
                </w:p>
              </w:tc>
              <w:tc>
                <w:tcPr>
                  <w:tcW w:w="665" w:type="pct"/>
                  <w:tcBorders>
                    <w:bottom w:val="single" w:color="auto" w:sz="12" w:space="0"/>
                  </w:tcBorders>
                  <w:vAlign w:val="center"/>
                </w:tcPr>
                <w:p w14:paraId="624975F5">
                  <w:pPr>
                    <w:adjustRightInd w:val="0"/>
                    <w:snapToGrid w:val="0"/>
                    <w:jc w:val="center"/>
                    <w:rPr>
                      <w:color w:val="auto"/>
                      <w:sz w:val="18"/>
                      <w:szCs w:val="18"/>
                    </w:rPr>
                  </w:pPr>
                  <w:r>
                    <w:rPr>
                      <w:color w:val="auto"/>
                      <w:sz w:val="18"/>
                      <w:szCs w:val="18"/>
                    </w:rPr>
                    <w:t>3.5</w:t>
                  </w:r>
                </w:p>
              </w:tc>
              <w:tc>
                <w:tcPr>
                  <w:tcW w:w="1162" w:type="pct"/>
                  <w:tcBorders>
                    <w:bottom w:val="single" w:color="auto" w:sz="12" w:space="0"/>
                  </w:tcBorders>
                  <w:vAlign w:val="center"/>
                </w:tcPr>
                <w:p w14:paraId="7A727FFC">
                  <w:pPr>
                    <w:adjustRightInd w:val="0"/>
                    <w:snapToGrid w:val="0"/>
                    <w:jc w:val="center"/>
                    <w:rPr>
                      <w:color w:val="auto"/>
                      <w:sz w:val="18"/>
                      <w:szCs w:val="18"/>
                    </w:rPr>
                  </w:pPr>
                  <w:r>
                    <w:rPr>
                      <w:color w:val="auto"/>
                      <w:sz w:val="18"/>
                      <w:szCs w:val="18"/>
                    </w:rPr>
                    <w:t>周界外浓度最高点</w:t>
                  </w:r>
                </w:p>
              </w:tc>
              <w:tc>
                <w:tcPr>
                  <w:tcW w:w="700" w:type="pct"/>
                  <w:tcBorders>
                    <w:bottom w:val="single" w:color="auto" w:sz="12" w:space="0"/>
                    <w:right w:val="nil"/>
                  </w:tcBorders>
                  <w:vAlign w:val="center"/>
                </w:tcPr>
                <w:p w14:paraId="03BE2FCF">
                  <w:pPr>
                    <w:adjustRightInd w:val="0"/>
                    <w:snapToGrid w:val="0"/>
                    <w:jc w:val="center"/>
                    <w:rPr>
                      <w:color w:val="auto"/>
                      <w:sz w:val="18"/>
                      <w:szCs w:val="18"/>
                    </w:rPr>
                  </w:pPr>
                  <w:r>
                    <w:rPr>
                      <w:color w:val="auto"/>
                      <w:sz w:val="18"/>
                      <w:szCs w:val="18"/>
                    </w:rPr>
                    <w:t>1.0</w:t>
                  </w:r>
                </w:p>
              </w:tc>
            </w:tr>
          </w:tbl>
          <w:p w14:paraId="6BF2D11A">
            <w:pPr>
              <w:spacing w:beforeLines="50"/>
              <w:jc w:val="center"/>
              <w:rPr>
                <w:b/>
                <w:iCs/>
                <w:color w:val="auto"/>
              </w:rPr>
            </w:pPr>
            <w:r>
              <w:rPr>
                <w:rFonts w:hint="eastAsia" w:hAnsi="宋体" w:cs="宋体"/>
                <w:color w:val="auto"/>
              </w:rPr>
              <w:t>恶臭污染物排放标准</w:t>
            </w:r>
          </w:p>
          <w:tbl>
            <w:tblPr>
              <w:tblStyle w:val="29"/>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052"/>
              <w:gridCol w:w="1726"/>
              <w:gridCol w:w="2377"/>
              <w:gridCol w:w="1818"/>
            </w:tblGrid>
            <w:tr w14:paraId="54F9F2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43" w:hRule="atLeast"/>
              </w:trPr>
              <w:tc>
                <w:tcPr>
                  <w:tcW w:w="2137" w:type="dxa"/>
                  <w:vAlign w:val="center"/>
                </w:tcPr>
                <w:p w14:paraId="03B429C5">
                  <w:pPr>
                    <w:pStyle w:val="9"/>
                    <w:snapToGrid w:val="0"/>
                    <w:ind w:firstLine="420"/>
                    <w:jc w:val="center"/>
                    <w:rPr>
                      <w:rStyle w:val="87"/>
                      <w:color w:val="auto"/>
                      <w:sz w:val="18"/>
                      <w:szCs w:val="18"/>
                    </w:rPr>
                  </w:pPr>
                  <w:r>
                    <w:rPr>
                      <w:rStyle w:val="87"/>
                      <w:color w:val="auto"/>
                      <w:sz w:val="18"/>
                      <w:szCs w:val="18"/>
                    </w:rPr>
                    <w:t>标准名称</w:t>
                  </w:r>
                </w:p>
              </w:tc>
              <w:tc>
                <w:tcPr>
                  <w:tcW w:w="4386" w:type="dxa"/>
                  <w:gridSpan w:val="2"/>
                  <w:vAlign w:val="center"/>
                </w:tcPr>
                <w:p w14:paraId="663055C6">
                  <w:pPr>
                    <w:pStyle w:val="9"/>
                    <w:snapToGrid w:val="0"/>
                    <w:ind w:firstLine="420"/>
                    <w:jc w:val="center"/>
                    <w:rPr>
                      <w:rStyle w:val="87"/>
                      <w:color w:val="auto"/>
                      <w:sz w:val="18"/>
                      <w:szCs w:val="18"/>
                    </w:rPr>
                  </w:pPr>
                  <w:r>
                    <w:rPr>
                      <w:rStyle w:val="87"/>
                      <w:color w:val="auto"/>
                      <w:sz w:val="18"/>
                      <w:szCs w:val="18"/>
                    </w:rPr>
                    <w:t>评价因子</w:t>
                  </w:r>
                </w:p>
              </w:tc>
              <w:tc>
                <w:tcPr>
                  <w:tcW w:w="1895" w:type="dxa"/>
                  <w:vAlign w:val="center"/>
                </w:tcPr>
                <w:p w14:paraId="0569E6FA">
                  <w:pPr>
                    <w:pStyle w:val="9"/>
                    <w:snapToGrid w:val="0"/>
                    <w:ind w:firstLine="420"/>
                    <w:jc w:val="center"/>
                    <w:rPr>
                      <w:rStyle w:val="87"/>
                      <w:color w:val="auto"/>
                      <w:sz w:val="18"/>
                      <w:szCs w:val="18"/>
                    </w:rPr>
                  </w:pPr>
                  <w:r>
                    <w:rPr>
                      <w:rStyle w:val="87"/>
                      <w:color w:val="auto"/>
                      <w:sz w:val="18"/>
                      <w:szCs w:val="18"/>
                    </w:rPr>
                    <w:t>标 准 值</w:t>
                  </w:r>
                </w:p>
              </w:tc>
            </w:tr>
            <w:tr w14:paraId="4BBCF6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 w:hRule="atLeast"/>
              </w:trPr>
              <w:tc>
                <w:tcPr>
                  <w:tcW w:w="2137" w:type="dxa"/>
                  <w:vMerge w:val="restart"/>
                  <w:vAlign w:val="center"/>
                </w:tcPr>
                <w:p w14:paraId="5F318988">
                  <w:pPr>
                    <w:pStyle w:val="9"/>
                    <w:snapToGrid w:val="0"/>
                    <w:jc w:val="center"/>
                    <w:rPr>
                      <w:rFonts w:ascii="Times New Roman" w:hAnsi="Times New Roman" w:cs="Times New Roman"/>
                      <w:color w:val="auto"/>
                      <w:sz w:val="18"/>
                      <w:szCs w:val="18"/>
                    </w:rPr>
                  </w:pPr>
                  <w:r>
                    <w:rPr>
                      <w:rFonts w:ascii="Times New Roman" w:hAnsi="Times New Roman" w:cs="Times New Roman"/>
                      <w:color w:val="auto"/>
                      <w:sz w:val="18"/>
                      <w:szCs w:val="18"/>
                    </w:rPr>
                    <w:t>GB14554-93</w:t>
                  </w:r>
                </w:p>
                <w:p w14:paraId="7F3D32D6">
                  <w:pPr>
                    <w:pStyle w:val="9"/>
                    <w:snapToGrid w:val="0"/>
                    <w:jc w:val="center"/>
                    <w:rPr>
                      <w:rStyle w:val="87"/>
                      <w:color w:val="auto"/>
                      <w:sz w:val="18"/>
                      <w:szCs w:val="18"/>
                    </w:rPr>
                  </w:pPr>
                  <w:r>
                    <w:rPr>
                      <w:rFonts w:cs="Times New Roman"/>
                      <w:color w:val="auto"/>
                      <w:sz w:val="18"/>
                      <w:szCs w:val="18"/>
                    </w:rPr>
                    <w:t>《恶臭污染物排放标准》</w:t>
                  </w:r>
                </w:p>
              </w:tc>
              <w:tc>
                <w:tcPr>
                  <w:tcW w:w="1835" w:type="dxa"/>
                  <w:vMerge w:val="restart"/>
                  <w:vAlign w:val="center"/>
                </w:tcPr>
                <w:p w14:paraId="2AF9AFD6">
                  <w:pPr>
                    <w:pStyle w:val="9"/>
                    <w:snapToGrid w:val="0"/>
                    <w:jc w:val="center"/>
                    <w:rPr>
                      <w:rStyle w:val="87"/>
                      <w:color w:val="auto"/>
                      <w:sz w:val="18"/>
                      <w:szCs w:val="18"/>
                    </w:rPr>
                  </w:pPr>
                  <w:r>
                    <w:rPr>
                      <w:rStyle w:val="87"/>
                      <w:color w:val="auto"/>
                      <w:sz w:val="18"/>
                      <w:szCs w:val="18"/>
                    </w:rPr>
                    <w:t>硫化氢</w:t>
                  </w:r>
                </w:p>
              </w:tc>
              <w:tc>
                <w:tcPr>
                  <w:tcW w:w="2551" w:type="dxa"/>
                  <w:vAlign w:val="center"/>
                </w:tcPr>
                <w:p w14:paraId="1D6CFDB8">
                  <w:pPr>
                    <w:pStyle w:val="9"/>
                    <w:snapToGrid w:val="0"/>
                    <w:jc w:val="center"/>
                    <w:rPr>
                      <w:rStyle w:val="87"/>
                      <w:color w:val="auto"/>
                      <w:sz w:val="18"/>
                      <w:szCs w:val="18"/>
                    </w:rPr>
                  </w:pPr>
                  <w:r>
                    <w:rPr>
                      <w:rStyle w:val="87"/>
                      <w:color w:val="auto"/>
                      <w:sz w:val="18"/>
                      <w:szCs w:val="18"/>
                    </w:rPr>
                    <w:t>15m高排气筒排放速率</w:t>
                  </w:r>
                </w:p>
              </w:tc>
              <w:tc>
                <w:tcPr>
                  <w:tcW w:w="1895" w:type="dxa"/>
                  <w:vAlign w:val="center"/>
                </w:tcPr>
                <w:p w14:paraId="699B494E">
                  <w:pPr>
                    <w:pStyle w:val="9"/>
                    <w:snapToGrid w:val="0"/>
                    <w:jc w:val="center"/>
                    <w:rPr>
                      <w:rStyle w:val="87"/>
                      <w:color w:val="auto"/>
                      <w:sz w:val="18"/>
                      <w:szCs w:val="18"/>
                    </w:rPr>
                  </w:pPr>
                  <w:r>
                    <w:rPr>
                      <w:rFonts w:ascii="Times New Roman" w:hAnsi="Times New Roman" w:cs="Times New Roman"/>
                      <w:color w:val="auto"/>
                      <w:sz w:val="18"/>
                      <w:szCs w:val="18"/>
                    </w:rPr>
                    <w:t>0.33kg/h</w:t>
                  </w:r>
                </w:p>
              </w:tc>
            </w:tr>
            <w:tr w14:paraId="306918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 w:hRule="atLeast"/>
              </w:trPr>
              <w:tc>
                <w:tcPr>
                  <w:tcW w:w="2137" w:type="dxa"/>
                  <w:vMerge w:val="continue"/>
                  <w:vAlign w:val="center"/>
                </w:tcPr>
                <w:p w14:paraId="67C0F8E8">
                  <w:pPr>
                    <w:widowControl/>
                    <w:jc w:val="left"/>
                    <w:rPr>
                      <w:rStyle w:val="87"/>
                      <w:color w:val="auto"/>
                      <w:sz w:val="18"/>
                      <w:szCs w:val="18"/>
                    </w:rPr>
                  </w:pPr>
                </w:p>
              </w:tc>
              <w:tc>
                <w:tcPr>
                  <w:tcW w:w="1835" w:type="dxa"/>
                  <w:vMerge w:val="continue"/>
                  <w:vAlign w:val="center"/>
                </w:tcPr>
                <w:p w14:paraId="564C8706">
                  <w:pPr>
                    <w:widowControl/>
                    <w:jc w:val="center"/>
                    <w:rPr>
                      <w:rStyle w:val="87"/>
                      <w:color w:val="auto"/>
                      <w:sz w:val="18"/>
                      <w:szCs w:val="18"/>
                    </w:rPr>
                  </w:pPr>
                </w:p>
              </w:tc>
              <w:tc>
                <w:tcPr>
                  <w:tcW w:w="2551" w:type="dxa"/>
                  <w:vAlign w:val="center"/>
                </w:tcPr>
                <w:p w14:paraId="22A3A647">
                  <w:pPr>
                    <w:pStyle w:val="9"/>
                    <w:snapToGrid w:val="0"/>
                    <w:jc w:val="center"/>
                    <w:rPr>
                      <w:rStyle w:val="87"/>
                      <w:color w:val="auto"/>
                      <w:sz w:val="18"/>
                      <w:szCs w:val="18"/>
                    </w:rPr>
                  </w:pPr>
                  <w:r>
                    <w:rPr>
                      <w:rStyle w:val="87"/>
                      <w:color w:val="auto"/>
                      <w:sz w:val="18"/>
                      <w:szCs w:val="18"/>
                    </w:rPr>
                    <w:t>场界浓度</w:t>
                  </w:r>
                </w:p>
              </w:tc>
              <w:tc>
                <w:tcPr>
                  <w:tcW w:w="1895" w:type="dxa"/>
                  <w:vAlign w:val="center"/>
                </w:tcPr>
                <w:p w14:paraId="3AB89D83">
                  <w:pPr>
                    <w:pStyle w:val="9"/>
                    <w:snapToGrid w:val="0"/>
                    <w:jc w:val="center"/>
                    <w:rPr>
                      <w:color w:val="auto"/>
                      <w:sz w:val="18"/>
                      <w:szCs w:val="18"/>
                    </w:rPr>
                  </w:pPr>
                  <w:r>
                    <w:rPr>
                      <w:rFonts w:ascii="Times New Roman" w:hAnsi="Times New Roman" w:cs="Times New Roman"/>
                      <w:color w:val="auto"/>
                      <w:sz w:val="18"/>
                      <w:szCs w:val="18"/>
                    </w:rPr>
                    <w:t>0.06mg/m</w:t>
                  </w:r>
                  <w:r>
                    <w:rPr>
                      <w:rStyle w:val="87"/>
                      <w:color w:val="auto"/>
                      <w:sz w:val="18"/>
                      <w:szCs w:val="18"/>
                      <w:vertAlign w:val="superscript"/>
                    </w:rPr>
                    <w:t>3</w:t>
                  </w:r>
                </w:p>
              </w:tc>
            </w:tr>
            <w:tr w14:paraId="258F3F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7" w:hRule="atLeast"/>
              </w:trPr>
              <w:tc>
                <w:tcPr>
                  <w:tcW w:w="2137" w:type="dxa"/>
                  <w:vMerge w:val="continue"/>
                  <w:vAlign w:val="center"/>
                </w:tcPr>
                <w:p w14:paraId="11D6736A">
                  <w:pPr>
                    <w:widowControl/>
                    <w:jc w:val="left"/>
                    <w:rPr>
                      <w:rStyle w:val="87"/>
                      <w:color w:val="auto"/>
                      <w:sz w:val="18"/>
                      <w:szCs w:val="18"/>
                    </w:rPr>
                  </w:pPr>
                </w:p>
              </w:tc>
              <w:tc>
                <w:tcPr>
                  <w:tcW w:w="1835" w:type="dxa"/>
                  <w:vMerge w:val="restart"/>
                  <w:vAlign w:val="center"/>
                </w:tcPr>
                <w:p w14:paraId="24DE6AD6">
                  <w:pPr>
                    <w:pStyle w:val="9"/>
                    <w:snapToGrid w:val="0"/>
                    <w:jc w:val="center"/>
                    <w:rPr>
                      <w:rStyle w:val="87"/>
                      <w:color w:val="auto"/>
                      <w:sz w:val="18"/>
                      <w:szCs w:val="18"/>
                    </w:rPr>
                  </w:pPr>
                  <w:r>
                    <w:rPr>
                      <w:rStyle w:val="87"/>
                      <w:color w:val="auto"/>
                      <w:sz w:val="18"/>
                      <w:szCs w:val="18"/>
                    </w:rPr>
                    <w:t>氨</w:t>
                  </w:r>
                </w:p>
              </w:tc>
              <w:tc>
                <w:tcPr>
                  <w:tcW w:w="2551" w:type="dxa"/>
                  <w:vAlign w:val="center"/>
                </w:tcPr>
                <w:p w14:paraId="280746B8">
                  <w:pPr>
                    <w:pStyle w:val="9"/>
                    <w:snapToGrid w:val="0"/>
                    <w:jc w:val="center"/>
                    <w:rPr>
                      <w:rStyle w:val="87"/>
                      <w:color w:val="auto"/>
                      <w:sz w:val="18"/>
                      <w:szCs w:val="18"/>
                    </w:rPr>
                  </w:pPr>
                  <w:r>
                    <w:rPr>
                      <w:rStyle w:val="87"/>
                      <w:color w:val="auto"/>
                      <w:sz w:val="18"/>
                      <w:szCs w:val="18"/>
                    </w:rPr>
                    <w:t>15m高排气筒排放速率</w:t>
                  </w:r>
                </w:p>
              </w:tc>
              <w:tc>
                <w:tcPr>
                  <w:tcW w:w="1895" w:type="dxa"/>
                  <w:vAlign w:val="center"/>
                </w:tcPr>
                <w:p w14:paraId="0CB2BC0C">
                  <w:pPr>
                    <w:pStyle w:val="9"/>
                    <w:snapToGrid w:val="0"/>
                    <w:jc w:val="center"/>
                    <w:rPr>
                      <w:rStyle w:val="87"/>
                      <w:color w:val="auto"/>
                      <w:sz w:val="18"/>
                      <w:szCs w:val="18"/>
                    </w:rPr>
                  </w:pPr>
                  <w:r>
                    <w:rPr>
                      <w:rFonts w:ascii="Times New Roman" w:hAnsi="Times New Roman" w:cs="Times New Roman"/>
                      <w:color w:val="auto"/>
                      <w:sz w:val="18"/>
                      <w:szCs w:val="18"/>
                    </w:rPr>
                    <w:t>4.9kg/h</w:t>
                  </w:r>
                </w:p>
              </w:tc>
            </w:tr>
            <w:tr w14:paraId="2EE569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 w:hRule="atLeast"/>
              </w:trPr>
              <w:tc>
                <w:tcPr>
                  <w:tcW w:w="2137" w:type="dxa"/>
                  <w:vMerge w:val="continue"/>
                  <w:vAlign w:val="center"/>
                </w:tcPr>
                <w:p w14:paraId="54C58A35">
                  <w:pPr>
                    <w:widowControl/>
                    <w:jc w:val="left"/>
                    <w:rPr>
                      <w:rStyle w:val="87"/>
                      <w:color w:val="auto"/>
                      <w:sz w:val="18"/>
                      <w:szCs w:val="18"/>
                    </w:rPr>
                  </w:pPr>
                </w:p>
              </w:tc>
              <w:tc>
                <w:tcPr>
                  <w:tcW w:w="1835" w:type="dxa"/>
                  <w:vMerge w:val="continue"/>
                  <w:vAlign w:val="center"/>
                </w:tcPr>
                <w:p w14:paraId="0407D7BF">
                  <w:pPr>
                    <w:widowControl/>
                    <w:jc w:val="center"/>
                    <w:rPr>
                      <w:rStyle w:val="87"/>
                      <w:color w:val="auto"/>
                      <w:sz w:val="18"/>
                      <w:szCs w:val="18"/>
                    </w:rPr>
                  </w:pPr>
                </w:p>
              </w:tc>
              <w:tc>
                <w:tcPr>
                  <w:tcW w:w="2551" w:type="dxa"/>
                  <w:vAlign w:val="center"/>
                </w:tcPr>
                <w:p w14:paraId="26341D16">
                  <w:pPr>
                    <w:pStyle w:val="9"/>
                    <w:snapToGrid w:val="0"/>
                    <w:jc w:val="center"/>
                    <w:rPr>
                      <w:rStyle w:val="87"/>
                      <w:color w:val="auto"/>
                      <w:sz w:val="18"/>
                      <w:szCs w:val="18"/>
                    </w:rPr>
                  </w:pPr>
                  <w:r>
                    <w:rPr>
                      <w:rStyle w:val="87"/>
                      <w:color w:val="auto"/>
                      <w:sz w:val="18"/>
                      <w:szCs w:val="18"/>
                    </w:rPr>
                    <w:t>场界浓度</w:t>
                  </w:r>
                </w:p>
              </w:tc>
              <w:tc>
                <w:tcPr>
                  <w:tcW w:w="1895" w:type="dxa"/>
                  <w:vAlign w:val="center"/>
                </w:tcPr>
                <w:p w14:paraId="2B24E9FF">
                  <w:pPr>
                    <w:pStyle w:val="9"/>
                    <w:snapToGrid w:val="0"/>
                    <w:jc w:val="center"/>
                    <w:rPr>
                      <w:color w:val="auto"/>
                      <w:sz w:val="18"/>
                      <w:szCs w:val="18"/>
                    </w:rPr>
                  </w:pPr>
                  <w:r>
                    <w:rPr>
                      <w:rFonts w:ascii="Times New Roman" w:hAnsi="Times New Roman" w:cs="Times New Roman"/>
                      <w:color w:val="auto"/>
                      <w:sz w:val="18"/>
                      <w:szCs w:val="18"/>
                    </w:rPr>
                    <w:t>1.5mg/m</w:t>
                  </w:r>
                  <w:r>
                    <w:rPr>
                      <w:rStyle w:val="87"/>
                      <w:color w:val="auto"/>
                      <w:sz w:val="18"/>
                      <w:szCs w:val="18"/>
                      <w:vertAlign w:val="superscript"/>
                    </w:rPr>
                    <w:t>3</w:t>
                  </w:r>
                </w:p>
              </w:tc>
            </w:tr>
            <w:tr w14:paraId="69DE6D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 w:hRule="atLeast"/>
              </w:trPr>
              <w:tc>
                <w:tcPr>
                  <w:tcW w:w="2137" w:type="dxa"/>
                  <w:vMerge w:val="continue"/>
                  <w:vAlign w:val="center"/>
                </w:tcPr>
                <w:p w14:paraId="3367B59D">
                  <w:pPr>
                    <w:widowControl/>
                    <w:jc w:val="left"/>
                    <w:rPr>
                      <w:rStyle w:val="87"/>
                      <w:color w:val="auto"/>
                      <w:sz w:val="18"/>
                      <w:szCs w:val="18"/>
                    </w:rPr>
                  </w:pPr>
                </w:p>
              </w:tc>
              <w:tc>
                <w:tcPr>
                  <w:tcW w:w="1835" w:type="dxa"/>
                  <w:vAlign w:val="center"/>
                </w:tcPr>
                <w:p w14:paraId="70FF2CCC">
                  <w:pPr>
                    <w:pStyle w:val="9"/>
                    <w:snapToGrid w:val="0"/>
                    <w:jc w:val="center"/>
                    <w:rPr>
                      <w:rStyle w:val="87"/>
                      <w:color w:val="auto"/>
                      <w:sz w:val="18"/>
                      <w:szCs w:val="18"/>
                    </w:rPr>
                  </w:pPr>
                  <w:r>
                    <w:rPr>
                      <w:rFonts w:cs="Times New Roman"/>
                      <w:color w:val="auto"/>
                      <w:sz w:val="18"/>
                      <w:szCs w:val="18"/>
                    </w:rPr>
                    <w:t>臭气浓度（无量纲）</w:t>
                  </w:r>
                </w:p>
              </w:tc>
              <w:tc>
                <w:tcPr>
                  <w:tcW w:w="2551" w:type="dxa"/>
                  <w:vAlign w:val="center"/>
                </w:tcPr>
                <w:p w14:paraId="5DA20FF8">
                  <w:pPr>
                    <w:pStyle w:val="9"/>
                    <w:snapToGrid w:val="0"/>
                    <w:jc w:val="center"/>
                    <w:rPr>
                      <w:rStyle w:val="87"/>
                      <w:color w:val="auto"/>
                      <w:sz w:val="18"/>
                      <w:szCs w:val="18"/>
                    </w:rPr>
                  </w:pPr>
                  <w:r>
                    <w:rPr>
                      <w:rFonts w:cs="Times New Roman"/>
                      <w:color w:val="auto"/>
                      <w:sz w:val="18"/>
                      <w:szCs w:val="18"/>
                    </w:rPr>
                    <w:t>厂界标准值</w:t>
                  </w:r>
                </w:p>
              </w:tc>
              <w:tc>
                <w:tcPr>
                  <w:tcW w:w="1895" w:type="dxa"/>
                  <w:vAlign w:val="center"/>
                </w:tcPr>
                <w:p w14:paraId="67502C86">
                  <w:pPr>
                    <w:pStyle w:val="9"/>
                    <w:snapToGrid w:val="0"/>
                    <w:jc w:val="center"/>
                    <w:rPr>
                      <w:color w:val="auto"/>
                      <w:sz w:val="18"/>
                      <w:szCs w:val="18"/>
                    </w:rPr>
                  </w:pPr>
                  <w:r>
                    <w:rPr>
                      <w:rFonts w:ascii="Times New Roman" w:hAnsi="Times New Roman" w:cs="Times New Roman"/>
                      <w:color w:val="auto"/>
                      <w:sz w:val="18"/>
                      <w:szCs w:val="18"/>
                    </w:rPr>
                    <w:t>20</w:t>
                  </w:r>
                  <w:r>
                    <w:rPr>
                      <w:rFonts w:cs="Times New Roman"/>
                      <w:color w:val="auto"/>
                      <w:sz w:val="18"/>
                      <w:szCs w:val="18"/>
                    </w:rPr>
                    <w:t>（无量纲）</w:t>
                  </w:r>
                </w:p>
              </w:tc>
            </w:tr>
          </w:tbl>
          <w:p w14:paraId="35808DA4">
            <w:pPr>
              <w:pStyle w:val="2"/>
              <w:adjustRightInd w:val="0"/>
              <w:snapToGrid w:val="0"/>
              <w:spacing w:before="0" w:after="0" w:line="360" w:lineRule="auto"/>
              <w:rPr>
                <w:rFonts w:hint="eastAsia"/>
                <w:b w:val="0"/>
                <w:bCs w:val="0"/>
                <w:color w:val="auto"/>
                <w:sz w:val="10"/>
                <w:szCs w:val="10"/>
              </w:rPr>
            </w:pPr>
          </w:p>
          <w:p w14:paraId="3CAED69C">
            <w:pPr>
              <w:pStyle w:val="2"/>
              <w:adjustRightInd w:val="0"/>
              <w:snapToGrid w:val="0"/>
              <w:spacing w:before="0" w:after="0" w:line="360" w:lineRule="auto"/>
              <w:rPr>
                <w:b w:val="0"/>
                <w:bCs w:val="0"/>
                <w:color w:val="auto"/>
                <w:sz w:val="21"/>
                <w:szCs w:val="21"/>
              </w:rPr>
            </w:pPr>
            <w:r>
              <w:rPr>
                <w:rFonts w:hint="eastAsia"/>
                <w:b w:val="0"/>
                <w:bCs w:val="0"/>
                <w:color w:val="auto"/>
                <w:sz w:val="21"/>
                <w:szCs w:val="21"/>
              </w:rPr>
              <w:t>2、噪声</w:t>
            </w:r>
          </w:p>
          <w:p w14:paraId="2CE238F5">
            <w:pPr>
              <w:spacing w:line="360" w:lineRule="auto"/>
              <w:ind w:firstLine="420" w:firstLineChars="200"/>
              <w:rPr>
                <w:rFonts w:hint="eastAsia" w:ascii="Times New Roman" w:hAnsi="Times New Roman" w:eastAsia="宋体"/>
                <w:b/>
                <w:bCs/>
                <w:i w:val="0"/>
                <w:iCs w:val="0"/>
                <w:smallCaps w:val="0"/>
                <w:color w:val="auto"/>
                <w:sz w:val="21"/>
                <w:szCs w:val="21"/>
                <w:highlight w:val="none"/>
                <w:u w:val="single"/>
                <w:lang w:eastAsia="zh-CN"/>
              </w:rPr>
            </w:pPr>
            <w:r>
              <w:rPr>
                <w:rFonts w:hint="eastAsia" w:cs="Times New Roman"/>
                <w:i w:val="0"/>
                <w:iCs w:val="0"/>
                <w:color w:val="auto"/>
                <w:sz w:val="21"/>
                <w:szCs w:val="21"/>
                <w:highlight w:val="none"/>
                <w:u w:val="single"/>
                <w:lang w:val="en-US" w:eastAsia="zh-CN"/>
              </w:rPr>
              <w:t>项目位于农村地区，建议</w:t>
            </w:r>
            <w:r>
              <w:rPr>
                <w:rFonts w:hint="eastAsia" w:ascii="Times New Roman" w:hAnsi="Times New Roman" w:eastAsia="宋体" w:cs="Times New Roman"/>
                <w:i w:val="0"/>
                <w:iCs w:val="0"/>
                <w:color w:val="auto"/>
                <w:sz w:val="21"/>
                <w:szCs w:val="21"/>
                <w:highlight w:val="none"/>
                <w:u w:val="single"/>
                <w:lang w:val="en-US" w:eastAsia="zh-CN"/>
              </w:rPr>
              <w:t>噪声</w:t>
            </w:r>
            <w:r>
              <w:rPr>
                <w:rFonts w:hint="eastAsia" w:ascii="Times New Roman" w:hAnsi="Times New Roman" w:eastAsia="宋体"/>
                <w:i w:val="0"/>
                <w:iCs w:val="0"/>
                <w:color w:val="auto"/>
                <w:sz w:val="21"/>
                <w:szCs w:val="21"/>
                <w:highlight w:val="none"/>
                <w:u w:val="single"/>
              </w:rPr>
              <w:t>执行《</w:t>
            </w:r>
            <w:r>
              <w:rPr>
                <w:rFonts w:ascii="Times New Roman" w:hAnsi="Times New Roman" w:eastAsia="宋体"/>
                <w:i w:val="0"/>
                <w:iCs w:val="0"/>
                <w:color w:val="auto"/>
                <w:sz w:val="21"/>
                <w:szCs w:val="21"/>
                <w:highlight w:val="none"/>
                <w:u w:val="single"/>
              </w:rPr>
              <w:t>工业企业厂界环境噪声排放标准》（GB12348-2008）</w:t>
            </w:r>
            <w:r>
              <w:rPr>
                <w:rFonts w:hint="eastAsia" w:ascii="Times New Roman" w:hAnsi="Times New Roman" w:eastAsia="宋体"/>
                <w:i w:val="0"/>
                <w:iCs w:val="0"/>
                <w:color w:val="auto"/>
                <w:sz w:val="21"/>
                <w:szCs w:val="21"/>
                <w:highlight w:val="none"/>
                <w:u w:val="single"/>
              </w:rPr>
              <w:t>中</w:t>
            </w:r>
            <w:r>
              <w:rPr>
                <w:rFonts w:hint="eastAsia"/>
                <w:i w:val="0"/>
                <w:iCs w:val="0"/>
                <w:color w:val="auto"/>
                <w:sz w:val="21"/>
                <w:szCs w:val="21"/>
                <w:highlight w:val="none"/>
                <w:u w:val="single"/>
                <w:lang w:val="en-US" w:eastAsia="zh-CN"/>
              </w:rPr>
              <w:t>1</w:t>
            </w:r>
            <w:r>
              <w:rPr>
                <w:rFonts w:hint="eastAsia" w:ascii="Times New Roman" w:hAnsi="Times New Roman" w:eastAsia="宋体"/>
                <w:i w:val="0"/>
                <w:iCs w:val="0"/>
                <w:color w:val="auto"/>
                <w:sz w:val="21"/>
                <w:szCs w:val="21"/>
                <w:highlight w:val="none"/>
                <w:u w:val="single"/>
              </w:rPr>
              <w:t>类标准</w:t>
            </w:r>
            <w:r>
              <w:rPr>
                <w:rFonts w:hint="eastAsia"/>
                <w:i w:val="0"/>
                <w:iCs w:val="0"/>
                <w:color w:val="auto"/>
                <w:sz w:val="21"/>
                <w:szCs w:val="21"/>
                <w:highlight w:val="none"/>
                <w:u w:val="single"/>
                <w:lang w:eastAsia="zh-CN"/>
              </w:rPr>
              <w:t>；</w:t>
            </w:r>
            <w:r>
              <w:rPr>
                <w:rFonts w:hint="eastAsia" w:ascii="Times New Roman" w:hAnsi="Times New Roman" w:eastAsia="宋体"/>
                <w:i w:val="0"/>
                <w:iCs w:val="0"/>
                <w:color w:val="auto"/>
                <w:sz w:val="21"/>
                <w:szCs w:val="21"/>
                <w:highlight w:val="none"/>
                <w:u w:val="single"/>
              </w:rPr>
              <w:t>施工期噪声执行《建筑施工噪声排放标准》（GB12523-2</w:t>
            </w:r>
            <w:r>
              <w:rPr>
                <w:rFonts w:hint="eastAsia"/>
                <w:i w:val="0"/>
                <w:iCs w:val="0"/>
                <w:color w:val="auto"/>
                <w:sz w:val="21"/>
                <w:szCs w:val="21"/>
                <w:highlight w:val="none"/>
                <w:u w:val="single"/>
                <w:lang w:val="en-US" w:eastAsia="zh-CN"/>
              </w:rPr>
              <w:t>025</w:t>
            </w:r>
            <w:r>
              <w:rPr>
                <w:rFonts w:hint="eastAsia" w:ascii="Times New Roman" w:hAnsi="Times New Roman" w:eastAsia="宋体"/>
                <w:i w:val="0"/>
                <w:iCs w:val="0"/>
                <w:color w:val="auto"/>
                <w:sz w:val="21"/>
                <w:szCs w:val="21"/>
                <w:highlight w:val="none"/>
                <w:u w:val="single"/>
              </w:rPr>
              <w:t>）中相关要求</w:t>
            </w:r>
            <w:r>
              <w:rPr>
                <w:rFonts w:hint="eastAsia" w:eastAsia="宋体"/>
                <w:i w:val="0"/>
                <w:iCs w:val="0"/>
                <w:color w:val="auto"/>
                <w:sz w:val="21"/>
                <w:szCs w:val="21"/>
                <w:highlight w:val="none"/>
                <w:u w:val="single"/>
                <w:lang w:eastAsia="zh-CN"/>
              </w:rPr>
              <w:t>，</w:t>
            </w:r>
            <w:r>
              <w:rPr>
                <w:rFonts w:hint="eastAsia" w:ascii="Times New Roman" w:hAnsi="Times New Roman" w:eastAsia="宋体"/>
                <w:i w:val="0"/>
                <w:iCs w:val="0"/>
                <w:color w:val="auto"/>
                <w:sz w:val="21"/>
                <w:szCs w:val="21"/>
                <w:highlight w:val="none"/>
                <w:u w:val="single"/>
              </w:rPr>
              <w:t>详见</w:t>
            </w:r>
            <w:r>
              <w:rPr>
                <w:rFonts w:hint="eastAsia" w:ascii="Times New Roman" w:hAnsi="Times New Roman" w:eastAsia="宋体"/>
                <w:i w:val="0"/>
                <w:iCs w:val="0"/>
                <w:smallCaps w:val="0"/>
                <w:color w:val="auto"/>
                <w:sz w:val="21"/>
                <w:szCs w:val="21"/>
                <w:highlight w:val="none"/>
                <w:u w:val="single"/>
                <w:lang w:val="en-US" w:eastAsia="zh-CN"/>
              </w:rPr>
              <w:t>下表</w:t>
            </w:r>
            <w:r>
              <w:rPr>
                <w:rFonts w:hint="eastAsia" w:ascii="Times New Roman" w:hAnsi="Times New Roman" w:eastAsia="宋体"/>
                <w:i w:val="0"/>
                <w:iCs w:val="0"/>
                <w:smallCaps w:val="0"/>
                <w:color w:val="auto"/>
                <w:sz w:val="21"/>
                <w:szCs w:val="21"/>
                <w:highlight w:val="none"/>
                <w:u w:val="single"/>
              </w:rPr>
              <w:t>。</w:t>
            </w:r>
          </w:p>
          <w:p w14:paraId="0D55D329">
            <w:pPr>
              <w:jc w:val="center"/>
              <w:rPr>
                <w:rFonts w:hint="eastAsia" w:ascii="Times New Roman" w:hAnsi="Times New Roman" w:eastAsia="宋体" w:cs="Times New Roman"/>
                <w:i w:val="0"/>
                <w:iCs w:val="0"/>
                <w:color w:val="auto"/>
                <w:kern w:val="2"/>
                <w:sz w:val="21"/>
                <w:szCs w:val="21"/>
                <w:highlight w:val="none"/>
                <w:u w:val="single"/>
                <w:lang w:val="en-US" w:eastAsia="zh-CN" w:bidi="ar-SA"/>
              </w:rPr>
            </w:pPr>
            <w:r>
              <w:rPr>
                <w:rFonts w:hint="eastAsia" w:ascii="Times New Roman" w:hAnsi="Times New Roman" w:eastAsia="宋体" w:cs="Times New Roman"/>
                <w:i w:val="0"/>
                <w:iCs w:val="0"/>
                <w:color w:val="auto"/>
                <w:kern w:val="2"/>
                <w:sz w:val="21"/>
                <w:szCs w:val="21"/>
                <w:highlight w:val="none"/>
                <w:u w:val="single"/>
                <w:lang w:val="en-US" w:eastAsia="zh-CN" w:bidi="ar-SA"/>
              </w:rPr>
              <w:t>工业企业厂界环境噪声排放标准     单位：dB(A)</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8"/>
              <w:gridCol w:w="1406"/>
              <w:gridCol w:w="1414"/>
              <w:gridCol w:w="2818"/>
            </w:tblGrid>
            <w:tr w14:paraId="78862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65" w:type="pct"/>
                  <w:vMerge w:val="restart"/>
                  <w:noWrap w:val="0"/>
                  <w:vAlign w:val="center"/>
                </w:tcPr>
                <w:p w14:paraId="30E099C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i w:val="0"/>
                      <w:iCs w:val="0"/>
                      <w:smallCaps w:val="0"/>
                      <w:color w:val="auto"/>
                      <w:szCs w:val="21"/>
                      <w:highlight w:val="none"/>
                      <w:u w:val="single"/>
                    </w:rPr>
                  </w:pPr>
                  <w:r>
                    <w:rPr>
                      <w:rFonts w:hint="eastAsia" w:ascii="Times New Roman" w:hAnsi="Times New Roman" w:eastAsia="宋体"/>
                      <w:i w:val="0"/>
                      <w:iCs w:val="0"/>
                      <w:smallCaps w:val="0"/>
                      <w:color w:val="auto"/>
                      <w:szCs w:val="21"/>
                      <w:highlight w:val="none"/>
                      <w:u w:val="single"/>
                    </w:rPr>
                    <w:t>类别</w:t>
                  </w:r>
                </w:p>
              </w:tc>
              <w:tc>
                <w:tcPr>
                  <w:tcW w:w="1767" w:type="pct"/>
                  <w:gridSpan w:val="2"/>
                  <w:noWrap w:val="0"/>
                  <w:vAlign w:val="center"/>
                </w:tcPr>
                <w:p w14:paraId="298B0E1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i w:val="0"/>
                      <w:iCs w:val="0"/>
                      <w:smallCaps w:val="0"/>
                      <w:color w:val="auto"/>
                      <w:szCs w:val="21"/>
                      <w:highlight w:val="none"/>
                      <w:u w:val="single"/>
                    </w:rPr>
                  </w:pPr>
                  <w:r>
                    <w:rPr>
                      <w:rFonts w:hint="eastAsia" w:ascii="Times New Roman" w:hAnsi="Times New Roman" w:eastAsia="宋体"/>
                      <w:i w:val="0"/>
                      <w:iCs w:val="0"/>
                      <w:smallCaps w:val="0"/>
                      <w:color w:val="auto"/>
                      <w:szCs w:val="21"/>
                      <w:highlight w:val="none"/>
                      <w:u w:val="single"/>
                    </w:rPr>
                    <w:t>标准值</w:t>
                  </w:r>
                </w:p>
              </w:tc>
              <w:tc>
                <w:tcPr>
                  <w:tcW w:w="1766" w:type="pct"/>
                  <w:vMerge w:val="restart"/>
                  <w:noWrap w:val="0"/>
                  <w:vAlign w:val="center"/>
                </w:tcPr>
                <w:p w14:paraId="177ECA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i w:val="0"/>
                      <w:iCs w:val="0"/>
                      <w:smallCaps w:val="0"/>
                      <w:color w:val="auto"/>
                      <w:szCs w:val="21"/>
                      <w:highlight w:val="none"/>
                      <w:u w:val="single"/>
                      <w:lang w:val="en-US" w:eastAsia="zh-CN"/>
                    </w:rPr>
                  </w:pPr>
                  <w:r>
                    <w:rPr>
                      <w:rFonts w:hint="eastAsia" w:ascii="Times New Roman" w:hAnsi="Times New Roman" w:eastAsia="宋体"/>
                      <w:i w:val="0"/>
                      <w:iCs w:val="0"/>
                      <w:smallCaps w:val="0"/>
                      <w:color w:val="auto"/>
                      <w:szCs w:val="21"/>
                      <w:highlight w:val="none"/>
                      <w:u w:val="single"/>
                      <w:lang w:val="en-US" w:eastAsia="zh-CN"/>
                    </w:rPr>
                    <w:t>标准来源</w:t>
                  </w:r>
                </w:p>
              </w:tc>
            </w:tr>
            <w:tr w14:paraId="59DBB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65" w:type="pct"/>
                  <w:vMerge w:val="continue"/>
                  <w:noWrap w:val="0"/>
                  <w:vAlign w:val="center"/>
                </w:tcPr>
                <w:p w14:paraId="5126635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i w:val="0"/>
                      <w:iCs w:val="0"/>
                      <w:smallCaps w:val="0"/>
                      <w:color w:val="auto"/>
                      <w:szCs w:val="21"/>
                      <w:highlight w:val="none"/>
                      <w:u w:val="single"/>
                    </w:rPr>
                  </w:pPr>
                </w:p>
              </w:tc>
              <w:tc>
                <w:tcPr>
                  <w:tcW w:w="881" w:type="pct"/>
                  <w:noWrap w:val="0"/>
                  <w:vAlign w:val="center"/>
                </w:tcPr>
                <w:p w14:paraId="19CDBCD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i w:val="0"/>
                      <w:iCs w:val="0"/>
                      <w:smallCaps w:val="0"/>
                      <w:color w:val="auto"/>
                      <w:szCs w:val="21"/>
                      <w:highlight w:val="none"/>
                      <w:u w:val="single"/>
                    </w:rPr>
                  </w:pPr>
                  <w:r>
                    <w:rPr>
                      <w:rFonts w:hint="eastAsia" w:ascii="Times New Roman" w:hAnsi="Times New Roman" w:eastAsia="宋体"/>
                      <w:i w:val="0"/>
                      <w:iCs w:val="0"/>
                      <w:smallCaps w:val="0"/>
                      <w:color w:val="auto"/>
                      <w:szCs w:val="21"/>
                      <w:highlight w:val="none"/>
                      <w:u w:val="single"/>
                    </w:rPr>
                    <w:t>昼间</w:t>
                  </w:r>
                </w:p>
              </w:tc>
              <w:tc>
                <w:tcPr>
                  <w:tcW w:w="886" w:type="pct"/>
                  <w:noWrap w:val="0"/>
                  <w:vAlign w:val="center"/>
                </w:tcPr>
                <w:p w14:paraId="205C92A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i w:val="0"/>
                      <w:iCs w:val="0"/>
                      <w:smallCaps w:val="0"/>
                      <w:color w:val="auto"/>
                      <w:szCs w:val="21"/>
                      <w:highlight w:val="none"/>
                      <w:u w:val="single"/>
                    </w:rPr>
                  </w:pPr>
                  <w:r>
                    <w:rPr>
                      <w:rFonts w:hint="eastAsia" w:ascii="Times New Roman" w:hAnsi="Times New Roman" w:eastAsia="宋体"/>
                      <w:i w:val="0"/>
                      <w:iCs w:val="0"/>
                      <w:smallCaps w:val="0"/>
                      <w:color w:val="auto"/>
                      <w:szCs w:val="21"/>
                      <w:highlight w:val="none"/>
                      <w:u w:val="single"/>
                    </w:rPr>
                    <w:t>夜间</w:t>
                  </w:r>
                </w:p>
              </w:tc>
              <w:tc>
                <w:tcPr>
                  <w:tcW w:w="1766" w:type="pct"/>
                  <w:vMerge w:val="continue"/>
                  <w:noWrap w:val="0"/>
                  <w:vAlign w:val="center"/>
                </w:tcPr>
                <w:p w14:paraId="7E67E8B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i w:val="0"/>
                      <w:iCs w:val="0"/>
                      <w:smallCaps w:val="0"/>
                      <w:color w:val="auto"/>
                      <w:szCs w:val="21"/>
                      <w:highlight w:val="none"/>
                      <w:u w:val="single"/>
                    </w:rPr>
                  </w:pPr>
                </w:p>
              </w:tc>
            </w:tr>
            <w:tr w14:paraId="0C177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5" w:type="pct"/>
                  <w:noWrap w:val="0"/>
                  <w:vAlign w:val="center"/>
                </w:tcPr>
                <w:p w14:paraId="674691E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i w:val="0"/>
                      <w:iCs w:val="0"/>
                      <w:smallCaps w:val="0"/>
                      <w:color w:val="auto"/>
                      <w:szCs w:val="21"/>
                      <w:highlight w:val="none"/>
                      <w:u w:val="single"/>
                    </w:rPr>
                  </w:pPr>
                  <w:r>
                    <w:rPr>
                      <w:rFonts w:hint="eastAsia"/>
                      <w:i w:val="0"/>
                      <w:iCs w:val="0"/>
                      <w:smallCaps w:val="0"/>
                      <w:color w:val="auto"/>
                      <w:szCs w:val="21"/>
                      <w:highlight w:val="none"/>
                      <w:u w:val="single"/>
                      <w:lang w:val="en-US" w:eastAsia="zh-CN"/>
                    </w:rPr>
                    <w:t>1</w:t>
                  </w:r>
                  <w:r>
                    <w:rPr>
                      <w:rFonts w:hint="eastAsia" w:ascii="Times New Roman" w:hAnsi="Times New Roman" w:eastAsia="宋体"/>
                      <w:i w:val="0"/>
                      <w:iCs w:val="0"/>
                      <w:smallCaps w:val="0"/>
                      <w:color w:val="auto"/>
                      <w:szCs w:val="21"/>
                      <w:highlight w:val="none"/>
                      <w:u w:val="single"/>
                    </w:rPr>
                    <w:t>类</w:t>
                  </w:r>
                </w:p>
              </w:tc>
              <w:tc>
                <w:tcPr>
                  <w:tcW w:w="881" w:type="pct"/>
                  <w:noWrap w:val="0"/>
                  <w:vAlign w:val="center"/>
                </w:tcPr>
                <w:p w14:paraId="42D64C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i w:val="0"/>
                      <w:iCs w:val="0"/>
                      <w:smallCaps w:val="0"/>
                      <w:color w:val="auto"/>
                      <w:szCs w:val="21"/>
                      <w:highlight w:val="none"/>
                      <w:u w:val="single"/>
                      <w:lang w:val="en-US" w:eastAsia="zh-CN"/>
                    </w:rPr>
                  </w:pPr>
                  <w:r>
                    <w:rPr>
                      <w:rFonts w:hint="eastAsia"/>
                      <w:i w:val="0"/>
                      <w:iCs w:val="0"/>
                      <w:smallCaps w:val="0"/>
                      <w:color w:val="auto"/>
                      <w:szCs w:val="21"/>
                      <w:highlight w:val="none"/>
                      <w:u w:val="single"/>
                      <w:lang w:val="en-US" w:eastAsia="zh-CN"/>
                    </w:rPr>
                    <w:t>55</w:t>
                  </w:r>
                </w:p>
              </w:tc>
              <w:tc>
                <w:tcPr>
                  <w:tcW w:w="886" w:type="pct"/>
                  <w:noWrap w:val="0"/>
                  <w:vAlign w:val="center"/>
                </w:tcPr>
                <w:p w14:paraId="572F0D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i w:val="0"/>
                      <w:iCs w:val="0"/>
                      <w:smallCaps w:val="0"/>
                      <w:color w:val="auto"/>
                      <w:szCs w:val="21"/>
                      <w:highlight w:val="none"/>
                      <w:u w:val="single"/>
                      <w:lang w:val="en-US" w:eastAsia="zh-CN"/>
                    </w:rPr>
                  </w:pPr>
                  <w:r>
                    <w:rPr>
                      <w:rFonts w:hint="eastAsia"/>
                      <w:i w:val="0"/>
                      <w:iCs w:val="0"/>
                      <w:smallCaps w:val="0"/>
                      <w:color w:val="auto"/>
                      <w:szCs w:val="21"/>
                      <w:highlight w:val="none"/>
                      <w:u w:val="single"/>
                      <w:lang w:val="en-US" w:eastAsia="zh-CN"/>
                    </w:rPr>
                    <w:t>45</w:t>
                  </w:r>
                </w:p>
              </w:tc>
              <w:tc>
                <w:tcPr>
                  <w:tcW w:w="1766" w:type="pct"/>
                  <w:noWrap w:val="0"/>
                  <w:vAlign w:val="center"/>
                </w:tcPr>
                <w:p w14:paraId="2C8EC6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i w:val="0"/>
                      <w:iCs w:val="0"/>
                      <w:smallCaps w:val="0"/>
                      <w:color w:val="auto"/>
                      <w:szCs w:val="21"/>
                      <w:highlight w:val="none"/>
                      <w:u w:val="single"/>
                      <w:lang w:val="en-US" w:eastAsia="zh-CN"/>
                    </w:rPr>
                  </w:pPr>
                  <w:r>
                    <w:rPr>
                      <w:rFonts w:hint="eastAsia" w:ascii="Times New Roman" w:hAnsi="Times New Roman" w:eastAsia="宋体"/>
                      <w:i w:val="0"/>
                      <w:iCs w:val="0"/>
                      <w:smallCaps w:val="0"/>
                      <w:color w:val="auto"/>
                      <w:szCs w:val="21"/>
                      <w:highlight w:val="none"/>
                      <w:u w:val="single"/>
                      <w:lang w:val="en-US" w:eastAsia="zh-CN"/>
                    </w:rPr>
                    <w:t>GB12348-2008</w:t>
                  </w:r>
                </w:p>
              </w:tc>
            </w:tr>
            <w:tr w14:paraId="7CD78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5" w:type="pct"/>
                  <w:noWrap w:val="0"/>
                  <w:vAlign w:val="center"/>
                </w:tcPr>
                <w:p w14:paraId="372FF902">
                  <w:pPr>
                    <w:keepNext w:val="0"/>
                    <w:keepLines w:val="0"/>
                    <w:pageBreakBefore w:val="0"/>
                    <w:widowControl w:val="0"/>
                    <w:kinsoku/>
                    <w:wordWrap/>
                    <w:overflowPunct/>
                    <w:topLinePunct w:val="0"/>
                    <w:autoSpaceDE/>
                    <w:autoSpaceDN/>
                    <w:bidi w:val="0"/>
                    <w:adjustRightInd/>
                    <w:snapToGrid/>
                    <w:jc w:val="center"/>
                    <w:textAlignment w:val="auto"/>
                    <w:rPr>
                      <w:rFonts w:hint="default"/>
                      <w:i w:val="0"/>
                      <w:iCs w:val="0"/>
                      <w:smallCaps w:val="0"/>
                      <w:color w:val="auto"/>
                      <w:szCs w:val="21"/>
                      <w:highlight w:val="none"/>
                      <w:u w:val="single"/>
                      <w:lang w:val="en-US" w:eastAsia="zh-CN"/>
                    </w:rPr>
                  </w:pPr>
                  <w:r>
                    <w:rPr>
                      <w:rFonts w:hint="eastAsia"/>
                      <w:i w:val="0"/>
                      <w:iCs w:val="0"/>
                      <w:smallCaps w:val="0"/>
                      <w:color w:val="auto"/>
                      <w:szCs w:val="21"/>
                      <w:highlight w:val="none"/>
                      <w:u w:val="single"/>
                      <w:lang w:val="en-US" w:eastAsia="zh-CN"/>
                    </w:rPr>
                    <w:t>/</w:t>
                  </w:r>
                </w:p>
              </w:tc>
              <w:tc>
                <w:tcPr>
                  <w:tcW w:w="881" w:type="pct"/>
                  <w:noWrap w:val="0"/>
                  <w:vAlign w:val="center"/>
                </w:tcPr>
                <w:p w14:paraId="191A4457">
                  <w:pPr>
                    <w:keepNext w:val="0"/>
                    <w:keepLines w:val="0"/>
                    <w:pageBreakBefore w:val="0"/>
                    <w:widowControl w:val="0"/>
                    <w:kinsoku/>
                    <w:wordWrap/>
                    <w:overflowPunct/>
                    <w:topLinePunct w:val="0"/>
                    <w:autoSpaceDE/>
                    <w:autoSpaceDN/>
                    <w:bidi w:val="0"/>
                    <w:adjustRightInd/>
                    <w:snapToGrid/>
                    <w:jc w:val="center"/>
                    <w:textAlignment w:val="auto"/>
                    <w:rPr>
                      <w:rFonts w:hint="default"/>
                      <w:i w:val="0"/>
                      <w:iCs w:val="0"/>
                      <w:smallCaps w:val="0"/>
                      <w:color w:val="auto"/>
                      <w:szCs w:val="21"/>
                      <w:highlight w:val="none"/>
                      <w:u w:val="single"/>
                      <w:lang w:val="en-US" w:eastAsia="zh-CN"/>
                    </w:rPr>
                  </w:pPr>
                  <w:r>
                    <w:rPr>
                      <w:rFonts w:hint="eastAsia"/>
                      <w:i w:val="0"/>
                      <w:iCs w:val="0"/>
                      <w:smallCaps w:val="0"/>
                      <w:color w:val="auto"/>
                      <w:szCs w:val="21"/>
                      <w:highlight w:val="none"/>
                      <w:u w:val="single"/>
                      <w:lang w:val="en-US" w:eastAsia="zh-CN"/>
                    </w:rPr>
                    <w:t>70</w:t>
                  </w:r>
                </w:p>
              </w:tc>
              <w:tc>
                <w:tcPr>
                  <w:tcW w:w="886" w:type="pct"/>
                  <w:noWrap w:val="0"/>
                  <w:vAlign w:val="center"/>
                </w:tcPr>
                <w:p w14:paraId="0908AAFA">
                  <w:pPr>
                    <w:keepNext w:val="0"/>
                    <w:keepLines w:val="0"/>
                    <w:pageBreakBefore w:val="0"/>
                    <w:widowControl w:val="0"/>
                    <w:kinsoku/>
                    <w:wordWrap/>
                    <w:overflowPunct/>
                    <w:topLinePunct w:val="0"/>
                    <w:autoSpaceDE/>
                    <w:autoSpaceDN/>
                    <w:bidi w:val="0"/>
                    <w:adjustRightInd/>
                    <w:snapToGrid/>
                    <w:jc w:val="center"/>
                    <w:textAlignment w:val="auto"/>
                    <w:rPr>
                      <w:rFonts w:hint="default"/>
                      <w:i w:val="0"/>
                      <w:iCs w:val="0"/>
                      <w:smallCaps w:val="0"/>
                      <w:color w:val="auto"/>
                      <w:szCs w:val="21"/>
                      <w:highlight w:val="none"/>
                      <w:u w:val="single"/>
                      <w:lang w:val="en-US" w:eastAsia="zh-CN"/>
                    </w:rPr>
                  </w:pPr>
                  <w:r>
                    <w:rPr>
                      <w:rFonts w:hint="eastAsia"/>
                      <w:i w:val="0"/>
                      <w:iCs w:val="0"/>
                      <w:smallCaps w:val="0"/>
                      <w:color w:val="auto"/>
                      <w:szCs w:val="21"/>
                      <w:highlight w:val="none"/>
                      <w:u w:val="single"/>
                      <w:lang w:val="en-US" w:eastAsia="zh-CN"/>
                    </w:rPr>
                    <w:t>55</w:t>
                  </w:r>
                </w:p>
              </w:tc>
              <w:tc>
                <w:tcPr>
                  <w:tcW w:w="1766" w:type="pct"/>
                  <w:noWrap w:val="0"/>
                  <w:vAlign w:val="center"/>
                </w:tcPr>
                <w:p w14:paraId="6D37FA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i w:val="0"/>
                      <w:iCs w:val="0"/>
                      <w:smallCaps w:val="0"/>
                      <w:color w:val="auto"/>
                      <w:szCs w:val="21"/>
                      <w:highlight w:val="none"/>
                      <w:u w:val="single"/>
                      <w:lang w:val="en-US" w:eastAsia="zh-CN"/>
                    </w:rPr>
                  </w:pPr>
                  <w:r>
                    <w:rPr>
                      <w:rFonts w:hint="eastAsia" w:ascii="Times New Roman" w:hAnsi="Times New Roman" w:eastAsia="宋体"/>
                      <w:i w:val="0"/>
                      <w:iCs w:val="0"/>
                      <w:color w:val="auto"/>
                      <w:sz w:val="21"/>
                      <w:szCs w:val="21"/>
                      <w:highlight w:val="none"/>
                      <w:u w:val="single"/>
                    </w:rPr>
                    <w:t>GB12523-20</w:t>
                  </w:r>
                  <w:r>
                    <w:rPr>
                      <w:rFonts w:hint="eastAsia"/>
                      <w:i w:val="0"/>
                      <w:iCs w:val="0"/>
                      <w:color w:val="auto"/>
                      <w:sz w:val="21"/>
                      <w:szCs w:val="21"/>
                      <w:highlight w:val="none"/>
                      <w:u w:val="single"/>
                      <w:lang w:val="en-US" w:eastAsia="zh-CN"/>
                    </w:rPr>
                    <w:t>25</w:t>
                  </w:r>
                </w:p>
              </w:tc>
            </w:tr>
          </w:tbl>
          <w:p w14:paraId="00AB45C0">
            <w:pPr>
              <w:pStyle w:val="2"/>
              <w:adjustRightInd w:val="0"/>
              <w:snapToGrid w:val="0"/>
              <w:spacing w:before="0" w:after="0" w:line="360" w:lineRule="auto"/>
              <w:rPr>
                <w:b w:val="0"/>
                <w:bCs w:val="0"/>
                <w:color w:val="auto"/>
                <w:sz w:val="10"/>
                <w:szCs w:val="10"/>
                <w:lang w:val="en-US"/>
              </w:rPr>
            </w:pPr>
          </w:p>
          <w:p w14:paraId="56AEA9A8">
            <w:pPr>
              <w:pStyle w:val="2"/>
              <w:adjustRightInd w:val="0"/>
              <w:snapToGrid w:val="0"/>
              <w:spacing w:before="0" w:after="0" w:line="360" w:lineRule="auto"/>
              <w:rPr>
                <w:b w:val="0"/>
                <w:bCs w:val="0"/>
                <w:color w:val="auto"/>
                <w:sz w:val="21"/>
                <w:szCs w:val="21"/>
              </w:rPr>
            </w:pPr>
            <w:r>
              <w:rPr>
                <w:rFonts w:hint="eastAsia"/>
                <w:b w:val="0"/>
                <w:bCs w:val="0"/>
                <w:color w:val="auto"/>
                <w:sz w:val="21"/>
                <w:szCs w:val="21"/>
                <w:lang w:val="en-US" w:eastAsia="zh-CN"/>
              </w:rPr>
              <w:t>3</w:t>
            </w:r>
            <w:r>
              <w:rPr>
                <w:rFonts w:hint="eastAsia"/>
                <w:b w:val="0"/>
                <w:bCs w:val="0"/>
                <w:color w:val="auto"/>
                <w:sz w:val="21"/>
                <w:szCs w:val="21"/>
              </w:rPr>
              <w:t>、固体废物</w:t>
            </w:r>
          </w:p>
          <w:p w14:paraId="31F59521">
            <w:pPr>
              <w:adjustRightInd w:val="0"/>
              <w:snapToGrid w:val="0"/>
              <w:spacing w:line="360" w:lineRule="auto"/>
              <w:ind w:firstLine="480"/>
              <w:rPr>
                <w:rFonts w:hint="eastAsia" w:eastAsia="宋体"/>
                <w:color w:val="auto"/>
                <w:highlight w:val="yellow"/>
              </w:rPr>
            </w:pPr>
            <w:r>
              <w:rPr>
                <w:rFonts w:hint="eastAsia"/>
                <w:color w:val="auto"/>
              </w:rPr>
              <w:t>一般固体废物执行</w:t>
            </w:r>
            <w:r>
              <w:rPr>
                <w:rFonts w:hint="eastAsia" w:eastAsia="宋体"/>
                <w:color w:val="auto"/>
                <w:lang w:val="en-US" w:eastAsia="zh-CN"/>
              </w:rPr>
              <w:t>《一般工业固体废物贮存和填埋污染控制标准》（GB 18599-2020）和《中华人民共和国固体废物污染环境防治法》中的有关</w:t>
            </w:r>
            <w:r>
              <w:rPr>
                <w:rFonts w:hint="eastAsia" w:eastAsia="宋体"/>
                <w:color w:val="auto"/>
                <w:highlight w:val="none"/>
                <w:lang w:val="en-US" w:eastAsia="zh-CN"/>
              </w:rPr>
              <w:t>规定</w:t>
            </w:r>
            <w:r>
              <w:rPr>
                <w:bCs/>
                <w:color w:val="auto"/>
                <w:sz w:val="21"/>
                <w:szCs w:val="21"/>
                <w:highlight w:val="none"/>
              </w:rPr>
              <w:t>。</w:t>
            </w:r>
          </w:p>
          <w:p w14:paraId="154D301B">
            <w:pPr>
              <w:adjustRightInd w:val="0"/>
              <w:snapToGrid w:val="0"/>
              <w:spacing w:line="360" w:lineRule="auto"/>
              <w:ind w:firstLine="480"/>
              <w:rPr>
                <w:rFonts w:ascii="宋体" w:hAnsi="宋体" w:cs="宋体"/>
                <w:color w:val="auto"/>
              </w:rPr>
            </w:pPr>
          </w:p>
        </w:tc>
      </w:tr>
      <w:tr w14:paraId="4EC34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979" w:type="dxa"/>
            <w:vAlign w:val="center"/>
          </w:tcPr>
          <w:p w14:paraId="1089F322">
            <w:pPr>
              <w:adjustRightInd w:val="0"/>
              <w:snapToGrid w:val="0"/>
              <w:jc w:val="center"/>
              <w:rPr>
                <w:rFonts w:ascii="宋体" w:hAnsi="宋体" w:cs="宋体"/>
                <w:color w:val="auto"/>
              </w:rPr>
            </w:pPr>
            <w:r>
              <w:rPr>
                <w:rFonts w:hint="eastAsia" w:ascii="宋体" w:hAnsi="宋体" w:cs="宋体"/>
                <w:color w:val="auto"/>
              </w:rPr>
              <w:t>总量</w:t>
            </w:r>
          </w:p>
          <w:p w14:paraId="5BFA492B">
            <w:pPr>
              <w:adjustRightInd w:val="0"/>
              <w:snapToGrid w:val="0"/>
              <w:jc w:val="center"/>
              <w:rPr>
                <w:rFonts w:ascii="宋体" w:hAnsi="宋体" w:cs="宋体"/>
                <w:color w:val="auto"/>
              </w:rPr>
            </w:pPr>
            <w:r>
              <w:rPr>
                <w:rFonts w:hint="eastAsia" w:ascii="宋体" w:hAnsi="宋体" w:cs="宋体"/>
                <w:color w:val="auto"/>
              </w:rPr>
              <w:t>控制</w:t>
            </w:r>
          </w:p>
          <w:p w14:paraId="0E10CC0B">
            <w:pPr>
              <w:adjustRightInd w:val="0"/>
              <w:snapToGrid w:val="0"/>
              <w:jc w:val="center"/>
              <w:rPr>
                <w:rFonts w:ascii="宋体" w:hAnsi="宋体" w:cs="宋体"/>
                <w:color w:val="auto"/>
              </w:rPr>
            </w:pPr>
            <w:r>
              <w:rPr>
                <w:rFonts w:hint="eastAsia" w:ascii="宋体" w:hAnsi="宋体" w:cs="宋体"/>
                <w:color w:val="auto"/>
              </w:rPr>
              <w:t>指标</w:t>
            </w:r>
          </w:p>
        </w:tc>
        <w:tc>
          <w:tcPr>
            <w:tcW w:w="8082" w:type="dxa"/>
            <w:vAlign w:val="center"/>
          </w:tcPr>
          <w:p w14:paraId="5F90782A">
            <w:pPr>
              <w:adjustRightInd w:val="0"/>
              <w:snapToGrid w:val="0"/>
              <w:spacing w:line="360" w:lineRule="auto"/>
              <w:ind w:firstLine="480"/>
              <w:rPr>
                <w:rFonts w:hint="eastAsia" w:eastAsia="宋体"/>
                <w:color w:val="auto"/>
                <w:lang w:val="en-US" w:eastAsia="zh-CN"/>
              </w:rPr>
            </w:pPr>
            <w:r>
              <w:rPr>
                <w:rFonts w:hint="default" w:eastAsia="宋体"/>
                <w:color w:val="auto"/>
                <w:lang w:val="en-US" w:eastAsia="zh-CN"/>
              </w:rPr>
              <w:t>根据</w:t>
            </w:r>
            <w:r>
              <w:rPr>
                <w:rFonts w:hint="eastAsia" w:eastAsia="宋体"/>
                <w:color w:val="auto"/>
                <w:lang w:val="en-US" w:eastAsia="zh-CN"/>
              </w:rPr>
              <w:t>吉林省生态环境厅</w:t>
            </w:r>
            <w:r>
              <w:rPr>
                <w:rFonts w:hint="default" w:eastAsia="宋体"/>
                <w:color w:val="auto"/>
                <w:lang w:val="en-US" w:eastAsia="zh-CN"/>
              </w:rPr>
              <w:t>《关于</w:t>
            </w:r>
            <w:r>
              <w:rPr>
                <w:rFonts w:hint="eastAsia" w:eastAsia="宋体"/>
                <w:color w:val="auto"/>
                <w:lang w:val="en-US" w:eastAsia="zh-CN"/>
              </w:rPr>
              <w:t>进一步明确建设项目主要污染物排放总量审核有关事宜的复函</w:t>
            </w:r>
            <w:r>
              <w:rPr>
                <w:rFonts w:hint="default" w:eastAsia="宋体"/>
                <w:color w:val="auto"/>
                <w:lang w:val="en-US" w:eastAsia="zh-CN"/>
              </w:rPr>
              <w:t>》</w:t>
            </w:r>
            <w:r>
              <w:rPr>
                <w:rFonts w:hint="eastAsia" w:eastAsia="宋体"/>
                <w:color w:val="auto"/>
                <w:lang w:val="en-US" w:eastAsia="zh-CN"/>
              </w:rPr>
              <w:t xml:space="preserve">以及《排污许可证申请与核发技术规范 </w:t>
            </w:r>
            <w:r>
              <w:rPr>
                <w:rFonts w:hint="eastAsia"/>
                <w:color w:val="auto"/>
                <w:lang w:val="en-US" w:eastAsia="zh-CN"/>
              </w:rPr>
              <w:t>工业固体废物和危险废物治理</w:t>
            </w:r>
            <w:r>
              <w:rPr>
                <w:rFonts w:hint="eastAsia" w:eastAsia="宋体"/>
                <w:color w:val="auto"/>
                <w:lang w:val="en-US" w:eastAsia="zh-CN"/>
              </w:rPr>
              <w:t>》（HJ</w:t>
            </w:r>
            <w:r>
              <w:rPr>
                <w:rFonts w:hint="eastAsia"/>
                <w:color w:val="auto"/>
                <w:lang w:val="en-US" w:eastAsia="zh-CN"/>
              </w:rPr>
              <w:t>1033-2019</w:t>
            </w:r>
            <w:r>
              <w:rPr>
                <w:rFonts w:hint="eastAsia" w:eastAsia="宋体"/>
                <w:color w:val="auto"/>
                <w:lang w:val="en-US" w:eastAsia="zh-CN"/>
              </w:rPr>
              <w:t>），本项目废气</w:t>
            </w:r>
            <w:r>
              <w:rPr>
                <w:rFonts w:hint="eastAsia" w:eastAsia="宋体"/>
                <w:color w:val="auto"/>
                <w:highlight w:val="none"/>
                <w:lang w:val="en-US" w:eastAsia="zh-CN"/>
              </w:rPr>
              <w:t>排放口为一般排放口，属于执行其他行业排放管理的建设项目</w:t>
            </w:r>
            <w:r>
              <w:rPr>
                <w:rFonts w:hint="default" w:eastAsia="宋体"/>
                <w:color w:val="auto"/>
                <w:highlight w:val="none"/>
                <w:lang w:val="en-US" w:eastAsia="zh-CN"/>
              </w:rPr>
              <w:t>。</w:t>
            </w:r>
          </w:p>
          <w:p w14:paraId="04FAE009">
            <w:pPr>
              <w:adjustRightInd w:val="0"/>
              <w:snapToGrid w:val="0"/>
              <w:spacing w:line="360" w:lineRule="auto"/>
              <w:ind w:firstLine="480"/>
              <w:rPr>
                <w:rFonts w:ascii="宋体" w:hAnsi="宋体" w:cs="宋体"/>
                <w:color w:val="auto"/>
              </w:rPr>
            </w:pPr>
            <w:r>
              <w:rPr>
                <w:rFonts w:hint="eastAsia" w:eastAsia="宋体"/>
                <w:color w:val="auto"/>
                <w:lang w:val="en-US" w:eastAsia="zh-CN"/>
              </w:rPr>
              <w:t>其他行业因排污量很少或基本不新增排污量，在环评审批过程中</w:t>
            </w:r>
            <w:r>
              <w:rPr>
                <w:rFonts w:hint="eastAsia"/>
                <w:color w:val="auto"/>
                <w:lang w:val="en-US" w:eastAsia="zh-CN"/>
              </w:rPr>
              <w:t>予以</w:t>
            </w:r>
            <w:r>
              <w:rPr>
                <w:rFonts w:hint="eastAsia" w:eastAsia="宋体"/>
                <w:color w:val="auto"/>
                <w:lang w:val="en-US" w:eastAsia="zh-CN"/>
              </w:rPr>
              <w:t>豁免主要污染物总量审核。各级环评审批部门应自行建立统计台账，纳入环境管理。</w:t>
            </w:r>
          </w:p>
        </w:tc>
      </w:tr>
    </w:tbl>
    <w:p w14:paraId="5EED4EB8">
      <w:pPr>
        <w:pStyle w:val="25"/>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5"/>
        <w:gridCol w:w="8076"/>
      </w:tblGrid>
      <w:tr w14:paraId="1097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tcMar>
              <w:left w:w="28" w:type="dxa"/>
              <w:right w:w="28" w:type="dxa"/>
            </w:tcMar>
            <w:vAlign w:val="center"/>
          </w:tcPr>
          <w:p w14:paraId="603A7F7B">
            <w:pPr>
              <w:pStyle w:val="25"/>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施工</w:t>
            </w:r>
          </w:p>
          <w:p w14:paraId="0375EFFD">
            <w:pPr>
              <w:pStyle w:val="25"/>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期环</w:t>
            </w:r>
          </w:p>
          <w:p w14:paraId="22CE433F">
            <w:pPr>
              <w:pStyle w:val="25"/>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境保</w:t>
            </w:r>
          </w:p>
          <w:p w14:paraId="26B6E481">
            <w:pPr>
              <w:pStyle w:val="25"/>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护措</w:t>
            </w:r>
          </w:p>
          <w:p w14:paraId="141DBC36">
            <w:pPr>
              <w:pStyle w:val="25"/>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 w:val="21"/>
                <w:szCs w:val="21"/>
              </w:rPr>
              <w:t>施</w:t>
            </w:r>
          </w:p>
        </w:tc>
        <w:tc>
          <w:tcPr>
            <w:tcW w:w="8076" w:type="dxa"/>
          </w:tcPr>
          <w:p w14:paraId="69DE4A09">
            <w:pPr>
              <w:adjustRightInd w:val="0"/>
              <w:snapToGrid w:val="0"/>
              <w:spacing w:line="360" w:lineRule="auto"/>
              <w:ind w:firstLine="482"/>
              <w:rPr>
                <w:rFonts w:hint="eastAsia" w:ascii="Times New Roman" w:hAnsi="Times New Roman" w:eastAsia="宋体" w:cs="宋体"/>
                <w:color w:val="auto"/>
                <w:sz w:val="21"/>
                <w:szCs w:val="21"/>
              </w:rPr>
            </w:pPr>
            <w:r>
              <w:rPr>
                <w:rFonts w:hint="eastAsia" w:cs="宋体"/>
                <w:color w:val="auto"/>
                <w:sz w:val="21"/>
                <w:szCs w:val="21"/>
                <w:lang w:val="en-US" w:eastAsia="zh-CN"/>
              </w:rPr>
              <w:t>项目施工过程主要为现有厂区内建筑物进行维修，地面硬化处理，设备安装、调试，施工期较短，</w:t>
            </w:r>
            <w:r>
              <w:rPr>
                <w:rFonts w:hint="eastAsia" w:ascii="Times New Roman" w:hAnsi="Times New Roman" w:eastAsia="宋体" w:cs="宋体"/>
                <w:color w:val="auto"/>
                <w:sz w:val="21"/>
                <w:szCs w:val="21"/>
                <w:lang w:val="en-US" w:eastAsia="zh-CN"/>
              </w:rPr>
              <w:t>施工期虽然可能带来某些环境影响因素，但这些因素不可能长期存在，随着工程的竣工，绝大部分影响因素将消失或缓解</w:t>
            </w:r>
            <w:r>
              <w:rPr>
                <w:rFonts w:hint="eastAsia" w:ascii="Times New Roman" w:hAnsi="Times New Roman" w:eastAsia="宋体" w:cs="宋体"/>
                <w:color w:val="auto"/>
                <w:sz w:val="21"/>
                <w:szCs w:val="21"/>
              </w:rPr>
              <w:t>。</w:t>
            </w:r>
          </w:p>
          <w:p w14:paraId="6F6B8B8F">
            <w:pPr>
              <w:adjustRightInd w:val="0"/>
              <w:snapToGrid w:val="0"/>
              <w:spacing w:line="360" w:lineRule="auto"/>
              <w:rPr>
                <w:bCs/>
                <w:color w:val="auto"/>
              </w:rPr>
            </w:pPr>
            <w:r>
              <w:rPr>
                <w:bCs/>
                <w:color w:val="auto"/>
              </w:rPr>
              <w:t>1</w:t>
            </w:r>
            <w:r>
              <w:rPr>
                <w:rFonts w:hint="eastAsia"/>
                <w:bCs/>
                <w:color w:val="auto"/>
              </w:rPr>
              <w:t>、废气</w:t>
            </w:r>
          </w:p>
          <w:p w14:paraId="5C8EA0C0">
            <w:pPr>
              <w:adjustRightInd w:val="0"/>
              <w:snapToGrid w:val="0"/>
              <w:spacing w:line="360" w:lineRule="auto"/>
              <w:ind w:firstLine="420" w:firstLineChars="200"/>
              <w:rPr>
                <w:color w:val="auto"/>
              </w:rPr>
            </w:pPr>
            <w:r>
              <w:rPr>
                <w:rFonts w:hint="eastAsia"/>
                <w:color w:val="auto"/>
              </w:rPr>
              <w:t>施工过程中主要废气产生环节为扬尘及汽车尾气。</w:t>
            </w:r>
          </w:p>
          <w:p w14:paraId="797DB8FC">
            <w:pPr>
              <w:snapToGrid w:val="0"/>
              <w:spacing w:line="360" w:lineRule="auto"/>
              <w:ind w:firstLine="420" w:firstLineChars="200"/>
              <w:rPr>
                <w:color w:val="auto"/>
              </w:rPr>
            </w:pPr>
            <w:r>
              <w:rPr>
                <w:rFonts w:hint="eastAsia" w:ascii="宋体" w:hAnsi="宋体"/>
                <w:color w:val="auto"/>
                <w:lang w:val="en-US" w:eastAsia="zh-CN"/>
              </w:rPr>
              <w:t>项目在厂房内进行</w:t>
            </w:r>
            <w:r>
              <w:rPr>
                <w:rFonts w:ascii="宋体" w:hAnsi="宋体"/>
                <w:color w:val="auto"/>
              </w:rPr>
              <w:t>全封闭</w:t>
            </w:r>
            <w:r>
              <w:rPr>
                <w:rFonts w:hint="eastAsia" w:ascii="宋体" w:hAnsi="宋体"/>
                <w:color w:val="auto"/>
                <w:lang w:val="en-US" w:eastAsia="zh-CN"/>
              </w:rPr>
              <w:t>施工</w:t>
            </w:r>
            <w:r>
              <w:rPr>
                <w:rFonts w:ascii="宋体" w:hAnsi="宋体"/>
                <w:color w:val="auto"/>
              </w:rPr>
              <w:t>，</w:t>
            </w:r>
            <w:r>
              <w:rPr>
                <w:rFonts w:hint="eastAsia" w:ascii="宋体" w:hAnsi="宋体"/>
                <w:color w:val="auto"/>
              </w:rPr>
              <w:t>施工中</w:t>
            </w:r>
            <w:r>
              <w:rPr>
                <w:rFonts w:ascii="宋体" w:hAnsi="宋体"/>
                <w:color w:val="auto"/>
              </w:rPr>
              <w:t>各种堆料封闭储存</w:t>
            </w:r>
            <w:r>
              <w:rPr>
                <w:rFonts w:hint="eastAsia" w:ascii="宋体" w:hAnsi="宋体"/>
                <w:color w:val="auto"/>
              </w:rPr>
              <w:t>。</w:t>
            </w:r>
          </w:p>
          <w:p w14:paraId="3921E532">
            <w:pPr>
              <w:snapToGrid w:val="0"/>
              <w:spacing w:line="360" w:lineRule="auto"/>
              <w:ind w:firstLine="420" w:firstLineChars="200"/>
              <w:rPr>
                <w:color w:val="auto"/>
              </w:rPr>
            </w:pPr>
            <w:r>
              <w:rPr>
                <w:rFonts w:hint="eastAsia" w:ascii="宋体" w:hAnsi="宋体"/>
                <w:color w:val="auto"/>
              </w:rPr>
              <w:t>运输车辆采取密闭措施，在场地集中区域设置运输指定通道，规定时间、路线进行运输作业并及时清扫、冲洗运输通道。运输车辆进入施工场地应低速行驶</w:t>
            </w:r>
            <w:r>
              <w:rPr>
                <w:rFonts w:hint="eastAsia" w:ascii="宋体" w:hAnsi="宋体"/>
                <w:color w:val="auto"/>
                <w:lang w:eastAsia="zh-CN"/>
              </w:rPr>
              <w:t>，</w:t>
            </w:r>
            <w:r>
              <w:rPr>
                <w:rFonts w:hint="eastAsia" w:ascii="宋体" w:hAnsi="宋体"/>
                <w:color w:val="auto"/>
              </w:rPr>
              <w:t>运输车辆冲洗干净后方可驶出作业现场。</w:t>
            </w:r>
          </w:p>
          <w:p w14:paraId="3A513943">
            <w:pPr>
              <w:snapToGrid w:val="0"/>
              <w:spacing w:line="360" w:lineRule="auto"/>
              <w:ind w:firstLine="420" w:firstLineChars="200"/>
              <w:rPr>
                <w:color w:val="auto"/>
              </w:rPr>
            </w:pPr>
            <w:r>
              <w:rPr>
                <w:rFonts w:ascii="宋体" w:hAnsi="宋体"/>
                <w:color w:val="auto"/>
              </w:rPr>
              <w:t>施工场地内运输通道及时清扫、冲洗，以减少汽车形式扬尘。</w:t>
            </w:r>
          </w:p>
          <w:p w14:paraId="0134AD18">
            <w:pPr>
              <w:snapToGrid w:val="0"/>
              <w:spacing w:line="360" w:lineRule="auto"/>
              <w:ind w:firstLine="420" w:firstLineChars="200"/>
              <w:rPr>
                <w:color w:val="auto"/>
              </w:rPr>
            </w:pPr>
            <w:r>
              <w:rPr>
                <w:rFonts w:ascii="宋体" w:hAnsi="宋体"/>
                <w:color w:val="auto"/>
              </w:rPr>
              <w:t>施工渣土外运车辆应覆盖，严禁沿路遗洒。</w:t>
            </w:r>
          </w:p>
          <w:p w14:paraId="09E8FC83">
            <w:pPr>
              <w:snapToGrid w:val="0"/>
              <w:spacing w:line="360" w:lineRule="auto"/>
              <w:ind w:firstLine="420" w:firstLineChars="200"/>
              <w:rPr>
                <w:color w:val="auto"/>
              </w:rPr>
            </w:pPr>
            <w:r>
              <w:rPr>
                <w:rFonts w:hint="eastAsia" w:ascii="宋体" w:hAnsi="宋体"/>
                <w:color w:val="auto"/>
              </w:rPr>
              <w:t>通过以上的措施，将施工期扬尘对环境空气造成的影响降到最低。</w:t>
            </w:r>
          </w:p>
          <w:p w14:paraId="2D39475B">
            <w:pPr>
              <w:adjustRightInd w:val="0"/>
              <w:snapToGrid w:val="0"/>
              <w:spacing w:line="360" w:lineRule="auto"/>
              <w:rPr>
                <w:rFonts w:cs="宋体"/>
                <w:bCs/>
                <w:color w:val="auto"/>
              </w:rPr>
            </w:pPr>
            <w:r>
              <w:rPr>
                <w:rFonts w:hint="eastAsia"/>
                <w:bCs/>
                <w:color w:val="auto"/>
              </w:rPr>
              <w:t>2、</w:t>
            </w:r>
            <w:r>
              <w:rPr>
                <w:rFonts w:hint="eastAsia" w:cs="宋体"/>
                <w:bCs/>
                <w:color w:val="auto"/>
              </w:rPr>
              <w:t>废水</w:t>
            </w:r>
          </w:p>
          <w:p w14:paraId="1AE6CC76">
            <w:pPr>
              <w:adjustRightInd w:val="0"/>
              <w:snapToGrid w:val="0"/>
              <w:spacing w:line="360" w:lineRule="auto"/>
              <w:ind w:firstLine="420" w:firstLineChars="200"/>
              <w:jc w:val="left"/>
              <w:rPr>
                <w:rFonts w:cs="宋体"/>
                <w:color w:val="auto"/>
              </w:rPr>
            </w:pPr>
            <w:r>
              <w:rPr>
                <w:rFonts w:hint="eastAsia" w:cs="宋体"/>
                <w:color w:val="auto"/>
              </w:rPr>
              <w:t>施工期的废水排放主要来自建筑施工人员的生活污水。高峰施工期进驻的各类人员可达到约10人，人均日用水量按</w:t>
            </w:r>
            <w:r>
              <w:rPr>
                <w:rFonts w:cs="宋体"/>
                <w:color w:val="auto"/>
              </w:rPr>
              <w:t>3</w:t>
            </w:r>
            <w:r>
              <w:rPr>
                <w:rFonts w:hint="eastAsia" w:cs="宋体"/>
                <w:color w:val="auto"/>
              </w:rPr>
              <w:t>0L，排水量以用水量的80％计，则排水量为</w:t>
            </w:r>
            <w:r>
              <w:rPr>
                <w:rFonts w:cs="宋体"/>
                <w:color w:val="auto"/>
              </w:rPr>
              <w:t>0.</w:t>
            </w:r>
            <w:r>
              <w:rPr>
                <w:rFonts w:hint="eastAsia" w:cs="宋体"/>
                <w:color w:val="auto"/>
              </w:rPr>
              <w:t>24m</w:t>
            </w:r>
            <w:r>
              <w:rPr>
                <w:rFonts w:hint="eastAsia" w:cs="宋体"/>
                <w:color w:val="auto"/>
                <w:vertAlign w:val="superscript"/>
              </w:rPr>
              <w:t>3</w:t>
            </w:r>
            <w:r>
              <w:rPr>
                <w:rFonts w:hint="eastAsia" w:cs="宋体"/>
                <w:color w:val="auto"/>
              </w:rPr>
              <w:t>/d。由于施工废水中污染物较简单，主要是COD和SS，且污染物浓度较低，一般COD约为300mg/L，SS约为200～300mg/L，</w:t>
            </w:r>
            <w:r>
              <w:rPr>
                <w:rFonts w:hint="eastAsia" w:cs="宋体"/>
                <w:color w:val="auto"/>
                <w:lang w:val="en-US" w:eastAsia="zh-CN"/>
              </w:rPr>
              <w:t>排入厂</w:t>
            </w:r>
            <w:r>
              <w:rPr>
                <w:rFonts w:hint="eastAsia" w:cs="宋体"/>
                <w:color w:val="auto"/>
                <w:highlight w:val="none"/>
                <w:lang w:val="en-US" w:eastAsia="zh-CN"/>
              </w:rPr>
              <w:t>区内防渗旱厕内</w:t>
            </w:r>
            <w:r>
              <w:rPr>
                <w:rFonts w:hint="eastAsia" w:cs="宋体"/>
                <w:color w:val="auto"/>
                <w:lang w:val="en-US" w:eastAsia="zh-CN"/>
              </w:rPr>
              <w:t>，定期清淘</w:t>
            </w:r>
            <w:r>
              <w:rPr>
                <w:rFonts w:hint="eastAsia" w:cs="宋体"/>
                <w:color w:val="auto"/>
              </w:rPr>
              <w:t>。</w:t>
            </w:r>
          </w:p>
          <w:p w14:paraId="5EFAB635">
            <w:pPr>
              <w:adjustRightInd w:val="0"/>
              <w:snapToGrid w:val="0"/>
              <w:spacing w:line="360" w:lineRule="auto"/>
              <w:rPr>
                <w:bCs/>
                <w:color w:val="auto"/>
              </w:rPr>
            </w:pPr>
            <w:r>
              <w:rPr>
                <w:rFonts w:hint="eastAsia"/>
                <w:bCs/>
                <w:color w:val="auto"/>
              </w:rPr>
              <w:t>3、噪声</w:t>
            </w:r>
          </w:p>
          <w:p w14:paraId="0B429577">
            <w:pPr>
              <w:adjustRightInd w:val="0"/>
              <w:snapToGrid w:val="0"/>
              <w:spacing w:line="360" w:lineRule="auto"/>
              <w:ind w:firstLine="420" w:firstLineChars="200"/>
              <w:rPr>
                <w:color w:val="auto"/>
              </w:rPr>
            </w:pPr>
            <w:r>
              <w:rPr>
                <w:rFonts w:hint="eastAsia" w:ascii="宋体" w:hAnsi="宋体"/>
                <w:color w:val="auto"/>
              </w:rPr>
              <w:t>施工单位应严格执行《中华人民共和国噪声污染防治法》和《建筑施工场界环境噪声排放标准》，选用低噪声设备和工艺，可从根本上降低源强，同时要加强检查、维护和保养机械设备，保持润滑，禁锢各部件，减少运行震动噪声。整体设备应安放稳固，并与地面保持良好接触，有条件的应使用减振基座，降低噪声。</w:t>
            </w:r>
          </w:p>
          <w:p w14:paraId="304B8B01">
            <w:pPr>
              <w:adjustRightInd w:val="0"/>
              <w:snapToGrid w:val="0"/>
              <w:spacing w:line="360" w:lineRule="auto"/>
              <w:ind w:firstLine="420" w:firstLineChars="200"/>
              <w:rPr>
                <w:color w:val="auto"/>
              </w:rPr>
            </w:pPr>
            <w:r>
              <w:rPr>
                <w:rFonts w:hint="eastAsia" w:ascii="宋体" w:hAnsi="宋体"/>
                <w:color w:val="auto"/>
              </w:rPr>
              <w:t>减少施工交通噪声</w:t>
            </w:r>
            <w:r>
              <w:rPr>
                <w:rFonts w:hint="eastAsia" w:ascii="宋体" w:hAnsi="宋体"/>
                <w:color w:val="auto"/>
                <w:lang w:eastAsia="zh-CN"/>
              </w:rPr>
              <w:t>，</w:t>
            </w:r>
            <w:r>
              <w:rPr>
                <w:rFonts w:hint="eastAsia" w:ascii="宋体" w:hAnsi="宋体"/>
                <w:color w:val="auto"/>
              </w:rPr>
              <w:t>尽量减少夜间运输量，限制大型载重车的车速，运输路线安排上应尽量避开周围环境敏感点的路线。</w:t>
            </w:r>
          </w:p>
          <w:p w14:paraId="13AEA24E">
            <w:pPr>
              <w:adjustRightInd w:val="0"/>
              <w:snapToGrid w:val="0"/>
              <w:spacing w:line="360" w:lineRule="auto"/>
              <w:rPr>
                <w:bCs/>
                <w:color w:val="auto"/>
              </w:rPr>
            </w:pPr>
            <w:r>
              <w:rPr>
                <w:rFonts w:hint="eastAsia"/>
                <w:bCs/>
                <w:color w:val="auto"/>
              </w:rPr>
              <w:t>4、固体废物</w:t>
            </w:r>
          </w:p>
          <w:p w14:paraId="309AC5A9">
            <w:pPr>
              <w:pStyle w:val="14"/>
              <w:adjustRightInd w:val="0"/>
              <w:snapToGrid w:val="0"/>
              <w:spacing w:line="360" w:lineRule="auto"/>
              <w:ind w:firstLine="420" w:firstLineChars="200"/>
              <w:rPr>
                <w:rFonts w:ascii="Times New Roman" w:hAnsi="宋体"/>
                <w:color w:val="auto"/>
              </w:rPr>
            </w:pPr>
            <w:r>
              <w:rPr>
                <w:rFonts w:hint="eastAsia" w:ascii="Times New Roman" w:hAnsi="宋体"/>
                <w:color w:val="auto"/>
              </w:rPr>
              <w:t>本项目施工期固体废物包括人员生活垃圾，无施工弃土产生。</w:t>
            </w:r>
          </w:p>
          <w:p w14:paraId="03170E8B">
            <w:pPr>
              <w:adjustRightInd w:val="0"/>
              <w:snapToGrid w:val="0"/>
              <w:spacing w:line="360" w:lineRule="auto"/>
              <w:ind w:firstLine="420" w:firstLineChars="200"/>
              <w:rPr>
                <w:rFonts w:hint="eastAsia" w:ascii="Times New Roman" w:hAnsi="Times New Roman" w:eastAsia="宋体" w:cs="宋体"/>
                <w:color w:val="auto"/>
                <w:sz w:val="21"/>
                <w:szCs w:val="21"/>
              </w:rPr>
            </w:pPr>
            <w:r>
              <w:rPr>
                <w:rFonts w:hint="eastAsia" w:hAnsi="宋体"/>
                <w:color w:val="auto"/>
              </w:rPr>
              <w:t>施工人员生活垃圾每人每天排放量约0.5kg/d•人，施工期高峰时共有人员约10人，生活垃圾产生量为</w:t>
            </w:r>
            <w:r>
              <w:rPr>
                <w:rFonts w:hAnsi="宋体"/>
                <w:color w:val="auto"/>
              </w:rPr>
              <w:t>0.01</w:t>
            </w:r>
            <w:r>
              <w:rPr>
                <w:rFonts w:hint="eastAsia" w:hAnsi="宋体"/>
                <w:color w:val="auto"/>
              </w:rPr>
              <w:t>t/d，场地设置专门的生活垃圾暂存设施，生活垃圾定点排放，定期由环卫部门统一处置。</w:t>
            </w:r>
          </w:p>
        </w:tc>
      </w:tr>
      <w:tr w14:paraId="39320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tcMar>
              <w:left w:w="28" w:type="dxa"/>
              <w:right w:w="28" w:type="dxa"/>
            </w:tcMar>
            <w:vAlign w:val="center"/>
          </w:tcPr>
          <w:p w14:paraId="31765C12">
            <w:pPr>
              <w:adjustRightInd w:val="0"/>
              <w:snapToGrid w:val="0"/>
              <w:jc w:val="center"/>
              <w:rPr>
                <w:rFonts w:ascii="宋体" w:hAnsi="宋体" w:cs="宋体"/>
                <w:bCs/>
                <w:color w:val="auto"/>
              </w:rPr>
            </w:pPr>
            <w:r>
              <w:rPr>
                <w:rFonts w:hint="eastAsia" w:ascii="宋体" w:hAnsi="宋体" w:cs="宋体"/>
                <w:bCs/>
                <w:color w:val="auto"/>
              </w:rPr>
              <w:t>运营</w:t>
            </w:r>
          </w:p>
          <w:p w14:paraId="31E12DAA">
            <w:pPr>
              <w:adjustRightInd w:val="0"/>
              <w:snapToGrid w:val="0"/>
              <w:jc w:val="center"/>
              <w:rPr>
                <w:rFonts w:ascii="宋体" w:hAnsi="宋体" w:cs="宋体"/>
                <w:bCs/>
                <w:color w:val="auto"/>
              </w:rPr>
            </w:pPr>
            <w:r>
              <w:rPr>
                <w:rFonts w:hint="eastAsia" w:ascii="宋体" w:hAnsi="宋体" w:cs="宋体"/>
                <w:bCs/>
                <w:color w:val="auto"/>
              </w:rPr>
              <w:t>期环</w:t>
            </w:r>
          </w:p>
          <w:p w14:paraId="608AD5D6">
            <w:pPr>
              <w:adjustRightInd w:val="0"/>
              <w:snapToGrid w:val="0"/>
              <w:jc w:val="center"/>
              <w:rPr>
                <w:rFonts w:ascii="宋体" w:hAnsi="宋体" w:cs="宋体"/>
                <w:bCs/>
                <w:color w:val="auto"/>
              </w:rPr>
            </w:pPr>
            <w:r>
              <w:rPr>
                <w:rFonts w:hint="eastAsia" w:ascii="宋体" w:hAnsi="宋体" w:cs="宋体"/>
                <w:bCs/>
                <w:color w:val="auto"/>
              </w:rPr>
              <w:t>境影</w:t>
            </w:r>
          </w:p>
          <w:p w14:paraId="4316ABE1">
            <w:pPr>
              <w:adjustRightInd w:val="0"/>
              <w:snapToGrid w:val="0"/>
              <w:jc w:val="center"/>
              <w:rPr>
                <w:rFonts w:ascii="宋体" w:hAnsi="宋体" w:cs="宋体"/>
                <w:bCs/>
                <w:color w:val="auto"/>
              </w:rPr>
            </w:pPr>
            <w:r>
              <w:rPr>
                <w:rFonts w:hint="eastAsia" w:ascii="宋体" w:hAnsi="宋体" w:cs="宋体"/>
                <w:bCs/>
                <w:color w:val="auto"/>
              </w:rPr>
              <w:t>响和</w:t>
            </w:r>
          </w:p>
          <w:p w14:paraId="7E583BB4">
            <w:pPr>
              <w:adjustRightInd w:val="0"/>
              <w:snapToGrid w:val="0"/>
              <w:jc w:val="center"/>
              <w:rPr>
                <w:rFonts w:ascii="宋体" w:hAnsi="宋体" w:cs="宋体"/>
                <w:bCs/>
                <w:color w:val="auto"/>
              </w:rPr>
            </w:pPr>
            <w:r>
              <w:rPr>
                <w:rFonts w:hint="eastAsia" w:ascii="宋体" w:hAnsi="宋体" w:cs="宋体"/>
                <w:bCs/>
                <w:color w:val="auto"/>
              </w:rPr>
              <w:t>保护</w:t>
            </w:r>
          </w:p>
          <w:p w14:paraId="7FEF1C53">
            <w:pPr>
              <w:adjustRightInd w:val="0"/>
              <w:snapToGrid w:val="0"/>
              <w:jc w:val="center"/>
              <w:rPr>
                <w:rFonts w:ascii="宋体" w:hAnsi="宋体" w:cs="宋体"/>
                <w:bCs/>
                <w:color w:val="auto"/>
              </w:rPr>
            </w:pPr>
            <w:r>
              <w:rPr>
                <w:rFonts w:hint="eastAsia" w:ascii="宋体" w:hAnsi="宋体" w:cs="宋体"/>
                <w:bCs/>
                <w:color w:val="auto"/>
              </w:rPr>
              <w:t>措施</w:t>
            </w:r>
          </w:p>
        </w:tc>
        <w:tc>
          <w:tcPr>
            <w:tcW w:w="8076" w:type="dxa"/>
          </w:tcPr>
          <w:p w14:paraId="58A82738">
            <w:pPr>
              <w:keepNext w:val="0"/>
              <w:keepLines w:val="0"/>
              <w:pageBreakBefore w:val="0"/>
              <w:widowControl w:val="0"/>
              <w:kinsoku/>
              <w:wordWrap/>
              <w:overflowPunct/>
              <w:topLinePunct w:val="0"/>
              <w:autoSpaceDE/>
              <w:autoSpaceDN/>
              <w:bidi w:val="0"/>
              <w:adjustRightInd w:val="0"/>
              <w:snapToGrid w:val="0"/>
              <w:spacing w:before="157" w:beforeLines="50" w:line="336" w:lineRule="auto"/>
              <w:ind w:firstLine="420" w:firstLineChars="200"/>
              <w:textAlignment w:val="auto"/>
              <w:rPr>
                <w:color w:val="auto"/>
              </w:rPr>
            </w:pPr>
            <w:r>
              <w:rPr>
                <w:rFonts w:hint="eastAsia" w:cs="宋体"/>
                <w:color w:val="auto"/>
              </w:rPr>
              <w:t>《建设项目环境影响评价技术导则</w:t>
            </w:r>
            <w:r>
              <w:rPr>
                <w:rFonts w:hint="eastAsia"/>
                <w:color w:val="auto"/>
              </w:rPr>
              <w:t>-</w:t>
            </w:r>
            <w:r>
              <w:rPr>
                <w:rFonts w:hint="eastAsia" w:cs="宋体"/>
                <w:color w:val="auto"/>
              </w:rPr>
              <w:t>总纲》（</w:t>
            </w:r>
            <w:r>
              <w:rPr>
                <w:color w:val="auto"/>
              </w:rPr>
              <w:t>HJ2.1-2016</w:t>
            </w:r>
            <w:r>
              <w:rPr>
                <w:rFonts w:hAnsi="宋体"/>
                <w:color w:val="auto"/>
              </w:rPr>
              <w:t>）</w:t>
            </w:r>
            <w:r>
              <w:rPr>
                <w:rFonts w:hint="eastAsia" w:ascii="宋体" w:hAnsi="宋体" w:cs="宋体"/>
                <w:color w:val="auto"/>
              </w:rPr>
              <w:t>中规定“污染源源强核算方法由污染源源强核算技术指南具体规定”，本项目相关源强核算优先参考源强核算技术指南、排污许可证申请与核发技术规范、</w:t>
            </w:r>
            <w:r>
              <w:rPr>
                <w:rFonts w:hint="eastAsia" w:cs="宋体"/>
                <w:color w:val="auto"/>
              </w:rPr>
              <w:t>生态环境部关于发布《排放源统计调查产排污核算方法和系数手册》的公告（公告2021年第24号）。</w:t>
            </w:r>
          </w:p>
          <w:p w14:paraId="5795B3EE">
            <w:pPr>
              <w:pStyle w:val="2"/>
              <w:adjustRightInd w:val="0"/>
              <w:snapToGrid w:val="0"/>
              <w:spacing w:before="0" w:after="0" w:line="360" w:lineRule="auto"/>
              <w:rPr>
                <w:b w:val="0"/>
                <w:bCs w:val="0"/>
                <w:color w:val="auto"/>
                <w:sz w:val="21"/>
                <w:szCs w:val="21"/>
              </w:rPr>
            </w:pPr>
            <w:r>
              <w:rPr>
                <w:rFonts w:hint="eastAsia"/>
                <w:b w:val="0"/>
                <w:bCs w:val="0"/>
                <w:color w:val="auto"/>
                <w:sz w:val="21"/>
                <w:szCs w:val="21"/>
              </w:rPr>
              <w:t>1、废气</w:t>
            </w:r>
          </w:p>
          <w:p w14:paraId="429F17B6">
            <w:pPr>
              <w:pStyle w:val="3"/>
              <w:adjustRightInd w:val="0"/>
              <w:snapToGrid w:val="0"/>
              <w:spacing w:before="0" w:after="0" w:line="360" w:lineRule="auto"/>
              <w:rPr>
                <w:rFonts w:hint="default" w:ascii="Times New Roman" w:hAnsi="Times New Roman" w:cs="Times New Roman" w:eastAsiaTheme="majorEastAsia"/>
                <w:b w:val="0"/>
                <w:bCs w:val="0"/>
                <w:color w:val="auto"/>
                <w:sz w:val="21"/>
                <w:szCs w:val="21"/>
                <w:lang w:val="en-US" w:eastAsia="zh-CN"/>
              </w:rPr>
            </w:pPr>
            <w:r>
              <w:rPr>
                <w:rFonts w:ascii="Times New Roman" w:hAnsi="Times New Roman" w:cs="Times New Roman"/>
                <w:b w:val="0"/>
                <w:bCs w:val="0"/>
                <w:color w:val="auto"/>
                <w:sz w:val="21"/>
                <w:szCs w:val="21"/>
              </w:rPr>
              <w:t>1.1</w:t>
            </w:r>
            <w:r>
              <w:rPr>
                <w:rFonts w:hint="eastAsia" w:ascii="Times New Roman" w:hAnsi="Times New Roman" w:cs="Times New Roman"/>
                <w:b w:val="0"/>
                <w:bCs w:val="0"/>
                <w:color w:val="auto"/>
                <w:sz w:val="21"/>
                <w:szCs w:val="21"/>
                <w:lang w:val="en-US" w:eastAsia="zh-CN"/>
              </w:rPr>
              <w:t>废气源强核算</w:t>
            </w:r>
          </w:p>
          <w:p w14:paraId="74431683">
            <w:pPr>
              <w:pStyle w:val="9"/>
              <w:adjustRightInd w:val="0"/>
              <w:snapToGrid w:val="0"/>
              <w:spacing w:line="336" w:lineRule="auto"/>
              <w:ind w:firstLine="420" w:firstLineChars="200"/>
              <w:jc w:val="both"/>
              <w:rPr>
                <w:rFonts w:ascii="Times New Roman" w:cs="Times New Roman"/>
                <w:i w:val="0"/>
                <w:iCs w:val="0"/>
                <w:color w:val="auto"/>
                <w:sz w:val="21"/>
                <w:szCs w:val="21"/>
                <w:u w:val="single"/>
              </w:rPr>
            </w:pPr>
            <w:r>
              <w:rPr>
                <w:rFonts w:ascii="Times New Roman" w:cs="Times New Roman"/>
                <w:i w:val="0"/>
                <w:iCs w:val="0"/>
                <w:color w:val="auto"/>
                <w:sz w:val="21"/>
                <w:szCs w:val="21"/>
                <w:u w:val="single"/>
              </w:rPr>
              <w:t>（</w:t>
            </w:r>
            <w:r>
              <w:rPr>
                <w:rFonts w:hint="eastAsia" w:ascii="Times New Roman" w:cs="Times New Roman"/>
                <w:i w:val="0"/>
                <w:iCs w:val="0"/>
                <w:color w:val="auto"/>
                <w:sz w:val="21"/>
                <w:szCs w:val="21"/>
                <w:u w:val="single"/>
                <w:lang w:val="en-US" w:eastAsia="zh-CN"/>
              </w:rPr>
              <w:t>1</w:t>
            </w:r>
            <w:r>
              <w:rPr>
                <w:rFonts w:ascii="Times New Roman" w:cs="Times New Roman"/>
                <w:i w:val="0"/>
                <w:iCs w:val="0"/>
                <w:color w:val="auto"/>
                <w:sz w:val="21"/>
                <w:szCs w:val="21"/>
                <w:u w:val="single"/>
              </w:rPr>
              <w:t>）</w:t>
            </w:r>
            <w:r>
              <w:rPr>
                <w:rFonts w:hint="eastAsia" w:ascii="Times New Roman" w:cs="Times New Roman"/>
                <w:i w:val="0"/>
                <w:iCs w:val="0"/>
                <w:color w:val="auto"/>
                <w:sz w:val="21"/>
                <w:szCs w:val="21"/>
                <w:u w:val="single"/>
              </w:rPr>
              <w:t>发酵废气</w:t>
            </w:r>
          </w:p>
          <w:p w14:paraId="6929FD26">
            <w:pPr>
              <w:pStyle w:val="86"/>
              <w:adjustRightInd w:val="0"/>
              <w:snapToGrid w:val="0"/>
              <w:spacing w:line="360" w:lineRule="auto"/>
              <w:ind w:firstLine="420" w:firstLineChars="200"/>
              <w:rPr>
                <w:rFonts w:hint="default"/>
                <w:i w:val="0"/>
                <w:iCs w:val="0"/>
                <w:color w:val="auto"/>
                <w:u w:val="single"/>
                <w:lang w:val="en-US"/>
              </w:rPr>
            </w:pPr>
            <w:r>
              <w:rPr>
                <w:i w:val="0"/>
                <w:iCs w:val="0"/>
                <w:color w:val="auto"/>
                <w:u w:val="single"/>
              </w:rPr>
              <w:t>目前尚未有相关</w:t>
            </w:r>
            <w:r>
              <w:rPr>
                <w:rFonts w:hint="eastAsia"/>
                <w:i w:val="0"/>
                <w:iCs w:val="0"/>
                <w:color w:val="auto"/>
                <w:u w:val="single"/>
                <w:lang w:val="en-US" w:eastAsia="zh-CN"/>
              </w:rPr>
              <w:t>中药渣发酵</w:t>
            </w:r>
            <w:r>
              <w:rPr>
                <w:i w:val="0"/>
                <w:iCs w:val="0"/>
                <w:color w:val="auto"/>
                <w:u w:val="single"/>
              </w:rPr>
              <w:t>阶段关于NH</w:t>
            </w:r>
            <w:r>
              <w:rPr>
                <w:i w:val="0"/>
                <w:iCs w:val="0"/>
                <w:color w:val="auto"/>
                <w:u w:val="single"/>
                <w:vertAlign w:val="subscript"/>
              </w:rPr>
              <w:t>3</w:t>
            </w:r>
            <w:r>
              <w:rPr>
                <w:i w:val="0"/>
                <w:iCs w:val="0"/>
                <w:color w:val="auto"/>
                <w:u w:val="single"/>
              </w:rPr>
              <w:t>、H</w:t>
            </w:r>
            <w:r>
              <w:rPr>
                <w:i w:val="0"/>
                <w:iCs w:val="0"/>
                <w:color w:val="auto"/>
                <w:u w:val="single"/>
                <w:vertAlign w:val="subscript"/>
              </w:rPr>
              <w:t>2</w:t>
            </w:r>
            <w:r>
              <w:rPr>
                <w:i w:val="0"/>
                <w:iCs w:val="0"/>
                <w:color w:val="auto"/>
                <w:u w:val="single"/>
              </w:rPr>
              <w:t>S</w:t>
            </w:r>
            <w:r>
              <w:rPr>
                <w:i w:val="0"/>
                <w:iCs w:val="0"/>
                <w:color w:val="auto"/>
                <w:highlight w:val="none"/>
                <w:u w:val="single"/>
              </w:rPr>
              <w:t>的源强核算，</w:t>
            </w:r>
            <w:r>
              <w:rPr>
                <w:rFonts w:ascii="宋体" w:hAnsi="宋体"/>
                <w:i w:val="0"/>
                <w:iCs w:val="0"/>
                <w:color w:val="auto"/>
                <w:highlight w:val="none"/>
                <w:u w:val="single"/>
              </w:rPr>
              <w:t>为确定本项目恶臭污染源强，计算发酵过程污染物</w:t>
            </w:r>
            <w:r>
              <w:rPr>
                <w:i w:val="0"/>
                <w:iCs w:val="0"/>
                <w:color w:val="auto"/>
                <w:highlight w:val="none"/>
                <w:u w:val="single"/>
              </w:rPr>
              <w:t>NH</w:t>
            </w:r>
            <w:r>
              <w:rPr>
                <w:i w:val="0"/>
                <w:iCs w:val="0"/>
                <w:color w:val="auto"/>
                <w:highlight w:val="none"/>
                <w:u w:val="single"/>
                <w:vertAlign w:val="subscript"/>
              </w:rPr>
              <w:t>3</w:t>
            </w:r>
            <w:r>
              <w:rPr>
                <w:rFonts w:ascii="宋体" w:hAnsi="宋体"/>
                <w:i w:val="0"/>
                <w:iCs w:val="0"/>
                <w:color w:val="auto"/>
                <w:highlight w:val="none"/>
                <w:u w:val="single"/>
              </w:rPr>
              <w:t>、</w:t>
            </w:r>
            <w:r>
              <w:rPr>
                <w:i w:val="0"/>
                <w:iCs w:val="0"/>
                <w:color w:val="auto"/>
                <w:highlight w:val="none"/>
                <w:u w:val="single"/>
              </w:rPr>
              <w:t>H</w:t>
            </w:r>
            <w:r>
              <w:rPr>
                <w:i w:val="0"/>
                <w:iCs w:val="0"/>
                <w:color w:val="auto"/>
                <w:highlight w:val="none"/>
                <w:u w:val="single"/>
                <w:vertAlign w:val="subscript"/>
              </w:rPr>
              <w:t>2</w:t>
            </w:r>
            <w:r>
              <w:rPr>
                <w:i w:val="0"/>
                <w:iCs w:val="0"/>
                <w:color w:val="auto"/>
                <w:highlight w:val="none"/>
                <w:u w:val="single"/>
              </w:rPr>
              <w:t>S</w:t>
            </w:r>
            <w:r>
              <w:rPr>
                <w:rFonts w:ascii="宋体" w:hAnsi="宋体"/>
                <w:i w:val="0"/>
                <w:iCs w:val="0"/>
                <w:color w:val="auto"/>
                <w:highlight w:val="none"/>
                <w:u w:val="single"/>
              </w:rPr>
              <w:t>的产生量，采用</w:t>
            </w:r>
            <w:r>
              <w:rPr>
                <w:rFonts w:hint="eastAsia" w:ascii="宋体" w:hAnsi="宋体"/>
                <w:i w:val="0"/>
                <w:iCs w:val="0"/>
                <w:color w:val="auto"/>
                <w:highlight w:val="none"/>
                <w:u w:val="single"/>
                <w:lang w:val="en-US" w:eastAsia="zh-CN"/>
              </w:rPr>
              <w:t>类比分析法进行，类比情况详见如下。</w:t>
            </w:r>
          </w:p>
          <w:p w14:paraId="0F7292E3">
            <w:pPr>
              <w:pStyle w:val="86"/>
              <w:adjustRightInd w:val="0"/>
              <w:snapToGrid w:val="0"/>
              <w:spacing w:line="360" w:lineRule="auto"/>
              <w:ind w:firstLine="420" w:firstLineChars="200"/>
              <w:rPr>
                <w:i w:val="0"/>
                <w:iCs w:val="0"/>
                <w:color w:val="auto"/>
                <w:u w:val="single"/>
                <w:lang w:val="en-US" w:eastAsia="zh-CN"/>
              </w:rPr>
            </w:pPr>
            <w:r>
              <w:rPr>
                <w:i w:val="0"/>
                <w:iCs w:val="0"/>
                <w:color w:val="auto"/>
                <w:u w:val="single"/>
                <w:lang w:val="en-US" w:eastAsia="zh-CN"/>
              </w:rPr>
              <w:t>选取与本项目原料特性（中药渣为主）、工艺类型（条带式密封发酵）、处理措施（</w:t>
            </w:r>
            <w:r>
              <w:rPr>
                <w:rFonts w:hint="eastAsia"/>
                <w:i w:val="0"/>
                <w:iCs w:val="0"/>
                <w:color w:val="auto"/>
                <w:u w:val="single"/>
                <w:lang w:val="en-US" w:eastAsia="zh-CN"/>
              </w:rPr>
              <w:t>喷洒生物除臭剂</w:t>
            </w:r>
            <w:r>
              <w:rPr>
                <w:i w:val="0"/>
                <w:iCs w:val="0"/>
                <w:color w:val="auto"/>
                <w:u w:val="single"/>
                <w:lang w:val="en-US" w:eastAsia="zh-CN"/>
              </w:rPr>
              <w:t>）及生产规模相近的项目，具体筛选标准如下：</w:t>
            </w:r>
          </w:p>
          <w:p w14:paraId="58399FAB">
            <w:pPr>
              <w:pStyle w:val="86"/>
              <w:adjustRightInd w:val="0"/>
              <w:snapToGrid w:val="0"/>
              <w:spacing w:line="360" w:lineRule="auto"/>
              <w:ind w:firstLine="420" w:firstLineChars="200"/>
              <w:rPr>
                <w:i w:val="0"/>
                <w:iCs w:val="0"/>
                <w:color w:val="auto"/>
                <w:u w:val="single"/>
                <w:lang w:val="en-US" w:eastAsia="zh-CN"/>
              </w:rPr>
            </w:pPr>
            <w:r>
              <w:rPr>
                <w:rFonts w:hint="default"/>
                <w:i w:val="0"/>
                <w:iCs w:val="0"/>
                <w:color w:val="auto"/>
                <w:u w:val="single"/>
                <w:lang w:val="en-US" w:eastAsia="zh-CN"/>
              </w:rPr>
              <w:t>原料：中药渣占比≥90%，且中药渣来源为正规制药企业（如修正、万通等），不含毒性中药材；</w:t>
            </w:r>
          </w:p>
          <w:p w14:paraId="3970E4AC">
            <w:pPr>
              <w:pStyle w:val="86"/>
              <w:adjustRightInd w:val="0"/>
              <w:snapToGrid w:val="0"/>
              <w:spacing w:line="360" w:lineRule="auto"/>
              <w:ind w:firstLine="420" w:firstLineChars="200"/>
              <w:rPr>
                <w:i w:val="0"/>
                <w:iCs w:val="0"/>
                <w:color w:val="auto"/>
                <w:u w:val="single"/>
                <w:lang w:val="en-US" w:eastAsia="zh-CN"/>
              </w:rPr>
            </w:pPr>
            <w:r>
              <w:rPr>
                <w:rFonts w:hint="default"/>
                <w:i w:val="0"/>
                <w:iCs w:val="0"/>
                <w:color w:val="auto"/>
                <w:u w:val="single"/>
                <w:lang w:val="en-US" w:eastAsia="zh-CN"/>
              </w:rPr>
              <w:t>工艺：条带式发酵，发酵周期 20-30 天，堆体含水率控制在 40%-50%；</w:t>
            </w:r>
          </w:p>
          <w:p w14:paraId="25312070">
            <w:pPr>
              <w:pStyle w:val="86"/>
              <w:adjustRightInd w:val="0"/>
              <w:snapToGrid w:val="0"/>
              <w:spacing w:line="360" w:lineRule="auto"/>
              <w:ind w:firstLine="420" w:firstLineChars="200"/>
              <w:rPr>
                <w:i w:val="0"/>
                <w:iCs w:val="0"/>
                <w:color w:val="auto"/>
                <w:u w:val="single"/>
                <w:lang w:val="en-US" w:eastAsia="zh-CN"/>
              </w:rPr>
            </w:pPr>
            <w:r>
              <w:rPr>
                <w:rFonts w:hint="default"/>
                <w:i w:val="0"/>
                <w:iCs w:val="0"/>
                <w:color w:val="auto"/>
                <w:u w:val="single"/>
                <w:lang w:val="en-US" w:eastAsia="zh-CN"/>
              </w:rPr>
              <w:t>污染治理：采用</w:t>
            </w:r>
            <w:r>
              <w:rPr>
                <w:rFonts w:hint="eastAsia" w:ascii="宋体" w:hAnsi="宋体" w:eastAsia="宋体" w:cs="宋体"/>
                <w:i w:val="0"/>
                <w:iCs w:val="0"/>
                <w:color w:val="auto"/>
                <w:u w:val="single"/>
                <w:lang w:val="en-US" w:eastAsia="zh-CN"/>
              </w:rPr>
              <w:t xml:space="preserve"> “源头喷洒除臭剂 ” </w:t>
            </w:r>
            <w:r>
              <w:rPr>
                <w:rFonts w:hint="default"/>
                <w:i w:val="0"/>
                <w:iCs w:val="0"/>
                <w:color w:val="auto"/>
                <w:u w:val="single"/>
                <w:lang w:val="en-US" w:eastAsia="zh-CN"/>
              </w:rPr>
              <w:t>处理恶臭废气；</w:t>
            </w:r>
          </w:p>
          <w:p w14:paraId="6D780797">
            <w:pPr>
              <w:pStyle w:val="86"/>
              <w:adjustRightInd w:val="0"/>
              <w:snapToGrid w:val="0"/>
              <w:spacing w:line="360" w:lineRule="auto"/>
              <w:ind w:firstLine="420" w:firstLineChars="200"/>
              <w:rPr>
                <w:i w:val="0"/>
                <w:iCs w:val="0"/>
                <w:color w:val="auto"/>
                <w:u w:val="single"/>
                <w:lang w:val="en-US" w:eastAsia="zh-CN"/>
              </w:rPr>
            </w:pPr>
            <w:r>
              <w:rPr>
                <w:i w:val="0"/>
                <w:iCs w:val="0"/>
                <w:color w:val="auto"/>
                <w:u w:val="single"/>
                <w:lang w:val="en-US" w:eastAsia="zh-CN"/>
              </w:rPr>
              <w:t>最终选取</w:t>
            </w:r>
            <w:r>
              <w:rPr>
                <w:rFonts w:hint="default"/>
                <w:i w:val="0"/>
                <w:iCs w:val="0"/>
                <w:color w:val="auto"/>
                <w:u w:val="single"/>
                <w:lang w:val="en-US" w:eastAsia="zh-CN"/>
              </w:rPr>
              <w:t>吉林万通药业集团盛泰生物工程股份有限公司中药渣资源化项目作为类比对象，该项目核心参数与本项目高度匹配，具体如下</w:t>
            </w:r>
            <w:r>
              <w:rPr>
                <w:rFonts w:hint="eastAsia"/>
                <w:i w:val="0"/>
                <w:iCs w:val="0"/>
                <w:color w:val="auto"/>
                <w:u w:val="single"/>
                <w:lang w:val="en-US" w:eastAsia="zh-CN"/>
              </w:rPr>
              <w:t>：</w:t>
            </w:r>
          </w:p>
          <w:p w14:paraId="4BB6CC0C">
            <w:pPr>
              <w:pStyle w:val="86"/>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i w:val="0"/>
                <w:iCs w:val="0"/>
                <w:color w:val="auto"/>
                <w:u w:val="single"/>
                <w:lang w:val="en-US" w:eastAsia="zh-CN"/>
              </w:rPr>
            </w:pPr>
            <w:r>
              <w:rPr>
                <w:rFonts w:hint="eastAsia"/>
                <w:i w:val="0"/>
                <w:iCs w:val="0"/>
                <w:color w:val="auto"/>
                <w:u w:val="single"/>
                <w:lang w:val="en-US" w:eastAsia="zh-CN"/>
              </w:rPr>
              <w:t>可类比性分析情况一览表</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627"/>
              <w:gridCol w:w="2464"/>
              <w:gridCol w:w="2603"/>
            </w:tblGrid>
            <w:tr w14:paraId="30FB6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pct"/>
                  <w:tcBorders>
                    <w:tl2br w:val="nil"/>
                    <w:tr2bl w:val="nil"/>
                  </w:tcBorders>
                  <w:vAlign w:val="top"/>
                </w:tcPr>
                <w:p w14:paraId="0B1807D5">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参数类别</w:t>
                  </w:r>
                </w:p>
              </w:tc>
              <w:tc>
                <w:tcPr>
                  <w:tcW w:w="1035" w:type="pct"/>
                  <w:tcBorders>
                    <w:tl2br w:val="nil"/>
                    <w:tr2bl w:val="nil"/>
                  </w:tcBorders>
                  <w:vAlign w:val="top"/>
                </w:tcPr>
                <w:p w14:paraId="3004B5CF">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类比项目</w:t>
                  </w:r>
                </w:p>
              </w:tc>
              <w:tc>
                <w:tcPr>
                  <w:tcW w:w="1567" w:type="pct"/>
                  <w:tcBorders>
                    <w:tl2br w:val="nil"/>
                    <w:tr2bl w:val="nil"/>
                  </w:tcBorders>
                  <w:vAlign w:val="top"/>
                </w:tcPr>
                <w:p w14:paraId="329BA503">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本项目</w:t>
                  </w:r>
                </w:p>
              </w:tc>
              <w:tc>
                <w:tcPr>
                  <w:tcW w:w="1656" w:type="pct"/>
                  <w:tcBorders>
                    <w:tl2br w:val="nil"/>
                    <w:tr2bl w:val="nil"/>
                  </w:tcBorders>
                  <w:vAlign w:val="top"/>
                </w:tcPr>
                <w:p w14:paraId="7FD59EE9">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匹配性分析</w:t>
                  </w:r>
                </w:p>
              </w:tc>
            </w:tr>
            <w:tr w14:paraId="455C3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pct"/>
                  <w:tcBorders>
                    <w:tl2br w:val="nil"/>
                    <w:tr2bl w:val="nil"/>
                  </w:tcBorders>
                  <w:vAlign w:val="top"/>
                </w:tcPr>
                <w:p w14:paraId="71B0555E">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产品产能</w:t>
                  </w:r>
                </w:p>
              </w:tc>
              <w:tc>
                <w:tcPr>
                  <w:tcW w:w="1035" w:type="pct"/>
                  <w:tcBorders>
                    <w:tl2br w:val="nil"/>
                    <w:tr2bl w:val="nil"/>
                  </w:tcBorders>
                  <w:vAlign w:val="top"/>
                </w:tcPr>
                <w:p w14:paraId="58A0C688">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年产有机肥 8 万吨</w:t>
                  </w:r>
                </w:p>
              </w:tc>
              <w:tc>
                <w:tcPr>
                  <w:tcW w:w="1567" w:type="pct"/>
                  <w:tcBorders>
                    <w:tl2br w:val="nil"/>
                    <w:tr2bl w:val="nil"/>
                  </w:tcBorders>
                  <w:vAlign w:val="top"/>
                </w:tcPr>
                <w:p w14:paraId="1B85EB61">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年产再生腐殖土 1.5 万吨</w:t>
                  </w:r>
                </w:p>
              </w:tc>
              <w:tc>
                <w:tcPr>
                  <w:tcW w:w="1656" w:type="pct"/>
                  <w:tcBorders>
                    <w:tl2br w:val="nil"/>
                    <w:tr2bl w:val="nil"/>
                  </w:tcBorders>
                  <w:vAlign w:val="top"/>
                </w:tcPr>
                <w:p w14:paraId="469B1812">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均为有机固体废弃物资源化利用项目，产能规模呈线性可比</w:t>
                  </w:r>
                </w:p>
              </w:tc>
            </w:tr>
            <w:tr w14:paraId="7FF7B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pct"/>
                  <w:tcBorders>
                    <w:tl2br w:val="nil"/>
                    <w:tr2bl w:val="nil"/>
                  </w:tcBorders>
                  <w:vAlign w:val="top"/>
                </w:tcPr>
                <w:p w14:paraId="314EFAD8">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原料组成</w:t>
                  </w:r>
                </w:p>
              </w:tc>
              <w:tc>
                <w:tcPr>
                  <w:tcW w:w="1035" w:type="pct"/>
                  <w:tcBorders>
                    <w:tl2br w:val="nil"/>
                    <w:tr2bl w:val="nil"/>
                  </w:tcBorders>
                  <w:vAlign w:val="top"/>
                </w:tcPr>
                <w:p w14:paraId="5897C25F">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中药渣（92%）+ 辅料（8%）</w:t>
                  </w:r>
                </w:p>
              </w:tc>
              <w:tc>
                <w:tcPr>
                  <w:tcW w:w="1567" w:type="pct"/>
                  <w:tcBorders>
                    <w:tl2br w:val="nil"/>
                    <w:tr2bl w:val="nil"/>
                  </w:tcBorders>
                  <w:vAlign w:val="top"/>
                </w:tcPr>
                <w:p w14:paraId="5B4C6FB9">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中药渣（95%）+ 生物发酵菌剂（0.5%）</w:t>
                  </w:r>
                </w:p>
              </w:tc>
              <w:tc>
                <w:tcPr>
                  <w:tcW w:w="1656" w:type="pct"/>
                  <w:tcBorders>
                    <w:tl2br w:val="nil"/>
                    <w:tr2bl w:val="nil"/>
                  </w:tcBorders>
                  <w:vAlign w:val="top"/>
                </w:tcPr>
                <w:p w14:paraId="5CE2A0B1">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中药渣占比均＞90%，原料特性一致</w:t>
                  </w:r>
                </w:p>
              </w:tc>
            </w:tr>
            <w:tr w14:paraId="095F5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pct"/>
                  <w:tcBorders>
                    <w:tl2br w:val="nil"/>
                    <w:tr2bl w:val="nil"/>
                  </w:tcBorders>
                  <w:vAlign w:val="top"/>
                </w:tcPr>
                <w:p w14:paraId="2B97254C">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发酵工艺</w:t>
                  </w:r>
                </w:p>
              </w:tc>
              <w:tc>
                <w:tcPr>
                  <w:tcW w:w="1035" w:type="pct"/>
                  <w:tcBorders>
                    <w:tl2br w:val="nil"/>
                    <w:tr2bl w:val="nil"/>
                  </w:tcBorders>
                  <w:vAlign w:val="top"/>
                </w:tcPr>
                <w:p w14:paraId="74AC17CB">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条带式密封发酵，周期 28 天</w:t>
                  </w:r>
                </w:p>
              </w:tc>
              <w:tc>
                <w:tcPr>
                  <w:tcW w:w="1567" w:type="pct"/>
                  <w:tcBorders>
                    <w:tl2br w:val="nil"/>
                    <w:tr2bl w:val="nil"/>
                  </w:tcBorders>
                  <w:vAlign w:val="top"/>
                </w:tcPr>
                <w:p w14:paraId="20827B0E">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条带式密封发酵，周期 25 天</w:t>
                  </w:r>
                </w:p>
              </w:tc>
              <w:tc>
                <w:tcPr>
                  <w:tcW w:w="1656" w:type="pct"/>
                  <w:tcBorders>
                    <w:tl2br w:val="nil"/>
                    <w:tr2bl w:val="nil"/>
                  </w:tcBorders>
                  <w:vAlign w:val="top"/>
                </w:tcPr>
                <w:p w14:paraId="02E18AF6">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工艺类型相同，周期差异＜10%，可忽略</w:t>
                  </w:r>
                </w:p>
              </w:tc>
            </w:tr>
            <w:tr w14:paraId="0886F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pct"/>
                  <w:tcBorders>
                    <w:tl2br w:val="nil"/>
                    <w:tr2bl w:val="nil"/>
                  </w:tcBorders>
                  <w:vAlign w:val="top"/>
                </w:tcPr>
                <w:p w14:paraId="5F923226">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i w:val="0"/>
                      <w:iCs w:val="0"/>
                      <w:color w:val="auto"/>
                      <w:sz w:val="18"/>
                      <w:szCs w:val="18"/>
                      <w:u w:val="single"/>
                      <w:vertAlign w:val="baseline"/>
                      <w:lang w:val="en-US" w:eastAsia="zh-CN"/>
                    </w:rPr>
                  </w:pPr>
                  <w:r>
                    <w:rPr>
                      <w:rFonts w:hint="eastAsia"/>
                      <w:i w:val="0"/>
                      <w:iCs w:val="0"/>
                      <w:color w:val="auto"/>
                      <w:sz w:val="18"/>
                      <w:szCs w:val="18"/>
                      <w:u w:val="single"/>
                      <w:vertAlign w:val="baseline"/>
                      <w:lang w:val="en-US" w:eastAsia="zh-CN"/>
                    </w:rPr>
                    <w:t>废气措施</w:t>
                  </w:r>
                </w:p>
              </w:tc>
              <w:tc>
                <w:tcPr>
                  <w:tcW w:w="1035" w:type="pct"/>
                  <w:tcBorders>
                    <w:tl2br w:val="nil"/>
                    <w:tr2bl w:val="nil"/>
                  </w:tcBorders>
                  <w:shd w:val="clear" w:color="auto" w:fill="auto"/>
                  <w:vAlign w:val="top"/>
                </w:tcPr>
                <w:p w14:paraId="0C6A074F">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ascii="Times New Roman" w:hAnsi="Times New Roman" w:eastAsia="宋体" w:cs="Times New Roman"/>
                      <w:i w:val="0"/>
                      <w:iCs w:val="0"/>
                      <w:color w:val="auto"/>
                      <w:kern w:val="2"/>
                      <w:sz w:val="18"/>
                      <w:szCs w:val="18"/>
                      <w:u w:val="single"/>
                      <w:vertAlign w:val="baseline"/>
                      <w:lang w:val="en-US" w:eastAsia="zh-CN" w:bidi="ar-SA"/>
                    </w:rPr>
                  </w:pPr>
                  <w:r>
                    <w:rPr>
                      <w:rFonts w:hint="default"/>
                      <w:color w:val="auto"/>
                      <w:sz w:val="18"/>
                      <w:szCs w:val="18"/>
                      <w:u w:val="single"/>
                      <w:lang w:val="en-US" w:eastAsia="zh-CN"/>
                    </w:rPr>
                    <w:t>植物除臭剂</w:t>
                  </w:r>
                </w:p>
              </w:tc>
              <w:tc>
                <w:tcPr>
                  <w:tcW w:w="1567" w:type="pct"/>
                  <w:tcBorders>
                    <w:tl2br w:val="nil"/>
                    <w:tr2bl w:val="nil"/>
                  </w:tcBorders>
                  <w:shd w:val="clear" w:color="auto" w:fill="auto"/>
                  <w:vAlign w:val="top"/>
                </w:tcPr>
                <w:p w14:paraId="171C7A9C">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ascii="Times New Roman" w:hAnsi="Times New Roman" w:eastAsia="宋体" w:cs="Times New Roman"/>
                      <w:i w:val="0"/>
                      <w:iCs w:val="0"/>
                      <w:color w:val="auto"/>
                      <w:kern w:val="2"/>
                      <w:sz w:val="18"/>
                      <w:szCs w:val="18"/>
                      <w:u w:val="single"/>
                      <w:vertAlign w:val="baseline"/>
                      <w:lang w:val="en-US" w:eastAsia="zh-CN" w:bidi="ar-SA"/>
                    </w:rPr>
                  </w:pPr>
                  <w:r>
                    <w:rPr>
                      <w:rFonts w:hint="default"/>
                      <w:color w:val="auto"/>
                      <w:sz w:val="18"/>
                      <w:szCs w:val="18"/>
                      <w:u w:val="single"/>
                      <w:lang w:val="en-US" w:eastAsia="zh-CN"/>
                    </w:rPr>
                    <w:t>植物除臭剂</w:t>
                  </w:r>
                </w:p>
              </w:tc>
              <w:tc>
                <w:tcPr>
                  <w:tcW w:w="1656" w:type="pct"/>
                  <w:tcBorders>
                    <w:tl2br w:val="nil"/>
                    <w:tr2bl w:val="nil"/>
                  </w:tcBorders>
                  <w:shd w:val="clear" w:color="auto" w:fill="auto"/>
                  <w:vAlign w:val="top"/>
                </w:tcPr>
                <w:p w14:paraId="29E7AF26">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ascii="Times New Roman" w:hAnsi="Times New Roman" w:eastAsia="宋体" w:cs="Times New Roman"/>
                      <w:i w:val="0"/>
                      <w:iCs w:val="0"/>
                      <w:color w:val="auto"/>
                      <w:kern w:val="2"/>
                      <w:sz w:val="18"/>
                      <w:szCs w:val="18"/>
                      <w:u w:val="single"/>
                      <w:vertAlign w:val="baseline"/>
                      <w:lang w:val="en-US" w:eastAsia="zh-CN" w:bidi="ar-SA"/>
                    </w:rPr>
                  </w:pPr>
                  <w:r>
                    <w:rPr>
                      <w:rFonts w:hint="default"/>
                      <w:color w:val="auto"/>
                      <w:sz w:val="18"/>
                      <w:szCs w:val="18"/>
                      <w:u w:val="single"/>
                      <w:lang w:val="en-US" w:eastAsia="zh-CN"/>
                    </w:rPr>
                    <w:t>治理措施完全一致，处理效率相同</w:t>
                  </w:r>
                </w:p>
              </w:tc>
            </w:tr>
            <w:tr w14:paraId="06AC7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0" w:type="pct"/>
                  <w:tcBorders>
                    <w:tl2br w:val="nil"/>
                    <w:tr2bl w:val="nil"/>
                  </w:tcBorders>
                  <w:vAlign w:val="top"/>
                </w:tcPr>
                <w:p w14:paraId="4062898A">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i w:val="0"/>
                      <w:iCs w:val="0"/>
                      <w:color w:val="auto"/>
                      <w:sz w:val="18"/>
                      <w:szCs w:val="18"/>
                      <w:u w:val="single"/>
                      <w:vertAlign w:val="baseline"/>
                      <w:lang w:val="en-US" w:eastAsia="zh-CN"/>
                    </w:rPr>
                  </w:pPr>
                  <w:r>
                    <w:rPr>
                      <w:rFonts w:hint="default"/>
                      <w:color w:val="auto"/>
                      <w:sz w:val="18"/>
                      <w:szCs w:val="18"/>
                      <w:u w:val="single"/>
                      <w:lang w:val="en-US" w:eastAsia="zh-CN"/>
                    </w:rPr>
                    <w:t>污染物监测数据</w:t>
                  </w:r>
                </w:p>
              </w:tc>
              <w:tc>
                <w:tcPr>
                  <w:tcW w:w="1035" w:type="pct"/>
                  <w:tcBorders>
                    <w:tl2br w:val="nil"/>
                    <w:tr2bl w:val="nil"/>
                  </w:tcBorders>
                  <w:shd w:val="clear" w:color="auto" w:fill="auto"/>
                  <w:vAlign w:val="top"/>
                </w:tcPr>
                <w:p w14:paraId="68D28C1E">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olor w:val="auto"/>
                      <w:sz w:val="18"/>
                      <w:szCs w:val="18"/>
                      <w:u w:val="single"/>
                      <w:lang w:val="en-US" w:eastAsia="zh-CN"/>
                    </w:rPr>
                  </w:pPr>
                  <w:r>
                    <w:rPr>
                      <w:rFonts w:hint="default"/>
                      <w:color w:val="auto"/>
                      <w:sz w:val="18"/>
                      <w:szCs w:val="18"/>
                      <w:u w:val="single"/>
                      <w:lang w:val="en-US" w:eastAsia="zh-CN"/>
                    </w:rPr>
                    <w:t>NH₃产生量 72kg/a，H₂S 产生量 18kg/a</w:t>
                  </w:r>
                </w:p>
              </w:tc>
              <w:tc>
                <w:tcPr>
                  <w:tcW w:w="1567" w:type="pct"/>
                  <w:tcBorders>
                    <w:tl2br w:val="nil"/>
                    <w:tr2bl w:val="nil"/>
                  </w:tcBorders>
                  <w:shd w:val="clear" w:color="auto" w:fill="auto"/>
                  <w:vAlign w:val="top"/>
                </w:tcPr>
                <w:p w14:paraId="387259A7">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olor w:val="auto"/>
                      <w:sz w:val="18"/>
                      <w:szCs w:val="18"/>
                      <w:u w:val="single"/>
                      <w:lang w:val="en-US" w:eastAsia="zh-CN"/>
                    </w:rPr>
                  </w:pPr>
                  <w:r>
                    <w:rPr>
                      <w:rFonts w:hint="eastAsia"/>
                      <w:color w:val="auto"/>
                      <w:sz w:val="18"/>
                      <w:szCs w:val="18"/>
                      <w:u w:val="single"/>
                      <w:lang w:val="en-US" w:eastAsia="zh-CN"/>
                    </w:rPr>
                    <w:t>类比修正数据：</w:t>
                  </w:r>
                </w:p>
                <w:p w14:paraId="13A39CD6">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olor w:val="auto"/>
                      <w:sz w:val="18"/>
                      <w:szCs w:val="18"/>
                      <w:u w:val="single"/>
                      <w:lang w:val="en-US" w:eastAsia="zh-CN"/>
                    </w:rPr>
                  </w:pPr>
                  <w:r>
                    <w:rPr>
                      <w:rFonts w:hint="eastAsia"/>
                      <w:color w:val="auto"/>
                      <w:sz w:val="18"/>
                      <w:szCs w:val="18"/>
                      <w:u w:val="single"/>
                      <w:lang w:val="en-US" w:eastAsia="zh-CN"/>
                    </w:rPr>
                    <w:t>NH</w:t>
                  </w:r>
                  <w:r>
                    <w:rPr>
                      <w:rFonts w:hint="eastAsia"/>
                      <w:color w:val="auto"/>
                      <w:sz w:val="18"/>
                      <w:szCs w:val="18"/>
                      <w:u w:val="single"/>
                      <w:vertAlign w:val="subscript"/>
                      <w:lang w:val="en-US" w:eastAsia="zh-CN"/>
                    </w:rPr>
                    <w:t>3</w:t>
                  </w:r>
                  <w:r>
                    <w:rPr>
                      <w:rFonts w:hint="eastAsia"/>
                      <w:color w:val="auto"/>
                      <w:sz w:val="18"/>
                      <w:szCs w:val="18"/>
                      <w:u w:val="single"/>
                      <w:lang w:val="en-US" w:eastAsia="zh-CN"/>
                    </w:rPr>
                    <w:t>产生量13.5kg/a，H</w:t>
                  </w:r>
                  <w:r>
                    <w:rPr>
                      <w:rFonts w:hint="eastAsia"/>
                      <w:color w:val="auto"/>
                      <w:sz w:val="18"/>
                      <w:szCs w:val="18"/>
                      <w:u w:val="single"/>
                      <w:vertAlign w:val="subscript"/>
                      <w:lang w:val="en-US" w:eastAsia="zh-CN"/>
                    </w:rPr>
                    <w:t>2</w:t>
                  </w:r>
                  <w:r>
                    <w:rPr>
                      <w:rFonts w:hint="eastAsia"/>
                      <w:color w:val="auto"/>
                      <w:sz w:val="18"/>
                      <w:szCs w:val="18"/>
                      <w:u w:val="single"/>
                      <w:lang w:val="en-US" w:eastAsia="zh-CN"/>
                    </w:rPr>
                    <w:t>S产生量为3.375kg/a</w:t>
                  </w:r>
                </w:p>
              </w:tc>
              <w:tc>
                <w:tcPr>
                  <w:tcW w:w="1656" w:type="pct"/>
                  <w:tcBorders>
                    <w:tl2br w:val="nil"/>
                    <w:tr2bl w:val="nil"/>
                  </w:tcBorders>
                  <w:shd w:val="clear" w:color="auto" w:fill="auto"/>
                  <w:vAlign w:val="top"/>
                </w:tcPr>
                <w:p w14:paraId="0E28ED2C">
                  <w:pPr>
                    <w:pStyle w:val="86"/>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olor w:val="auto"/>
                      <w:sz w:val="18"/>
                      <w:szCs w:val="18"/>
                      <w:u w:val="single"/>
                      <w:lang w:val="en-US" w:eastAsia="zh-CN"/>
                    </w:rPr>
                  </w:pPr>
                  <w:r>
                    <w:rPr>
                      <w:rFonts w:hint="eastAsia"/>
                      <w:color w:val="auto"/>
                      <w:sz w:val="18"/>
                      <w:szCs w:val="18"/>
                      <w:u w:val="single"/>
                      <w:lang w:val="en-US" w:eastAsia="zh-CN"/>
                    </w:rPr>
                    <w:t>/</w:t>
                  </w:r>
                </w:p>
              </w:tc>
            </w:tr>
          </w:tbl>
          <w:p w14:paraId="5C02746B">
            <w:pPr>
              <w:pStyle w:val="86"/>
              <w:adjustRightInd w:val="0"/>
              <w:snapToGrid w:val="0"/>
              <w:spacing w:line="360" w:lineRule="auto"/>
              <w:ind w:firstLine="200" w:firstLineChars="200"/>
              <w:rPr>
                <w:i w:val="0"/>
                <w:iCs w:val="0"/>
                <w:color w:val="auto"/>
                <w:sz w:val="10"/>
                <w:szCs w:val="10"/>
                <w:u w:val="single"/>
                <w:lang w:val="en-US" w:eastAsia="zh-CN"/>
              </w:rPr>
            </w:pPr>
          </w:p>
          <w:p w14:paraId="50248F4D">
            <w:pPr>
              <w:pStyle w:val="118"/>
              <w:spacing w:line="360" w:lineRule="auto"/>
              <w:ind w:firstLine="420" w:firstLineChars="200"/>
              <w:rPr>
                <w:rFonts w:hint="eastAsia" w:asci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根据上表可知，故本项目运营期</w:t>
            </w:r>
            <w:r>
              <w:rPr>
                <w:rFonts w:hint="eastAsia" w:ascii="Times New Roman" w:cs="Times New Roman"/>
                <w:color w:val="auto"/>
                <w:sz w:val="21"/>
                <w:szCs w:val="21"/>
                <w:highlight w:val="none"/>
                <w:u w:val="single"/>
                <w:lang w:val="en-US" w:eastAsia="zh-CN"/>
              </w:rPr>
              <w:t>NH</w:t>
            </w:r>
            <w:r>
              <w:rPr>
                <w:rFonts w:hint="eastAsia" w:ascii="Times New Roman" w:cs="Times New Roman"/>
                <w:color w:val="auto"/>
                <w:sz w:val="21"/>
                <w:szCs w:val="21"/>
                <w:highlight w:val="none"/>
                <w:u w:val="single"/>
                <w:vertAlign w:val="subscript"/>
                <w:lang w:val="en-US" w:eastAsia="zh-CN"/>
              </w:rPr>
              <w:t>3</w:t>
            </w:r>
            <w:r>
              <w:rPr>
                <w:rFonts w:hint="eastAsia" w:ascii="Times New Roman" w:cs="Times New Roman"/>
                <w:color w:val="auto"/>
                <w:sz w:val="21"/>
                <w:szCs w:val="21"/>
                <w:highlight w:val="none"/>
                <w:u w:val="single"/>
                <w:lang w:val="en-US" w:eastAsia="zh-CN"/>
              </w:rPr>
              <w:t>产生量为13.5kg/a、H</w:t>
            </w:r>
            <w:r>
              <w:rPr>
                <w:rFonts w:hint="eastAsia" w:ascii="Times New Roman" w:cs="Times New Roman"/>
                <w:color w:val="auto"/>
                <w:sz w:val="21"/>
                <w:szCs w:val="21"/>
                <w:highlight w:val="none"/>
                <w:u w:val="single"/>
                <w:vertAlign w:val="subscript"/>
                <w:lang w:val="en-US" w:eastAsia="zh-CN"/>
              </w:rPr>
              <w:t>2</w:t>
            </w:r>
            <w:r>
              <w:rPr>
                <w:rFonts w:hint="eastAsia" w:ascii="Times New Roman" w:cs="Times New Roman"/>
                <w:color w:val="auto"/>
                <w:sz w:val="21"/>
                <w:szCs w:val="21"/>
                <w:highlight w:val="none"/>
                <w:u w:val="single"/>
                <w:lang w:val="en-US" w:eastAsia="zh-CN"/>
              </w:rPr>
              <w:t>S产生量为3.375kg/a。</w:t>
            </w:r>
          </w:p>
          <w:p w14:paraId="293C809B">
            <w:pPr>
              <w:adjustRightInd w:val="0"/>
              <w:snapToGrid w:val="0"/>
              <w:spacing w:line="360" w:lineRule="auto"/>
              <w:ind w:firstLine="420" w:firstLineChars="200"/>
              <w:rPr>
                <w:color w:val="auto"/>
                <w:sz w:val="21"/>
                <w:szCs w:val="21"/>
                <w:highlight w:val="none"/>
                <w:u w:val="single"/>
              </w:rPr>
            </w:pPr>
            <w:r>
              <w:rPr>
                <w:rFonts w:hint="eastAsia"/>
                <w:color w:val="auto"/>
                <w:kern w:val="0"/>
                <w:sz w:val="21"/>
                <w:szCs w:val="21"/>
                <w:highlight w:val="none"/>
                <w:u w:val="single"/>
                <w:lang w:bidi="ar"/>
              </w:rPr>
              <w:t>发酵过程恶臭</w:t>
            </w:r>
            <w:r>
              <w:rPr>
                <w:rFonts w:hint="eastAsia"/>
                <w:color w:val="auto"/>
                <w:kern w:val="0"/>
                <w:sz w:val="21"/>
                <w:szCs w:val="21"/>
                <w:highlight w:val="none"/>
                <w:u w:val="single"/>
                <w:lang w:eastAsia="zh-CN" w:bidi="ar"/>
              </w:rPr>
              <w:t>采用植物型除臭剂喷洒处理，</w:t>
            </w:r>
            <w:r>
              <w:rPr>
                <w:rFonts w:hint="eastAsia"/>
                <w:bCs/>
                <w:color w:val="auto"/>
                <w:sz w:val="21"/>
                <w:szCs w:val="21"/>
                <w:highlight w:val="none"/>
                <w:u w:val="single"/>
              </w:rPr>
              <w:t>该类型</w:t>
            </w:r>
            <w:r>
              <w:rPr>
                <w:rFonts w:hint="eastAsia"/>
                <w:color w:val="auto"/>
                <w:sz w:val="21"/>
                <w:szCs w:val="21"/>
                <w:highlight w:val="none"/>
                <w:u w:val="single"/>
              </w:rPr>
              <w:t>除臭剂对H</w:t>
            </w:r>
            <w:r>
              <w:rPr>
                <w:rFonts w:hint="eastAsia"/>
                <w:color w:val="auto"/>
                <w:sz w:val="21"/>
                <w:szCs w:val="21"/>
                <w:highlight w:val="none"/>
                <w:u w:val="single"/>
                <w:vertAlign w:val="subscript"/>
              </w:rPr>
              <w:t>2</w:t>
            </w:r>
            <w:r>
              <w:rPr>
                <w:rFonts w:hint="eastAsia"/>
                <w:color w:val="auto"/>
                <w:sz w:val="21"/>
                <w:szCs w:val="21"/>
                <w:highlight w:val="none"/>
                <w:u w:val="single"/>
              </w:rPr>
              <w:t>S和NH</w:t>
            </w:r>
            <w:r>
              <w:rPr>
                <w:rFonts w:hint="eastAsia"/>
                <w:color w:val="auto"/>
                <w:sz w:val="21"/>
                <w:szCs w:val="21"/>
                <w:highlight w:val="none"/>
                <w:u w:val="single"/>
                <w:vertAlign w:val="subscript"/>
              </w:rPr>
              <w:t>3</w:t>
            </w:r>
            <w:r>
              <w:rPr>
                <w:rFonts w:hint="eastAsia"/>
                <w:color w:val="auto"/>
                <w:sz w:val="21"/>
                <w:szCs w:val="21"/>
                <w:highlight w:val="none"/>
                <w:u w:val="single"/>
              </w:rPr>
              <w:t>去除效率分别可达82%和72%（参考文献为《</w:t>
            </w:r>
            <w:r>
              <w:rPr>
                <w:rFonts w:hint="eastAsia" w:ascii="宋体" w:hAnsi="宋体"/>
                <w:color w:val="auto"/>
                <w:sz w:val="21"/>
                <w:szCs w:val="21"/>
                <w:highlight w:val="none"/>
                <w:u w:val="single"/>
              </w:rPr>
              <w:t>多种除臭剂对氨和硫化氢去除效果的试验</w:t>
            </w:r>
            <w:r>
              <w:rPr>
                <w:rFonts w:ascii="宋体" w:hAnsi="宋体"/>
                <w:color w:val="auto"/>
                <w:sz w:val="21"/>
                <w:szCs w:val="21"/>
                <w:highlight w:val="none"/>
                <w:u w:val="single"/>
              </w:rPr>
              <w:t>研究</w:t>
            </w:r>
            <w:r>
              <w:rPr>
                <w:rFonts w:hint="eastAsia"/>
                <w:color w:val="auto"/>
                <w:sz w:val="21"/>
                <w:szCs w:val="21"/>
                <w:highlight w:val="none"/>
                <w:u w:val="single"/>
              </w:rPr>
              <w:t>》（环境卫生工程，2016年12月第24卷第6期，丁湘蓉））。则发酵过程</w:t>
            </w:r>
            <w:r>
              <w:rPr>
                <w:rFonts w:hint="eastAsia"/>
                <w:color w:val="auto"/>
                <w:sz w:val="21"/>
                <w:szCs w:val="21"/>
                <w:highlight w:val="none"/>
                <w:u w:val="single"/>
                <w:lang w:bidi="ar"/>
              </w:rPr>
              <w:t>恶臭产排情况见下表：</w:t>
            </w:r>
          </w:p>
          <w:p w14:paraId="5E367B00">
            <w:pPr>
              <w:pStyle w:val="77"/>
              <w:adjustRightInd w:val="0"/>
              <w:snapToGrid w:val="0"/>
              <w:spacing w:line="240" w:lineRule="auto"/>
              <w:ind w:firstLine="420"/>
              <w:jc w:val="center"/>
              <w:rPr>
                <w:rFonts w:ascii="Times New Roman" w:hAnsi="Times New Roman" w:cs="Times New Roman"/>
                <w:i w:val="0"/>
                <w:iCs w:val="0"/>
                <w:color w:val="auto"/>
                <w:kern w:val="0"/>
                <w:sz w:val="21"/>
                <w:szCs w:val="21"/>
                <w:u w:val="single"/>
              </w:rPr>
            </w:pPr>
            <w:r>
              <w:rPr>
                <w:rFonts w:hint="eastAsia" w:ascii="Times New Roman" w:hAnsi="Times New Roman" w:cs="Times New Roman"/>
                <w:i w:val="0"/>
                <w:iCs w:val="0"/>
                <w:color w:val="auto"/>
                <w:kern w:val="0"/>
                <w:sz w:val="21"/>
                <w:szCs w:val="21"/>
                <w:u w:val="single"/>
              </w:rPr>
              <w:t>恶臭产生及排放情况</w:t>
            </w:r>
            <w:r>
              <w:rPr>
                <w:rFonts w:hint="eastAsia" w:ascii="Times New Roman" w:hAnsi="Times New Roman" w:cs="Times New Roman"/>
                <w:i w:val="0"/>
                <w:iCs w:val="0"/>
                <w:color w:val="auto"/>
                <w:kern w:val="0"/>
                <w:sz w:val="21"/>
                <w:szCs w:val="21"/>
                <w:u w:val="single"/>
                <w:lang w:eastAsia="zh-CN"/>
              </w:rPr>
              <w:t>一览</w:t>
            </w:r>
            <w:r>
              <w:rPr>
                <w:rFonts w:hint="eastAsia" w:ascii="Times New Roman" w:hAnsi="Times New Roman" w:cs="Times New Roman"/>
                <w:i w:val="0"/>
                <w:iCs w:val="0"/>
                <w:color w:val="auto"/>
                <w:kern w:val="0"/>
                <w:sz w:val="21"/>
                <w:szCs w:val="21"/>
                <w:u w:val="single"/>
              </w:rPr>
              <w:t>表</w:t>
            </w:r>
          </w:p>
          <w:tbl>
            <w:tblPr>
              <w:tblStyle w:val="29"/>
              <w:tblW w:w="7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944"/>
              <w:gridCol w:w="898"/>
              <w:gridCol w:w="1295"/>
              <w:gridCol w:w="1153"/>
              <w:gridCol w:w="1153"/>
              <w:gridCol w:w="1287"/>
            </w:tblGrid>
            <w:tr w14:paraId="07BC0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87" w:type="dxa"/>
                  <w:noWrap w:val="0"/>
                  <w:vAlign w:val="center"/>
                </w:tcPr>
                <w:p w14:paraId="38553602">
                  <w:pPr>
                    <w:jc w:val="center"/>
                    <w:rPr>
                      <w:color w:val="auto"/>
                      <w:sz w:val="18"/>
                      <w:szCs w:val="18"/>
                      <w:highlight w:val="none"/>
                      <w:u w:val="single"/>
                    </w:rPr>
                  </w:pPr>
                  <w:r>
                    <w:rPr>
                      <w:rFonts w:hint="eastAsia"/>
                      <w:color w:val="auto"/>
                      <w:sz w:val="18"/>
                      <w:szCs w:val="18"/>
                      <w:highlight w:val="none"/>
                      <w:u w:val="single"/>
                    </w:rPr>
                    <w:t>排放形式</w:t>
                  </w:r>
                </w:p>
              </w:tc>
              <w:tc>
                <w:tcPr>
                  <w:tcW w:w="944" w:type="dxa"/>
                  <w:noWrap w:val="0"/>
                  <w:vAlign w:val="center"/>
                </w:tcPr>
                <w:p w14:paraId="4E53B188">
                  <w:pPr>
                    <w:jc w:val="center"/>
                    <w:rPr>
                      <w:color w:val="auto"/>
                      <w:sz w:val="18"/>
                      <w:szCs w:val="18"/>
                      <w:highlight w:val="none"/>
                      <w:u w:val="single"/>
                    </w:rPr>
                  </w:pPr>
                  <w:r>
                    <w:rPr>
                      <w:rFonts w:hint="eastAsia"/>
                      <w:color w:val="auto"/>
                      <w:sz w:val="18"/>
                      <w:szCs w:val="18"/>
                      <w:highlight w:val="none"/>
                      <w:u w:val="single"/>
                    </w:rPr>
                    <w:t>污染物</w:t>
                  </w:r>
                </w:p>
              </w:tc>
              <w:tc>
                <w:tcPr>
                  <w:tcW w:w="898" w:type="dxa"/>
                  <w:noWrap w:val="0"/>
                  <w:vAlign w:val="center"/>
                </w:tcPr>
                <w:p w14:paraId="1F0BB51D">
                  <w:pPr>
                    <w:jc w:val="center"/>
                    <w:rPr>
                      <w:color w:val="auto"/>
                      <w:sz w:val="18"/>
                      <w:szCs w:val="18"/>
                      <w:highlight w:val="none"/>
                      <w:u w:val="single"/>
                    </w:rPr>
                  </w:pPr>
                  <w:r>
                    <w:rPr>
                      <w:rFonts w:hint="eastAsia"/>
                      <w:color w:val="auto"/>
                      <w:sz w:val="18"/>
                      <w:szCs w:val="18"/>
                      <w:highlight w:val="none"/>
                      <w:u w:val="single"/>
                    </w:rPr>
                    <w:t>产生量kg/a</w:t>
                  </w:r>
                </w:p>
              </w:tc>
              <w:tc>
                <w:tcPr>
                  <w:tcW w:w="1295" w:type="dxa"/>
                  <w:noWrap w:val="0"/>
                  <w:vAlign w:val="center"/>
                </w:tcPr>
                <w:p w14:paraId="6695A913">
                  <w:pPr>
                    <w:jc w:val="center"/>
                    <w:rPr>
                      <w:color w:val="auto"/>
                      <w:sz w:val="18"/>
                      <w:szCs w:val="18"/>
                      <w:highlight w:val="none"/>
                      <w:u w:val="single"/>
                    </w:rPr>
                  </w:pPr>
                  <w:r>
                    <w:rPr>
                      <w:rFonts w:hint="eastAsia"/>
                      <w:color w:val="auto"/>
                      <w:sz w:val="18"/>
                      <w:szCs w:val="18"/>
                      <w:highlight w:val="none"/>
                      <w:u w:val="single"/>
                    </w:rPr>
                    <w:t>产生速率kg/h</w:t>
                  </w:r>
                </w:p>
              </w:tc>
              <w:tc>
                <w:tcPr>
                  <w:tcW w:w="1153" w:type="dxa"/>
                  <w:noWrap w:val="0"/>
                  <w:vAlign w:val="center"/>
                </w:tcPr>
                <w:p w14:paraId="4308FE8F">
                  <w:pPr>
                    <w:jc w:val="center"/>
                    <w:rPr>
                      <w:color w:val="auto"/>
                      <w:sz w:val="18"/>
                      <w:szCs w:val="18"/>
                      <w:highlight w:val="none"/>
                      <w:u w:val="single"/>
                    </w:rPr>
                  </w:pPr>
                  <w:r>
                    <w:rPr>
                      <w:rFonts w:hint="eastAsia"/>
                      <w:color w:val="auto"/>
                      <w:sz w:val="18"/>
                      <w:szCs w:val="18"/>
                      <w:highlight w:val="none"/>
                      <w:u w:val="single"/>
                    </w:rPr>
                    <w:t>处理措施</w:t>
                  </w:r>
                </w:p>
              </w:tc>
              <w:tc>
                <w:tcPr>
                  <w:tcW w:w="1153" w:type="dxa"/>
                  <w:noWrap w:val="0"/>
                  <w:vAlign w:val="center"/>
                </w:tcPr>
                <w:p w14:paraId="1C193EB6">
                  <w:pPr>
                    <w:jc w:val="center"/>
                    <w:rPr>
                      <w:color w:val="auto"/>
                      <w:sz w:val="18"/>
                      <w:szCs w:val="18"/>
                      <w:highlight w:val="none"/>
                      <w:u w:val="single"/>
                    </w:rPr>
                  </w:pPr>
                  <w:r>
                    <w:rPr>
                      <w:rFonts w:hint="eastAsia"/>
                      <w:color w:val="auto"/>
                      <w:sz w:val="18"/>
                      <w:szCs w:val="18"/>
                      <w:highlight w:val="none"/>
                      <w:u w:val="single"/>
                    </w:rPr>
                    <w:t>排放量kg/a</w:t>
                  </w:r>
                </w:p>
              </w:tc>
              <w:tc>
                <w:tcPr>
                  <w:tcW w:w="1287" w:type="dxa"/>
                  <w:noWrap w:val="0"/>
                  <w:vAlign w:val="center"/>
                </w:tcPr>
                <w:p w14:paraId="10166610">
                  <w:pPr>
                    <w:jc w:val="center"/>
                    <w:rPr>
                      <w:color w:val="auto"/>
                      <w:sz w:val="18"/>
                      <w:szCs w:val="18"/>
                      <w:highlight w:val="none"/>
                      <w:u w:val="single"/>
                    </w:rPr>
                  </w:pPr>
                  <w:r>
                    <w:rPr>
                      <w:rFonts w:hint="eastAsia"/>
                      <w:color w:val="auto"/>
                      <w:sz w:val="18"/>
                      <w:szCs w:val="18"/>
                      <w:highlight w:val="none"/>
                      <w:u w:val="single"/>
                    </w:rPr>
                    <w:t>排放速率kg/h</w:t>
                  </w:r>
                </w:p>
              </w:tc>
            </w:tr>
            <w:tr w14:paraId="05FCA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87" w:type="dxa"/>
                  <w:vMerge w:val="restart"/>
                  <w:noWrap w:val="0"/>
                  <w:vAlign w:val="center"/>
                </w:tcPr>
                <w:p w14:paraId="26A1B749">
                  <w:pPr>
                    <w:jc w:val="center"/>
                    <w:rPr>
                      <w:color w:val="auto"/>
                      <w:sz w:val="18"/>
                      <w:szCs w:val="18"/>
                      <w:highlight w:val="none"/>
                      <w:u w:val="single"/>
                    </w:rPr>
                  </w:pPr>
                  <w:r>
                    <w:rPr>
                      <w:rFonts w:hint="eastAsia"/>
                      <w:color w:val="auto"/>
                      <w:sz w:val="18"/>
                      <w:szCs w:val="18"/>
                      <w:highlight w:val="none"/>
                      <w:u w:val="single"/>
                      <w:lang w:eastAsia="zh-CN"/>
                    </w:rPr>
                    <w:t>无</w:t>
                  </w:r>
                  <w:r>
                    <w:rPr>
                      <w:rFonts w:hint="eastAsia"/>
                      <w:color w:val="auto"/>
                      <w:sz w:val="18"/>
                      <w:szCs w:val="18"/>
                      <w:highlight w:val="none"/>
                      <w:u w:val="single"/>
                    </w:rPr>
                    <w:t>组织</w:t>
                  </w:r>
                </w:p>
              </w:tc>
              <w:tc>
                <w:tcPr>
                  <w:tcW w:w="944" w:type="dxa"/>
                  <w:noWrap w:val="0"/>
                  <w:vAlign w:val="center"/>
                </w:tcPr>
                <w:p w14:paraId="1C0A44BA">
                  <w:pPr>
                    <w:jc w:val="center"/>
                    <w:rPr>
                      <w:color w:val="auto"/>
                      <w:sz w:val="18"/>
                      <w:szCs w:val="18"/>
                      <w:highlight w:val="none"/>
                      <w:u w:val="single"/>
                    </w:rPr>
                  </w:pPr>
                  <w:r>
                    <w:rPr>
                      <w:rFonts w:hint="eastAsia"/>
                      <w:color w:val="auto"/>
                      <w:sz w:val="18"/>
                      <w:szCs w:val="18"/>
                      <w:highlight w:val="none"/>
                      <w:u w:val="single"/>
                    </w:rPr>
                    <w:t>NH</w:t>
                  </w:r>
                  <w:r>
                    <w:rPr>
                      <w:rFonts w:hint="eastAsia"/>
                      <w:color w:val="auto"/>
                      <w:sz w:val="18"/>
                      <w:szCs w:val="18"/>
                      <w:highlight w:val="none"/>
                      <w:u w:val="single"/>
                      <w:vertAlign w:val="subscript"/>
                    </w:rPr>
                    <w:t>3</w:t>
                  </w:r>
                </w:p>
              </w:tc>
              <w:tc>
                <w:tcPr>
                  <w:tcW w:w="898" w:type="dxa"/>
                  <w:noWrap w:val="0"/>
                  <w:vAlign w:val="center"/>
                </w:tcPr>
                <w:p w14:paraId="02E250F6">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13.5</w:t>
                  </w:r>
                </w:p>
              </w:tc>
              <w:tc>
                <w:tcPr>
                  <w:tcW w:w="1295" w:type="dxa"/>
                  <w:noWrap w:val="0"/>
                  <w:vAlign w:val="center"/>
                </w:tcPr>
                <w:p w14:paraId="0EDBD690">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0.0068</w:t>
                  </w:r>
                </w:p>
              </w:tc>
              <w:tc>
                <w:tcPr>
                  <w:tcW w:w="1153" w:type="dxa"/>
                  <w:noWrap w:val="0"/>
                  <w:vAlign w:val="center"/>
                </w:tcPr>
                <w:p w14:paraId="64BA660A">
                  <w:pPr>
                    <w:jc w:val="center"/>
                    <w:rPr>
                      <w:color w:val="auto"/>
                      <w:sz w:val="18"/>
                      <w:szCs w:val="18"/>
                      <w:highlight w:val="none"/>
                      <w:u w:val="single"/>
                    </w:rPr>
                  </w:pPr>
                  <w:r>
                    <w:rPr>
                      <w:rFonts w:hint="eastAsia"/>
                      <w:color w:val="auto"/>
                      <w:sz w:val="18"/>
                      <w:szCs w:val="18"/>
                      <w:highlight w:val="none"/>
                      <w:u w:val="single"/>
                    </w:rPr>
                    <w:t>喷洒除臭剂（72%）</w:t>
                  </w:r>
                </w:p>
              </w:tc>
              <w:tc>
                <w:tcPr>
                  <w:tcW w:w="1153" w:type="dxa"/>
                  <w:noWrap w:val="0"/>
                  <w:vAlign w:val="center"/>
                </w:tcPr>
                <w:p w14:paraId="1E2583BB">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3.78</w:t>
                  </w:r>
                </w:p>
              </w:tc>
              <w:tc>
                <w:tcPr>
                  <w:tcW w:w="1287" w:type="dxa"/>
                  <w:noWrap w:val="0"/>
                  <w:vAlign w:val="center"/>
                </w:tcPr>
                <w:p w14:paraId="79CF6EBA">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0.0019</w:t>
                  </w:r>
                </w:p>
              </w:tc>
            </w:tr>
            <w:tr w14:paraId="43C6F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87" w:type="dxa"/>
                  <w:vMerge w:val="continue"/>
                  <w:noWrap w:val="0"/>
                  <w:vAlign w:val="center"/>
                </w:tcPr>
                <w:p w14:paraId="25EEB609">
                  <w:pPr>
                    <w:jc w:val="center"/>
                    <w:rPr>
                      <w:color w:val="auto"/>
                      <w:sz w:val="18"/>
                      <w:szCs w:val="18"/>
                      <w:highlight w:val="none"/>
                      <w:u w:val="single"/>
                    </w:rPr>
                  </w:pPr>
                </w:p>
              </w:tc>
              <w:tc>
                <w:tcPr>
                  <w:tcW w:w="944" w:type="dxa"/>
                  <w:noWrap w:val="0"/>
                  <w:vAlign w:val="center"/>
                </w:tcPr>
                <w:p w14:paraId="5C77402E">
                  <w:pPr>
                    <w:jc w:val="center"/>
                    <w:rPr>
                      <w:color w:val="auto"/>
                      <w:sz w:val="18"/>
                      <w:szCs w:val="18"/>
                      <w:highlight w:val="none"/>
                      <w:u w:val="single"/>
                    </w:rPr>
                  </w:pPr>
                  <w:r>
                    <w:rPr>
                      <w:rFonts w:hint="eastAsia"/>
                      <w:color w:val="auto"/>
                      <w:sz w:val="18"/>
                      <w:szCs w:val="18"/>
                      <w:highlight w:val="none"/>
                      <w:u w:val="single"/>
                    </w:rPr>
                    <w:t>H</w:t>
                  </w:r>
                  <w:r>
                    <w:rPr>
                      <w:rFonts w:hint="eastAsia"/>
                      <w:color w:val="auto"/>
                      <w:sz w:val="18"/>
                      <w:szCs w:val="18"/>
                      <w:highlight w:val="none"/>
                      <w:u w:val="single"/>
                      <w:vertAlign w:val="subscript"/>
                    </w:rPr>
                    <w:t>2</w:t>
                  </w:r>
                  <w:r>
                    <w:rPr>
                      <w:rFonts w:hint="eastAsia"/>
                      <w:color w:val="auto"/>
                      <w:sz w:val="18"/>
                      <w:szCs w:val="18"/>
                      <w:highlight w:val="none"/>
                      <w:u w:val="single"/>
                    </w:rPr>
                    <w:t>S</w:t>
                  </w:r>
                </w:p>
              </w:tc>
              <w:tc>
                <w:tcPr>
                  <w:tcW w:w="898" w:type="dxa"/>
                  <w:noWrap w:val="0"/>
                  <w:vAlign w:val="center"/>
                </w:tcPr>
                <w:p w14:paraId="0F74A1B3">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3.375</w:t>
                  </w:r>
                </w:p>
              </w:tc>
              <w:tc>
                <w:tcPr>
                  <w:tcW w:w="1295" w:type="dxa"/>
                  <w:noWrap w:val="0"/>
                  <w:vAlign w:val="center"/>
                </w:tcPr>
                <w:p w14:paraId="575F23DA">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0.0017</w:t>
                  </w:r>
                </w:p>
              </w:tc>
              <w:tc>
                <w:tcPr>
                  <w:tcW w:w="1153" w:type="dxa"/>
                  <w:noWrap w:val="0"/>
                  <w:vAlign w:val="center"/>
                </w:tcPr>
                <w:p w14:paraId="51ED5A58">
                  <w:pPr>
                    <w:jc w:val="center"/>
                    <w:rPr>
                      <w:color w:val="auto"/>
                      <w:sz w:val="18"/>
                      <w:szCs w:val="18"/>
                      <w:highlight w:val="none"/>
                      <w:u w:val="single"/>
                    </w:rPr>
                  </w:pPr>
                  <w:r>
                    <w:rPr>
                      <w:rFonts w:hint="eastAsia"/>
                      <w:color w:val="auto"/>
                      <w:sz w:val="18"/>
                      <w:szCs w:val="18"/>
                      <w:highlight w:val="none"/>
                      <w:u w:val="single"/>
                    </w:rPr>
                    <w:t>喷洒除臭剂（82%）</w:t>
                  </w:r>
                </w:p>
              </w:tc>
              <w:tc>
                <w:tcPr>
                  <w:tcW w:w="1153" w:type="dxa"/>
                  <w:noWrap w:val="0"/>
                  <w:vAlign w:val="center"/>
                </w:tcPr>
                <w:p w14:paraId="1568EDBA">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0.6075</w:t>
                  </w:r>
                </w:p>
              </w:tc>
              <w:tc>
                <w:tcPr>
                  <w:tcW w:w="1287" w:type="dxa"/>
                  <w:noWrap w:val="0"/>
                  <w:vAlign w:val="center"/>
                </w:tcPr>
                <w:p w14:paraId="53F6E790">
                  <w:pPr>
                    <w:jc w:val="center"/>
                    <w:rPr>
                      <w:rFonts w:hint="default" w:eastAsia="宋体"/>
                      <w:color w:val="auto"/>
                      <w:sz w:val="18"/>
                      <w:szCs w:val="18"/>
                      <w:highlight w:val="none"/>
                      <w:u w:val="single"/>
                      <w:lang w:val="en-US" w:eastAsia="zh-CN"/>
                    </w:rPr>
                  </w:pPr>
                  <w:r>
                    <w:rPr>
                      <w:rFonts w:hint="eastAsia"/>
                      <w:color w:val="auto"/>
                      <w:sz w:val="18"/>
                      <w:szCs w:val="18"/>
                      <w:highlight w:val="none"/>
                      <w:u w:val="single"/>
                      <w:lang w:val="en-US" w:eastAsia="zh-CN"/>
                    </w:rPr>
                    <w:t>0.0003</w:t>
                  </w:r>
                </w:p>
              </w:tc>
            </w:tr>
          </w:tbl>
          <w:p w14:paraId="72A5CCB7">
            <w:pPr>
              <w:pStyle w:val="86"/>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u w:val="single"/>
                <w:lang w:val="en-US" w:eastAsia="zh-CN" w:bidi="ar-SA"/>
              </w:rPr>
            </w:pPr>
            <w:r>
              <w:rPr>
                <w:rFonts w:hint="eastAsia" w:ascii="Times New Roman" w:hAnsi="Times New Roman" w:eastAsia="宋体" w:cs="Times New Roman"/>
                <w:color w:val="auto"/>
                <w:kern w:val="0"/>
                <w:sz w:val="21"/>
                <w:szCs w:val="21"/>
                <w:highlight w:val="none"/>
                <w:u w:val="single"/>
                <w:lang w:val="en-US" w:eastAsia="zh-CN" w:bidi="ar-SA"/>
              </w:rPr>
              <w:t>根据上表可知，厂界废气浓度满足《恶臭污染物排放标准》（GB14554-93）中限值要求。</w:t>
            </w:r>
          </w:p>
          <w:p w14:paraId="5343166E">
            <w:pPr>
              <w:pStyle w:val="9"/>
              <w:adjustRightInd w:val="0"/>
              <w:snapToGrid w:val="0"/>
              <w:spacing w:line="336" w:lineRule="auto"/>
              <w:ind w:firstLine="420" w:firstLineChars="200"/>
              <w:jc w:val="both"/>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宋体" w:eastAsia="宋体" w:cs="Times New Roman"/>
                <w:i w:val="0"/>
                <w:iCs w:val="0"/>
                <w:color w:val="auto"/>
                <w:sz w:val="21"/>
                <w:szCs w:val="21"/>
                <w:u w:val="none"/>
                <w:lang w:val="en-US" w:eastAsia="zh-CN"/>
              </w:rPr>
              <w:t>（2）破碎筛分粉尘</w:t>
            </w:r>
          </w:p>
          <w:p w14:paraId="2107C7A7">
            <w:pPr>
              <w:pStyle w:val="14"/>
              <w:adjustRightInd w:val="0"/>
              <w:snapToGrid w:val="0"/>
              <w:spacing w:line="360" w:lineRule="auto"/>
              <w:ind w:firstLine="420" w:firstLineChars="200"/>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Times New Roman"/>
                <w:i w:val="0"/>
                <w:iCs w:val="0"/>
                <w:color w:val="auto"/>
                <w:sz w:val="21"/>
                <w:szCs w:val="21"/>
                <w:u w:val="none"/>
                <w:lang w:val="en-US" w:eastAsia="zh-CN" w:bidi="ar-SA"/>
              </w:rPr>
              <w:t>破碎筛分过程会产生粉尘，破碎筛分过程均在密闭粉料机、滚筒筛内进行，产生的粉尘集中收集后，通过布袋除尘器进行处理，</w:t>
            </w:r>
            <w:r>
              <w:rPr>
                <w:rFonts w:hint="eastAsia" w:ascii="Times New Roman" w:hAnsi="Times New Roman" w:cs="Times New Roman"/>
                <w:i w:val="0"/>
                <w:iCs w:val="0"/>
                <w:color w:val="auto"/>
                <w:sz w:val="21"/>
                <w:szCs w:val="21"/>
                <w:u w:val="none"/>
                <w:lang w:val="en-US" w:eastAsia="zh-CN" w:bidi="ar-SA"/>
              </w:rPr>
              <w:t>处理效率为99%，</w:t>
            </w:r>
            <w:r>
              <w:rPr>
                <w:rFonts w:hint="eastAsia" w:ascii="Times New Roman" w:hAnsi="Times New Roman" w:eastAsia="宋体" w:cs="Times New Roman"/>
                <w:i w:val="0"/>
                <w:iCs w:val="0"/>
                <w:color w:val="auto"/>
                <w:sz w:val="21"/>
                <w:szCs w:val="21"/>
                <w:u w:val="none"/>
                <w:lang w:val="en-US" w:eastAsia="zh-CN" w:bidi="ar-SA"/>
              </w:rPr>
              <w:t>处理后的废气通过1根15m高排气筒（DA00</w:t>
            </w:r>
            <w:r>
              <w:rPr>
                <w:rFonts w:hint="eastAsia" w:ascii="Times New Roman" w:hAnsi="Times New Roman" w:cs="Times New Roman"/>
                <w:i w:val="0"/>
                <w:iCs w:val="0"/>
                <w:color w:val="auto"/>
                <w:sz w:val="21"/>
                <w:szCs w:val="21"/>
                <w:u w:val="none"/>
                <w:lang w:val="en-US" w:eastAsia="zh-CN" w:bidi="ar-SA"/>
              </w:rPr>
              <w:t>1</w:t>
            </w:r>
            <w:r>
              <w:rPr>
                <w:rFonts w:hint="eastAsia" w:ascii="Times New Roman" w:hAnsi="Times New Roman" w:eastAsia="宋体" w:cs="Times New Roman"/>
                <w:i w:val="0"/>
                <w:iCs w:val="0"/>
                <w:color w:val="auto"/>
                <w:sz w:val="21"/>
                <w:szCs w:val="21"/>
                <w:u w:val="none"/>
                <w:lang w:val="en-US" w:eastAsia="zh-CN" w:bidi="ar-SA"/>
              </w:rPr>
              <w:t>）排放。参照《2625有机肥及微生物肥制造业行业系数表》颗粒物产污系数为0.37千克/吨-</w:t>
            </w:r>
            <w:r>
              <w:rPr>
                <w:rFonts w:hint="eastAsia"/>
                <w:i w:val="0"/>
                <w:iCs w:val="0"/>
                <w:color w:val="auto"/>
                <w:highlight w:val="none"/>
                <w:u w:val="none"/>
                <w:lang w:val="en-US" w:eastAsia="zh-CN"/>
              </w:rPr>
              <w:t>产品，项</w:t>
            </w:r>
            <w:r>
              <w:rPr>
                <w:rFonts w:hint="eastAsia" w:ascii="Times New Roman" w:hAnsi="Times New Roman" w:eastAsia="宋体" w:cs="Times New Roman"/>
                <w:i w:val="0"/>
                <w:iCs w:val="0"/>
                <w:color w:val="auto"/>
                <w:sz w:val="21"/>
                <w:szCs w:val="21"/>
                <w:u w:val="none"/>
                <w:lang w:val="en-US" w:eastAsia="zh-CN" w:bidi="ar-SA"/>
              </w:rPr>
              <w:t>目产品为1.5万</w:t>
            </w:r>
            <w:r>
              <w:rPr>
                <w:rFonts w:hint="eastAsia"/>
                <w:i w:val="0"/>
                <w:iCs w:val="0"/>
                <w:color w:val="auto"/>
                <w:highlight w:val="none"/>
                <w:u w:val="none"/>
                <w:lang w:val="en-US" w:eastAsia="zh-CN"/>
              </w:rPr>
              <w:t>吨，粉尘</w:t>
            </w:r>
            <w:r>
              <w:rPr>
                <w:rFonts w:hint="eastAsia" w:ascii="Times New Roman" w:hAnsi="Times New Roman" w:eastAsia="宋体" w:cs="Times New Roman"/>
                <w:i w:val="0"/>
                <w:iCs w:val="0"/>
                <w:color w:val="auto"/>
                <w:sz w:val="21"/>
                <w:szCs w:val="21"/>
                <w:u w:val="none"/>
                <w:lang w:val="en-US" w:eastAsia="zh-CN" w:bidi="ar-SA"/>
              </w:rPr>
              <w:t>产生量为</w:t>
            </w:r>
            <w:r>
              <w:rPr>
                <w:rFonts w:hint="eastAsia" w:ascii="Times New Roman" w:hAnsi="Times New Roman" w:cs="Times New Roman"/>
                <w:i w:val="0"/>
                <w:iCs w:val="0"/>
                <w:color w:val="auto"/>
                <w:sz w:val="21"/>
                <w:szCs w:val="21"/>
                <w:u w:val="none"/>
                <w:lang w:val="en-US" w:eastAsia="zh-CN" w:bidi="ar-SA"/>
              </w:rPr>
              <w:t>5.55</w:t>
            </w:r>
            <w:r>
              <w:rPr>
                <w:rFonts w:hint="eastAsia" w:ascii="Times New Roman" w:hAnsi="Times New Roman" w:eastAsia="宋体" w:cs="Times New Roman"/>
                <w:i w:val="0"/>
                <w:iCs w:val="0"/>
                <w:color w:val="auto"/>
                <w:sz w:val="21"/>
                <w:szCs w:val="21"/>
                <w:u w:val="none"/>
                <w:lang w:val="en-US" w:eastAsia="zh-CN" w:bidi="ar-SA"/>
              </w:rPr>
              <w:t>t/a，风机风量为5000m</w:t>
            </w:r>
            <w:r>
              <w:rPr>
                <w:rFonts w:hint="eastAsia" w:ascii="Times New Roman" w:hAnsi="Times New Roman" w:eastAsia="宋体" w:cs="Times New Roman"/>
                <w:i w:val="0"/>
                <w:iCs w:val="0"/>
                <w:color w:val="auto"/>
                <w:sz w:val="21"/>
                <w:szCs w:val="21"/>
                <w:u w:val="none"/>
                <w:vertAlign w:val="superscript"/>
                <w:lang w:val="en-US" w:eastAsia="zh-CN" w:bidi="ar-SA"/>
              </w:rPr>
              <w:t>3</w:t>
            </w:r>
            <w:r>
              <w:rPr>
                <w:rFonts w:hint="eastAsia" w:ascii="Times New Roman" w:hAnsi="Times New Roman" w:eastAsia="宋体" w:cs="Times New Roman"/>
                <w:i w:val="0"/>
                <w:iCs w:val="0"/>
                <w:color w:val="auto"/>
                <w:sz w:val="21"/>
                <w:szCs w:val="21"/>
                <w:u w:val="none"/>
                <w:lang w:val="en-US" w:eastAsia="zh-CN" w:bidi="ar-SA"/>
              </w:rPr>
              <w:t>/h，具体详见下表。</w:t>
            </w:r>
          </w:p>
          <w:p w14:paraId="152B46D8">
            <w:pPr>
              <w:pStyle w:val="77"/>
              <w:adjustRightInd w:val="0"/>
              <w:snapToGrid w:val="0"/>
              <w:spacing w:line="240" w:lineRule="auto"/>
              <w:ind w:firstLine="420"/>
              <w:jc w:val="center"/>
              <w:rPr>
                <w:rFonts w:ascii="Times New Roman" w:hAnsi="Times New Roman" w:cs="Times New Roman"/>
                <w:i w:val="0"/>
                <w:iCs w:val="0"/>
                <w:color w:val="auto"/>
                <w:kern w:val="0"/>
                <w:sz w:val="21"/>
                <w:szCs w:val="21"/>
                <w:u w:val="none"/>
              </w:rPr>
            </w:pPr>
            <w:r>
              <w:rPr>
                <w:rFonts w:hint="eastAsia" w:ascii="Times New Roman" w:hAnsi="Times New Roman" w:cs="Times New Roman"/>
                <w:i w:val="0"/>
                <w:iCs w:val="0"/>
                <w:color w:val="auto"/>
                <w:kern w:val="0"/>
                <w:sz w:val="21"/>
                <w:szCs w:val="21"/>
                <w:u w:val="none"/>
              </w:rPr>
              <w:t>废气产生及排放情况一览表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566"/>
              <w:gridCol w:w="2663"/>
              <w:gridCol w:w="2716"/>
            </w:tblGrid>
            <w:tr w14:paraId="73F65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1" w:type="pct"/>
                  <w:vAlign w:val="center"/>
                </w:tcPr>
                <w:p w14:paraId="46966BEE">
                  <w:pPr>
                    <w:pStyle w:val="77"/>
                    <w:adjustRightInd w:val="0"/>
                    <w:snapToGrid w:val="0"/>
                    <w:spacing w:line="240" w:lineRule="auto"/>
                    <w:ind w:firstLine="0" w:firstLineChars="0"/>
                    <w:jc w:val="center"/>
                    <w:rPr>
                      <w:rFonts w:ascii="Times New Roman" w:hAnsi="Times New Roman" w:cs="Times New Roman"/>
                      <w:i w:val="0"/>
                      <w:iCs w:val="0"/>
                      <w:color w:val="auto"/>
                      <w:sz w:val="18"/>
                      <w:szCs w:val="18"/>
                      <w:u w:val="none"/>
                    </w:rPr>
                  </w:pPr>
                  <w:r>
                    <w:rPr>
                      <w:rFonts w:ascii="Times New Roman" w:hAnsi="Times New Roman" w:cs="Times New Roman"/>
                      <w:i w:val="0"/>
                      <w:iCs w:val="0"/>
                      <w:color w:val="auto"/>
                      <w:sz w:val="18"/>
                      <w:szCs w:val="18"/>
                      <w:u w:val="none"/>
                    </w:rPr>
                    <w:t>污染物名称</w:t>
                  </w:r>
                </w:p>
              </w:tc>
              <w:tc>
                <w:tcPr>
                  <w:tcW w:w="996" w:type="pct"/>
                  <w:vAlign w:val="center"/>
                </w:tcPr>
                <w:p w14:paraId="0E311528">
                  <w:pPr>
                    <w:autoSpaceDE w:val="0"/>
                    <w:autoSpaceDN w:val="0"/>
                    <w:adjustRightInd w:val="0"/>
                    <w:snapToGrid w:val="0"/>
                    <w:jc w:val="center"/>
                    <w:rPr>
                      <w:i w:val="0"/>
                      <w:iCs w:val="0"/>
                      <w:color w:val="auto"/>
                      <w:sz w:val="18"/>
                      <w:szCs w:val="18"/>
                      <w:u w:val="none"/>
                    </w:rPr>
                  </w:pPr>
                  <w:r>
                    <w:rPr>
                      <w:i w:val="0"/>
                      <w:iCs w:val="0"/>
                      <w:color w:val="auto"/>
                      <w:sz w:val="18"/>
                      <w:szCs w:val="18"/>
                      <w:u w:val="none"/>
                    </w:rPr>
                    <w:t>处理前排放浓度及排放量</w:t>
                  </w:r>
                </w:p>
              </w:tc>
              <w:tc>
                <w:tcPr>
                  <w:tcW w:w="1694" w:type="pct"/>
                  <w:vAlign w:val="center"/>
                </w:tcPr>
                <w:p w14:paraId="4041E9E3">
                  <w:pPr>
                    <w:pStyle w:val="77"/>
                    <w:adjustRightInd w:val="0"/>
                    <w:snapToGrid w:val="0"/>
                    <w:spacing w:line="240" w:lineRule="auto"/>
                    <w:ind w:firstLine="0" w:firstLineChars="0"/>
                    <w:jc w:val="center"/>
                    <w:rPr>
                      <w:rFonts w:ascii="Times New Roman" w:hAnsi="Times New Roman" w:cs="Times New Roman"/>
                      <w:i w:val="0"/>
                      <w:iCs w:val="0"/>
                      <w:color w:val="auto"/>
                      <w:sz w:val="18"/>
                      <w:szCs w:val="18"/>
                      <w:u w:val="none"/>
                    </w:rPr>
                  </w:pPr>
                  <w:r>
                    <w:rPr>
                      <w:rFonts w:ascii="Times New Roman" w:hAnsi="Times New Roman" w:cs="Times New Roman"/>
                      <w:i w:val="0"/>
                      <w:iCs w:val="0"/>
                      <w:color w:val="auto"/>
                      <w:sz w:val="18"/>
                      <w:szCs w:val="18"/>
                      <w:u w:val="none"/>
                    </w:rPr>
                    <w:t>治理措施及治理效率</w:t>
                  </w:r>
                </w:p>
              </w:tc>
              <w:tc>
                <w:tcPr>
                  <w:tcW w:w="1728" w:type="pct"/>
                  <w:vAlign w:val="center"/>
                </w:tcPr>
                <w:p w14:paraId="740A6B84">
                  <w:pPr>
                    <w:autoSpaceDE w:val="0"/>
                    <w:autoSpaceDN w:val="0"/>
                    <w:adjustRightInd w:val="0"/>
                    <w:snapToGrid w:val="0"/>
                    <w:ind w:firstLine="210"/>
                    <w:jc w:val="center"/>
                    <w:rPr>
                      <w:i w:val="0"/>
                      <w:iCs w:val="0"/>
                      <w:color w:val="auto"/>
                      <w:sz w:val="18"/>
                      <w:szCs w:val="18"/>
                      <w:u w:val="none"/>
                    </w:rPr>
                  </w:pPr>
                  <w:r>
                    <w:rPr>
                      <w:i w:val="0"/>
                      <w:iCs w:val="0"/>
                      <w:color w:val="auto"/>
                      <w:sz w:val="18"/>
                      <w:szCs w:val="18"/>
                      <w:u w:val="none"/>
                    </w:rPr>
                    <w:t>处理后排放浓度及排放量</w:t>
                  </w:r>
                </w:p>
              </w:tc>
            </w:tr>
            <w:tr w14:paraId="07612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81" w:type="pct"/>
                  <w:vAlign w:val="center"/>
                </w:tcPr>
                <w:p w14:paraId="553AA8C4">
                  <w:pPr>
                    <w:pStyle w:val="77"/>
                    <w:adjustRightInd w:val="0"/>
                    <w:snapToGrid w:val="0"/>
                    <w:ind w:firstLine="0" w:firstLineChars="0"/>
                    <w:jc w:val="center"/>
                    <w:rPr>
                      <w:rFonts w:hint="eastAsia" w:ascii="Times New Roman" w:hAnsi="Times New Roman" w:eastAsia="宋体" w:cs="Times New Roman"/>
                      <w:i w:val="0"/>
                      <w:iCs w:val="0"/>
                      <w:color w:val="auto"/>
                      <w:sz w:val="18"/>
                      <w:szCs w:val="18"/>
                      <w:u w:val="none"/>
                      <w:lang w:eastAsia="zh-CN"/>
                    </w:rPr>
                  </w:pPr>
                  <w:r>
                    <w:rPr>
                      <w:rFonts w:hint="eastAsia" w:ascii="Times New Roman" w:hAnsi="Times New Roman" w:cs="Times New Roman"/>
                      <w:i w:val="0"/>
                      <w:iCs w:val="0"/>
                      <w:color w:val="auto"/>
                      <w:sz w:val="18"/>
                      <w:szCs w:val="18"/>
                      <w:u w:val="none"/>
                      <w:lang w:val="en-US" w:eastAsia="zh-CN"/>
                    </w:rPr>
                    <w:t>颗粒物</w:t>
                  </w:r>
                </w:p>
              </w:tc>
              <w:tc>
                <w:tcPr>
                  <w:tcW w:w="996" w:type="pct"/>
                  <w:vAlign w:val="center"/>
                </w:tcPr>
                <w:p w14:paraId="1784335C">
                  <w:pPr>
                    <w:autoSpaceDE w:val="0"/>
                    <w:autoSpaceDN w:val="0"/>
                    <w:adjustRightInd w:val="0"/>
                    <w:snapToGrid w:val="0"/>
                    <w:jc w:val="center"/>
                    <w:rPr>
                      <w:rFonts w:hint="eastAsia"/>
                      <w:i w:val="0"/>
                      <w:iCs w:val="0"/>
                      <w:color w:val="auto"/>
                      <w:sz w:val="18"/>
                      <w:szCs w:val="18"/>
                      <w:u w:val="none"/>
                      <w:lang w:val="en-US" w:eastAsia="zh-CN"/>
                    </w:rPr>
                  </w:pPr>
                  <w:r>
                    <w:rPr>
                      <w:rFonts w:hint="eastAsia"/>
                      <w:i w:val="0"/>
                      <w:iCs w:val="0"/>
                      <w:color w:val="auto"/>
                      <w:sz w:val="18"/>
                      <w:szCs w:val="18"/>
                      <w:u w:val="none"/>
                      <w:lang w:val="en-US" w:eastAsia="zh-CN"/>
                    </w:rPr>
                    <w:t>555</w:t>
                  </w:r>
                  <w:r>
                    <w:rPr>
                      <w:i w:val="0"/>
                      <w:iCs w:val="0"/>
                      <w:color w:val="auto"/>
                      <w:sz w:val="18"/>
                      <w:szCs w:val="18"/>
                      <w:u w:val="none"/>
                    </w:rPr>
                    <w:t>mg/m</w:t>
                  </w:r>
                  <w:r>
                    <w:rPr>
                      <w:i w:val="0"/>
                      <w:iCs w:val="0"/>
                      <w:color w:val="auto"/>
                      <w:sz w:val="18"/>
                      <w:szCs w:val="18"/>
                      <w:u w:val="none"/>
                      <w:vertAlign w:val="superscript"/>
                    </w:rPr>
                    <w:t>3</w:t>
                  </w:r>
                  <w:r>
                    <w:rPr>
                      <w:i w:val="0"/>
                      <w:iCs w:val="0"/>
                      <w:color w:val="auto"/>
                      <w:sz w:val="18"/>
                      <w:szCs w:val="18"/>
                      <w:u w:val="none"/>
                    </w:rPr>
                    <w:t>，</w:t>
                  </w:r>
                  <w:r>
                    <w:rPr>
                      <w:rFonts w:hint="eastAsia"/>
                      <w:i w:val="0"/>
                      <w:iCs w:val="0"/>
                      <w:color w:val="auto"/>
                      <w:sz w:val="18"/>
                      <w:szCs w:val="18"/>
                      <w:u w:val="none"/>
                      <w:lang w:val="en-US" w:eastAsia="zh-CN"/>
                    </w:rPr>
                    <w:t>5.55</w:t>
                  </w:r>
                  <w:r>
                    <w:rPr>
                      <w:rFonts w:hint="eastAsia"/>
                      <w:i w:val="0"/>
                      <w:iCs w:val="0"/>
                      <w:color w:val="auto"/>
                      <w:sz w:val="18"/>
                      <w:szCs w:val="18"/>
                      <w:u w:val="none"/>
                    </w:rPr>
                    <w:t>t/a</w:t>
                  </w:r>
                </w:p>
              </w:tc>
              <w:tc>
                <w:tcPr>
                  <w:tcW w:w="1694" w:type="pct"/>
                  <w:vAlign w:val="center"/>
                </w:tcPr>
                <w:p w14:paraId="5D08CA0A">
                  <w:pPr>
                    <w:pStyle w:val="77"/>
                    <w:adjustRightInd w:val="0"/>
                    <w:snapToGrid w:val="0"/>
                    <w:spacing w:line="240" w:lineRule="auto"/>
                    <w:ind w:firstLine="0" w:firstLineChars="0"/>
                    <w:jc w:val="center"/>
                    <w:rPr>
                      <w:rFonts w:ascii="Times New Roman" w:hAnsi="Times New Roman" w:cs="Times New Roman"/>
                      <w:i w:val="0"/>
                      <w:iCs w:val="0"/>
                      <w:color w:val="auto"/>
                      <w:sz w:val="18"/>
                      <w:szCs w:val="18"/>
                      <w:u w:val="none"/>
                    </w:rPr>
                  </w:pPr>
                  <w:r>
                    <w:rPr>
                      <w:rFonts w:hint="eastAsia" w:ascii="Times New Roman" w:hAnsi="Times New Roman" w:cs="Times New Roman"/>
                      <w:i w:val="0"/>
                      <w:iCs w:val="0"/>
                      <w:color w:val="auto"/>
                      <w:sz w:val="18"/>
                      <w:szCs w:val="18"/>
                      <w:u w:val="none"/>
                      <w:lang w:val="en-US" w:eastAsia="zh-CN"/>
                    </w:rPr>
                    <w:t>设备密闭</w:t>
                  </w:r>
                  <w:r>
                    <w:rPr>
                      <w:rFonts w:hint="eastAsia" w:ascii="Times New Roman" w:hAnsi="Times New Roman"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布袋除尘器（效率99%）</w:t>
                  </w:r>
                  <w:r>
                    <w:rPr>
                      <w:rFonts w:hint="eastAsia" w:ascii="Times New Roman" w:hAnsi="Times New Roman" w:cs="Times New Roman"/>
                      <w:i w:val="0"/>
                      <w:iCs w:val="0"/>
                      <w:color w:val="auto"/>
                      <w:sz w:val="18"/>
                      <w:szCs w:val="18"/>
                      <w:u w:val="none"/>
                    </w:rPr>
                    <w:t>+</w:t>
                  </w:r>
                  <w:r>
                    <w:rPr>
                      <w:rFonts w:ascii="Times New Roman" w:hAnsi="Times New Roman" w:cs="Times New Roman"/>
                      <w:i w:val="0"/>
                      <w:iCs w:val="0"/>
                      <w:color w:val="auto"/>
                      <w:sz w:val="18"/>
                      <w:szCs w:val="18"/>
                      <w:u w:val="none"/>
                    </w:rPr>
                    <w:t>15</w:t>
                  </w:r>
                  <w:r>
                    <w:rPr>
                      <w:rFonts w:hint="eastAsia" w:ascii="Times New Roman" w:hAnsi="Times New Roman" w:cs="Times New Roman"/>
                      <w:i w:val="0"/>
                      <w:iCs w:val="0"/>
                      <w:color w:val="auto"/>
                      <w:sz w:val="18"/>
                      <w:szCs w:val="18"/>
                      <w:u w:val="none"/>
                    </w:rPr>
                    <w:t>m高排气筒（DA00</w:t>
                  </w:r>
                  <w:r>
                    <w:rPr>
                      <w:rFonts w:hint="eastAsia" w:ascii="Times New Roman" w:hAnsi="Times New Roman" w:cs="Times New Roman"/>
                      <w:i w:val="0"/>
                      <w:iCs w:val="0"/>
                      <w:color w:val="auto"/>
                      <w:sz w:val="18"/>
                      <w:szCs w:val="18"/>
                      <w:u w:val="none"/>
                      <w:lang w:val="en-US" w:eastAsia="zh-CN"/>
                    </w:rPr>
                    <w:t>1</w:t>
                  </w:r>
                  <w:r>
                    <w:rPr>
                      <w:rFonts w:hint="eastAsia" w:ascii="Times New Roman" w:hAnsi="Times New Roman" w:cs="Times New Roman"/>
                      <w:i w:val="0"/>
                      <w:iCs w:val="0"/>
                      <w:color w:val="auto"/>
                      <w:sz w:val="18"/>
                      <w:szCs w:val="18"/>
                      <w:u w:val="none"/>
                    </w:rPr>
                    <w:t>）</w:t>
                  </w:r>
                </w:p>
              </w:tc>
              <w:tc>
                <w:tcPr>
                  <w:tcW w:w="1728" w:type="pct"/>
                  <w:vAlign w:val="center"/>
                </w:tcPr>
                <w:p w14:paraId="62B7EB31">
                  <w:pPr>
                    <w:autoSpaceDE w:val="0"/>
                    <w:autoSpaceDN w:val="0"/>
                    <w:adjustRightInd w:val="0"/>
                    <w:snapToGrid w:val="0"/>
                    <w:ind w:firstLine="90" w:firstLineChars="50"/>
                    <w:jc w:val="center"/>
                    <w:rPr>
                      <w:i w:val="0"/>
                      <w:iCs w:val="0"/>
                      <w:color w:val="auto"/>
                      <w:sz w:val="18"/>
                      <w:szCs w:val="18"/>
                      <w:u w:val="none"/>
                    </w:rPr>
                  </w:pPr>
                  <w:r>
                    <w:rPr>
                      <w:rFonts w:hint="eastAsia"/>
                      <w:i w:val="0"/>
                      <w:iCs w:val="0"/>
                      <w:color w:val="auto"/>
                      <w:sz w:val="18"/>
                      <w:szCs w:val="18"/>
                      <w:u w:val="none"/>
                      <w:lang w:val="en-US" w:eastAsia="zh-CN"/>
                    </w:rPr>
                    <w:t>5.55</w:t>
                  </w:r>
                  <w:r>
                    <w:rPr>
                      <w:i w:val="0"/>
                      <w:iCs w:val="0"/>
                      <w:color w:val="auto"/>
                      <w:sz w:val="18"/>
                      <w:szCs w:val="18"/>
                      <w:u w:val="none"/>
                    </w:rPr>
                    <w:t>mg/m</w:t>
                  </w:r>
                  <w:r>
                    <w:rPr>
                      <w:i w:val="0"/>
                      <w:iCs w:val="0"/>
                      <w:color w:val="auto"/>
                      <w:sz w:val="18"/>
                      <w:szCs w:val="18"/>
                      <w:u w:val="none"/>
                      <w:vertAlign w:val="superscript"/>
                    </w:rPr>
                    <w:t>3</w:t>
                  </w:r>
                  <w:r>
                    <w:rPr>
                      <w:i w:val="0"/>
                      <w:iCs w:val="0"/>
                      <w:color w:val="auto"/>
                      <w:sz w:val="18"/>
                      <w:szCs w:val="18"/>
                      <w:u w:val="none"/>
                    </w:rPr>
                    <w:t>，</w:t>
                  </w:r>
                  <w:r>
                    <w:rPr>
                      <w:rFonts w:hint="eastAsia"/>
                      <w:i w:val="0"/>
                      <w:iCs w:val="0"/>
                      <w:color w:val="auto"/>
                      <w:sz w:val="18"/>
                      <w:szCs w:val="18"/>
                      <w:u w:val="none"/>
                      <w:lang w:val="en-US" w:eastAsia="zh-CN"/>
                    </w:rPr>
                    <w:t>0.0555</w:t>
                  </w:r>
                  <w:r>
                    <w:rPr>
                      <w:rFonts w:hint="eastAsia"/>
                      <w:i w:val="0"/>
                      <w:iCs w:val="0"/>
                      <w:color w:val="auto"/>
                      <w:sz w:val="18"/>
                      <w:szCs w:val="18"/>
                      <w:u w:val="none"/>
                    </w:rPr>
                    <w:t>t/a（</w:t>
                  </w:r>
                  <w:r>
                    <w:rPr>
                      <w:rFonts w:hint="eastAsia"/>
                      <w:i w:val="0"/>
                      <w:iCs w:val="0"/>
                      <w:color w:val="auto"/>
                      <w:sz w:val="18"/>
                      <w:szCs w:val="18"/>
                      <w:u w:val="none"/>
                      <w:lang w:val="en-US" w:eastAsia="zh-CN"/>
                    </w:rPr>
                    <w:t>0.0278</w:t>
                  </w:r>
                  <w:r>
                    <w:rPr>
                      <w:rFonts w:hint="eastAsia"/>
                      <w:i w:val="0"/>
                      <w:iCs w:val="0"/>
                      <w:color w:val="auto"/>
                      <w:sz w:val="18"/>
                      <w:szCs w:val="18"/>
                      <w:u w:val="none"/>
                    </w:rPr>
                    <w:t>kg/h）</w:t>
                  </w:r>
                </w:p>
              </w:tc>
            </w:tr>
          </w:tbl>
          <w:p w14:paraId="67A5DCD4">
            <w:pPr>
              <w:pStyle w:val="77"/>
              <w:adjustRightInd w:val="0"/>
              <w:snapToGrid w:val="0"/>
              <w:spacing w:line="240" w:lineRule="auto"/>
              <w:ind w:firstLine="420"/>
              <w:jc w:val="center"/>
              <w:rPr>
                <w:rFonts w:ascii="Times New Roman" w:hAnsi="Times New Roman" w:cs="Times New Roman"/>
                <w:i w:val="0"/>
                <w:iCs w:val="0"/>
                <w:color w:val="auto"/>
                <w:kern w:val="0"/>
                <w:sz w:val="10"/>
                <w:szCs w:val="10"/>
                <w:u w:val="none"/>
              </w:rPr>
            </w:pPr>
          </w:p>
          <w:p w14:paraId="05329715">
            <w:pPr>
              <w:pStyle w:val="77"/>
              <w:adjustRightInd w:val="0"/>
              <w:snapToGrid w:val="0"/>
              <w:spacing w:line="240" w:lineRule="auto"/>
              <w:ind w:firstLine="420"/>
              <w:jc w:val="center"/>
              <w:rPr>
                <w:rFonts w:ascii="Times New Roman" w:hAnsi="Times New Roman" w:cs="Times New Roman"/>
                <w:i w:val="0"/>
                <w:iCs w:val="0"/>
                <w:color w:val="auto"/>
                <w:kern w:val="0"/>
                <w:sz w:val="21"/>
                <w:szCs w:val="21"/>
                <w:u w:val="none"/>
              </w:rPr>
            </w:pPr>
            <w:r>
              <w:rPr>
                <w:rFonts w:ascii="Times New Roman" w:hAnsi="Times New Roman" w:cs="Times New Roman"/>
                <w:i w:val="0"/>
                <w:iCs w:val="0"/>
                <w:color w:val="auto"/>
                <w:kern w:val="0"/>
                <w:sz w:val="21"/>
                <w:szCs w:val="21"/>
                <w:u w:val="none"/>
              </w:rPr>
              <w:t>排放口基本情况一览表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866"/>
              <w:gridCol w:w="571"/>
              <w:gridCol w:w="675"/>
              <w:gridCol w:w="752"/>
              <w:gridCol w:w="1156"/>
              <w:gridCol w:w="2584"/>
            </w:tblGrid>
            <w:tr w14:paraId="08D49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pct"/>
                  <w:tcBorders>
                    <w:right w:val="single" w:color="000000" w:sz="4" w:space="0"/>
                  </w:tcBorders>
                  <w:vAlign w:val="center"/>
                </w:tcPr>
                <w:p w14:paraId="15BB8E1A">
                  <w:pPr>
                    <w:jc w:val="center"/>
                    <w:rPr>
                      <w:i w:val="0"/>
                      <w:iCs w:val="0"/>
                      <w:color w:val="auto"/>
                      <w:sz w:val="18"/>
                      <w:szCs w:val="18"/>
                      <w:u w:val="none"/>
                    </w:rPr>
                  </w:pPr>
                  <w:r>
                    <w:rPr>
                      <w:i w:val="0"/>
                      <w:iCs w:val="0"/>
                      <w:color w:val="auto"/>
                      <w:sz w:val="18"/>
                      <w:szCs w:val="18"/>
                      <w:u w:val="none"/>
                    </w:rPr>
                    <w:t>排</w:t>
                  </w:r>
                  <w:r>
                    <w:rPr>
                      <w:rFonts w:hint="eastAsia"/>
                      <w:i w:val="0"/>
                      <w:iCs w:val="0"/>
                      <w:color w:val="auto"/>
                      <w:sz w:val="18"/>
                      <w:szCs w:val="18"/>
                      <w:u w:val="none"/>
                    </w:rPr>
                    <w:t>放</w:t>
                  </w:r>
                  <w:r>
                    <w:rPr>
                      <w:i w:val="0"/>
                      <w:iCs w:val="0"/>
                      <w:color w:val="auto"/>
                      <w:sz w:val="18"/>
                      <w:szCs w:val="18"/>
                      <w:u w:val="none"/>
                    </w:rPr>
                    <w:t>口名称</w:t>
                  </w:r>
                </w:p>
              </w:tc>
              <w:tc>
                <w:tcPr>
                  <w:tcW w:w="551" w:type="pct"/>
                  <w:tcBorders>
                    <w:left w:val="single" w:color="000000" w:sz="4" w:space="0"/>
                  </w:tcBorders>
                  <w:vAlign w:val="center"/>
                </w:tcPr>
                <w:p w14:paraId="5839C276">
                  <w:pPr>
                    <w:jc w:val="center"/>
                    <w:rPr>
                      <w:i w:val="0"/>
                      <w:iCs w:val="0"/>
                      <w:color w:val="auto"/>
                      <w:sz w:val="18"/>
                      <w:szCs w:val="18"/>
                      <w:u w:val="none"/>
                    </w:rPr>
                  </w:pPr>
                  <w:r>
                    <w:rPr>
                      <w:i w:val="0"/>
                      <w:iCs w:val="0"/>
                      <w:color w:val="auto"/>
                      <w:sz w:val="18"/>
                      <w:szCs w:val="18"/>
                      <w:u w:val="none"/>
                    </w:rPr>
                    <w:t>编号</w:t>
                  </w:r>
                </w:p>
              </w:tc>
              <w:tc>
                <w:tcPr>
                  <w:tcW w:w="363" w:type="pct"/>
                  <w:vAlign w:val="center"/>
                </w:tcPr>
                <w:p w14:paraId="21FB4A9F">
                  <w:pPr>
                    <w:jc w:val="center"/>
                    <w:rPr>
                      <w:i w:val="0"/>
                      <w:iCs w:val="0"/>
                      <w:color w:val="auto"/>
                      <w:sz w:val="18"/>
                      <w:szCs w:val="18"/>
                      <w:u w:val="none"/>
                    </w:rPr>
                  </w:pPr>
                  <w:r>
                    <w:rPr>
                      <w:i w:val="0"/>
                      <w:iCs w:val="0"/>
                      <w:color w:val="auto"/>
                      <w:sz w:val="18"/>
                      <w:szCs w:val="18"/>
                      <w:u w:val="none"/>
                    </w:rPr>
                    <w:t>高度</w:t>
                  </w:r>
                </w:p>
              </w:tc>
              <w:tc>
                <w:tcPr>
                  <w:tcW w:w="429" w:type="pct"/>
                  <w:vAlign w:val="center"/>
                </w:tcPr>
                <w:p w14:paraId="79283D64">
                  <w:pPr>
                    <w:jc w:val="center"/>
                    <w:rPr>
                      <w:i w:val="0"/>
                      <w:iCs w:val="0"/>
                      <w:color w:val="auto"/>
                      <w:sz w:val="18"/>
                      <w:szCs w:val="18"/>
                      <w:u w:val="none"/>
                    </w:rPr>
                  </w:pPr>
                  <w:r>
                    <w:rPr>
                      <w:i w:val="0"/>
                      <w:iCs w:val="0"/>
                      <w:color w:val="auto"/>
                      <w:sz w:val="18"/>
                      <w:szCs w:val="18"/>
                      <w:u w:val="none"/>
                    </w:rPr>
                    <w:t>内径</w:t>
                  </w:r>
                </w:p>
              </w:tc>
              <w:tc>
                <w:tcPr>
                  <w:tcW w:w="478" w:type="pct"/>
                  <w:tcBorders>
                    <w:right w:val="single" w:color="000000" w:sz="4" w:space="0"/>
                  </w:tcBorders>
                  <w:vAlign w:val="center"/>
                </w:tcPr>
                <w:p w14:paraId="026ED8D7">
                  <w:pPr>
                    <w:jc w:val="center"/>
                    <w:rPr>
                      <w:i w:val="0"/>
                      <w:iCs w:val="0"/>
                      <w:color w:val="auto"/>
                      <w:sz w:val="18"/>
                      <w:szCs w:val="18"/>
                      <w:u w:val="none"/>
                    </w:rPr>
                  </w:pPr>
                  <w:r>
                    <w:rPr>
                      <w:i w:val="0"/>
                      <w:iCs w:val="0"/>
                      <w:color w:val="auto"/>
                      <w:sz w:val="18"/>
                      <w:szCs w:val="18"/>
                      <w:u w:val="none"/>
                    </w:rPr>
                    <w:t>温度</w:t>
                  </w:r>
                </w:p>
              </w:tc>
              <w:tc>
                <w:tcPr>
                  <w:tcW w:w="735" w:type="pct"/>
                  <w:tcBorders>
                    <w:right w:val="single" w:color="000000" w:sz="4" w:space="0"/>
                  </w:tcBorders>
                  <w:vAlign w:val="center"/>
                </w:tcPr>
                <w:p w14:paraId="1A712113">
                  <w:pPr>
                    <w:jc w:val="center"/>
                    <w:rPr>
                      <w:i w:val="0"/>
                      <w:iCs w:val="0"/>
                      <w:color w:val="auto"/>
                      <w:sz w:val="18"/>
                      <w:szCs w:val="18"/>
                      <w:u w:val="none"/>
                    </w:rPr>
                  </w:pPr>
                  <w:r>
                    <w:rPr>
                      <w:i w:val="0"/>
                      <w:iCs w:val="0"/>
                      <w:color w:val="auto"/>
                      <w:sz w:val="18"/>
                      <w:szCs w:val="18"/>
                      <w:u w:val="none"/>
                    </w:rPr>
                    <w:t>类型</w:t>
                  </w:r>
                </w:p>
              </w:tc>
              <w:tc>
                <w:tcPr>
                  <w:tcW w:w="1643" w:type="pct"/>
                  <w:tcBorders>
                    <w:left w:val="single" w:color="000000" w:sz="4" w:space="0"/>
                  </w:tcBorders>
                  <w:vAlign w:val="center"/>
                </w:tcPr>
                <w:p w14:paraId="3FADD419">
                  <w:pPr>
                    <w:jc w:val="center"/>
                    <w:rPr>
                      <w:i w:val="0"/>
                      <w:iCs w:val="0"/>
                      <w:color w:val="auto"/>
                      <w:sz w:val="18"/>
                      <w:szCs w:val="18"/>
                      <w:u w:val="none"/>
                    </w:rPr>
                  </w:pPr>
                  <w:r>
                    <w:rPr>
                      <w:i w:val="0"/>
                      <w:iCs w:val="0"/>
                      <w:color w:val="auto"/>
                      <w:sz w:val="18"/>
                      <w:szCs w:val="18"/>
                      <w:u w:val="none"/>
                    </w:rPr>
                    <w:t>地理坐标</w:t>
                  </w:r>
                </w:p>
              </w:tc>
            </w:tr>
            <w:tr w14:paraId="08083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99" w:type="pct"/>
                  <w:tcBorders>
                    <w:top w:val="single" w:color="auto" w:sz="4" w:space="0"/>
                  </w:tcBorders>
                  <w:vAlign w:val="center"/>
                </w:tcPr>
                <w:p w14:paraId="4CCC14A4">
                  <w:pPr>
                    <w:jc w:val="center"/>
                    <w:rPr>
                      <w:i w:val="0"/>
                      <w:iCs w:val="0"/>
                      <w:color w:val="auto"/>
                      <w:sz w:val="18"/>
                      <w:szCs w:val="18"/>
                      <w:u w:val="none"/>
                    </w:rPr>
                  </w:pPr>
                  <w:r>
                    <w:rPr>
                      <w:rFonts w:hint="eastAsia"/>
                      <w:i w:val="0"/>
                      <w:iCs w:val="0"/>
                      <w:color w:val="auto"/>
                      <w:sz w:val="18"/>
                      <w:szCs w:val="18"/>
                      <w:u w:val="none"/>
                    </w:rPr>
                    <w:t>废气</w:t>
                  </w:r>
                  <w:r>
                    <w:rPr>
                      <w:i w:val="0"/>
                      <w:iCs w:val="0"/>
                      <w:color w:val="auto"/>
                      <w:sz w:val="18"/>
                      <w:szCs w:val="18"/>
                      <w:u w:val="none"/>
                    </w:rPr>
                    <w:t>排口</w:t>
                  </w:r>
                </w:p>
              </w:tc>
              <w:tc>
                <w:tcPr>
                  <w:tcW w:w="551" w:type="pct"/>
                  <w:tcBorders>
                    <w:top w:val="single" w:color="auto" w:sz="4" w:space="0"/>
                  </w:tcBorders>
                  <w:vAlign w:val="center"/>
                </w:tcPr>
                <w:p w14:paraId="07F6A424">
                  <w:pPr>
                    <w:jc w:val="center"/>
                    <w:rPr>
                      <w:rFonts w:hint="eastAsia" w:eastAsia="宋体"/>
                      <w:i w:val="0"/>
                      <w:iCs w:val="0"/>
                      <w:color w:val="auto"/>
                      <w:sz w:val="18"/>
                      <w:szCs w:val="18"/>
                      <w:u w:val="none"/>
                      <w:lang w:val="en-US" w:eastAsia="zh-CN"/>
                    </w:rPr>
                  </w:pPr>
                  <w:r>
                    <w:rPr>
                      <w:rFonts w:hint="eastAsia"/>
                      <w:i w:val="0"/>
                      <w:iCs w:val="0"/>
                      <w:color w:val="auto"/>
                      <w:sz w:val="18"/>
                      <w:szCs w:val="18"/>
                      <w:u w:val="none"/>
                    </w:rPr>
                    <w:t>DA00</w:t>
                  </w:r>
                  <w:r>
                    <w:rPr>
                      <w:rFonts w:hint="eastAsia"/>
                      <w:i w:val="0"/>
                      <w:iCs w:val="0"/>
                      <w:color w:val="auto"/>
                      <w:sz w:val="18"/>
                      <w:szCs w:val="18"/>
                      <w:u w:val="none"/>
                      <w:lang w:val="en-US" w:eastAsia="zh-CN"/>
                    </w:rPr>
                    <w:t>1</w:t>
                  </w:r>
                </w:p>
              </w:tc>
              <w:tc>
                <w:tcPr>
                  <w:tcW w:w="363" w:type="pct"/>
                  <w:vAlign w:val="center"/>
                </w:tcPr>
                <w:p w14:paraId="4ED6E502">
                  <w:pPr>
                    <w:jc w:val="center"/>
                    <w:rPr>
                      <w:i w:val="0"/>
                      <w:iCs w:val="0"/>
                      <w:color w:val="auto"/>
                      <w:sz w:val="18"/>
                      <w:szCs w:val="18"/>
                      <w:u w:val="none"/>
                    </w:rPr>
                  </w:pPr>
                  <w:r>
                    <w:rPr>
                      <w:rFonts w:hint="eastAsia"/>
                      <w:i w:val="0"/>
                      <w:iCs w:val="0"/>
                      <w:color w:val="auto"/>
                      <w:sz w:val="18"/>
                      <w:szCs w:val="18"/>
                      <w:u w:val="none"/>
                    </w:rPr>
                    <w:t>15m</w:t>
                  </w:r>
                </w:p>
              </w:tc>
              <w:tc>
                <w:tcPr>
                  <w:tcW w:w="429" w:type="pct"/>
                  <w:vAlign w:val="center"/>
                </w:tcPr>
                <w:p w14:paraId="681EACAA">
                  <w:pPr>
                    <w:jc w:val="center"/>
                    <w:rPr>
                      <w:i w:val="0"/>
                      <w:iCs w:val="0"/>
                      <w:color w:val="auto"/>
                      <w:sz w:val="18"/>
                      <w:szCs w:val="18"/>
                      <w:u w:val="none"/>
                    </w:rPr>
                  </w:pPr>
                  <w:r>
                    <w:rPr>
                      <w:rFonts w:hint="eastAsia"/>
                      <w:i w:val="0"/>
                      <w:iCs w:val="0"/>
                      <w:color w:val="auto"/>
                      <w:sz w:val="18"/>
                      <w:szCs w:val="18"/>
                      <w:u w:val="none"/>
                    </w:rPr>
                    <w:t>0.3m</w:t>
                  </w:r>
                </w:p>
              </w:tc>
              <w:tc>
                <w:tcPr>
                  <w:tcW w:w="478" w:type="pct"/>
                  <w:tcBorders>
                    <w:right w:val="single" w:color="000000" w:sz="4" w:space="0"/>
                  </w:tcBorders>
                  <w:vAlign w:val="center"/>
                </w:tcPr>
                <w:p w14:paraId="448B37A3">
                  <w:pPr>
                    <w:jc w:val="center"/>
                    <w:rPr>
                      <w:i w:val="0"/>
                      <w:iCs w:val="0"/>
                      <w:color w:val="auto"/>
                      <w:sz w:val="18"/>
                      <w:szCs w:val="18"/>
                      <w:u w:val="none"/>
                    </w:rPr>
                  </w:pPr>
                  <w:r>
                    <w:rPr>
                      <w:rFonts w:hint="eastAsia"/>
                      <w:i w:val="0"/>
                      <w:iCs w:val="0"/>
                      <w:color w:val="auto"/>
                      <w:sz w:val="18"/>
                      <w:szCs w:val="18"/>
                      <w:u w:val="none"/>
                    </w:rPr>
                    <w:t>20℃</w:t>
                  </w:r>
                </w:p>
              </w:tc>
              <w:tc>
                <w:tcPr>
                  <w:tcW w:w="735" w:type="pct"/>
                  <w:tcBorders>
                    <w:right w:val="single" w:color="000000" w:sz="4" w:space="0"/>
                  </w:tcBorders>
                  <w:vAlign w:val="center"/>
                </w:tcPr>
                <w:p w14:paraId="7EDBF5B5">
                  <w:pPr>
                    <w:jc w:val="center"/>
                    <w:rPr>
                      <w:i w:val="0"/>
                      <w:iCs w:val="0"/>
                      <w:color w:val="auto"/>
                      <w:sz w:val="18"/>
                      <w:szCs w:val="18"/>
                      <w:u w:val="none"/>
                    </w:rPr>
                  </w:pPr>
                  <w:r>
                    <w:rPr>
                      <w:i w:val="0"/>
                      <w:iCs w:val="0"/>
                      <w:color w:val="auto"/>
                      <w:sz w:val="18"/>
                      <w:szCs w:val="18"/>
                      <w:u w:val="none"/>
                    </w:rPr>
                    <w:t>一般排放口</w:t>
                  </w:r>
                </w:p>
              </w:tc>
              <w:tc>
                <w:tcPr>
                  <w:tcW w:w="1643" w:type="pct"/>
                  <w:tcBorders>
                    <w:left w:val="single" w:color="000000" w:sz="4" w:space="0"/>
                  </w:tcBorders>
                  <w:vAlign w:val="center"/>
                </w:tcPr>
                <w:p w14:paraId="6049E7BB">
                  <w:pPr>
                    <w:jc w:val="center"/>
                    <w:rPr>
                      <w:i w:val="0"/>
                      <w:iCs w:val="0"/>
                      <w:color w:val="auto"/>
                      <w:sz w:val="18"/>
                      <w:szCs w:val="18"/>
                      <w:highlight w:val="yellow"/>
                      <w:u w:val="none"/>
                    </w:rPr>
                  </w:pPr>
                  <w:r>
                    <w:rPr>
                      <w:rFonts w:hint="eastAsia" w:ascii="Times New Roman" w:hAnsi="Times New Roman" w:eastAsia="宋体" w:cs="Times New Roman"/>
                      <w:i w:val="0"/>
                      <w:iCs w:val="0"/>
                      <w:color w:val="auto"/>
                      <w:sz w:val="18"/>
                      <w:szCs w:val="18"/>
                      <w:u w:val="none"/>
                    </w:rPr>
                    <w:t>126.506477907</w:t>
                  </w:r>
                  <w:r>
                    <w:rPr>
                      <w:rFonts w:hint="eastAsia" w:cs="Times New Roman"/>
                      <w:i w:val="0"/>
                      <w:iCs w:val="0"/>
                      <w:color w:val="auto"/>
                      <w:sz w:val="18"/>
                      <w:szCs w:val="18"/>
                      <w:u w:val="none"/>
                      <w:lang w:eastAsia="zh-CN"/>
                    </w:rPr>
                    <w:t>，</w:t>
                  </w:r>
                  <w:r>
                    <w:rPr>
                      <w:rFonts w:hint="eastAsia" w:ascii="Times New Roman" w:hAnsi="Times New Roman" w:eastAsia="宋体" w:cs="Times New Roman"/>
                      <w:i w:val="0"/>
                      <w:iCs w:val="0"/>
                      <w:color w:val="auto"/>
                      <w:sz w:val="18"/>
                      <w:szCs w:val="18"/>
                      <w:u w:val="none"/>
                    </w:rPr>
                    <w:t>42.018433350</w:t>
                  </w:r>
                </w:p>
              </w:tc>
            </w:tr>
          </w:tbl>
          <w:p w14:paraId="1B11B50F">
            <w:pPr>
              <w:adjustRightInd w:val="0"/>
              <w:snapToGrid w:val="0"/>
              <w:spacing w:line="360" w:lineRule="auto"/>
              <w:ind w:firstLine="420" w:firstLineChars="200"/>
              <w:jc w:val="left"/>
              <w:rPr>
                <w:i w:val="0"/>
                <w:iCs w:val="0"/>
                <w:color w:val="auto"/>
                <w:u w:val="none"/>
              </w:rPr>
            </w:pPr>
            <w:r>
              <w:rPr>
                <w:rFonts w:hint="eastAsia"/>
                <w:i w:val="0"/>
                <w:iCs w:val="0"/>
                <w:color w:val="auto"/>
                <w:u w:val="none"/>
              </w:rPr>
              <w:t>通过上表可知，</w:t>
            </w:r>
            <w:r>
              <w:rPr>
                <w:rFonts w:hint="eastAsia"/>
                <w:i w:val="0"/>
                <w:iCs w:val="0"/>
                <w:color w:val="auto"/>
                <w:u w:val="none"/>
                <w:lang w:val="en-US" w:eastAsia="zh-CN"/>
              </w:rPr>
              <w:t>经过处理后，破碎筛分的颗粒物排放速率、浓度</w:t>
            </w:r>
            <w:r>
              <w:rPr>
                <w:rFonts w:hint="eastAsia"/>
                <w:i w:val="0"/>
                <w:iCs w:val="0"/>
                <w:color w:val="auto"/>
                <w:u w:val="none"/>
              </w:rPr>
              <w:t>能够满足</w:t>
            </w:r>
            <w:r>
              <w:rPr>
                <w:rFonts w:hint="eastAsia" w:ascii="Times New Roman" w:hAnsi="Times New Roman" w:eastAsia="宋体" w:cs="宋体"/>
                <w:color w:val="auto"/>
                <w:sz w:val="21"/>
                <w:szCs w:val="21"/>
              </w:rPr>
              <w:t>《大气污染物综合排放标准》（GB16297-1996）</w:t>
            </w:r>
            <w:r>
              <w:rPr>
                <w:i w:val="0"/>
                <w:iCs w:val="0"/>
                <w:color w:val="auto"/>
                <w:u w:val="none"/>
              </w:rPr>
              <w:t>中排放限</w:t>
            </w:r>
            <w:r>
              <w:rPr>
                <w:rFonts w:hint="eastAsia" w:ascii="宋体" w:hAnsi="宋体"/>
                <w:i w:val="0"/>
                <w:iCs w:val="0"/>
                <w:color w:val="auto"/>
                <w:u w:val="none"/>
              </w:rPr>
              <w:t>值要求</w:t>
            </w:r>
            <w:r>
              <w:rPr>
                <w:rFonts w:hint="eastAsia"/>
                <w:i w:val="0"/>
                <w:iCs w:val="0"/>
                <w:color w:val="auto"/>
                <w:u w:val="none"/>
              </w:rPr>
              <w:t>。</w:t>
            </w:r>
          </w:p>
          <w:p w14:paraId="3BD926C2">
            <w:pPr>
              <w:pStyle w:val="14"/>
              <w:adjustRightInd w:val="0"/>
              <w:snapToGrid w:val="0"/>
              <w:spacing w:line="360" w:lineRule="auto"/>
              <w:ind w:firstLine="420" w:firstLineChars="200"/>
              <w:rPr>
                <w:rFonts w:hint="default" w:ascii="Times New Roman" w:hAnsi="Times New Roman" w:eastAsia="宋体" w:cs="宋体"/>
                <w:i w:val="0"/>
                <w:iCs w:val="0"/>
                <w:color w:val="auto"/>
                <w:kern w:val="0"/>
                <w:sz w:val="21"/>
                <w:szCs w:val="21"/>
                <w:u w:val="none" w:color="auto"/>
                <w:lang w:val="en-US" w:eastAsia="zh-CN" w:bidi="ar-SA"/>
              </w:rPr>
            </w:pPr>
            <w:r>
              <w:rPr>
                <w:rFonts w:hint="eastAsia" w:ascii="Times New Roman" w:hAnsi="Times New Roman" w:cs="宋体"/>
                <w:i w:val="0"/>
                <w:iCs w:val="0"/>
                <w:color w:val="auto"/>
                <w:kern w:val="0"/>
                <w:sz w:val="21"/>
                <w:szCs w:val="21"/>
                <w:u w:val="none" w:color="auto"/>
                <w:lang w:val="en-US" w:eastAsia="zh-CN" w:bidi="ar-SA"/>
              </w:rPr>
              <w:t>（3）无组织粉尘</w:t>
            </w:r>
          </w:p>
          <w:p w14:paraId="3820A01C">
            <w:pPr>
              <w:pStyle w:val="9"/>
              <w:adjustRightInd w:val="0"/>
              <w:snapToGrid w:val="0"/>
              <w:spacing w:line="336" w:lineRule="auto"/>
              <w:ind w:firstLine="420" w:firstLineChars="200"/>
              <w:jc w:val="both"/>
              <w:rPr>
                <w:rFonts w:hint="eastAsia" w:ascii="Times New Roman" w:cs="Times New Roman"/>
                <w:i w:val="0"/>
                <w:iCs w:val="0"/>
                <w:color w:val="auto"/>
                <w:sz w:val="21"/>
                <w:szCs w:val="21"/>
                <w:u w:val="none"/>
                <w:lang w:val="en-US" w:eastAsia="zh-CN"/>
              </w:rPr>
            </w:pPr>
            <w:r>
              <w:rPr>
                <w:rFonts w:hint="eastAsia" w:ascii="Times New Roman" w:cs="Times New Roman"/>
                <w:i w:val="0"/>
                <w:iCs w:val="0"/>
                <w:color w:val="auto"/>
                <w:sz w:val="21"/>
                <w:szCs w:val="21"/>
                <w:u w:val="none"/>
              </w:rPr>
              <w:t>项目所采用的</w:t>
            </w:r>
            <w:r>
              <w:rPr>
                <w:rFonts w:hint="eastAsia" w:ascii="Times New Roman" w:cs="Times New Roman"/>
                <w:i w:val="0"/>
                <w:iCs w:val="0"/>
                <w:color w:val="auto"/>
                <w:sz w:val="21"/>
                <w:szCs w:val="21"/>
                <w:u w:val="none"/>
                <w:lang w:val="en-US" w:eastAsia="zh-CN"/>
              </w:rPr>
              <w:t>中药残渣</w:t>
            </w:r>
            <w:r>
              <w:rPr>
                <w:rFonts w:hint="eastAsia" w:ascii="Times New Roman" w:cs="Times New Roman"/>
                <w:i w:val="0"/>
                <w:iCs w:val="0"/>
                <w:color w:val="auto"/>
                <w:sz w:val="21"/>
                <w:szCs w:val="21"/>
                <w:u w:val="none"/>
              </w:rPr>
              <w:t>原料由专业物流公司运至企业</w:t>
            </w:r>
            <w:r>
              <w:rPr>
                <w:rFonts w:hint="eastAsia" w:ascii="Times New Roman" w:cs="Times New Roman"/>
                <w:i w:val="0"/>
                <w:iCs w:val="0"/>
                <w:color w:val="auto"/>
                <w:sz w:val="21"/>
                <w:szCs w:val="21"/>
                <w:u w:val="none"/>
                <w:lang w:val="en-US" w:eastAsia="zh-CN"/>
              </w:rPr>
              <w:t>发酵区</w:t>
            </w:r>
            <w:r>
              <w:rPr>
                <w:rFonts w:hint="eastAsia" w:ascii="Times New Roman" w:cs="Times New Roman"/>
                <w:i w:val="0"/>
                <w:iCs w:val="0"/>
                <w:color w:val="auto"/>
                <w:sz w:val="21"/>
                <w:szCs w:val="21"/>
                <w:highlight w:val="none"/>
                <w:u w:val="none"/>
              </w:rPr>
              <w:t>内，</w:t>
            </w:r>
            <w:r>
              <w:rPr>
                <w:rFonts w:hint="eastAsia" w:ascii="Times New Roman" w:cs="Times New Roman"/>
                <w:i w:val="0"/>
                <w:iCs w:val="0"/>
                <w:color w:val="auto"/>
                <w:sz w:val="21"/>
                <w:szCs w:val="21"/>
                <w:highlight w:val="none"/>
                <w:u w:val="none"/>
                <w:lang w:val="en-US" w:eastAsia="zh-CN"/>
              </w:rPr>
              <w:t>运输</w:t>
            </w:r>
            <w:r>
              <w:rPr>
                <w:rFonts w:hint="eastAsia" w:ascii="Times New Roman" w:cs="Times New Roman"/>
                <w:i w:val="0"/>
                <w:iCs w:val="0"/>
                <w:color w:val="auto"/>
                <w:sz w:val="21"/>
                <w:szCs w:val="21"/>
                <w:highlight w:val="none"/>
                <w:u w:val="none"/>
              </w:rPr>
              <w:t>装卸过程中会产生极少量的粉尘</w:t>
            </w:r>
            <w:r>
              <w:rPr>
                <w:rFonts w:hint="eastAsia" w:ascii="Times New Roman" w:cs="Times New Roman"/>
                <w:i w:val="0"/>
                <w:iCs w:val="0"/>
                <w:color w:val="auto"/>
                <w:sz w:val="21"/>
                <w:szCs w:val="21"/>
                <w:highlight w:val="none"/>
                <w:u w:val="none"/>
                <w:lang w:eastAsia="zh-CN"/>
              </w:rPr>
              <w:t>，</w:t>
            </w:r>
            <w:r>
              <w:rPr>
                <w:rFonts w:hint="eastAsia" w:ascii="Times New Roman" w:cs="Times New Roman"/>
                <w:i w:val="0"/>
                <w:iCs w:val="0"/>
                <w:color w:val="auto"/>
                <w:sz w:val="21"/>
                <w:szCs w:val="21"/>
                <w:highlight w:val="none"/>
                <w:u w:val="none"/>
                <w:lang w:val="en-US" w:eastAsia="zh-CN"/>
              </w:rPr>
              <w:t>无法定量</w:t>
            </w:r>
            <w:r>
              <w:rPr>
                <w:rFonts w:hint="eastAsia" w:ascii="Times New Roman" w:cs="Times New Roman"/>
                <w:i w:val="0"/>
                <w:iCs w:val="0"/>
                <w:color w:val="auto"/>
                <w:sz w:val="21"/>
                <w:szCs w:val="21"/>
                <w:u w:val="none"/>
                <w:lang w:val="en-US" w:eastAsia="zh-CN"/>
              </w:rPr>
              <w:t>计算，定性进行分析，粉尘无组织排放，采用</w:t>
            </w:r>
            <w:r>
              <w:rPr>
                <w:rFonts w:hint="eastAsia" w:ascii="Times New Roman" w:cs="Times New Roman"/>
                <w:i w:val="0"/>
                <w:iCs w:val="0"/>
                <w:color w:val="auto"/>
                <w:sz w:val="21"/>
                <w:szCs w:val="21"/>
                <w:u w:val="none"/>
              </w:rPr>
              <w:t>地面硬化处理，及时清扫地面</w:t>
            </w:r>
            <w:r>
              <w:rPr>
                <w:rFonts w:hint="eastAsia" w:ascii="Times New Roman" w:cs="Times New Roman"/>
                <w:i w:val="0"/>
                <w:iCs w:val="0"/>
                <w:color w:val="auto"/>
                <w:sz w:val="21"/>
                <w:szCs w:val="21"/>
                <w:u w:val="none"/>
                <w:lang w:val="en-US" w:eastAsia="zh-CN"/>
              </w:rPr>
              <w:t>等措施</w:t>
            </w:r>
            <w:r>
              <w:rPr>
                <w:rFonts w:hint="eastAsia" w:ascii="Times New Roman" w:cs="Times New Roman"/>
                <w:i w:val="0"/>
                <w:iCs w:val="0"/>
                <w:color w:val="auto"/>
                <w:sz w:val="21"/>
                <w:szCs w:val="21"/>
                <w:u w:val="none"/>
              </w:rPr>
              <w:t>。厂界颗粒物</w:t>
            </w:r>
            <w:r>
              <w:rPr>
                <w:rFonts w:hint="eastAsia" w:ascii="Times New Roman" w:cs="Times New Roman"/>
                <w:i w:val="0"/>
                <w:iCs w:val="0"/>
                <w:color w:val="auto"/>
                <w:sz w:val="21"/>
                <w:szCs w:val="21"/>
                <w:u w:val="none"/>
                <w:lang w:val="en-US" w:eastAsia="zh-CN"/>
              </w:rPr>
              <w:t>浓度满足《大气污染物综合排放标准》（GB16297-1996）中二级排放标准。</w:t>
            </w:r>
          </w:p>
          <w:p w14:paraId="2F32CEC0">
            <w:pPr>
              <w:pStyle w:val="9"/>
              <w:adjustRightInd w:val="0"/>
              <w:snapToGrid w:val="0"/>
              <w:spacing w:line="336" w:lineRule="auto"/>
              <w:ind w:firstLine="420" w:firstLineChars="200"/>
              <w:jc w:val="both"/>
              <w:rPr>
                <w:rFonts w:hint="eastAsia" w:ascii="Times New Roman" w:cs="Times New Roman"/>
                <w:i w:val="0"/>
                <w:iCs w:val="0"/>
                <w:color w:val="auto"/>
                <w:sz w:val="21"/>
                <w:szCs w:val="21"/>
                <w:u w:val="none"/>
              </w:rPr>
            </w:pPr>
            <w:r>
              <w:rPr>
                <w:rFonts w:hint="eastAsia" w:ascii="Times New Roman" w:cs="Times New Roman"/>
                <w:i w:val="0"/>
                <w:iCs w:val="0"/>
                <w:color w:val="auto"/>
                <w:sz w:val="21"/>
                <w:szCs w:val="21"/>
                <w:u w:val="none"/>
                <w:lang w:val="en-US" w:eastAsia="zh-CN"/>
              </w:rPr>
              <w:t>项目物料运至发酵车间进行混料，由于物料均具有一定的含水率，故混合过程粉尘产生量极少，无法定量计算</w:t>
            </w:r>
            <w:r>
              <w:rPr>
                <w:rFonts w:hint="eastAsia" w:ascii="Times New Roman" w:cs="Times New Roman"/>
                <w:i w:val="0"/>
                <w:iCs w:val="0"/>
                <w:color w:val="auto"/>
                <w:sz w:val="21"/>
                <w:szCs w:val="21"/>
                <w:u w:val="none"/>
              </w:rPr>
              <w:t>，</w:t>
            </w:r>
            <w:r>
              <w:rPr>
                <w:rFonts w:hint="eastAsia" w:ascii="Times New Roman" w:cs="Times New Roman"/>
                <w:i w:val="0"/>
                <w:iCs w:val="0"/>
                <w:color w:val="auto"/>
                <w:sz w:val="21"/>
                <w:szCs w:val="21"/>
                <w:u w:val="none"/>
                <w:lang w:val="en-US" w:eastAsia="zh-CN"/>
              </w:rPr>
              <w:t>采用</w:t>
            </w:r>
            <w:r>
              <w:rPr>
                <w:rFonts w:hint="eastAsia" w:ascii="Times New Roman" w:cs="Times New Roman"/>
                <w:i w:val="0"/>
                <w:iCs w:val="0"/>
                <w:color w:val="auto"/>
                <w:sz w:val="21"/>
                <w:szCs w:val="21"/>
                <w:u w:val="none"/>
              </w:rPr>
              <w:t>地面硬化处理，及时清扫地面</w:t>
            </w:r>
            <w:r>
              <w:rPr>
                <w:rFonts w:hint="eastAsia" w:ascii="Times New Roman" w:cs="Times New Roman"/>
                <w:i w:val="0"/>
                <w:iCs w:val="0"/>
                <w:color w:val="auto"/>
                <w:sz w:val="21"/>
                <w:szCs w:val="21"/>
                <w:u w:val="none"/>
                <w:lang w:val="en-US" w:eastAsia="zh-CN"/>
              </w:rPr>
              <w:t>等措施</w:t>
            </w:r>
            <w:r>
              <w:rPr>
                <w:rFonts w:hint="eastAsia" w:ascii="Times New Roman" w:cs="Times New Roman"/>
                <w:i w:val="0"/>
                <w:iCs w:val="0"/>
                <w:color w:val="auto"/>
                <w:sz w:val="21"/>
                <w:szCs w:val="21"/>
                <w:u w:val="none"/>
              </w:rPr>
              <w:t>。厂界颗粒物</w:t>
            </w:r>
            <w:r>
              <w:rPr>
                <w:rFonts w:hint="eastAsia" w:ascii="Times New Roman" w:cs="Times New Roman"/>
                <w:i w:val="0"/>
                <w:iCs w:val="0"/>
                <w:color w:val="auto"/>
                <w:sz w:val="21"/>
                <w:szCs w:val="21"/>
                <w:u w:val="none"/>
                <w:lang w:val="en-US" w:eastAsia="zh-CN"/>
              </w:rPr>
              <w:t>浓度满足《大气污染物综合排放标准》（GB16297-1996）中二级排放标准。</w:t>
            </w:r>
          </w:p>
          <w:p w14:paraId="49BD3F48">
            <w:pPr>
              <w:pStyle w:val="9"/>
              <w:adjustRightInd w:val="0"/>
              <w:snapToGrid w:val="0"/>
              <w:spacing w:line="336" w:lineRule="auto"/>
              <w:ind w:firstLine="420" w:firstLineChars="200"/>
              <w:jc w:val="both"/>
              <w:rPr>
                <w:rFonts w:hint="eastAsia" w:ascii="Times New Roman" w:cs="Times New Roman"/>
                <w:i w:val="0"/>
                <w:iCs w:val="0"/>
                <w:color w:val="auto"/>
                <w:sz w:val="21"/>
                <w:szCs w:val="21"/>
                <w:u w:val="none"/>
                <w:lang w:val="en-US" w:eastAsia="zh-CN"/>
              </w:rPr>
            </w:pPr>
            <w:r>
              <w:rPr>
                <w:rFonts w:hint="eastAsia" w:ascii="Times New Roman" w:cs="Times New Roman"/>
                <w:i w:val="0"/>
                <w:iCs w:val="0"/>
                <w:color w:val="auto"/>
                <w:sz w:val="21"/>
                <w:szCs w:val="21"/>
                <w:u w:val="none"/>
                <w:lang w:val="en-US" w:eastAsia="zh-CN"/>
              </w:rPr>
              <w:t>项目发酵之后的半成品需要进行调节含水率，在生产车间内晾晒区进行晾晒，物料的装卸、转运过程会产生少量的粉尘，参照《逸散性工业粉尘控制技术》中物料的装卸运输表1-13中，无控制的排放因子0.06kg/t</w:t>
            </w:r>
            <w:r>
              <w:rPr>
                <w:rFonts w:hint="eastAsia" w:ascii="Times New Roman" w:cs="Times New Roman"/>
                <w:i w:val="0"/>
                <w:iCs w:val="0"/>
                <w:color w:val="auto"/>
                <w:sz w:val="21"/>
                <w:szCs w:val="21"/>
                <w:u w:val="none"/>
              </w:rPr>
              <w:t>，</w:t>
            </w:r>
            <w:r>
              <w:rPr>
                <w:rFonts w:hint="eastAsia" w:ascii="Times New Roman" w:cs="Times New Roman"/>
                <w:i w:val="0"/>
                <w:iCs w:val="0"/>
                <w:color w:val="auto"/>
                <w:sz w:val="21"/>
                <w:szCs w:val="21"/>
                <w:u w:val="none"/>
                <w:lang w:val="en-US" w:eastAsia="zh-CN"/>
              </w:rPr>
              <w:t>粉尘的产生量</w:t>
            </w:r>
            <w:r>
              <w:rPr>
                <w:rFonts w:hint="eastAsia" w:ascii="Times New Roman" w:cs="Times New Roman"/>
                <w:i w:val="0"/>
                <w:iCs w:val="0"/>
                <w:color w:val="auto"/>
                <w:sz w:val="21"/>
                <w:szCs w:val="21"/>
                <w:highlight w:val="none"/>
                <w:u w:val="none"/>
                <w:lang w:val="en-US" w:eastAsia="zh-CN"/>
              </w:rPr>
              <w:t>为1.2t/a</w:t>
            </w:r>
            <w:r>
              <w:rPr>
                <w:rFonts w:hint="eastAsia" w:ascii="Times New Roman" w:cs="Times New Roman"/>
                <w:i w:val="0"/>
                <w:iCs w:val="0"/>
                <w:color w:val="auto"/>
                <w:sz w:val="21"/>
                <w:szCs w:val="21"/>
                <w:highlight w:val="none"/>
                <w:u w:val="none"/>
              </w:rPr>
              <w:t>，</w:t>
            </w:r>
            <w:r>
              <w:rPr>
                <w:rFonts w:hint="eastAsia" w:ascii="Times New Roman" w:cs="Times New Roman"/>
                <w:i w:val="0"/>
                <w:iCs w:val="0"/>
                <w:color w:val="auto"/>
                <w:sz w:val="21"/>
                <w:szCs w:val="21"/>
                <w:highlight w:val="none"/>
                <w:u w:val="none"/>
                <w:lang w:val="en-US" w:eastAsia="zh-CN"/>
              </w:rPr>
              <w:t>采用</w:t>
            </w:r>
            <w:r>
              <w:rPr>
                <w:rFonts w:hint="eastAsia" w:ascii="Times New Roman" w:cs="Times New Roman"/>
                <w:i w:val="0"/>
                <w:iCs w:val="0"/>
                <w:color w:val="auto"/>
                <w:sz w:val="21"/>
                <w:szCs w:val="21"/>
                <w:highlight w:val="none"/>
                <w:u w:val="none"/>
              </w:rPr>
              <w:t>地面硬化处理，及时清扫地面，洒水降尘</w:t>
            </w:r>
            <w:r>
              <w:rPr>
                <w:rFonts w:hint="eastAsia" w:ascii="Times New Roman" w:cs="Times New Roman"/>
                <w:i w:val="0"/>
                <w:iCs w:val="0"/>
                <w:color w:val="auto"/>
                <w:sz w:val="21"/>
                <w:szCs w:val="21"/>
                <w:highlight w:val="none"/>
                <w:u w:val="none"/>
                <w:lang w:val="en-US" w:eastAsia="zh-CN"/>
              </w:rPr>
              <w:t>等措施</w:t>
            </w:r>
            <w:r>
              <w:rPr>
                <w:rFonts w:hint="eastAsia" w:ascii="Times New Roman" w:cs="Times New Roman"/>
                <w:i w:val="0"/>
                <w:iCs w:val="0"/>
                <w:color w:val="auto"/>
                <w:sz w:val="21"/>
                <w:szCs w:val="21"/>
                <w:highlight w:val="none"/>
                <w:u w:val="none"/>
              </w:rPr>
              <w:t>，</w:t>
            </w:r>
            <w:r>
              <w:rPr>
                <w:rFonts w:hint="eastAsia" w:ascii="Times New Roman" w:cs="Times New Roman"/>
                <w:i w:val="0"/>
                <w:iCs w:val="0"/>
                <w:color w:val="auto"/>
                <w:sz w:val="21"/>
                <w:szCs w:val="21"/>
                <w:highlight w:val="none"/>
                <w:u w:val="none"/>
                <w:lang w:val="en-US" w:eastAsia="zh-CN"/>
              </w:rPr>
              <w:t>粉尘的去除效率为60%，粉尘的排放量为0.48t/a，</w:t>
            </w:r>
            <w:r>
              <w:rPr>
                <w:rFonts w:hint="eastAsia" w:ascii="Times New Roman" w:cs="Times New Roman"/>
                <w:i w:val="0"/>
                <w:iCs w:val="0"/>
                <w:color w:val="auto"/>
                <w:sz w:val="21"/>
                <w:szCs w:val="21"/>
                <w:highlight w:val="none"/>
                <w:u w:val="none"/>
              </w:rPr>
              <w:t>无</w:t>
            </w:r>
            <w:r>
              <w:rPr>
                <w:rFonts w:hint="eastAsia" w:ascii="Times New Roman" w:cs="Times New Roman"/>
                <w:i w:val="0"/>
                <w:iCs w:val="0"/>
                <w:color w:val="auto"/>
                <w:sz w:val="21"/>
                <w:szCs w:val="21"/>
                <w:u w:val="none"/>
              </w:rPr>
              <w:t>组织粉尘对环境影响有限。厂界颗粒物</w:t>
            </w:r>
            <w:r>
              <w:rPr>
                <w:rFonts w:hint="eastAsia" w:ascii="Times New Roman" w:cs="Times New Roman"/>
                <w:i w:val="0"/>
                <w:iCs w:val="0"/>
                <w:color w:val="auto"/>
                <w:sz w:val="21"/>
                <w:szCs w:val="21"/>
                <w:u w:val="none"/>
                <w:lang w:val="en-US" w:eastAsia="zh-CN"/>
              </w:rPr>
              <w:t>浓度满足《大气污染物综合排放标准》（GB16297-1996）中二级排放标准。</w:t>
            </w:r>
          </w:p>
          <w:p w14:paraId="381E1F3D">
            <w:pPr>
              <w:pStyle w:val="85"/>
              <w:ind w:firstLine="420" w:firstLineChars="20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 xml:space="preserve"> </w:t>
            </w:r>
            <w:r>
              <w:rPr>
                <w:rFonts w:hint="eastAsia"/>
                <w:color w:val="auto"/>
              </w:rPr>
              <w:t>非正常工况</w:t>
            </w:r>
          </w:p>
          <w:p w14:paraId="389004A2">
            <w:pPr>
              <w:pStyle w:val="85"/>
              <w:ind w:firstLine="420"/>
              <w:rPr>
                <w:i w:val="0"/>
                <w:iCs w:val="0"/>
                <w:color w:val="auto"/>
                <w:u w:val="none"/>
              </w:rPr>
            </w:pPr>
            <w:r>
              <w:rPr>
                <w:i w:val="0"/>
                <w:iCs w:val="0"/>
                <w:color w:val="auto"/>
                <w:u w:val="none"/>
              </w:rPr>
              <w:t>非正常及事故排放主要指装置在开、停车调试、检修及一般性事</w:t>
            </w:r>
            <w:r>
              <w:rPr>
                <w:rFonts w:ascii="宋体" w:hAnsi="宋体"/>
                <w:i w:val="0"/>
                <w:iCs w:val="0"/>
                <w:color w:val="auto"/>
                <w:u w:val="none"/>
              </w:rPr>
              <w:t>故时的“三废”排放，</w:t>
            </w:r>
            <w:r>
              <w:rPr>
                <w:i w:val="0"/>
                <w:iCs w:val="0"/>
                <w:color w:val="auto"/>
                <w:u w:val="none"/>
              </w:rPr>
              <w:t>本项目主要体现在以下几方面：</w:t>
            </w:r>
            <w:r>
              <w:rPr>
                <w:rFonts w:hint="eastAsia" w:ascii="宋体" w:hAnsi="宋体"/>
                <w:i w:val="0"/>
                <w:iCs w:val="0"/>
                <w:color w:val="auto"/>
                <w:u w:val="none"/>
              </w:rPr>
              <w:t>①</w:t>
            </w:r>
            <w:r>
              <w:rPr>
                <w:i w:val="0"/>
                <w:iCs w:val="0"/>
                <w:color w:val="auto"/>
                <w:u w:val="none"/>
              </w:rPr>
              <w:t>废气处理装置运行不正常出现的异常排放；</w:t>
            </w:r>
            <w:r>
              <w:rPr>
                <w:rFonts w:hint="eastAsia" w:ascii="宋体" w:hAnsi="宋体"/>
                <w:i w:val="0"/>
                <w:iCs w:val="0"/>
                <w:color w:val="auto"/>
                <w:u w:val="none"/>
              </w:rPr>
              <w:t>②</w:t>
            </w:r>
            <w:r>
              <w:rPr>
                <w:i w:val="0"/>
                <w:iCs w:val="0"/>
                <w:color w:val="auto"/>
                <w:u w:val="none"/>
              </w:rPr>
              <w:t>开、停车调试，检修等非正常工况排放分析。</w:t>
            </w:r>
          </w:p>
          <w:p w14:paraId="5F5BB643">
            <w:pPr>
              <w:pStyle w:val="85"/>
              <w:ind w:firstLine="420"/>
              <w:rPr>
                <w:b/>
                <w:bCs/>
                <w:i w:val="0"/>
                <w:iCs w:val="0"/>
                <w:color w:val="auto"/>
                <w:u w:val="none"/>
              </w:rPr>
            </w:pPr>
            <w:r>
              <w:rPr>
                <w:rFonts w:hint="eastAsia"/>
                <w:i w:val="0"/>
                <w:iCs w:val="0"/>
                <w:color w:val="auto"/>
                <w:u w:val="none"/>
              </w:rPr>
              <w:t>本次针对</w:t>
            </w:r>
            <w:r>
              <w:rPr>
                <w:rFonts w:hint="eastAsia" w:cs="Times New Roman"/>
                <w:i w:val="0"/>
                <w:iCs w:val="0"/>
                <w:color w:val="auto"/>
                <w:u w:val="none"/>
                <w:lang w:val="en-US" w:eastAsia="zh-CN"/>
              </w:rPr>
              <w:t>破碎筛分粉尘</w:t>
            </w:r>
            <w:r>
              <w:rPr>
                <w:rFonts w:cs="Times New Roman"/>
                <w:i w:val="0"/>
                <w:iCs w:val="0"/>
                <w:color w:val="auto"/>
                <w:u w:val="none"/>
              </w:rPr>
              <w:t>的处理措施非正常排放进行分析，</w:t>
            </w:r>
            <w:r>
              <w:rPr>
                <w:rFonts w:hint="eastAsia" w:cs="Times New Roman"/>
                <w:i w:val="0"/>
                <w:iCs w:val="0"/>
                <w:color w:val="auto"/>
                <w:u w:val="none"/>
              </w:rPr>
              <w:t>本项目考虑的情况，</w:t>
            </w:r>
            <w:r>
              <w:rPr>
                <w:rFonts w:hint="eastAsia" w:cs="Times New Roman"/>
                <w:i w:val="0"/>
                <w:iCs w:val="0"/>
                <w:color w:val="auto"/>
                <w:u w:val="none"/>
                <w:lang w:val="en-US" w:eastAsia="zh-CN"/>
              </w:rPr>
              <w:t>非正常工况下</w:t>
            </w:r>
            <w:r>
              <w:rPr>
                <w:rFonts w:cs="Times New Roman"/>
                <w:i w:val="0"/>
                <w:iCs w:val="0"/>
                <w:color w:val="auto"/>
                <w:u w:val="none"/>
              </w:rPr>
              <w:t>废气污染物处理效率</w:t>
            </w:r>
            <w:r>
              <w:rPr>
                <w:rFonts w:hint="eastAsia" w:cs="Times New Roman"/>
                <w:i w:val="0"/>
                <w:iCs w:val="0"/>
                <w:color w:val="auto"/>
                <w:u w:val="none"/>
                <w:lang w:val="en-US" w:eastAsia="zh-CN"/>
              </w:rPr>
              <w:t>按照</w:t>
            </w:r>
            <w:r>
              <w:rPr>
                <w:rFonts w:hint="eastAsia" w:cs="Times New Roman"/>
                <w:i w:val="0"/>
                <w:iCs w:val="0"/>
                <w:color w:val="auto"/>
                <w:u w:val="none"/>
              </w:rPr>
              <w:t>3</w:t>
            </w:r>
            <w:r>
              <w:rPr>
                <w:rFonts w:cs="Times New Roman"/>
                <w:i w:val="0"/>
                <w:iCs w:val="0"/>
                <w:color w:val="auto"/>
                <w:u w:val="none"/>
              </w:rPr>
              <w:t>0%进</w:t>
            </w:r>
            <w:r>
              <w:rPr>
                <w:rFonts w:cs="Times New Roman"/>
                <w:bCs/>
                <w:i w:val="0"/>
                <w:iCs w:val="0"/>
                <w:color w:val="auto"/>
                <w:u w:val="none"/>
              </w:rPr>
              <w:t>行计算。非正常工况情况下（按照每年</w:t>
            </w:r>
            <w:r>
              <w:rPr>
                <w:rFonts w:hint="eastAsia" w:cs="Times New Roman"/>
                <w:bCs/>
                <w:i w:val="0"/>
                <w:iCs w:val="0"/>
                <w:color w:val="auto"/>
                <w:u w:val="none"/>
                <w:lang w:val="en-US" w:eastAsia="zh-CN"/>
              </w:rPr>
              <w:t>2</w:t>
            </w:r>
            <w:r>
              <w:rPr>
                <w:rFonts w:cs="Times New Roman"/>
                <w:bCs/>
                <w:i w:val="0"/>
                <w:iCs w:val="0"/>
                <w:color w:val="auto"/>
                <w:u w:val="none"/>
              </w:rPr>
              <w:t>次，每次持续时间2h计算），污染物产生排放情况见表。</w:t>
            </w:r>
          </w:p>
          <w:p w14:paraId="194F460D">
            <w:pPr>
              <w:pStyle w:val="83"/>
              <w:spacing w:line="240" w:lineRule="auto"/>
              <w:ind w:left="420" w:firstLine="0"/>
              <w:rPr>
                <w:rFonts w:cs="宋体"/>
                <w:b w:val="0"/>
                <w:bCs/>
                <w:i w:val="0"/>
                <w:iCs w:val="0"/>
                <w:color w:val="auto"/>
                <w:sz w:val="21"/>
                <w:szCs w:val="21"/>
                <w:u w:val="none"/>
              </w:rPr>
            </w:pPr>
            <w:r>
              <w:rPr>
                <w:rFonts w:cs="宋体"/>
                <w:b w:val="0"/>
                <w:bCs/>
                <w:i w:val="0"/>
                <w:iCs w:val="0"/>
                <w:color w:val="auto"/>
                <w:sz w:val="21"/>
                <w:szCs w:val="21"/>
                <w:u w:val="none"/>
              </w:rPr>
              <w:t>非正常工况下废气产排情况一览表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21"/>
              <w:gridCol w:w="1920"/>
              <w:gridCol w:w="1950"/>
              <w:gridCol w:w="1976"/>
            </w:tblGrid>
            <w:tr w14:paraId="5D667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pct"/>
                  <w:vAlign w:val="center"/>
                </w:tcPr>
                <w:p w14:paraId="7AFA8D22">
                  <w:pPr>
                    <w:pStyle w:val="38"/>
                    <w:spacing w:before="24" w:after="24"/>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污染源</w:t>
                  </w:r>
                </w:p>
              </w:tc>
              <w:tc>
                <w:tcPr>
                  <w:tcW w:w="585" w:type="pct"/>
                  <w:vAlign w:val="center"/>
                </w:tcPr>
                <w:p w14:paraId="51328EA4">
                  <w:pPr>
                    <w:pStyle w:val="38"/>
                    <w:spacing w:before="24" w:after="24"/>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污染物名称</w:t>
                  </w:r>
                </w:p>
              </w:tc>
              <w:tc>
                <w:tcPr>
                  <w:tcW w:w="1221" w:type="pct"/>
                  <w:vAlign w:val="center"/>
                </w:tcPr>
                <w:p w14:paraId="3B657FC9">
                  <w:pPr>
                    <w:pStyle w:val="38"/>
                    <w:spacing w:before="24" w:after="24"/>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产生量及浓度</w:t>
                  </w:r>
                </w:p>
              </w:tc>
              <w:tc>
                <w:tcPr>
                  <w:tcW w:w="1240" w:type="pct"/>
                  <w:vAlign w:val="center"/>
                </w:tcPr>
                <w:p w14:paraId="69D13EB0">
                  <w:pPr>
                    <w:pStyle w:val="38"/>
                    <w:spacing w:before="24" w:after="24"/>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防治措施</w:t>
                  </w:r>
                </w:p>
              </w:tc>
              <w:tc>
                <w:tcPr>
                  <w:tcW w:w="1256" w:type="pct"/>
                  <w:vAlign w:val="center"/>
                </w:tcPr>
                <w:p w14:paraId="6055238C">
                  <w:pPr>
                    <w:pStyle w:val="38"/>
                    <w:spacing w:before="24" w:after="24"/>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排放量及浓度</w:t>
                  </w:r>
                </w:p>
              </w:tc>
            </w:tr>
            <w:tr w14:paraId="3C2BF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95" w:type="pct"/>
                  <w:vAlign w:val="center"/>
                </w:tcPr>
                <w:p w14:paraId="63D96DDB">
                  <w:pPr>
                    <w:pStyle w:val="38"/>
                    <w:spacing w:before="24" w:after="24"/>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破碎筛分</w:t>
                  </w:r>
                </w:p>
                <w:p w14:paraId="6E43A1F4">
                  <w:pPr>
                    <w:pStyle w:val="38"/>
                    <w:spacing w:before="24" w:after="24"/>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（DA00</w:t>
                  </w:r>
                  <w:r>
                    <w:rPr>
                      <w:rFonts w:hint="eastAsia" w:ascii="Times New Roman" w:eastAsia="宋体" w:cs="Times New Roman"/>
                      <w:i w:val="0"/>
                      <w:iCs w:val="0"/>
                      <w:color w:val="auto"/>
                      <w:sz w:val="18"/>
                      <w:szCs w:val="18"/>
                      <w:u w:val="none"/>
                      <w:lang w:val="en-US" w:eastAsia="zh-CN"/>
                    </w:rPr>
                    <w:t>1</w:t>
                  </w:r>
                  <w:r>
                    <w:rPr>
                      <w:rFonts w:hint="eastAsia" w:ascii="Times New Roman" w:hAnsi="Times New Roman" w:eastAsia="宋体" w:cs="Times New Roman"/>
                      <w:i w:val="0"/>
                      <w:iCs w:val="0"/>
                      <w:color w:val="auto"/>
                      <w:sz w:val="18"/>
                      <w:szCs w:val="18"/>
                      <w:u w:val="none"/>
                      <w:lang w:val="en-US" w:eastAsia="zh-CN"/>
                    </w:rPr>
                    <w:t>）</w:t>
                  </w:r>
                </w:p>
              </w:tc>
              <w:tc>
                <w:tcPr>
                  <w:tcW w:w="585" w:type="pct"/>
                  <w:vAlign w:val="center"/>
                </w:tcPr>
                <w:p w14:paraId="3D861285">
                  <w:pPr>
                    <w:pStyle w:val="38"/>
                    <w:spacing w:before="24" w:after="24"/>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颗粒物</w:t>
                  </w:r>
                </w:p>
              </w:tc>
              <w:tc>
                <w:tcPr>
                  <w:tcW w:w="1221" w:type="pct"/>
                  <w:vAlign w:val="center"/>
                </w:tcPr>
                <w:p w14:paraId="504A2C04">
                  <w:pPr>
                    <w:pStyle w:val="38"/>
                    <w:spacing w:before="24" w:after="24"/>
                    <w:rPr>
                      <w:rFonts w:hint="default" w:ascii="Times New Roman" w:hAnsi="Times New Roman" w:eastAsia="宋体" w:cs="Times New Roman"/>
                      <w:i w:val="0"/>
                      <w:iCs w:val="0"/>
                      <w:color w:val="auto"/>
                      <w:sz w:val="18"/>
                      <w:szCs w:val="18"/>
                      <w:u w:val="none"/>
                      <w:lang w:val="en-US" w:eastAsia="zh-CN"/>
                    </w:rPr>
                  </w:pPr>
                  <w:r>
                    <w:rPr>
                      <w:rFonts w:hint="eastAsia" w:ascii="Times New Roman" w:eastAsia="宋体" w:cs="Times New Roman"/>
                      <w:i w:val="0"/>
                      <w:iCs w:val="0"/>
                      <w:color w:val="auto"/>
                      <w:sz w:val="18"/>
                      <w:szCs w:val="18"/>
                      <w:u w:val="none"/>
                      <w:lang w:val="en-US" w:eastAsia="zh-CN"/>
                    </w:rPr>
                    <w:t>2.78</w:t>
                  </w:r>
                  <w:r>
                    <w:rPr>
                      <w:rFonts w:hint="default" w:ascii="Times New Roman" w:hAnsi="Times New Roman" w:eastAsia="宋体" w:cs="Times New Roman"/>
                      <w:i w:val="0"/>
                      <w:iCs w:val="0"/>
                      <w:color w:val="auto"/>
                      <w:sz w:val="18"/>
                      <w:szCs w:val="18"/>
                      <w:u w:val="none"/>
                    </w:rPr>
                    <w:t>kg</w:t>
                  </w:r>
                  <w:r>
                    <w:rPr>
                      <w:rFonts w:hint="eastAsia" w:ascii="Times New Roman" w:hAnsi="Times New Roman" w:eastAsia="宋体" w:cs="Times New Roman"/>
                      <w:i w:val="0"/>
                      <w:iCs w:val="0"/>
                      <w:color w:val="auto"/>
                      <w:sz w:val="18"/>
                      <w:szCs w:val="18"/>
                      <w:u w:val="none"/>
                      <w:lang w:val="en-US" w:eastAsia="zh-CN"/>
                    </w:rPr>
                    <w:t>/h</w:t>
                  </w:r>
                  <w:r>
                    <w:rPr>
                      <w:rFonts w:hint="default" w:ascii="Times New Roman" w:hAnsi="Times New Roman" w:eastAsia="宋体" w:cs="Times New Roman"/>
                      <w:i w:val="0"/>
                      <w:iCs w:val="0"/>
                      <w:color w:val="auto"/>
                      <w:sz w:val="18"/>
                      <w:szCs w:val="18"/>
                      <w:u w:val="none"/>
                    </w:rPr>
                    <w:t>，</w:t>
                  </w:r>
                  <w:r>
                    <w:rPr>
                      <w:rFonts w:hint="eastAsia" w:ascii="Times New Roman" w:eastAsia="宋体" w:cs="Times New Roman"/>
                      <w:i w:val="0"/>
                      <w:iCs w:val="0"/>
                      <w:color w:val="auto"/>
                      <w:sz w:val="18"/>
                      <w:szCs w:val="18"/>
                      <w:u w:val="none"/>
                      <w:lang w:val="en-US" w:eastAsia="zh-CN"/>
                    </w:rPr>
                    <w:t>555</w:t>
                  </w:r>
                  <w:r>
                    <w:rPr>
                      <w:rFonts w:hint="default" w:ascii="Times New Roman" w:hAnsi="Times New Roman" w:eastAsia="宋体" w:cs="Times New Roman"/>
                      <w:i w:val="0"/>
                      <w:iCs w:val="0"/>
                      <w:color w:val="auto"/>
                      <w:sz w:val="18"/>
                      <w:szCs w:val="18"/>
                      <w:u w:val="none"/>
                    </w:rPr>
                    <w:t>mg/m</w:t>
                  </w:r>
                  <w:r>
                    <w:rPr>
                      <w:rFonts w:hint="default" w:ascii="Times New Roman" w:hAnsi="Times New Roman" w:eastAsia="宋体" w:cs="Times New Roman"/>
                      <w:i w:val="0"/>
                      <w:iCs w:val="0"/>
                      <w:color w:val="auto"/>
                      <w:sz w:val="18"/>
                      <w:szCs w:val="18"/>
                      <w:u w:val="none"/>
                      <w:vertAlign w:val="superscript"/>
                    </w:rPr>
                    <w:t>3</w:t>
                  </w:r>
                </w:p>
              </w:tc>
              <w:tc>
                <w:tcPr>
                  <w:tcW w:w="1240" w:type="pct"/>
                  <w:vAlign w:val="center"/>
                </w:tcPr>
                <w:p w14:paraId="6B728D01">
                  <w:pPr>
                    <w:pStyle w:val="38"/>
                    <w:spacing w:before="24" w:after="24"/>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废气系统故障，效率30%</w:t>
                  </w:r>
                  <w:r>
                    <w:rPr>
                      <w:rFonts w:hint="default" w:ascii="Times New Roman" w:hAnsi="Times New Roman" w:eastAsia="宋体" w:cs="Times New Roman"/>
                      <w:i w:val="0"/>
                      <w:iCs w:val="0"/>
                      <w:color w:val="auto"/>
                      <w:sz w:val="18"/>
                      <w:szCs w:val="18"/>
                      <w:u w:val="none"/>
                      <w:lang w:eastAsia="zh-CN"/>
                    </w:rPr>
                    <w:t>；</w:t>
                  </w:r>
                  <w:r>
                    <w:rPr>
                      <w:rFonts w:hint="default" w:ascii="Times New Roman" w:hAnsi="Times New Roman" w:eastAsia="宋体" w:cs="Times New Roman"/>
                      <w:i w:val="0"/>
                      <w:iCs w:val="0"/>
                      <w:color w:val="auto"/>
                      <w:sz w:val="18"/>
                      <w:szCs w:val="18"/>
                      <w:u w:val="none"/>
                      <w:lang w:val="en-US" w:eastAsia="zh-CN"/>
                    </w:rPr>
                    <w:t>按照每年3次，每次持续时间2h计算</w:t>
                  </w:r>
                </w:p>
              </w:tc>
              <w:tc>
                <w:tcPr>
                  <w:tcW w:w="1256" w:type="pct"/>
                  <w:vAlign w:val="center"/>
                </w:tcPr>
                <w:p w14:paraId="1F98E33A">
                  <w:pPr>
                    <w:pStyle w:val="38"/>
                    <w:spacing w:before="24" w:after="24"/>
                    <w:rPr>
                      <w:rFonts w:hint="default" w:ascii="Times New Roman" w:hAnsi="Times New Roman" w:eastAsia="宋体" w:cs="Times New Roman"/>
                      <w:i w:val="0"/>
                      <w:iCs w:val="0"/>
                      <w:color w:val="auto"/>
                      <w:sz w:val="18"/>
                      <w:szCs w:val="18"/>
                      <w:u w:val="none"/>
                      <w:lang w:val="en-US" w:eastAsia="zh-CN"/>
                    </w:rPr>
                  </w:pPr>
                  <w:r>
                    <w:rPr>
                      <w:rFonts w:hint="eastAsia" w:ascii="Times New Roman" w:eastAsia="宋体" w:cs="Times New Roman"/>
                      <w:i w:val="0"/>
                      <w:iCs w:val="0"/>
                      <w:color w:val="auto"/>
                      <w:sz w:val="18"/>
                      <w:szCs w:val="18"/>
                      <w:u w:val="none"/>
                      <w:lang w:val="en-US" w:eastAsia="zh-CN"/>
                    </w:rPr>
                    <w:t>1.94</w:t>
                  </w:r>
                  <w:r>
                    <w:rPr>
                      <w:rFonts w:hint="default" w:ascii="Times New Roman" w:hAnsi="Times New Roman" w:eastAsia="宋体" w:cs="Times New Roman"/>
                      <w:i w:val="0"/>
                      <w:iCs w:val="0"/>
                      <w:color w:val="auto"/>
                      <w:sz w:val="18"/>
                      <w:szCs w:val="18"/>
                      <w:u w:val="none"/>
                      <w:lang w:val="en-US" w:eastAsia="zh-CN"/>
                    </w:rPr>
                    <w:t>kg/h</w:t>
                  </w:r>
                  <w:r>
                    <w:rPr>
                      <w:rFonts w:hint="default" w:ascii="Times New Roman" w:hAnsi="Times New Roman" w:eastAsia="宋体" w:cs="Times New Roman"/>
                      <w:i w:val="0"/>
                      <w:iCs w:val="0"/>
                      <w:color w:val="auto"/>
                      <w:sz w:val="18"/>
                      <w:szCs w:val="18"/>
                      <w:u w:val="none"/>
                    </w:rPr>
                    <w:t>，</w:t>
                  </w:r>
                  <w:r>
                    <w:rPr>
                      <w:rFonts w:hint="eastAsia" w:ascii="Times New Roman" w:eastAsia="宋体" w:cs="Times New Roman"/>
                      <w:i w:val="0"/>
                      <w:iCs w:val="0"/>
                      <w:color w:val="auto"/>
                      <w:sz w:val="18"/>
                      <w:szCs w:val="18"/>
                      <w:u w:val="none"/>
                      <w:lang w:val="en-US" w:eastAsia="zh-CN"/>
                    </w:rPr>
                    <w:t>388.5</w:t>
                  </w:r>
                  <w:r>
                    <w:rPr>
                      <w:rFonts w:hint="default" w:ascii="Times New Roman" w:hAnsi="Times New Roman" w:eastAsia="宋体" w:cs="Times New Roman"/>
                      <w:i w:val="0"/>
                      <w:iCs w:val="0"/>
                      <w:color w:val="auto"/>
                      <w:sz w:val="18"/>
                      <w:szCs w:val="18"/>
                      <w:u w:val="none"/>
                    </w:rPr>
                    <w:t>mg/m</w:t>
                  </w:r>
                  <w:r>
                    <w:rPr>
                      <w:rFonts w:hint="default" w:ascii="Times New Roman" w:hAnsi="Times New Roman" w:eastAsia="宋体" w:cs="Times New Roman"/>
                      <w:i w:val="0"/>
                      <w:iCs w:val="0"/>
                      <w:color w:val="auto"/>
                      <w:sz w:val="18"/>
                      <w:szCs w:val="18"/>
                      <w:u w:val="none"/>
                      <w:vertAlign w:val="superscript"/>
                    </w:rPr>
                    <w:t>3</w:t>
                  </w:r>
                </w:p>
              </w:tc>
            </w:tr>
          </w:tbl>
          <w:p w14:paraId="625FADF0">
            <w:pPr>
              <w:pStyle w:val="85"/>
              <w:ind w:firstLine="420"/>
              <w:rPr>
                <w:rFonts w:hint="eastAsia"/>
                <w:i w:val="0"/>
                <w:iCs w:val="0"/>
                <w:color w:val="auto"/>
                <w:sz w:val="10"/>
                <w:szCs w:val="10"/>
                <w:u w:val="none"/>
              </w:rPr>
            </w:pPr>
          </w:p>
          <w:p w14:paraId="61CF4DE5">
            <w:pPr>
              <w:pStyle w:val="85"/>
              <w:ind w:firstLine="420"/>
              <w:rPr>
                <w:i w:val="0"/>
                <w:iCs w:val="0"/>
                <w:color w:val="auto"/>
                <w:u w:val="none"/>
              </w:rPr>
            </w:pPr>
            <w:r>
              <w:rPr>
                <w:rFonts w:hint="eastAsia"/>
                <w:i w:val="0"/>
                <w:iCs w:val="0"/>
                <w:color w:val="auto"/>
                <w:u w:val="none"/>
              </w:rPr>
              <w:t>非正常工况下，废气中各污染物的排放量会明显增加，</w:t>
            </w:r>
            <w:r>
              <w:rPr>
                <w:rFonts w:hint="eastAsia" w:ascii="宋体" w:hAnsi="宋体"/>
                <w:i w:val="0"/>
                <w:iCs w:val="0"/>
                <w:color w:val="auto"/>
                <w:u w:val="none"/>
                <w:lang w:val="en-US" w:eastAsia="zh-CN"/>
              </w:rPr>
              <w:t>颗粒物的排放浓度和排放速率不能满足</w:t>
            </w:r>
            <w:r>
              <w:rPr>
                <w:rFonts w:hint="eastAsia" w:ascii="Times New Roman" w:hAnsi="Times New Roman" w:eastAsia="宋体" w:cs="宋体"/>
                <w:color w:val="auto"/>
                <w:sz w:val="21"/>
                <w:szCs w:val="21"/>
              </w:rPr>
              <w:t>《大气污染物综合排放标准》（GB16297-1996）</w:t>
            </w:r>
            <w:r>
              <w:rPr>
                <w:i w:val="0"/>
                <w:iCs w:val="0"/>
                <w:color w:val="auto"/>
                <w:u w:val="none"/>
              </w:rPr>
              <w:t>中排放限</w:t>
            </w:r>
            <w:r>
              <w:rPr>
                <w:rFonts w:hint="eastAsia" w:ascii="宋体" w:hAnsi="宋体"/>
                <w:i w:val="0"/>
                <w:iCs w:val="0"/>
                <w:color w:val="auto"/>
                <w:u w:val="none"/>
              </w:rPr>
              <w:t>值要求，故建设单位应按照工艺流程进行生产，</w:t>
            </w:r>
            <w:r>
              <w:rPr>
                <w:i w:val="0"/>
                <w:iCs w:val="0"/>
                <w:color w:val="auto"/>
                <w:u w:val="none"/>
              </w:rPr>
              <w:t>一旦发现</w:t>
            </w:r>
            <w:r>
              <w:rPr>
                <w:rFonts w:hint="eastAsia"/>
                <w:i w:val="0"/>
                <w:iCs w:val="0"/>
                <w:color w:val="auto"/>
                <w:u w:val="none"/>
              </w:rPr>
              <w:t>废气浓度异常</w:t>
            </w:r>
            <w:r>
              <w:rPr>
                <w:i w:val="0"/>
                <w:iCs w:val="0"/>
                <w:color w:val="auto"/>
                <w:u w:val="none"/>
              </w:rPr>
              <w:t>，立即查找原因并进行抢修，如短时间内无法找出原因及妥善处理，必要时应停止运行。此外，在平时日常生产过程中应加强生产设备和环保设施的维护及检修，避免治理措施发生故障导致的异常排放。</w:t>
            </w:r>
          </w:p>
          <w:p w14:paraId="41FE1DEB">
            <w:pPr>
              <w:pStyle w:val="3"/>
              <w:spacing w:before="0" w:after="0" w:line="360" w:lineRule="auto"/>
              <w:rPr>
                <w:rFonts w:ascii="Times New Roman" w:hAnsi="Times New Roman" w:eastAsia="宋体" w:cs="宋体"/>
                <w:b w:val="0"/>
                <w:bCs w:val="0"/>
                <w:color w:val="auto"/>
                <w:sz w:val="21"/>
                <w:szCs w:val="21"/>
                <w:u w:val="single"/>
              </w:rPr>
            </w:pPr>
            <w:r>
              <w:rPr>
                <w:rFonts w:hint="eastAsia" w:ascii="Times New Roman" w:hAnsi="Times New Roman" w:eastAsia="宋体" w:cs="宋体"/>
                <w:b w:val="0"/>
                <w:bCs w:val="0"/>
                <w:color w:val="auto"/>
                <w:sz w:val="21"/>
                <w:szCs w:val="21"/>
                <w:u w:val="single"/>
              </w:rPr>
              <w:t>1</w:t>
            </w:r>
            <w:r>
              <w:rPr>
                <w:rFonts w:ascii="Times New Roman" w:hAnsi="Times New Roman" w:eastAsia="宋体" w:cs="宋体"/>
                <w:b w:val="0"/>
                <w:bCs w:val="0"/>
                <w:color w:val="auto"/>
                <w:sz w:val="21"/>
                <w:szCs w:val="21"/>
                <w:u w:val="single"/>
              </w:rPr>
              <w:t>.</w:t>
            </w:r>
            <w:r>
              <w:rPr>
                <w:rFonts w:hint="eastAsia" w:ascii="Times New Roman" w:hAnsi="Times New Roman" w:eastAsia="宋体" w:cs="宋体"/>
                <w:b w:val="0"/>
                <w:bCs w:val="0"/>
                <w:color w:val="auto"/>
                <w:sz w:val="21"/>
                <w:szCs w:val="21"/>
                <w:u w:val="single"/>
                <w:lang w:val="en-US" w:eastAsia="zh-CN"/>
              </w:rPr>
              <w:t>2</w:t>
            </w:r>
            <w:r>
              <w:rPr>
                <w:rFonts w:ascii="Times New Roman" w:hAnsi="Times New Roman" w:eastAsia="宋体" w:cs="宋体"/>
                <w:b w:val="0"/>
                <w:bCs w:val="0"/>
                <w:color w:val="auto"/>
                <w:sz w:val="21"/>
                <w:szCs w:val="21"/>
                <w:u w:val="single"/>
              </w:rPr>
              <w:t>废气治理措施</w:t>
            </w:r>
            <w:r>
              <w:rPr>
                <w:rFonts w:hint="eastAsia" w:ascii="Times New Roman" w:hAnsi="Times New Roman" w:eastAsia="宋体" w:cs="宋体"/>
                <w:b w:val="0"/>
                <w:bCs w:val="0"/>
                <w:color w:val="auto"/>
                <w:sz w:val="21"/>
                <w:szCs w:val="21"/>
                <w:u w:val="single"/>
              </w:rPr>
              <w:t>与环境影响</w:t>
            </w:r>
            <w:r>
              <w:rPr>
                <w:rFonts w:ascii="Times New Roman" w:hAnsi="Times New Roman" w:eastAsia="宋体" w:cs="宋体"/>
                <w:b w:val="0"/>
                <w:bCs w:val="0"/>
                <w:color w:val="auto"/>
                <w:sz w:val="21"/>
                <w:szCs w:val="21"/>
                <w:u w:val="single"/>
              </w:rPr>
              <w:t>分析</w:t>
            </w:r>
          </w:p>
          <w:p w14:paraId="7B5A977D">
            <w:pPr>
              <w:pStyle w:val="3"/>
              <w:spacing w:before="0" w:after="0" w:line="360" w:lineRule="auto"/>
              <w:rPr>
                <w:rFonts w:ascii="Times New Roman" w:hAnsi="Times New Roman" w:eastAsia="宋体" w:cs="宋体"/>
                <w:b w:val="0"/>
                <w:bCs w:val="0"/>
                <w:color w:val="auto"/>
                <w:sz w:val="21"/>
                <w:szCs w:val="21"/>
                <w:u w:val="single"/>
              </w:rPr>
            </w:pPr>
            <w:r>
              <w:rPr>
                <w:rFonts w:hint="eastAsia" w:ascii="Times New Roman" w:hAnsi="Times New Roman" w:eastAsia="宋体" w:cs="宋体"/>
                <w:b w:val="0"/>
                <w:bCs w:val="0"/>
                <w:color w:val="auto"/>
                <w:sz w:val="21"/>
                <w:szCs w:val="21"/>
                <w:u w:val="single"/>
              </w:rPr>
              <w:t>1.</w:t>
            </w:r>
            <w:r>
              <w:rPr>
                <w:rFonts w:hint="eastAsia" w:ascii="Times New Roman" w:hAnsi="Times New Roman" w:eastAsia="宋体" w:cs="宋体"/>
                <w:b w:val="0"/>
                <w:bCs w:val="0"/>
                <w:color w:val="auto"/>
                <w:sz w:val="21"/>
                <w:szCs w:val="21"/>
                <w:u w:val="single"/>
                <w:lang w:val="en-US" w:eastAsia="zh-CN"/>
              </w:rPr>
              <w:t>2</w:t>
            </w:r>
            <w:r>
              <w:rPr>
                <w:rFonts w:hint="eastAsia" w:ascii="Times New Roman" w:hAnsi="Times New Roman" w:eastAsia="宋体" w:cs="宋体"/>
                <w:b w:val="0"/>
                <w:bCs w:val="0"/>
                <w:color w:val="auto"/>
                <w:sz w:val="21"/>
                <w:szCs w:val="21"/>
                <w:u w:val="single"/>
              </w:rPr>
              <w:t>.1废气治理措施及技术可行性</w:t>
            </w:r>
          </w:p>
          <w:p w14:paraId="6DCAA535">
            <w:pPr>
              <w:autoSpaceDE w:val="0"/>
              <w:autoSpaceDN w:val="0"/>
              <w:adjustRightInd w:val="0"/>
              <w:snapToGrid w:val="0"/>
              <w:spacing w:line="360" w:lineRule="auto"/>
              <w:ind w:firstLine="420" w:firstLineChars="200"/>
              <w:jc w:val="left"/>
              <w:rPr>
                <w:rFonts w:hint="default" w:hAnsi="宋体" w:eastAsia="宋体"/>
                <w:i w:val="0"/>
                <w:iCs w:val="0"/>
                <w:color w:val="auto"/>
                <w:u w:val="single"/>
                <w:lang w:val="en-US" w:eastAsia="zh-CN"/>
              </w:rPr>
            </w:pPr>
            <w:r>
              <w:rPr>
                <w:rFonts w:hint="eastAsia" w:hAnsi="宋体"/>
                <w:i w:val="0"/>
                <w:iCs w:val="0"/>
                <w:color w:val="auto"/>
                <w:u w:val="single"/>
                <w:lang w:eastAsia="zh-CN"/>
              </w:rPr>
              <w:t>（</w:t>
            </w:r>
            <w:r>
              <w:rPr>
                <w:rFonts w:hint="eastAsia" w:hAnsi="宋体"/>
                <w:i w:val="0"/>
                <w:iCs w:val="0"/>
                <w:color w:val="auto"/>
                <w:u w:val="single"/>
                <w:lang w:val="en-US" w:eastAsia="zh-CN"/>
              </w:rPr>
              <w:t>1</w:t>
            </w:r>
            <w:r>
              <w:rPr>
                <w:rFonts w:hint="eastAsia" w:hAnsi="宋体"/>
                <w:i w:val="0"/>
                <w:iCs w:val="0"/>
                <w:color w:val="auto"/>
                <w:u w:val="single"/>
                <w:lang w:eastAsia="zh-CN"/>
              </w:rPr>
              <w:t>）</w:t>
            </w:r>
            <w:r>
              <w:rPr>
                <w:rFonts w:hint="eastAsia" w:hAnsi="宋体"/>
                <w:i w:val="0"/>
                <w:iCs w:val="0"/>
                <w:color w:val="auto"/>
                <w:u w:val="single"/>
                <w:lang w:val="en-US" w:eastAsia="zh-CN"/>
              </w:rPr>
              <w:t>生物除臭技术</w:t>
            </w:r>
          </w:p>
          <w:p w14:paraId="6BA2DF2B">
            <w:pPr>
              <w:autoSpaceDE w:val="0"/>
              <w:autoSpaceDN w:val="0"/>
              <w:adjustRightInd w:val="0"/>
              <w:snapToGrid w:val="0"/>
              <w:spacing w:line="360" w:lineRule="auto"/>
              <w:ind w:firstLine="420" w:firstLineChars="200"/>
              <w:jc w:val="left"/>
              <w:rPr>
                <w:rFonts w:hAnsi="宋体"/>
                <w:i w:val="0"/>
                <w:iCs w:val="0"/>
                <w:color w:val="auto"/>
                <w:u w:val="single"/>
              </w:rPr>
            </w:pPr>
            <w:r>
              <w:rPr>
                <w:rFonts w:hAnsi="宋体"/>
                <w:i w:val="0"/>
                <w:iCs w:val="0"/>
                <w:color w:val="auto"/>
                <w:u w:val="single"/>
              </w:rPr>
              <w:t>生物除臭剂是由乳酸菌、光合菌、酵母菌、放线菌、醋酸杆菌、芽孢杆菌等复合微生物菌群经过按一定比例混合、发酵、驯化而成。微生物除臭剂会与臭气分子形成生态系统，</w:t>
            </w:r>
            <w:r>
              <w:rPr>
                <w:rFonts w:hint="eastAsia" w:hAnsi="宋体"/>
                <w:i w:val="0"/>
                <w:iCs w:val="0"/>
                <w:color w:val="auto"/>
                <w:u w:val="single"/>
              </w:rPr>
              <w:t>微生物和氧存在的条件下，利用微生物的代谢作用氧化分解发臭物质，以达到净化气体的目的。生物处理大致可以分为3个过程。恶臭气体被填料载体</w:t>
            </w:r>
            <w:r>
              <w:rPr>
                <w:rFonts w:hint="eastAsia" w:hAnsi="宋体"/>
                <w:i w:val="0"/>
                <w:iCs w:val="0"/>
                <w:color w:val="auto"/>
                <w:u w:val="single"/>
                <w:lang w:eastAsia="zh-CN"/>
              </w:rPr>
              <w:t>（</w:t>
            </w:r>
            <w:r>
              <w:rPr>
                <w:rFonts w:hint="eastAsia" w:hAnsi="宋体"/>
                <w:i w:val="0"/>
                <w:iCs w:val="0"/>
                <w:color w:val="auto"/>
                <w:u w:val="single"/>
              </w:rPr>
              <w:t>固有微生物</w:t>
            </w:r>
            <w:r>
              <w:rPr>
                <w:rFonts w:hint="eastAsia" w:hAnsi="宋体"/>
                <w:i w:val="0"/>
                <w:iCs w:val="0"/>
                <w:color w:val="auto"/>
                <w:u w:val="single"/>
                <w:lang w:eastAsia="zh-CN"/>
              </w:rPr>
              <w:t>）</w:t>
            </w:r>
            <w:r>
              <w:rPr>
                <w:rFonts w:hint="eastAsia" w:hAnsi="宋体"/>
                <w:i w:val="0"/>
                <w:iCs w:val="0"/>
                <w:color w:val="auto"/>
                <w:u w:val="single"/>
              </w:rPr>
              <w:t>吸附；恶臭气体向微生物表面扩散、被微生物吸附；除臭剂中的有益微生物菌种在繁殖过程中产生多种生物活性因子分解和消化恶臭物质，并能将恶臭物质作为自身营养物质，与有害微生物争夺营养物质，从而抑制有害物质的繁殖，通过其代谢产物生物酶将恶臭分子分解为水和稳定温和的碳化合物。</w:t>
            </w:r>
          </w:p>
          <w:p w14:paraId="0D0432B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hAnsi="宋体"/>
                <w:color w:val="auto"/>
                <w:u w:val="single"/>
                <w:lang w:val="en-US" w:eastAsia="zh-CN"/>
              </w:rPr>
            </w:pPr>
            <w:r>
              <w:rPr>
                <w:rFonts w:hint="eastAsia" w:hAnsi="宋体"/>
                <w:color w:val="auto"/>
                <w:u w:val="single"/>
                <w:lang w:val="en-US" w:eastAsia="zh-CN"/>
              </w:rPr>
              <w:t>具体详见下表。</w:t>
            </w:r>
          </w:p>
          <w:p w14:paraId="724287A0">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center"/>
              <w:textAlignment w:val="auto"/>
              <w:rPr>
                <w:rFonts w:hint="default" w:hAnsi="宋体"/>
                <w:color w:val="auto"/>
                <w:u w:val="single"/>
                <w:lang w:val="en-US" w:eastAsia="zh-CN"/>
              </w:rPr>
            </w:pPr>
            <w:r>
              <w:rPr>
                <w:rFonts w:hint="eastAsia" w:hAnsi="宋体"/>
                <w:color w:val="auto"/>
                <w:u w:val="single"/>
                <w:lang w:val="en-US" w:eastAsia="zh-CN"/>
              </w:rPr>
              <w:t>除臭剂技术分析情况一览表</w:t>
            </w:r>
          </w:p>
          <w:tbl>
            <w:tblPr>
              <w:tblStyle w:val="30"/>
              <w:tblW w:w="78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05"/>
              <w:gridCol w:w="1080"/>
              <w:gridCol w:w="3150"/>
              <w:gridCol w:w="1764"/>
            </w:tblGrid>
            <w:tr w14:paraId="2B172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1" w:type="dxa"/>
                  <w:tcBorders>
                    <w:tl2br w:val="nil"/>
                    <w:tr2bl w:val="nil"/>
                  </w:tcBorders>
                  <w:vAlign w:val="top"/>
                </w:tcPr>
                <w:p w14:paraId="461579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污染物类型</w:t>
                  </w:r>
                </w:p>
              </w:tc>
              <w:tc>
                <w:tcPr>
                  <w:tcW w:w="1005" w:type="dxa"/>
                  <w:tcBorders>
                    <w:tl2br w:val="nil"/>
                    <w:tr2bl w:val="nil"/>
                  </w:tcBorders>
                  <w:vAlign w:val="top"/>
                </w:tcPr>
                <w:p w14:paraId="25C1BA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化学特性</w:t>
                  </w:r>
                </w:p>
              </w:tc>
              <w:tc>
                <w:tcPr>
                  <w:tcW w:w="1080" w:type="dxa"/>
                  <w:tcBorders>
                    <w:tl2br w:val="nil"/>
                    <w:tr2bl w:val="nil"/>
                  </w:tcBorders>
                  <w:vAlign w:val="top"/>
                </w:tcPr>
                <w:p w14:paraId="7368C8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核心降解成分</w:t>
                  </w:r>
                </w:p>
              </w:tc>
              <w:tc>
                <w:tcPr>
                  <w:tcW w:w="3150" w:type="dxa"/>
                  <w:tcBorders>
                    <w:tl2br w:val="nil"/>
                    <w:tr2bl w:val="nil"/>
                  </w:tcBorders>
                  <w:vAlign w:val="top"/>
                </w:tcPr>
                <w:p w14:paraId="756D8D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作用机制</w:t>
                  </w:r>
                </w:p>
              </w:tc>
              <w:tc>
                <w:tcPr>
                  <w:tcW w:w="1764" w:type="dxa"/>
                  <w:tcBorders>
                    <w:tl2br w:val="nil"/>
                    <w:tr2bl w:val="nil"/>
                  </w:tcBorders>
                  <w:vAlign w:val="top"/>
                </w:tcPr>
                <w:p w14:paraId="6CA761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降解效率</w:t>
                  </w:r>
                </w:p>
              </w:tc>
            </w:tr>
            <w:tr w14:paraId="604F4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1" w:type="dxa"/>
                  <w:tcBorders>
                    <w:tl2br w:val="nil"/>
                    <w:tr2bl w:val="nil"/>
                  </w:tcBorders>
                  <w:vAlign w:val="top"/>
                </w:tcPr>
                <w:p w14:paraId="4E998B5A">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氨</w:t>
                  </w:r>
                </w:p>
              </w:tc>
              <w:tc>
                <w:tcPr>
                  <w:tcW w:w="1005" w:type="dxa"/>
                  <w:tcBorders>
                    <w:tl2br w:val="nil"/>
                    <w:tr2bl w:val="nil"/>
                  </w:tcBorders>
                  <w:vAlign w:val="top"/>
                </w:tcPr>
                <w:p w14:paraId="1C9D74E3">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hAnsi="宋体"/>
                      <w:color w:val="auto"/>
                      <w:sz w:val="18"/>
                      <w:szCs w:val="18"/>
                      <w:u w:val="single"/>
                      <w:vertAlign w:val="baseline"/>
                      <w:lang w:val="en-US" w:eastAsia="zh-CN"/>
                    </w:rPr>
                  </w:pPr>
                  <w:r>
                    <w:rPr>
                      <w:rFonts w:hint="eastAsia"/>
                      <w:color w:val="auto"/>
                      <w:sz w:val="18"/>
                      <w:szCs w:val="18"/>
                      <w:u w:val="single"/>
                      <w:lang w:val="en-US" w:eastAsia="zh-CN"/>
                    </w:rPr>
                    <w:t>碱性、易溶于水，转化为NH</w:t>
                  </w:r>
                  <w:r>
                    <w:rPr>
                      <w:rFonts w:hint="eastAsia"/>
                      <w:color w:val="auto"/>
                      <w:sz w:val="18"/>
                      <w:szCs w:val="18"/>
                      <w:u w:val="single"/>
                      <w:vertAlign w:val="superscript"/>
                      <w:lang w:val="en-US" w:eastAsia="zh-CN"/>
                    </w:rPr>
                    <w:t>4+</w:t>
                  </w:r>
                </w:p>
              </w:tc>
              <w:tc>
                <w:tcPr>
                  <w:tcW w:w="1080" w:type="dxa"/>
                  <w:tcBorders>
                    <w:tl2br w:val="nil"/>
                    <w:tr2bl w:val="nil"/>
                  </w:tcBorders>
                  <w:vAlign w:val="top"/>
                </w:tcPr>
                <w:p w14:paraId="7952B06E">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枯草芽孢杆菌、放线菌、地榆提取物</w:t>
                  </w:r>
                </w:p>
              </w:tc>
              <w:tc>
                <w:tcPr>
                  <w:tcW w:w="3150" w:type="dxa"/>
                  <w:tcBorders>
                    <w:tl2br w:val="nil"/>
                    <w:tr2bl w:val="nil"/>
                  </w:tcBorders>
                  <w:vAlign w:val="top"/>
                </w:tcPr>
                <w:p w14:paraId="343719A7">
                  <w:pPr>
                    <w:keepNext w:val="0"/>
                    <w:keepLines w:val="0"/>
                    <w:pageBreakBefore w:val="0"/>
                    <w:widowControl w:val="0"/>
                    <w:numPr>
                      <w:ilvl w:val="0"/>
                      <w:numId w:val="4"/>
                    </w:numPr>
                    <w:kinsoku/>
                    <w:wordWrap/>
                    <w:overflowPunct/>
                    <w:topLinePunct w:val="0"/>
                    <w:autoSpaceDE w:val="0"/>
                    <w:autoSpaceDN w:val="0"/>
                    <w:bidi w:val="0"/>
                    <w:adjustRightInd w:val="0"/>
                    <w:snapToGrid w:val="0"/>
                    <w:spacing w:line="240" w:lineRule="auto"/>
                    <w:jc w:val="left"/>
                    <w:textAlignment w:val="auto"/>
                    <w:rPr>
                      <w:rFonts w:hint="eastAsia"/>
                      <w:color w:val="auto"/>
                      <w:sz w:val="18"/>
                      <w:szCs w:val="18"/>
                      <w:u w:val="single"/>
                      <w:lang w:val="en-US" w:eastAsia="zh-CN"/>
                    </w:rPr>
                  </w:pPr>
                  <w:r>
                    <w:rPr>
                      <w:rFonts w:hint="eastAsia"/>
                      <w:color w:val="auto"/>
                      <w:sz w:val="18"/>
                      <w:szCs w:val="18"/>
                      <w:u w:val="single"/>
                      <w:lang w:val="en-US" w:eastAsia="zh-CN"/>
                    </w:rPr>
                    <w:t>微生物层面：氨单加氧酶将 NH</w:t>
                  </w:r>
                  <w:r>
                    <w:rPr>
                      <w:rFonts w:hint="eastAsia"/>
                      <w:color w:val="auto"/>
                      <w:sz w:val="18"/>
                      <w:szCs w:val="18"/>
                      <w:u w:val="single"/>
                      <w:vertAlign w:val="superscript"/>
                      <w:lang w:val="en-US" w:eastAsia="zh-CN"/>
                    </w:rPr>
                    <w:t>4+</w:t>
                  </w:r>
                  <w:r>
                    <w:rPr>
                      <w:rFonts w:hint="eastAsia"/>
                      <w:color w:val="auto"/>
                      <w:sz w:val="18"/>
                      <w:szCs w:val="18"/>
                      <w:u w:val="single"/>
                      <w:lang w:val="en-US" w:eastAsia="zh-CN"/>
                    </w:rPr>
                    <w:t>转化为羟胺，再经羟胺氧化酶分解为 NO</w:t>
                  </w:r>
                  <w:r>
                    <w:rPr>
                      <w:rFonts w:hint="eastAsia"/>
                      <w:color w:val="auto"/>
                      <w:sz w:val="18"/>
                      <w:szCs w:val="18"/>
                      <w:u w:val="single"/>
                      <w:vertAlign w:val="subscript"/>
                      <w:lang w:val="en-US" w:eastAsia="zh-CN"/>
                    </w:rPr>
                    <w:t>2</w:t>
                  </w:r>
                  <w:r>
                    <w:rPr>
                      <w:rFonts w:hint="eastAsia"/>
                      <w:color w:val="auto"/>
                      <w:sz w:val="18"/>
                      <w:szCs w:val="18"/>
                      <w:u w:val="single"/>
                      <w:vertAlign w:val="superscript"/>
                      <w:lang w:val="en-US" w:eastAsia="zh-CN"/>
                    </w:rPr>
                    <w:t>-</w:t>
                  </w:r>
                  <w:r>
                    <w:rPr>
                      <w:rFonts w:hint="eastAsia"/>
                      <w:color w:val="auto"/>
                      <w:sz w:val="18"/>
                      <w:szCs w:val="18"/>
                      <w:u w:val="single"/>
                      <w:lang w:val="en-US" w:eastAsia="zh-CN"/>
                    </w:rPr>
                    <w:t>，最终生成 NO</w:t>
                  </w:r>
                  <w:r>
                    <w:rPr>
                      <w:rFonts w:hint="eastAsia"/>
                      <w:color w:val="auto"/>
                      <w:sz w:val="18"/>
                      <w:szCs w:val="18"/>
                      <w:u w:val="single"/>
                      <w:vertAlign w:val="subscript"/>
                      <w:lang w:val="en-US" w:eastAsia="zh-CN"/>
                    </w:rPr>
                    <w:t>3</w:t>
                  </w:r>
                  <w:r>
                    <w:rPr>
                      <w:rFonts w:hint="eastAsia"/>
                      <w:color w:val="auto"/>
                      <w:sz w:val="18"/>
                      <w:szCs w:val="18"/>
                      <w:u w:val="single"/>
                      <w:vertAlign w:val="superscript"/>
                      <w:lang w:val="en-US" w:eastAsia="zh-CN"/>
                    </w:rPr>
                    <w:t>-</w:t>
                  </w:r>
                  <w:r>
                    <w:rPr>
                      <w:rFonts w:hint="eastAsia"/>
                      <w:color w:val="auto"/>
                      <w:sz w:val="18"/>
                      <w:szCs w:val="18"/>
                      <w:u w:val="single"/>
                      <w:lang w:val="en-US" w:eastAsia="zh-CN"/>
                    </w:rPr>
                    <w:t>；2. 植物提取物层面：地榆中的鞣质与 NH</w:t>
                  </w:r>
                  <w:r>
                    <w:rPr>
                      <w:rFonts w:hint="eastAsia"/>
                      <w:color w:val="auto"/>
                      <w:sz w:val="18"/>
                      <w:szCs w:val="18"/>
                      <w:u w:val="single"/>
                      <w:vertAlign w:val="superscript"/>
                      <w:lang w:val="en-US" w:eastAsia="zh-CN"/>
                    </w:rPr>
                    <w:t>4+</w:t>
                  </w:r>
                  <w:r>
                    <w:rPr>
                      <w:rFonts w:hint="eastAsia"/>
                      <w:color w:val="auto"/>
                      <w:sz w:val="18"/>
                      <w:szCs w:val="18"/>
                      <w:u w:val="single"/>
                      <w:lang w:val="en-US" w:eastAsia="zh-CN"/>
                    </w:rPr>
                    <w:t>形成络合物，降低挥发性</w:t>
                  </w:r>
                </w:p>
              </w:tc>
              <w:tc>
                <w:tcPr>
                  <w:tcW w:w="1764" w:type="dxa"/>
                  <w:tcBorders>
                    <w:tl2br w:val="nil"/>
                    <w:tr2bl w:val="nil"/>
                  </w:tcBorders>
                  <w:vAlign w:val="top"/>
                </w:tcPr>
                <w:p w14:paraId="6A2A57F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单独微生物处理效率 72%-80%，复合植物提取物后提升至 88% 以上</w:t>
                  </w:r>
                </w:p>
              </w:tc>
            </w:tr>
            <w:tr w14:paraId="7EC51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1" w:type="dxa"/>
                  <w:tcBorders>
                    <w:tl2br w:val="nil"/>
                    <w:tr2bl w:val="nil"/>
                  </w:tcBorders>
                  <w:vAlign w:val="top"/>
                </w:tcPr>
                <w:p w14:paraId="63B5ADB3">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硫化氢</w:t>
                  </w:r>
                </w:p>
              </w:tc>
              <w:tc>
                <w:tcPr>
                  <w:tcW w:w="1005" w:type="dxa"/>
                  <w:tcBorders>
                    <w:tl2br w:val="nil"/>
                    <w:tr2bl w:val="nil"/>
                  </w:tcBorders>
                  <w:vAlign w:val="top"/>
                </w:tcPr>
                <w:p w14:paraId="5742EEAF">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hAnsi="宋体"/>
                      <w:color w:val="auto"/>
                      <w:sz w:val="18"/>
                      <w:szCs w:val="18"/>
                      <w:u w:val="single"/>
                      <w:vertAlign w:val="baseline"/>
                      <w:lang w:val="en-US" w:eastAsia="zh-CN"/>
                    </w:rPr>
                  </w:pPr>
                  <w:r>
                    <w:rPr>
                      <w:rFonts w:hint="eastAsia"/>
                      <w:color w:val="auto"/>
                      <w:sz w:val="18"/>
                      <w:szCs w:val="18"/>
                      <w:u w:val="single"/>
                      <w:lang w:val="en-US" w:eastAsia="zh-CN"/>
                    </w:rPr>
                    <w:t>酸性、还原性，易形成 S</w:t>
                  </w:r>
                  <w:r>
                    <w:rPr>
                      <w:rFonts w:hint="eastAsia"/>
                      <w:color w:val="auto"/>
                      <w:sz w:val="18"/>
                      <w:szCs w:val="18"/>
                      <w:u w:val="single"/>
                      <w:vertAlign w:val="superscript"/>
                      <w:lang w:val="en-US" w:eastAsia="zh-CN"/>
                    </w:rPr>
                    <w:t>2-</w:t>
                  </w:r>
                </w:p>
              </w:tc>
              <w:tc>
                <w:tcPr>
                  <w:tcW w:w="1080" w:type="dxa"/>
                  <w:tcBorders>
                    <w:tl2br w:val="nil"/>
                    <w:tr2bl w:val="nil"/>
                  </w:tcBorders>
                  <w:vAlign w:val="top"/>
                </w:tcPr>
                <w:p w14:paraId="193B152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蜡样芽胞杆菌、醋酸杆菌、薄荷提取物</w:t>
                  </w:r>
                </w:p>
              </w:tc>
              <w:tc>
                <w:tcPr>
                  <w:tcW w:w="3150" w:type="dxa"/>
                  <w:tcBorders>
                    <w:tl2br w:val="nil"/>
                    <w:tr2bl w:val="nil"/>
                  </w:tcBorders>
                  <w:vAlign w:val="top"/>
                </w:tcPr>
                <w:p w14:paraId="3E34AAB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1. 微生物层面：硫化物氧化酶将 S</w:t>
                  </w:r>
                  <w:r>
                    <w:rPr>
                      <w:rFonts w:hint="eastAsia"/>
                      <w:color w:val="auto"/>
                      <w:sz w:val="18"/>
                      <w:szCs w:val="18"/>
                      <w:u w:val="single"/>
                      <w:vertAlign w:val="superscript"/>
                      <w:lang w:val="en-US" w:eastAsia="zh-CN"/>
                    </w:rPr>
                    <w:t>2-</w:t>
                  </w:r>
                  <w:r>
                    <w:rPr>
                      <w:rFonts w:hint="eastAsia"/>
                      <w:color w:val="auto"/>
                      <w:sz w:val="18"/>
                      <w:szCs w:val="18"/>
                      <w:u w:val="single"/>
                      <w:lang w:val="en-US" w:eastAsia="zh-CN"/>
                    </w:rPr>
                    <w:t>逐步氧化为 S、SO</w:t>
                  </w:r>
                  <w:r>
                    <w:rPr>
                      <w:rFonts w:hint="eastAsia"/>
                      <w:color w:val="auto"/>
                      <w:sz w:val="18"/>
                      <w:szCs w:val="18"/>
                      <w:u w:val="single"/>
                      <w:vertAlign w:val="subscript"/>
                      <w:lang w:val="en-US" w:eastAsia="zh-CN"/>
                    </w:rPr>
                    <w:t>3</w:t>
                  </w:r>
                  <w:r>
                    <w:rPr>
                      <w:rFonts w:hint="eastAsia"/>
                      <w:color w:val="auto"/>
                      <w:sz w:val="18"/>
                      <w:szCs w:val="18"/>
                      <w:u w:val="single"/>
                      <w:vertAlign w:val="superscript"/>
                      <w:lang w:val="en-US" w:eastAsia="zh-CN"/>
                    </w:rPr>
                    <w:t>2-</w:t>
                  </w:r>
                  <w:r>
                    <w:rPr>
                      <w:rFonts w:hint="eastAsia"/>
                      <w:color w:val="auto"/>
                      <w:sz w:val="18"/>
                      <w:szCs w:val="18"/>
                      <w:u w:val="single"/>
                      <w:lang w:val="en-US" w:eastAsia="zh-CN"/>
                    </w:rPr>
                    <w:t>，最终生成 SO</w:t>
                  </w:r>
                  <w:r>
                    <w:rPr>
                      <w:rFonts w:hint="eastAsia"/>
                      <w:color w:val="auto"/>
                      <w:sz w:val="18"/>
                      <w:szCs w:val="18"/>
                      <w:u w:val="single"/>
                      <w:vertAlign w:val="subscript"/>
                      <w:lang w:val="en-US" w:eastAsia="zh-CN"/>
                    </w:rPr>
                    <w:t>4</w:t>
                  </w:r>
                  <w:r>
                    <w:rPr>
                      <w:rFonts w:hint="eastAsia"/>
                      <w:color w:val="auto"/>
                      <w:sz w:val="18"/>
                      <w:szCs w:val="18"/>
                      <w:u w:val="single"/>
                      <w:vertAlign w:val="superscript"/>
                      <w:lang w:val="en-US" w:eastAsia="zh-CN"/>
                    </w:rPr>
                    <w:t>2-</w:t>
                  </w:r>
                  <w:r>
                    <w:rPr>
                      <w:rFonts w:hint="eastAsia"/>
                      <w:color w:val="auto"/>
                      <w:sz w:val="18"/>
                      <w:szCs w:val="18"/>
                      <w:u w:val="single"/>
                      <w:lang w:val="en-US" w:eastAsia="zh-CN"/>
                    </w:rPr>
                    <w:t>；2. 植物提取物层面：薄荷中的薄荷醇与 S</w:t>
                  </w:r>
                  <w:r>
                    <w:rPr>
                      <w:rFonts w:hint="eastAsia"/>
                      <w:color w:val="auto"/>
                      <w:sz w:val="18"/>
                      <w:szCs w:val="18"/>
                      <w:u w:val="single"/>
                      <w:vertAlign w:val="superscript"/>
                      <w:lang w:val="en-US" w:eastAsia="zh-CN"/>
                    </w:rPr>
                    <w:t>2-</w:t>
                  </w:r>
                  <w:r>
                    <w:rPr>
                      <w:rFonts w:hint="eastAsia"/>
                      <w:color w:val="auto"/>
                      <w:sz w:val="18"/>
                      <w:szCs w:val="18"/>
                      <w:u w:val="single"/>
                      <w:lang w:val="en-US" w:eastAsia="zh-CN"/>
                    </w:rPr>
                    <w:t>发生亲核反应，加速分解</w:t>
                  </w:r>
                </w:p>
              </w:tc>
              <w:tc>
                <w:tcPr>
                  <w:tcW w:w="1764" w:type="dxa"/>
                  <w:tcBorders>
                    <w:tl2br w:val="nil"/>
                    <w:tr2bl w:val="nil"/>
                  </w:tcBorders>
                  <w:vAlign w:val="top"/>
                </w:tcPr>
                <w:p w14:paraId="0DDB4E2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hAnsi="宋体"/>
                      <w:color w:val="auto"/>
                      <w:sz w:val="18"/>
                      <w:szCs w:val="18"/>
                      <w:u w:val="single"/>
                      <w:vertAlign w:val="baseline"/>
                      <w:lang w:val="en-US" w:eastAsia="zh-CN"/>
                    </w:rPr>
                  </w:pPr>
                  <w:r>
                    <w:rPr>
                      <w:rFonts w:hint="eastAsia"/>
                      <w:color w:val="auto"/>
                      <w:sz w:val="18"/>
                      <w:szCs w:val="18"/>
                      <w:u w:val="single"/>
                      <w:lang w:val="en-US" w:eastAsia="zh-CN"/>
                    </w:rPr>
                    <w:t>单独微生物处理效率 82%-90%，复合后可达 92% 以上</w:t>
                  </w:r>
                </w:p>
              </w:tc>
            </w:tr>
          </w:tbl>
          <w:p w14:paraId="3EAD8903">
            <w:pPr>
              <w:keepNext w:val="0"/>
              <w:keepLines w:val="0"/>
              <w:pageBreakBefore w:val="0"/>
              <w:widowControl w:val="0"/>
              <w:kinsoku/>
              <w:wordWrap/>
              <w:overflowPunct/>
              <w:topLinePunct w:val="0"/>
              <w:autoSpaceDE w:val="0"/>
              <w:autoSpaceDN w:val="0"/>
              <w:bidi w:val="0"/>
              <w:adjustRightInd w:val="0"/>
              <w:snapToGrid w:val="0"/>
              <w:spacing w:line="240" w:lineRule="auto"/>
              <w:ind w:firstLine="200" w:firstLineChars="200"/>
              <w:jc w:val="left"/>
              <w:textAlignment w:val="auto"/>
              <w:rPr>
                <w:rFonts w:hint="eastAsia" w:hAnsi="宋体"/>
                <w:i w:val="0"/>
                <w:iCs w:val="0"/>
                <w:color w:val="auto"/>
                <w:sz w:val="10"/>
                <w:szCs w:val="10"/>
                <w:u w:val="single"/>
                <w:lang w:val="en-US" w:eastAsia="zh-CN"/>
              </w:rPr>
            </w:pPr>
          </w:p>
          <w:p w14:paraId="10B3EAC9">
            <w:pPr>
              <w:pStyle w:val="86"/>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u w:val="single"/>
                <w:lang w:val="en-US" w:eastAsia="zh-CN" w:bidi="ar-SA"/>
              </w:rPr>
            </w:pPr>
            <w:r>
              <w:rPr>
                <w:rFonts w:hint="default" w:hAnsi="宋体"/>
                <w:i w:val="0"/>
                <w:iCs w:val="0"/>
                <w:color w:val="auto"/>
                <w:u w:val="single"/>
                <w:lang w:val="en-US" w:eastAsia="zh-CN"/>
              </w:rPr>
              <w:t>生物除臭剂（复合菌 + 植物提取物）与发酵工艺的温度、湿度、操作流程高度协同，通过优化雾化参数和分阶段补加，可覆盖全发酵周期的异味控制；对氨、硫化氢的去除率分别可达</w:t>
            </w:r>
            <w:r>
              <w:rPr>
                <w:rFonts w:hint="eastAsia" w:hAnsi="宋体"/>
                <w:i w:val="0"/>
                <w:iCs w:val="0"/>
                <w:color w:val="auto"/>
                <w:u w:val="single"/>
                <w:lang w:val="en-US" w:eastAsia="zh-CN"/>
              </w:rPr>
              <w:t>72</w:t>
            </w:r>
            <w:r>
              <w:rPr>
                <w:rFonts w:hint="default" w:hAnsi="宋体"/>
                <w:i w:val="0"/>
                <w:iCs w:val="0"/>
                <w:color w:val="auto"/>
                <w:u w:val="single"/>
                <w:lang w:val="en-US" w:eastAsia="zh-CN"/>
              </w:rPr>
              <w:t>%、</w:t>
            </w:r>
            <w:r>
              <w:rPr>
                <w:rFonts w:hint="eastAsia" w:hAnsi="宋体"/>
                <w:i w:val="0"/>
                <w:iCs w:val="0"/>
                <w:color w:val="auto"/>
                <w:u w:val="single"/>
                <w:lang w:val="en-US" w:eastAsia="zh-CN"/>
              </w:rPr>
              <w:t>82</w:t>
            </w:r>
            <w:r>
              <w:rPr>
                <w:rFonts w:hint="default" w:hAnsi="宋体"/>
                <w:i w:val="0"/>
                <w:iCs w:val="0"/>
                <w:color w:val="auto"/>
                <w:u w:val="single"/>
                <w:lang w:val="en-US" w:eastAsia="zh-CN"/>
              </w:rPr>
              <w:t>% 以上，</w:t>
            </w:r>
            <w:r>
              <w:rPr>
                <w:rFonts w:hint="eastAsia" w:hAnsi="宋体"/>
                <w:i w:val="0"/>
                <w:iCs w:val="0"/>
                <w:color w:val="auto"/>
                <w:u w:val="single"/>
                <w:lang w:val="en-US" w:eastAsia="zh-CN"/>
              </w:rPr>
              <w:t>厂界浓度满足</w:t>
            </w:r>
            <w:r>
              <w:rPr>
                <w:rFonts w:hint="eastAsia" w:ascii="Times New Roman" w:hAnsi="Times New Roman" w:eastAsia="宋体" w:cs="Times New Roman"/>
                <w:color w:val="auto"/>
                <w:kern w:val="0"/>
                <w:sz w:val="21"/>
                <w:szCs w:val="21"/>
                <w:highlight w:val="none"/>
                <w:u w:val="single"/>
                <w:lang w:val="en-US" w:eastAsia="zh-CN" w:bidi="ar-SA"/>
              </w:rPr>
              <w:t>《恶臭污染物排放标准》（GB14554-93）中限值要求</w:t>
            </w:r>
            <w:r>
              <w:rPr>
                <w:rFonts w:hint="eastAsia" w:cs="Times New Roman"/>
                <w:color w:val="auto"/>
                <w:kern w:val="0"/>
                <w:sz w:val="21"/>
                <w:szCs w:val="21"/>
                <w:highlight w:val="none"/>
                <w:u w:val="single"/>
                <w:lang w:val="en-US" w:eastAsia="zh-CN" w:bidi="ar-SA"/>
              </w:rPr>
              <w:t>，技术可行。</w:t>
            </w:r>
          </w:p>
          <w:p w14:paraId="60CEE4E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hAnsi="宋体"/>
                <w:color w:val="auto"/>
                <w:u w:val="single"/>
                <w:lang w:val="en-US" w:eastAsia="zh-CN"/>
              </w:rPr>
            </w:pPr>
            <w:r>
              <w:rPr>
                <w:rFonts w:hint="eastAsia" w:hAnsi="宋体"/>
                <w:i w:val="0"/>
                <w:iCs w:val="0"/>
                <w:color w:val="auto"/>
                <w:u w:val="single"/>
                <w:lang w:val="en-US" w:eastAsia="zh-CN"/>
              </w:rPr>
              <w:t>（2）布袋除尘器</w:t>
            </w:r>
          </w:p>
          <w:p w14:paraId="1C76F6B8">
            <w:pPr>
              <w:autoSpaceDE w:val="0"/>
              <w:autoSpaceDN w:val="0"/>
              <w:adjustRightInd w:val="0"/>
              <w:snapToGrid w:val="0"/>
              <w:spacing w:line="360" w:lineRule="auto"/>
              <w:ind w:firstLine="420" w:firstLineChars="200"/>
              <w:jc w:val="left"/>
              <w:rPr>
                <w:rFonts w:hint="default" w:hAnsi="宋体"/>
                <w:i w:val="0"/>
                <w:iCs w:val="0"/>
                <w:color w:val="auto"/>
                <w:u w:val="single"/>
                <w:lang w:val="en-US" w:eastAsia="zh-CN"/>
              </w:rPr>
            </w:pPr>
            <w:r>
              <w:rPr>
                <w:rFonts w:hint="eastAsia" w:hAnsi="宋体"/>
                <w:i w:val="0"/>
                <w:iCs w:val="0"/>
                <w:color w:val="auto"/>
                <w:u w:val="single"/>
                <w:lang w:val="en-US" w:eastAsia="zh-CN"/>
              </w:rPr>
              <w:t>参照</w:t>
            </w:r>
            <w:r>
              <w:rPr>
                <w:rFonts w:hint="eastAsia" w:hAnsi="宋体"/>
                <w:i w:val="0"/>
                <w:iCs w:val="0"/>
                <w:color w:val="auto"/>
                <w:u w:val="single"/>
              </w:rPr>
              <w:t>《排污许可证申请与核发技术规范 磷肥、钾肥、复混肥料、有机肥料及微生物肥料工业》（HJ864.2-2018）中表15，有机肥料及微生物肥料工业排污单位生产单元或设施废气治理可行技术参照表可知，</w:t>
            </w:r>
            <w:r>
              <w:rPr>
                <w:rFonts w:hint="eastAsia" w:hAnsi="宋体"/>
                <w:i w:val="0"/>
                <w:iCs w:val="0"/>
                <w:color w:val="auto"/>
                <w:u w:val="single"/>
                <w:lang w:val="en-US" w:eastAsia="zh-CN"/>
              </w:rPr>
              <w:t>破碎、筛分单元主要控制污染物为颗粒物，可行技术为袋式除尘器。</w:t>
            </w:r>
          </w:p>
          <w:p w14:paraId="405960B5">
            <w:pPr>
              <w:adjustRightInd w:val="0"/>
              <w:snapToGrid w:val="0"/>
              <w:spacing w:line="360" w:lineRule="auto"/>
              <w:ind w:firstLine="420" w:firstLineChars="200"/>
              <w:rPr>
                <w:color w:val="auto"/>
                <w:highlight w:val="none"/>
                <w:u w:val="single"/>
              </w:rPr>
            </w:pPr>
            <w:r>
              <w:rPr>
                <w:color w:val="auto"/>
                <w:u w:val="single"/>
              </w:rPr>
              <w:t>含尘气流通过风道进入</w:t>
            </w:r>
            <w:r>
              <w:rPr>
                <w:rFonts w:hint="eastAsia"/>
                <w:color w:val="auto"/>
                <w:u w:val="single"/>
              </w:rPr>
              <w:t>布袋</w:t>
            </w:r>
            <w:r>
              <w:rPr>
                <w:color w:val="auto"/>
                <w:u w:val="single"/>
              </w:rPr>
              <w:t>除尘器，通过过滤材料，滤去气体中的尘粒，达到净化气体的目的。净化后的气体进入除尘器的上箱，再通过出风口排出去。当过滤室阻力达到一定的压力值时，自控系统将发出指令将该室的排风切换关闭，压缩空气通过脉冲对滤袋进行反吹，使滤袋上的集灰层浮动，疏松，膨胀达到流态化，最后被清离滤袋表面而落入灰斗。每个室清灰后排风切换</w:t>
            </w:r>
            <w:r>
              <w:rPr>
                <w:rFonts w:hint="eastAsia"/>
                <w:color w:val="auto"/>
                <w:u w:val="single"/>
              </w:rPr>
              <w:t>阀</w:t>
            </w:r>
            <w:r>
              <w:rPr>
                <w:color w:val="auto"/>
                <w:u w:val="single"/>
              </w:rPr>
              <w:t>自开启，该室重新进入工作状态</w:t>
            </w:r>
            <w:r>
              <w:rPr>
                <w:rFonts w:hint="eastAsia"/>
                <w:color w:val="auto"/>
                <w:u w:val="single"/>
              </w:rPr>
              <w:t>。</w:t>
            </w:r>
            <w:r>
              <w:rPr>
                <w:rFonts w:hint="eastAsia"/>
                <w:color w:val="auto"/>
                <w:highlight w:val="none"/>
                <w:u w:val="single"/>
              </w:rPr>
              <w:t>布袋除尘器效率一般能达到99%。</w:t>
            </w:r>
          </w:p>
          <w:p w14:paraId="6E913A0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Ansi="宋体"/>
                <w:color w:val="auto"/>
                <w:u w:val="single"/>
              </w:rPr>
            </w:pPr>
            <w:r>
              <w:rPr>
                <w:rFonts w:hint="eastAsia" w:hAnsi="宋体"/>
                <w:color w:val="auto"/>
                <w:u w:val="single"/>
                <w:lang w:val="en-US" w:eastAsia="zh-CN"/>
              </w:rPr>
              <w:t>综上，</w:t>
            </w:r>
            <w:r>
              <w:rPr>
                <w:rFonts w:hint="eastAsia" w:hAnsi="宋体"/>
                <w:color w:val="auto"/>
                <w:u w:val="single"/>
              </w:rPr>
              <w:t>本</w:t>
            </w:r>
            <w:r>
              <w:rPr>
                <w:rFonts w:hint="eastAsia" w:hAnsi="宋体"/>
                <w:color w:val="auto"/>
                <w:u w:val="single"/>
                <w:lang w:val="en-US" w:eastAsia="zh-CN"/>
              </w:rPr>
              <w:t>项目采用布袋除尘器对破碎筛分粉尘进行处理，</w:t>
            </w:r>
            <w:r>
              <w:rPr>
                <w:rFonts w:hint="eastAsia" w:hAnsi="宋体"/>
                <w:color w:val="auto"/>
                <w:u w:val="single"/>
              </w:rPr>
              <w:t>属于可行技术。</w:t>
            </w:r>
          </w:p>
          <w:p w14:paraId="6ACAF78C">
            <w:pPr>
              <w:pStyle w:val="85"/>
              <w:ind w:firstLine="0" w:firstLineChars="0"/>
              <w:rPr>
                <w:rFonts w:cs="Times New Roman"/>
                <w:color w:val="auto"/>
              </w:rPr>
            </w:pPr>
            <w:r>
              <w:rPr>
                <w:rFonts w:hint="eastAsia" w:cs="Times New Roman"/>
                <w:color w:val="auto"/>
              </w:rPr>
              <w:t>1.</w:t>
            </w:r>
            <w:r>
              <w:rPr>
                <w:rFonts w:hint="eastAsia" w:cs="Times New Roman"/>
                <w:color w:val="auto"/>
                <w:lang w:val="en-US" w:eastAsia="zh-CN"/>
              </w:rPr>
              <w:t>2</w:t>
            </w:r>
            <w:r>
              <w:rPr>
                <w:rFonts w:hint="eastAsia" w:cs="Times New Roman"/>
                <w:color w:val="auto"/>
              </w:rPr>
              <w:t>.2 环境影响分析</w:t>
            </w:r>
          </w:p>
          <w:p w14:paraId="682ADC06">
            <w:pPr>
              <w:pStyle w:val="85"/>
              <w:ind w:firstLine="420"/>
              <w:rPr>
                <w:color w:val="auto"/>
              </w:rPr>
            </w:pPr>
            <w:r>
              <w:rPr>
                <w:rFonts w:hint="eastAsia"/>
                <w:color w:val="auto"/>
              </w:rPr>
              <w:t>根据环境质量监测，项目所在地环境空气质量较好，</w:t>
            </w:r>
            <w:r>
              <w:rPr>
                <w:rFonts w:hint="eastAsia" w:ascii="Times New Roman" w:cs="宋体" w:hAnsiTheme="minorHAnsi" w:eastAsiaTheme="minorEastAsia"/>
                <w:b w:val="0"/>
                <w:bCs w:val="0"/>
                <w:color w:val="auto"/>
                <w:spacing w:val="0"/>
                <w:sz w:val="21"/>
                <w:szCs w:val="18"/>
                <w:lang w:val="en-US" w:eastAsia="zh-CN" w:bidi="ar-SA"/>
              </w:rPr>
              <w:t>距离厂界最近的敏感目标为厂界</w:t>
            </w:r>
            <w:r>
              <w:rPr>
                <w:rFonts w:hint="eastAsia" w:cs="宋体" w:hAnsiTheme="minorHAnsi" w:eastAsiaTheme="minorEastAsia"/>
                <w:b w:val="0"/>
                <w:bCs w:val="0"/>
                <w:color w:val="auto"/>
                <w:spacing w:val="0"/>
                <w:sz w:val="21"/>
                <w:szCs w:val="18"/>
                <w:lang w:val="en-US" w:eastAsia="zh-CN" w:bidi="ar-SA"/>
              </w:rPr>
              <w:t>西</w:t>
            </w:r>
            <w:r>
              <w:rPr>
                <w:rFonts w:hint="eastAsia" w:ascii="Times New Roman" w:cs="宋体" w:hAnsiTheme="minorHAnsi" w:eastAsiaTheme="minorEastAsia"/>
                <w:b w:val="0"/>
                <w:bCs w:val="0"/>
                <w:color w:val="auto"/>
                <w:spacing w:val="0"/>
                <w:sz w:val="21"/>
                <w:szCs w:val="18"/>
                <w:lang w:val="en-US" w:eastAsia="zh-CN" w:bidi="ar-SA"/>
              </w:rPr>
              <w:t>侧</w:t>
            </w:r>
            <w:r>
              <w:rPr>
                <w:rFonts w:hint="eastAsia" w:cs="宋体" w:hAnsiTheme="minorHAnsi" w:eastAsiaTheme="minorEastAsia"/>
                <w:b w:val="0"/>
                <w:bCs w:val="0"/>
                <w:color w:val="auto"/>
                <w:spacing w:val="0"/>
                <w:sz w:val="21"/>
                <w:szCs w:val="18"/>
                <w:lang w:val="en-US" w:eastAsia="zh-CN" w:bidi="ar-SA"/>
              </w:rPr>
              <w:t>32</w:t>
            </w:r>
            <w:r>
              <w:rPr>
                <w:rFonts w:hint="eastAsia" w:ascii="Times New Roman" w:cs="宋体" w:hAnsiTheme="minorHAnsi" w:eastAsiaTheme="minorEastAsia"/>
                <w:b w:val="0"/>
                <w:bCs w:val="0"/>
                <w:color w:val="auto"/>
                <w:spacing w:val="0"/>
                <w:sz w:val="21"/>
                <w:szCs w:val="18"/>
                <w:lang w:val="en-US" w:eastAsia="zh-CN" w:bidi="ar-SA"/>
              </w:rPr>
              <w:t>m外的里岔沟村（96户，218人）</w:t>
            </w:r>
            <w:r>
              <w:rPr>
                <w:rFonts w:hint="eastAsia"/>
                <w:color w:val="auto"/>
              </w:rPr>
              <w:t>，位于区域主导风向</w:t>
            </w:r>
            <w:r>
              <w:rPr>
                <w:rFonts w:hint="eastAsia"/>
                <w:color w:val="auto"/>
                <w:lang w:val="en-US" w:eastAsia="zh-CN"/>
              </w:rPr>
              <w:t>上风向</w:t>
            </w:r>
            <w:r>
              <w:rPr>
                <w:rFonts w:hint="eastAsia"/>
                <w:color w:val="auto"/>
              </w:rPr>
              <w:t>，项目废气</w:t>
            </w:r>
            <w:r>
              <w:rPr>
                <w:rFonts w:hint="eastAsia"/>
                <w:color w:val="auto"/>
                <w:lang w:val="en-US" w:eastAsia="zh-CN"/>
              </w:rPr>
              <w:t>能够</w:t>
            </w:r>
            <w:r>
              <w:rPr>
                <w:rFonts w:hint="eastAsia"/>
                <w:color w:val="auto"/>
              </w:rPr>
              <w:t>达标排放，对周围环境敏感目标影响不大。</w:t>
            </w:r>
          </w:p>
          <w:p w14:paraId="51976674">
            <w:pPr>
              <w:pStyle w:val="85"/>
              <w:ind w:firstLine="0" w:firstLineChars="0"/>
              <w:rPr>
                <w:rFonts w:cs="Times New Roman"/>
                <w:color w:val="auto"/>
              </w:rPr>
            </w:pPr>
            <w:r>
              <w:rPr>
                <w:rFonts w:hint="eastAsia" w:cs="Times New Roman"/>
                <w:color w:val="auto"/>
              </w:rPr>
              <w:t>1</w:t>
            </w:r>
            <w:r>
              <w:rPr>
                <w:rFonts w:cs="Times New Roman"/>
                <w:color w:val="auto"/>
              </w:rPr>
              <w:t>.</w:t>
            </w:r>
            <w:r>
              <w:rPr>
                <w:rFonts w:hint="eastAsia" w:cs="Times New Roman"/>
                <w:color w:val="auto"/>
              </w:rPr>
              <w:t xml:space="preserve">5 </w:t>
            </w:r>
            <w:r>
              <w:rPr>
                <w:rFonts w:cs="Times New Roman"/>
                <w:color w:val="auto"/>
              </w:rPr>
              <w:t>废气监测计划</w:t>
            </w:r>
          </w:p>
          <w:p w14:paraId="1D18DDB3">
            <w:pPr>
              <w:pStyle w:val="85"/>
              <w:ind w:firstLine="420"/>
              <w:rPr>
                <w:rFonts w:cs="Times New Roman"/>
                <w:color w:val="auto"/>
                <w:highlight w:val="none"/>
              </w:rPr>
            </w:pPr>
            <w:r>
              <w:rPr>
                <w:rFonts w:hint="eastAsia" w:ascii="Times New Roman" w:hAnsi="Times New Roman" w:cs="Times New Roman"/>
                <w:color w:val="auto"/>
                <w:sz w:val="21"/>
                <w:szCs w:val="21"/>
              </w:rPr>
              <w:t>企业应</w:t>
            </w:r>
            <w:r>
              <w:rPr>
                <w:rFonts w:hint="eastAsia" w:cs="Times New Roman"/>
                <w:color w:val="auto"/>
                <w:sz w:val="21"/>
                <w:szCs w:val="21"/>
                <w:lang w:val="en-US" w:eastAsia="zh-CN"/>
              </w:rPr>
              <w:t>参照</w:t>
            </w:r>
            <w:r>
              <w:rPr>
                <w:rFonts w:hint="eastAsia" w:ascii="Times New Roman" w:hAnsi="Times New Roman" w:cs="Times New Roman"/>
                <w:color w:val="auto"/>
                <w:sz w:val="21"/>
                <w:szCs w:val="21"/>
                <w:highlight w:val="none"/>
              </w:rPr>
              <w:t>《排污许可证申请与核发技术规范 工业固体废物和危险废物治理》（HJ 1033</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rPr>
              <w:t>2019）中相关要求</w:t>
            </w:r>
            <w:r>
              <w:rPr>
                <w:rFonts w:hint="eastAsia" w:cs="Times New Roman"/>
                <w:color w:val="auto"/>
                <w:highlight w:val="none"/>
              </w:rPr>
              <w:t>，</w:t>
            </w:r>
            <w:r>
              <w:rPr>
                <w:rFonts w:cs="Times New Roman"/>
                <w:color w:val="auto"/>
                <w:highlight w:val="none"/>
              </w:rPr>
              <w:t>制定本项目废气监测计划，见下表。</w:t>
            </w:r>
          </w:p>
          <w:p w14:paraId="1AA42BAD">
            <w:pPr>
              <w:pStyle w:val="83"/>
              <w:spacing w:line="240" w:lineRule="auto"/>
              <w:rPr>
                <w:rFonts w:cs="宋体"/>
                <w:b w:val="0"/>
                <w:bCs/>
                <w:color w:val="auto"/>
                <w:sz w:val="21"/>
                <w:highlight w:val="none"/>
              </w:rPr>
            </w:pPr>
          </w:p>
          <w:p w14:paraId="193BAFE2">
            <w:pPr>
              <w:pStyle w:val="83"/>
              <w:spacing w:line="240" w:lineRule="auto"/>
              <w:rPr>
                <w:rFonts w:cs="宋体"/>
                <w:b w:val="0"/>
                <w:bCs/>
                <w:color w:val="auto"/>
                <w:sz w:val="21"/>
                <w:highlight w:val="none"/>
              </w:rPr>
            </w:pPr>
          </w:p>
          <w:p w14:paraId="24949949">
            <w:pPr>
              <w:pStyle w:val="83"/>
              <w:spacing w:line="240" w:lineRule="auto"/>
              <w:rPr>
                <w:rFonts w:cs="宋体"/>
                <w:b w:val="0"/>
                <w:bCs/>
                <w:color w:val="auto"/>
                <w:sz w:val="21"/>
                <w:highlight w:val="none"/>
              </w:rPr>
            </w:pPr>
            <w:r>
              <w:rPr>
                <w:rFonts w:cs="宋体"/>
                <w:b w:val="0"/>
                <w:bCs/>
                <w:color w:val="auto"/>
                <w:sz w:val="21"/>
                <w:highlight w:val="none"/>
              </w:rPr>
              <w:t>废气监测计划</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3066"/>
              <w:gridCol w:w="1940"/>
            </w:tblGrid>
            <w:tr w14:paraId="1CA2A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14" w:type="pct"/>
                  <w:tcBorders>
                    <w:tl2br w:val="nil"/>
                    <w:tr2bl w:val="nil"/>
                  </w:tcBorders>
                  <w:vAlign w:val="center"/>
                </w:tcPr>
                <w:p w14:paraId="65A5EABB">
                  <w:pPr>
                    <w:jc w:val="center"/>
                    <w:rPr>
                      <w:color w:val="auto"/>
                      <w:sz w:val="18"/>
                      <w:szCs w:val="18"/>
                      <w:highlight w:val="none"/>
                      <w:u w:val="none"/>
                    </w:rPr>
                  </w:pPr>
                  <w:r>
                    <w:rPr>
                      <w:rFonts w:hint="eastAsia"/>
                      <w:color w:val="auto"/>
                      <w:sz w:val="18"/>
                      <w:szCs w:val="18"/>
                      <w:highlight w:val="none"/>
                      <w:u w:val="none"/>
                    </w:rPr>
                    <w:t>位置</w:t>
                  </w:r>
                </w:p>
              </w:tc>
              <w:tc>
                <w:tcPr>
                  <w:tcW w:w="1951" w:type="pct"/>
                  <w:tcBorders>
                    <w:tl2br w:val="nil"/>
                    <w:tr2bl w:val="nil"/>
                  </w:tcBorders>
                  <w:vAlign w:val="center"/>
                </w:tcPr>
                <w:p w14:paraId="67693CB7">
                  <w:pPr>
                    <w:jc w:val="center"/>
                    <w:rPr>
                      <w:color w:val="auto"/>
                      <w:sz w:val="18"/>
                      <w:szCs w:val="18"/>
                      <w:highlight w:val="none"/>
                      <w:u w:val="none"/>
                    </w:rPr>
                  </w:pPr>
                  <w:r>
                    <w:rPr>
                      <w:color w:val="auto"/>
                      <w:sz w:val="18"/>
                      <w:szCs w:val="18"/>
                      <w:highlight w:val="none"/>
                      <w:u w:val="none"/>
                    </w:rPr>
                    <w:t>监测指标</w:t>
                  </w:r>
                </w:p>
              </w:tc>
              <w:tc>
                <w:tcPr>
                  <w:tcW w:w="1234" w:type="pct"/>
                  <w:tcBorders>
                    <w:tl2br w:val="nil"/>
                    <w:tr2bl w:val="nil"/>
                  </w:tcBorders>
                  <w:vAlign w:val="center"/>
                </w:tcPr>
                <w:p w14:paraId="457A2A51">
                  <w:pPr>
                    <w:jc w:val="center"/>
                    <w:rPr>
                      <w:color w:val="auto"/>
                      <w:sz w:val="18"/>
                      <w:szCs w:val="18"/>
                      <w:highlight w:val="none"/>
                      <w:u w:val="none"/>
                    </w:rPr>
                  </w:pPr>
                  <w:r>
                    <w:rPr>
                      <w:color w:val="auto"/>
                      <w:sz w:val="18"/>
                      <w:szCs w:val="18"/>
                      <w:highlight w:val="none"/>
                      <w:u w:val="none"/>
                    </w:rPr>
                    <w:t>监测频次</w:t>
                  </w:r>
                </w:p>
              </w:tc>
            </w:tr>
            <w:tr w14:paraId="698CE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814" w:type="pct"/>
                  <w:tcBorders>
                    <w:tl2br w:val="nil"/>
                    <w:tr2bl w:val="nil"/>
                  </w:tcBorders>
                  <w:vAlign w:val="center"/>
                </w:tcPr>
                <w:p w14:paraId="192EFC06">
                  <w:pPr>
                    <w:jc w:val="center"/>
                    <w:rPr>
                      <w:color w:val="auto"/>
                      <w:sz w:val="18"/>
                      <w:szCs w:val="18"/>
                      <w:highlight w:val="none"/>
                      <w:u w:val="none"/>
                    </w:rPr>
                  </w:pPr>
                  <w:r>
                    <w:rPr>
                      <w:rFonts w:hint="eastAsia"/>
                      <w:color w:val="auto"/>
                      <w:sz w:val="18"/>
                      <w:szCs w:val="18"/>
                      <w:highlight w:val="none"/>
                      <w:u w:val="none"/>
                    </w:rPr>
                    <w:t>有组织监测</w:t>
                  </w:r>
                  <w:r>
                    <w:rPr>
                      <w:color w:val="auto"/>
                      <w:sz w:val="18"/>
                      <w:szCs w:val="18"/>
                      <w:highlight w:val="none"/>
                      <w:u w:val="none"/>
                    </w:rPr>
                    <w:t>（</w:t>
                  </w:r>
                  <w:r>
                    <w:rPr>
                      <w:rFonts w:hint="eastAsia"/>
                      <w:color w:val="auto"/>
                      <w:sz w:val="18"/>
                      <w:szCs w:val="18"/>
                      <w:highlight w:val="none"/>
                      <w:u w:val="none"/>
                    </w:rPr>
                    <w:t>DA00</w:t>
                  </w:r>
                  <w:r>
                    <w:rPr>
                      <w:rFonts w:hint="eastAsia"/>
                      <w:color w:val="auto"/>
                      <w:sz w:val="18"/>
                      <w:szCs w:val="18"/>
                      <w:highlight w:val="none"/>
                      <w:u w:val="none"/>
                      <w:lang w:val="en-US" w:eastAsia="zh-CN"/>
                    </w:rPr>
                    <w:t>1</w:t>
                  </w:r>
                  <w:r>
                    <w:rPr>
                      <w:color w:val="auto"/>
                      <w:sz w:val="18"/>
                      <w:szCs w:val="18"/>
                      <w:highlight w:val="none"/>
                      <w:u w:val="none"/>
                    </w:rPr>
                    <w:t>）</w:t>
                  </w:r>
                </w:p>
              </w:tc>
              <w:tc>
                <w:tcPr>
                  <w:tcW w:w="1951" w:type="pct"/>
                  <w:tcBorders>
                    <w:tl2br w:val="nil"/>
                    <w:tr2bl w:val="nil"/>
                  </w:tcBorders>
                  <w:vAlign w:val="center"/>
                </w:tcPr>
                <w:p w14:paraId="0B6E246E">
                  <w:pPr>
                    <w:jc w:val="center"/>
                    <w:rPr>
                      <w:rFonts w:hint="default"/>
                      <w:color w:val="auto"/>
                      <w:sz w:val="18"/>
                      <w:szCs w:val="18"/>
                      <w:highlight w:val="none"/>
                      <w:u w:val="none"/>
                      <w:lang w:val="en-US" w:eastAsia="zh-CN"/>
                    </w:rPr>
                  </w:pPr>
                  <w:r>
                    <w:rPr>
                      <w:rFonts w:hint="eastAsia"/>
                      <w:color w:val="auto"/>
                      <w:sz w:val="18"/>
                      <w:szCs w:val="18"/>
                      <w:highlight w:val="none"/>
                      <w:u w:val="none"/>
                      <w:lang w:val="en-US" w:eastAsia="zh-CN"/>
                    </w:rPr>
                    <w:t>颗粒物</w:t>
                  </w:r>
                </w:p>
              </w:tc>
              <w:tc>
                <w:tcPr>
                  <w:tcW w:w="1234" w:type="pct"/>
                  <w:tcBorders>
                    <w:tl2br w:val="nil"/>
                    <w:tr2bl w:val="nil"/>
                  </w:tcBorders>
                  <w:vAlign w:val="center"/>
                </w:tcPr>
                <w:p w14:paraId="5783003E">
                  <w:pPr>
                    <w:jc w:val="center"/>
                    <w:rPr>
                      <w:color w:val="auto"/>
                      <w:sz w:val="18"/>
                      <w:szCs w:val="18"/>
                      <w:highlight w:val="none"/>
                      <w:u w:val="none"/>
                    </w:rPr>
                  </w:pPr>
                  <w:r>
                    <w:rPr>
                      <w:rFonts w:hint="eastAsia"/>
                      <w:color w:val="auto"/>
                      <w:sz w:val="18"/>
                      <w:szCs w:val="18"/>
                      <w:highlight w:val="none"/>
                      <w:u w:val="none"/>
                    </w:rPr>
                    <w:t>1次/</w:t>
                  </w:r>
                  <w:r>
                    <w:rPr>
                      <w:rFonts w:hint="eastAsia"/>
                      <w:color w:val="auto"/>
                      <w:sz w:val="18"/>
                      <w:szCs w:val="18"/>
                      <w:highlight w:val="none"/>
                      <w:u w:val="none"/>
                      <w:lang w:val="en-US" w:eastAsia="zh-CN"/>
                    </w:rPr>
                    <w:t>半</w:t>
                  </w:r>
                  <w:r>
                    <w:rPr>
                      <w:rFonts w:hint="eastAsia"/>
                      <w:color w:val="auto"/>
                      <w:sz w:val="18"/>
                      <w:szCs w:val="18"/>
                      <w:highlight w:val="none"/>
                      <w:u w:val="none"/>
                    </w:rPr>
                    <w:t>年</w:t>
                  </w:r>
                </w:p>
              </w:tc>
            </w:tr>
            <w:tr w14:paraId="5310F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14" w:type="pct"/>
                  <w:tcBorders>
                    <w:tl2br w:val="nil"/>
                    <w:tr2bl w:val="nil"/>
                  </w:tcBorders>
                  <w:vAlign w:val="center"/>
                </w:tcPr>
                <w:p w14:paraId="0BBABE40">
                  <w:pPr>
                    <w:jc w:val="center"/>
                    <w:rPr>
                      <w:rFonts w:hint="eastAsia" w:eastAsia="宋体"/>
                      <w:color w:val="auto"/>
                      <w:sz w:val="18"/>
                      <w:szCs w:val="18"/>
                      <w:highlight w:val="none"/>
                      <w:u w:val="none"/>
                      <w:lang w:eastAsia="zh-CN"/>
                    </w:rPr>
                  </w:pPr>
                  <w:r>
                    <w:rPr>
                      <w:rFonts w:hint="eastAsia"/>
                      <w:color w:val="auto"/>
                      <w:sz w:val="18"/>
                      <w:szCs w:val="18"/>
                      <w:highlight w:val="none"/>
                      <w:u w:val="none"/>
                    </w:rPr>
                    <w:t>无组织</w:t>
                  </w:r>
                  <w:r>
                    <w:rPr>
                      <w:rFonts w:hint="eastAsia"/>
                      <w:color w:val="auto"/>
                      <w:sz w:val="18"/>
                      <w:szCs w:val="18"/>
                      <w:highlight w:val="none"/>
                      <w:u w:val="none"/>
                      <w:lang w:eastAsia="zh-CN"/>
                    </w:rPr>
                    <w:t>（</w:t>
                  </w:r>
                  <w:r>
                    <w:rPr>
                      <w:rFonts w:hint="eastAsia"/>
                      <w:color w:val="auto"/>
                      <w:sz w:val="18"/>
                      <w:szCs w:val="18"/>
                      <w:highlight w:val="none"/>
                      <w:u w:val="none"/>
                      <w:lang w:val="en-US" w:eastAsia="zh-CN"/>
                    </w:rPr>
                    <w:t>厂界</w:t>
                  </w:r>
                  <w:r>
                    <w:rPr>
                      <w:rFonts w:hint="eastAsia"/>
                      <w:color w:val="auto"/>
                      <w:sz w:val="18"/>
                      <w:szCs w:val="18"/>
                      <w:highlight w:val="none"/>
                      <w:u w:val="none"/>
                      <w:lang w:eastAsia="zh-CN"/>
                    </w:rPr>
                    <w:t>）</w:t>
                  </w:r>
                </w:p>
              </w:tc>
              <w:tc>
                <w:tcPr>
                  <w:tcW w:w="1951" w:type="pct"/>
                  <w:tcBorders>
                    <w:tl2br w:val="nil"/>
                    <w:tr2bl w:val="nil"/>
                  </w:tcBorders>
                  <w:vAlign w:val="center"/>
                </w:tcPr>
                <w:p w14:paraId="50DB0954">
                  <w:pPr>
                    <w:jc w:val="center"/>
                    <w:rPr>
                      <w:rFonts w:hint="default" w:eastAsia="宋体"/>
                      <w:color w:val="auto"/>
                      <w:sz w:val="18"/>
                      <w:szCs w:val="18"/>
                      <w:highlight w:val="none"/>
                      <w:u w:val="none"/>
                      <w:lang w:val="en-US" w:eastAsia="zh-CN"/>
                    </w:rPr>
                  </w:pPr>
                  <w:r>
                    <w:rPr>
                      <w:rFonts w:hint="eastAsia"/>
                      <w:color w:val="auto"/>
                      <w:sz w:val="18"/>
                      <w:szCs w:val="18"/>
                      <w:highlight w:val="none"/>
                      <w:u w:val="none"/>
                    </w:rPr>
                    <w:t>颗粒物</w:t>
                  </w:r>
                  <w:r>
                    <w:rPr>
                      <w:rFonts w:hint="eastAsia"/>
                      <w:color w:val="auto"/>
                      <w:sz w:val="18"/>
                      <w:szCs w:val="18"/>
                      <w:highlight w:val="none"/>
                      <w:u w:val="none"/>
                      <w:lang w:eastAsia="zh-CN"/>
                    </w:rPr>
                    <w:t>、</w:t>
                  </w:r>
                  <w:r>
                    <w:rPr>
                      <w:rFonts w:hint="eastAsia"/>
                      <w:color w:val="auto"/>
                      <w:sz w:val="18"/>
                      <w:szCs w:val="18"/>
                      <w:highlight w:val="none"/>
                      <w:u w:val="none"/>
                      <w:lang w:val="en-US" w:eastAsia="zh-CN"/>
                    </w:rPr>
                    <w:t>氨、硫化氢、臭气浓度</w:t>
                  </w:r>
                </w:p>
              </w:tc>
              <w:tc>
                <w:tcPr>
                  <w:tcW w:w="1234" w:type="pct"/>
                  <w:tcBorders>
                    <w:tl2br w:val="nil"/>
                    <w:tr2bl w:val="nil"/>
                  </w:tcBorders>
                  <w:vAlign w:val="center"/>
                </w:tcPr>
                <w:p w14:paraId="1A8BC557">
                  <w:pPr>
                    <w:jc w:val="center"/>
                    <w:rPr>
                      <w:color w:val="auto"/>
                      <w:sz w:val="18"/>
                      <w:szCs w:val="18"/>
                      <w:highlight w:val="none"/>
                      <w:u w:val="none"/>
                    </w:rPr>
                  </w:pPr>
                  <w:r>
                    <w:rPr>
                      <w:rFonts w:hint="eastAsia"/>
                      <w:color w:val="auto"/>
                      <w:sz w:val="18"/>
                      <w:szCs w:val="18"/>
                      <w:highlight w:val="none"/>
                      <w:u w:val="none"/>
                    </w:rPr>
                    <w:t>1次/</w:t>
                  </w:r>
                  <w:r>
                    <w:rPr>
                      <w:rFonts w:hint="eastAsia"/>
                      <w:color w:val="auto"/>
                      <w:sz w:val="18"/>
                      <w:szCs w:val="18"/>
                      <w:highlight w:val="none"/>
                      <w:u w:val="none"/>
                      <w:lang w:val="en-US" w:eastAsia="zh-CN"/>
                    </w:rPr>
                    <w:t>月</w:t>
                  </w:r>
                </w:p>
              </w:tc>
            </w:tr>
          </w:tbl>
          <w:p w14:paraId="5F070436">
            <w:pPr>
              <w:adjustRightInd w:val="0"/>
              <w:snapToGrid w:val="0"/>
              <w:rPr>
                <w:rFonts w:cs="宋体"/>
                <w:color w:val="auto"/>
                <w:sz w:val="10"/>
                <w:szCs w:val="10"/>
              </w:rPr>
            </w:pPr>
          </w:p>
          <w:p w14:paraId="70B73DBE">
            <w:pPr>
              <w:adjustRightInd w:val="0"/>
              <w:snapToGrid w:val="0"/>
              <w:spacing w:line="336" w:lineRule="auto"/>
              <w:rPr>
                <w:rFonts w:cs="宋体"/>
                <w:color w:val="auto"/>
              </w:rPr>
            </w:pPr>
            <w:r>
              <w:rPr>
                <w:rFonts w:hint="eastAsia" w:cs="宋体"/>
                <w:color w:val="auto"/>
              </w:rPr>
              <w:t>2、废水</w:t>
            </w:r>
          </w:p>
          <w:p w14:paraId="48D83FA8">
            <w:pPr>
              <w:adjustRightInd w:val="0"/>
              <w:snapToGrid w:val="0"/>
              <w:spacing w:line="360" w:lineRule="auto"/>
              <w:ind w:firstLine="420" w:firstLineChars="200"/>
              <w:rPr>
                <w:i w:val="0"/>
                <w:iCs w:val="0"/>
                <w:color w:val="auto"/>
                <w:u w:val="none"/>
              </w:rPr>
            </w:pPr>
            <w:r>
              <w:rPr>
                <w:rFonts w:hint="eastAsia"/>
                <w:i w:val="0"/>
                <w:iCs w:val="0"/>
                <w:color w:val="auto"/>
                <w:u w:val="none"/>
              </w:rPr>
              <w:t>本项目无生产废水产生，主要废水为生活污水。</w:t>
            </w:r>
          </w:p>
          <w:p w14:paraId="03165E6A">
            <w:pPr>
              <w:adjustRightInd w:val="0"/>
              <w:snapToGrid w:val="0"/>
              <w:spacing w:line="360" w:lineRule="auto"/>
              <w:ind w:left="105" w:leftChars="50" w:firstLine="315" w:firstLineChars="150"/>
              <w:rPr>
                <w:i w:val="0"/>
                <w:iCs w:val="0"/>
                <w:color w:val="auto"/>
                <w:u w:val="none"/>
              </w:rPr>
            </w:pPr>
            <w:r>
              <w:rPr>
                <w:i w:val="0"/>
                <w:iCs w:val="0"/>
                <w:color w:val="auto"/>
                <w:u w:val="none"/>
              </w:rPr>
              <w:t>生活污水按生活用水量80%计，</w:t>
            </w:r>
            <w:r>
              <w:rPr>
                <w:rFonts w:hint="eastAsia"/>
                <w:i w:val="0"/>
                <w:iCs w:val="0"/>
                <w:color w:val="auto"/>
                <w:u w:val="none"/>
              </w:rPr>
              <w:t>废</w:t>
            </w:r>
            <w:r>
              <w:rPr>
                <w:i w:val="0"/>
                <w:iCs w:val="0"/>
                <w:color w:val="auto"/>
                <w:u w:val="none"/>
              </w:rPr>
              <w:t>水量为</w:t>
            </w:r>
            <w:r>
              <w:rPr>
                <w:rFonts w:hint="eastAsia"/>
                <w:i w:val="0"/>
                <w:iCs w:val="0"/>
                <w:color w:val="auto"/>
                <w:u w:val="none"/>
                <w:lang w:val="en-US" w:eastAsia="zh-CN"/>
              </w:rPr>
              <w:t>32</w:t>
            </w:r>
            <w:r>
              <w:rPr>
                <w:i w:val="0"/>
                <w:iCs w:val="0"/>
                <w:color w:val="auto"/>
                <w:u w:val="none"/>
              </w:rPr>
              <w:t>t/a</w:t>
            </w:r>
            <w:r>
              <w:rPr>
                <w:rFonts w:hint="eastAsia"/>
                <w:i w:val="0"/>
                <w:iCs w:val="0"/>
                <w:color w:val="auto"/>
                <w:u w:val="none"/>
              </w:rPr>
              <w:t>，</w:t>
            </w:r>
            <w:r>
              <w:rPr>
                <w:rFonts w:hint="eastAsia"/>
                <w:i w:val="0"/>
                <w:iCs w:val="0"/>
                <w:color w:val="auto"/>
                <w:u w:val="none"/>
                <w:lang w:val="en-US" w:eastAsia="zh-CN"/>
              </w:rPr>
              <w:t>其中员工的盥洗用水主要用于厂内降尘，排泄物</w:t>
            </w:r>
            <w:r>
              <w:rPr>
                <w:rFonts w:hint="eastAsia"/>
                <w:i w:val="0"/>
                <w:iCs w:val="0"/>
                <w:color w:val="auto"/>
                <w:u w:val="none"/>
              </w:rPr>
              <w:t>污水</w:t>
            </w:r>
            <w:r>
              <w:rPr>
                <w:rFonts w:hint="eastAsia"/>
                <w:i w:val="0"/>
                <w:iCs w:val="0"/>
                <w:color w:val="auto"/>
                <w:u w:val="none"/>
                <w:lang w:val="en-US" w:eastAsia="zh-CN"/>
              </w:rPr>
              <w:t>进入</w:t>
            </w:r>
            <w:r>
              <w:rPr>
                <w:rFonts w:hint="eastAsia"/>
                <w:i w:val="0"/>
                <w:iCs w:val="0"/>
                <w:color w:val="auto"/>
                <w:u w:val="none"/>
              </w:rPr>
              <w:t>防渗</w:t>
            </w:r>
            <w:r>
              <w:rPr>
                <w:rFonts w:hint="eastAsia"/>
                <w:i w:val="0"/>
                <w:iCs w:val="0"/>
                <w:color w:val="auto"/>
                <w:u w:val="none"/>
                <w:lang w:eastAsia="zh-CN"/>
              </w:rPr>
              <w:t>旱厕</w:t>
            </w:r>
            <w:r>
              <w:rPr>
                <w:rFonts w:hint="eastAsia"/>
                <w:i w:val="0"/>
                <w:iCs w:val="0"/>
                <w:color w:val="auto"/>
                <w:u w:val="none"/>
              </w:rPr>
              <w:t>内，定期清掏</w:t>
            </w:r>
            <w:r>
              <w:rPr>
                <w:rFonts w:hint="eastAsia"/>
                <w:i w:val="0"/>
                <w:iCs w:val="0"/>
                <w:color w:val="auto"/>
                <w:u w:val="none"/>
                <w:lang w:eastAsia="zh-CN"/>
              </w:rPr>
              <w:t>，</w:t>
            </w:r>
            <w:r>
              <w:rPr>
                <w:rFonts w:hint="eastAsia"/>
                <w:i w:val="0"/>
                <w:iCs w:val="0"/>
                <w:color w:val="auto"/>
                <w:u w:val="none"/>
                <w:lang w:val="en-US" w:eastAsia="zh-CN"/>
              </w:rPr>
              <w:t>用作农肥</w:t>
            </w:r>
            <w:r>
              <w:rPr>
                <w:rFonts w:hint="eastAsia"/>
                <w:i w:val="0"/>
                <w:iCs w:val="0"/>
                <w:color w:val="auto"/>
                <w:u w:val="none"/>
              </w:rPr>
              <w:t>，不外排，无需进行自行监测。</w:t>
            </w:r>
          </w:p>
          <w:p w14:paraId="313D2E8D">
            <w:pPr>
              <w:pStyle w:val="9"/>
              <w:adjustRightInd w:val="0"/>
              <w:snapToGrid w:val="0"/>
              <w:spacing w:line="336" w:lineRule="auto"/>
              <w:jc w:val="both"/>
              <w:rPr>
                <w:rFonts w:ascii="Times New Roman" w:hAnsi="Times New Roman" w:cs="Times New Roman"/>
                <w:color w:val="auto"/>
                <w:sz w:val="21"/>
                <w:szCs w:val="21"/>
              </w:rPr>
            </w:pPr>
            <w:r>
              <w:rPr>
                <w:rFonts w:hint="eastAsia" w:ascii="Times New Roman" w:cs="Times New Roman"/>
                <w:color w:val="auto"/>
                <w:sz w:val="21"/>
                <w:szCs w:val="21"/>
              </w:rPr>
              <w:t>3、噪声</w:t>
            </w:r>
          </w:p>
          <w:p w14:paraId="05E7BD3D">
            <w:pPr>
              <w:pStyle w:val="85"/>
              <w:ind w:firstLine="420"/>
              <w:rPr>
                <w:color w:val="auto"/>
              </w:rPr>
            </w:pPr>
            <w:r>
              <w:rPr>
                <w:color w:val="auto"/>
              </w:rPr>
              <w:t>（1）预测内容</w:t>
            </w:r>
          </w:p>
          <w:p w14:paraId="779DB4A4">
            <w:pPr>
              <w:pStyle w:val="85"/>
              <w:ind w:firstLine="420"/>
              <w:rPr>
                <w:color w:val="auto"/>
              </w:rPr>
            </w:pPr>
            <w:r>
              <w:rPr>
                <w:color w:val="0000FF"/>
              </w:rPr>
              <w:t>运</w:t>
            </w:r>
            <w:r>
              <w:rPr>
                <w:rFonts w:hint="eastAsia"/>
                <w:color w:val="0000FF"/>
              </w:rPr>
              <w:t>行</w:t>
            </w:r>
            <w:r>
              <w:rPr>
                <w:color w:val="0000FF"/>
              </w:rPr>
              <w:t>期</w:t>
            </w:r>
            <w:r>
              <w:rPr>
                <w:rFonts w:hint="eastAsia"/>
                <w:color w:val="0000FF"/>
              </w:rPr>
              <w:t>昼夜</w:t>
            </w:r>
            <w:r>
              <w:rPr>
                <w:color w:val="0000FF"/>
              </w:rPr>
              <w:t>厂界</w:t>
            </w:r>
            <w:r>
              <w:rPr>
                <w:rFonts w:hint="eastAsia"/>
                <w:color w:val="0000FF"/>
                <w:lang w:val="en-US" w:eastAsia="zh-CN"/>
              </w:rPr>
              <w:t>及声环境保护目标处的</w:t>
            </w:r>
            <w:r>
              <w:rPr>
                <w:color w:val="0000FF"/>
              </w:rPr>
              <w:t>噪声</w:t>
            </w:r>
            <w:r>
              <w:rPr>
                <w:rFonts w:hint="eastAsia"/>
                <w:color w:val="0000FF"/>
                <w:lang w:val="en-US" w:eastAsia="zh-CN"/>
              </w:rPr>
              <w:t>贡献值和预测值</w:t>
            </w:r>
            <w:r>
              <w:rPr>
                <w:color w:val="auto"/>
              </w:rPr>
              <w:t>。</w:t>
            </w:r>
          </w:p>
          <w:p w14:paraId="4CB162E3">
            <w:pPr>
              <w:pStyle w:val="85"/>
              <w:ind w:firstLine="420"/>
              <w:rPr>
                <w:color w:val="auto"/>
              </w:rPr>
            </w:pPr>
            <w:r>
              <w:rPr>
                <w:color w:val="auto"/>
              </w:rPr>
              <w:t>（2）噪声源强</w:t>
            </w:r>
          </w:p>
          <w:p w14:paraId="309D6AC6">
            <w:pPr>
              <w:pStyle w:val="85"/>
              <w:ind w:firstLine="420"/>
              <w:rPr>
                <w:color w:val="auto"/>
              </w:rPr>
            </w:pPr>
            <w:r>
              <w:rPr>
                <w:color w:val="auto"/>
              </w:rPr>
              <w:t>本项目噪声主要来源</w:t>
            </w:r>
            <w:r>
              <w:rPr>
                <w:rFonts w:hint="eastAsia"/>
                <w:color w:val="auto"/>
              </w:rPr>
              <w:t>为</w:t>
            </w:r>
            <w:r>
              <w:rPr>
                <w:rFonts w:hint="eastAsia"/>
                <w:color w:val="auto"/>
                <w:lang w:val="en-US" w:eastAsia="zh-CN"/>
              </w:rPr>
              <w:t>铲车、粉料机、滚筒筛料机等</w:t>
            </w:r>
            <w:r>
              <w:rPr>
                <w:rFonts w:hint="eastAsia"/>
                <w:color w:val="auto"/>
              </w:rPr>
              <w:t>设备噪声，</w:t>
            </w:r>
            <w:r>
              <w:rPr>
                <w:color w:val="auto"/>
              </w:rPr>
              <w:t>项目主要噪声设备噪声源强情况详见下表。</w:t>
            </w:r>
          </w:p>
          <w:p w14:paraId="4FF81BBB">
            <w:pPr>
              <w:pStyle w:val="83"/>
              <w:spacing w:line="240" w:lineRule="auto"/>
              <w:rPr>
                <w:rFonts w:ascii="Times New Roman" w:hAnsi="Times New Roman" w:cs="Times New Roman"/>
                <w:b w:val="0"/>
                <w:bCs/>
                <w:color w:val="auto"/>
                <w:sz w:val="21"/>
                <w:u w:val="single"/>
              </w:rPr>
            </w:pPr>
            <w:r>
              <w:rPr>
                <w:rFonts w:ascii="Times New Roman" w:hAnsi="Times New Roman" w:cs="Times New Roman"/>
                <w:b w:val="0"/>
                <w:bCs/>
                <w:color w:val="auto"/>
                <w:sz w:val="21"/>
                <w:u w:val="single"/>
              </w:rPr>
              <w:t>项目主要噪声设备噪声源强一览表</w:t>
            </w:r>
          </w:p>
          <w:tbl>
            <w:tblPr>
              <w:tblStyle w:val="29"/>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478"/>
              <w:gridCol w:w="764"/>
              <w:gridCol w:w="729"/>
              <w:gridCol w:w="455"/>
              <w:gridCol w:w="409"/>
              <w:gridCol w:w="574"/>
              <w:gridCol w:w="1561"/>
              <w:gridCol w:w="878"/>
              <w:gridCol w:w="695"/>
            </w:tblGrid>
            <w:tr w14:paraId="35A80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0" w:type="pct"/>
                  <w:vMerge w:val="restart"/>
                  <w:vAlign w:val="center"/>
                </w:tcPr>
                <w:p w14:paraId="1A2B5EA2">
                  <w:pPr>
                    <w:pStyle w:val="38"/>
                    <w:spacing w:beforeLines="0" w:afterLines="0" w:line="240" w:lineRule="auto"/>
                    <w:rPr>
                      <w:rFonts w:ascii="Times New Roman" w:eastAsia="宋体"/>
                      <w:i w:val="0"/>
                      <w:iCs w:val="0"/>
                      <w:color w:val="auto"/>
                      <w:sz w:val="15"/>
                      <w:szCs w:val="15"/>
                      <w:u w:val="single"/>
                    </w:rPr>
                  </w:pPr>
                  <w:r>
                    <w:rPr>
                      <w:rFonts w:ascii="Times New Roman" w:eastAsia="宋体"/>
                      <w:i w:val="0"/>
                      <w:iCs w:val="0"/>
                      <w:color w:val="auto"/>
                      <w:sz w:val="15"/>
                      <w:szCs w:val="15"/>
                      <w:u w:val="single"/>
                    </w:rPr>
                    <w:t>设备名称</w:t>
                  </w:r>
                </w:p>
              </w:tc>
              <w:tc>
                <w:tcPr>
                  <w:tcW w:w="308" w:type="pct"/>
                  <w:vMerge w:val="restart"/>
                  <w:vAlign w:val="center"/>
                </w:tcPr>
                <w:p w14:paraId="781DEE60">
                  <w:pPr>
                    <w:pStyle w:val="38"/>
                    <w:spacing w:beforeLines="0" w:afterLines="0" w:line="240" w:lineRule="auto"/>
                    <w:rPr>
                      <w:rFonts w:ascii="Times New Roman" w:eastAsia="宋体"/>
                      <w:i w:val="0"/>
                      <w:iCs w:val="0"/>
                      <w:color w:val="auto"/>
                      <w:sz w:val="15"/>
                      <w:szCs w:val="15"/>
                      <w:u w:val="single"/>
                    </w:rPr>
                  </w:pPr>
                  <w:r>
                    <w:rPr>
                      <w:rFonts w:ascii="Times New Roman" w:eastAsia="宋体"/>
                      <w:i w:val="0"/>
                      <w:iCs w:val="0"/>
                      <w:color w:val="auto"/>
                      <w:sz w:val="15"/>
                      <w:szCs w:val="15"/>
                      <w:u w:val="single"/>
                    </w:rPr>
                    <w:t>数量</w:t>
                  </w:r>
                </w:p>
              </w:tc>
              <w:tc>
                <w:tcPr>
                  <w:tcW w:w="492" w:type="pct"/>
                  <w:vMerge w:val="restart"/>
                  <w:vAlign w:val="center"/>
                </w:tcPr>
                <w:p w14:paraId="5DA5B1DE">
                  <w:pPr>
                    <w:pStyle w:val="38"/>
                    <w:spacing w:beforeLines="0" w:afterLines="0" w:line="240" w:lineRule="auto"/>
                    <w:rPr>
                      <w:rFonts w:ascii="Times New Roman" w:eastAsia="宋体"/>
                      <w:i w:val="0"/>
                      <w:iCs w:val="0"/>
                      <w:color w:val="auto"/>
                      <w:sz w:val="15"/>
                      <w:szCs w:val="15"/>
                      <w:u w:val="single"/>
                    </w:rPr>
                  </w:pPr>
                  <w:r>
                    <w:rPr>
                      <w:rFonts w:ascii="Times New Roman" w:eastAsia="宋体"/>
                      <w:i w:val="0"/>
                      <w:iCs w:val="0"/>
                      <w:color w:val="auto"/>
                      <w:sz w:val="15"/>
                      <w:szCs w:val="15"/>
                      <w:u w:val="single"/>
                    </w:rPr>
                    <w:t>噪声源强dB(A)</w:t>
                  </w:r>
                </w:p>
              </w:tc>
              <w:tc>
                <w:tcPr>
                  <w:tcW w:w="470" w:type="pct"/>
                  <w:vMerge w:val="restart"/>
                  <w:vAlign w:val="center"/>
                </w:tcPr>
                <w:p w14:paraId="595E261C">
                  <w:pPr>
                    <w:pStyle w:val="38"/>
                    <w:spacing w:beforeLines="0" w:afterLines="0" w:line="240" w:lineRule="auto"/>
                    <w:rPr>
                      <w:rFonts w:ascii="Times New Roman" w:eastAsia="宋体"/>
                      <w:i w:val="0"/>
                      <w:iCs w:val="0"/>
                      <w:color w:val="auto"/>
                      <w:sz w:val="15"/>
                      <w:szCs w:val="15"/>
                      <w:u w:val="single"/>
                    </w:rPr>
                  </w:pPr>
                  <w:r>
                    <w:rPr>
                      <w:rFonts w:ascii="Times New Roman" w:eastAsia="宋体"/>
                      <w:i w:val="0"/>
                      <w:iCs w:val="0"/>
                      <w:color w:val="auto"/>
                      <w:sz w:val="15"/>
                      <w:szCs w:val="15"/>
                      <w:u w:val="single"/>
                    </w:rPr>
                    <w:t>声源位置</w:t>
                  </w:r>
                </w:p>
              </w:tc>
              <w:tc>
                <w:tcPr>
                  <w:tcW w:w="927" w:type="pct"/>
                  <w:gridSpan w:val="3"/>
                  <w:vAlign w:val="center"/>
                </w:tcPr>
                <w:p w14:paraId="10832B2F">
                  <w:pPr>
                    <w:pStyle w:val="38"/>
                    <w:spacing w:beforeLines="0" w:afterLines="0" w:line="240" w:lineRule="auto"/>
                    <w:rPr>
                      <w:rFonts w:hint="default" w:ascii="Times New Roman" w:eastAsia="宋体"/>
                      <w:i w:val="0"/>
                      <w:iCs w:val="0"/>
                      <w:color w:val="auto"/>
                      <w:sz w:val="15"/>
                      <w:szCs w:val="15"/>
                      <w:u w:val="single"/>
                      <w:lang w:val="en-US" w:eastAsia="zh-CN"/>
                    </w:rPr>
                  </w:pPr>
                  <w:r>
                    <w:rPr>
                      <w:rFonts w:hint="eastAsia" w:ascii="Times New Roman" w:eastAsia="宋体"/>
                      <w:i w:val="0"/>
                      <w:iCs w:val="0"/>
                      <w:color w:val="auto"/>
                      <w:sz w:val="15"/>
                      <w:szCs w:val="15"/>
                      <w:u w:val="single"/>
                      <w:lang w:val="en-US" w:eastAsia="zh-CN"/>
                    </w:rPr>
                    <w:t>空间坐标</w:t>
                  </w:r>
                </w:p>
              </w:tc>
              <w:tc>
                <w:tcPr>
                  <w:tcW w:w="1006" w:type="pct"/>
                  <w:vMerge w:val="restart"/>
                  <w:vAlign w:val="center"/>
                </w:tcPr>
                <w:p w14:paraId="51E7862E">
                  <w:pPr>
                    <w:pStyle w:val="38"/>
                    <w:spacing w:beforeLines="0" w:afterLines="0" w:line="240" w:lineRule="auto"/>
                    <w:rPr>
                      <w:rFonts w:ascii="Times New Roman" w:eastAsia="宋体"/>
                      <w:i w:val="0"/>
                      <w:iCs w:val="0"/>
                      <w:color w:val="auto"/>
                      <w:sz w:val="15"/>
                      <w:szCs w:val="15"/>
                      <w:u w:val="single"/>
                    </w:rPr>
                  </w:pPr>
                  <w:r>
                    <w:rPr>
                      <w:rFonts w:ascii="Times New Roman" w:eastAsia="宋体"/>
                      <w:i w:val="0"/>
                      <w:iCs w:val="0"/>
                      <w:color w:val="auto"/>
                      <w:sz w:val="15"/>
                      <w:szCs w:val="15"/>
                      <w:u w:val="single"/>
                    </w:rPr>
                    <w:t>降噪措施</w:t>
                  </w:r>
                </w:p>
              </w:tc>
              <w:tc>
                <w:tcPr>
                  <w:tcW w:w="566" w:type="pct"/>
                  <w:vMerge w:val="restart"/>
                  <w:vAlign w:val="center"/>
                </w:tcPr>
                <w:p w14:paraId="48F778E3">
                  <w:pPr>
                    <w:pStyle w:val="38"/>
                    <w:spacing w:beforeLines="0" w:afterLines="0" w:line="240" w:lineRule="auto"/>
                    <w:rPr>
                      <w:rFonts w:hint="eastAsia" w:ascii="Times New Roman" w:eastAsia="宋体"/>
                      <w:i w:val="0"/>
                      <w:iCs w:val="0"/>
                      <w:color w:val="auto"/>
                      <w:sz w:val="15"/>
                      <w:szCs w:val="15"/>
                      <w:u w:val="single"/>
                      <w:lang w:eastAsia="zh-CN"/>
                    </w:rPr>
                  </w:pPr>
                  <w:r>
                    <w:rPr>
                      <w:rFonts w:ascii="Times New Roman" w:eastAsia="宋体"/>
                      <w:i w:val="0"/>
                      <w:iCs w:val="0"/>
                      <w:color w:val="auto"/>
                      <w:sz w:val="15"/>
                      <w:szCs w:val="15"/>
                      <w:u w:val="single"/>
                    </w:rPr>
                    <w:t>排放强度dB</w:t>
                  </w:r>
                  <w:r>
                    <w:rPr>
                      <w:rFonts w:hint="eastAsia" w:ascii="Times New Roman" w:eastAsia="宋体"/>
                      <w:i w:val="0"/>
                      <w:iCs w:val="0"/>
                      <w:color w:val="auto"/>
                      <w:sz w:val="15"/>
                      <w:szCs w:val="15"/>
                      <w:u w:val="single"/>
                      <w:lang w:eastAsia="zh-CN"/>
                    </w:rPr>
                    <w:t>（</w:t>
                  </w:r>
                  <w:r>
                    <w:rPr>
                      <w:rFonts w:ascii="Times New Roman" w:eastAsia="宋体"/>
                      <w:i w:val="0"/>
                      <w:iCs w:val="0"/>
                      <w:color w:val="auto"/>
                      <w:sz w:val="15"/>
                      <w:szCs w:val="15"/>
                      <w:u w:val="single"/>
                    </w:rPr>
                    <w:t>A</w:t>
                  </w:r>
                  <w:r>
                    <w:rPr>
                      <w:rFonts w:hint="eastAsia" w:ascii="Times New Roman" w:eastAsia="宋体"/>
                      <w:i w:val="0"/>
                      <w:iCs w:val="0"/>
                      <w:color w:val="auto"/>
                      <w:sz w:val="15"/>
                      <w:szCs w:val="15"/>
                      <w:u w:val="single"/>
                      <w:lang w:eastAsia="zh-CN"/>
                    </w:rPr>
                    <w:t>）</w:t>
                  </w:r>
                </w:p>
              </w:tc>
              <w:tc>
                <w:tcPr>
                  <w:tcW w:w="448" w:type="pct"/>
                  <w:vMerge w:val="restart"/>
                  <w:vAlign w:val="center"/>
                </w:tcPr>
                <w:p w14:paraId="63A15BF8">
                  <w:pPr>
                    <w:pStyle w:val="38"/>
                    <w:spacing w:beforeLines="0" w:afterLines="0" w:line="240" w:lineRule="auto"/>
                    <w:rPr>
                      <w:rFonts w:ascii="Times New Roman" w:eastAsia="宋体"/>
                      <w:i w:val="0"/>
                      <w:iCs w:val="0"/>
                      <w:color w:val="auto"/>
                      <w:sz w:val="15"/>
                      <w:szCs w:val="15"/>
                      <w:u w:val="single"/>
                    </w:rPr>
                  </w:pPr>
                  <w:r>
                    <w:rPr>
                      <w:rFonts w:ascii="Times New Roman" w:eastAsia="宋体"/>
                      <w:i w:val="0"/>
                      <w:iCs w:val="0"/>
                      <w:color w:val="auto"/>
                      <w:sz w:val="15"/>
                      <w:szCs w:val="15"/>
                      <w:u w:val="single"/>
                    </w:rPr>
                    <w:t>持续时间</w:t>
                  </w:r>
                </w:p>
              </w:tc>
            </w:tr>
            <w:tr w14:paraId="4E58E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0" w:type="pct"/>
                  <w:vMerge w:val="continue"/>
                  <w:vAlign w:val="center"/>
                </w:tcPr>
                <w:p w14:paraId="259E1973">
                  <w:pPr>
                    <w:pStyle w:val="38"/>
                    <w:spacing w:beforeLines="0" w:afterLines="0" w:line="240" w:lineRule="auto"/>
                    <w:rPr>
                      <w:rFonts w:ascii="Times New Roman" w:eastAsia="宋体"/>
                      <w:i w:val="0"/>
                      <w:iCs w:val="0"/>
                      <w:color w:val="auto"/>
                      <w:sz w:val="15"/>
                      <w:szCs w:val="15"/>
                      <w:u w:val="single"/>
                    </w:rPr>
                  </w:pPr>
                </w:p>
              </w:tc>
              <w:tc>
                <w:tcPr>
                  <w:tcW w:w="308" w:type="pct"/>
                  <w:vMerge w:val="continue"/>
                  <w:vAlign w:val="center"/>
                </w:tcPr>
                <w:p w14:paraId="2F41575A">
                  <w:pPr>
                    <w:pStyle w:val="38"/>
                    <w:spacing w:beforeLines="0" w:afterLines="0" w:line="240" w:lineRule="auto"/>
                    <w:rPr>
                      <w:rFonts w:ascii="Times New Roman" w:eastAsia="宋体"/>
                      <w:i w:val="0"/>
                      <w:iCs w:val="0"/>
                      <w:color w:val="auto"/>
                      <w:sz w:val="15"/>
                      <w:szCs w:val="15"/>
                      <w:u w:val="single"/>
                    </w:rPr>
                  </w:pPr>
                </w:p>
              </w:tc>
              <w:tc>
                <w:tcPr>
                  <w:tcW w:w="492" w:type="pct"/>
                  <w:vMerge w:val="continue"/>
                  <w:vAlign w:val="center"/>
                </w:tcPr>
                <w:p w14:paraId="7E909C7F">
                  <w:pPr>
                    <w:pStyle w:val="38"/>
                    <w:spacing w:beforeLines="0" w:afterLines="0" w:line="240" w:lineRule="auto"/>
                    <w:rPr>
                      <w:rFonts w:ascii="Times New Roman" w:eastAsia="宋体"/>
                      <w:i w:val="0"/>
                      <w:iCs w:val="0"/>
                      <w:color w:val="auto"/>
                      <w:sz w:val="15"/>
                      <w:szCs w:val="15"/>
                      <w:u w:val="single"/>
                    </w:rPr>
                  </w:pPr>
                </w:p>
              </w:tc>
              <w:tc>
                <w:tcPr>
                  <w:tcW w:w="470" w:type="pct"/>
                  <w:vMerge w:val="continue"/>
                  <w:vAlign w:val="center"/>
                </w:tcPr>
                <w:p w14:paraId="64385B4A">
                  <w:pPr>
                    <w:pStyle w:val="38"/>
                    <w:spacing w:beforeLines="0" w:afterLines="0" w:line="240" w:lineRule="auto"/>
                    <w:rPr>
                      <w:rFonts w:ascii="Times New Roman" w:eastAsia="宋体"/>
                      <w:i w:val="0"/>
                      <w:iCs w:val="0"/>
                      <w:color w:val="auto"/>
                      <w:sz w:val="15"/>
                      <w:szCs w:val="15"/>
                      <w:u w:val="single"/>
                    </w:rPr>
                  </w:pPr>
                </w:p>
              </w:tc>
              <w:tc>
                <w:tcPr>
                  <w:tcW w:w="293" w:type="pct"/>
                  <w:vAlign w:val="center"/>
                </w:tcPr>
                <w:p w14:paraId="01F25397">
                  <w:pPr>
                    <w:pStyle w:val="38"/>
                    <w:spacing w:beforeLines="0" w:afterLines="0" w:line="240" w:lineRule="auto"/>
                    <w:rPr>
                      <w:rFonts w:hint="default" w:ascii="Times New Roman" w:eastAsia="宋体"/>
                      <w:i w:val="0"/>
                      <w:iCs w:val="0"/>
                      <w:color w:val="auto"/>
                      <w:sz w:val="15"/>
                      <w:szCs w:val="15"/>
                      <w:u w:val="single"/>
                      <w:lang w:val="en-US" w:eastAsia="zh-CN"/>
                    </w:rPr>
                  </w:pPr>
                  <w:r>
                    <w:rPr>
                      <w:rFonts w:hint="eastAsia" w:ascii="Times New Roman" w:eastAsia="宋体"/>
                      <w:i w:val="0"/>
                      <w:iCs w:val="0"/>
                      <w:color w:val="auto"/>
                      <w:sz w:val="15"/>
                      <w:szCs w:val="15"/>
                      <w:u w:val="single"/>
                      <w:lang w:val="en-US" w:eastAsia="zh-CN"/>
                    </w:rPr>
                    <w:t>X</w:t>
                  </w:r>
                </w:p>
              </w:tc>
              <w:tc>
                <w:tcPr>
                  <w:tcW w:w="263" w:type="pct"/>
                  <w:vAlign w:val="center"/>
                </w:tcPr>
                <w:p w14:paraId="341E0A88">
                  <w:pPr>
                    <w:pStyle w:val="38"/>
                    <w:spacing w:beforeLines="0" w:afterLines="0" w:line="240" w:lineRule="auto"/>
                    <w:rPr>
                      <w:rFonts w:hint="default" w:ascii="Times New Roman" w:eastAsia="宋体"/>
                      <w:i w:val="0"/>
                      <w:iCs w:val="0"/>
                      <w:color w:val="auto"/>
                      <w:sz w:val="15"/>
                      <w:szCs w:val="15"/>
                      <w:u w:val="single"/>
                      <w:lang w:val="en-US" w:eastAsia="zh-CN"/>
                    </w:rPr>
                  </w:pPr>
                  <w:r>
                    <w:rPr>
                      <w:rFonts w:hint="eastAsia" w:ascii="Times New Roman" w:eastAsia="宋体"/>
                      <w:i w:val="0"/>
                      <w:iCs w:val="0"/>
                      <w:color w:val="auto"/>
                      <w:sz w:val="15"/>
                      <w:szCs w:val="15"/>
                      <w:u w:val="single"/>
                      <w:lang w:val="en-US" w:eastAsia="zh-CN"/>
                    </w:rPr>
                    <w:t>Y</w:t>
                  </w:r>
                </w:p>
              </w:tc>
              <w:tc>
                <w:tcPr>
                  <w:tcW w:w="370" w:type="pct"/>
                  <w:vAlign w:val="center"/>
                </w:tcPr>
                <w:p w14:paraId="60962B42">
                  <w:pPr>
                    <w:pStyle w:val="38"/>
                    <w:spacing w:beforeLines="0" w:afterLines="0" w:line="240" w:lineRule="auto"/>
                    <w:rPr>
                      <w:rFonts w:hint="default" w:ascii="Times New Roman" w:eastAsia="宋体"/>
                      <w:i w:val="0"/>
                      <w:iCs w:val="0"/>
                      <w:color w:val="auto"/>
                      <w:sz w:val="15"/>
                      <w:szCs w:val="15"/>
                      <w:u w:val="single"/>
                      <w:lang w:val="en-US" w:eastAsia="zh-CN"/>
                    </w:rPr>
                  </w:pPr>
                  <w:r>
                    <w:rPr>
                      <w:rFonts w:hint="eastAsia" w:ascii="Times New Roman" w:eastAsia="宋体"/>
                      <w:i w:val="0"/>
                      <w:iCs w:val="0"/>
                      <w:color w:val="auto"/>
                      <w:sz w:val="15"/>
                      <w:szCs w:val="15"/>
                      <w:u w:val="single"/>
                      <w:lang w:val="en-US" w:eastAsia="zh-CN"/>
                    </w:rPr>
                    <w:t>Z</w:t>
                  </w:r>
                </w:p>
              </w:tc>
              <w:tc>
                <w:tcPr>
                  <w:tcW w:w="1006" w:type="pct"/>
                  <w:vMerge w:val="continue"/>
                  <w:vAlign w:val="center"/>
                </w:tcPr>
                <w:p w14:paraId="32B94B69">
                  <w:pPr>
                    <w:pStyle w:val="38"/>
                    <w:spacing w:beforeLines="0" w:afterLines="0" w:line="240" w:lineRule="auto"/>
                    <w:rPr>
                      <w:rFonts w:ascii="Times New Roman" w:eastAsia="宋体"/>
                      <w:i w:val="0"/>
                      <w:iCs w:val="0"/>
                      <w:color w:val="auto"/>
                      <w:sz w:val="15"/>
                      <w:szCs w:val="15"/>
                      <w:u w:val="single"/>
                    </w:rPr>
                  </w:pPr>
                </w:p>
              </w:tc>
              <w:tc>
                <w:tcPr>
                  <w:tcW w:w="566" w:type="pct"/>
                  <w:vMerge w:val="continue"/>
                  <w:vAlign w:val="center"/>
                </w:tcPr>
                <w:p w14:paraId="3FD67E23">
                  <w:pPr>
                    <w:pStyle w:val="38"/>
                    <w:spacing w:beforeLines="0" w:afterLines="0" w:line="240" w:lineRule="auto"/>
                    <w:rPr>
                      <w:rFonts w:ascii="Times New Roman" w:eastAsia="宋体"/>
                      <w:i w:val="0"/>
                      <w:iCs w:val="0"/>
                      <w:color w:val="auto"/>
                      <w:sz w:val="15"/>
                      <w:szCs w:val="15"/>
                      <w:u w:val="single"/>
                    </w:rPr>
                  </w:pPr>
                </w:p>
              </w:tc>
              <w:tc>
                <w:tcPr>
                  <w:tcW w:w="448" w:type="pct"/>
                  <w:vMerge w:val="continue"/>
                  <w:vAlign w:val="center"/>
                </w:tcPr>
                <w:p w14:paraId="187699DA">
                  <w:pPr>
                    <w:pStyle w:val="38"/>
                    <w:spacing w:beforeLines="0" w:afterLines="0" w:line="240" w:lineRule="auto"/>
                    <w:rPr>
                      <w:rFonts w:ascii="Times New Roman" w:eastAsia="宋体"/>
                      <w:i w:val="0"/>
                      <w:iCs w:val="0"/>
                      <w:color w:val="auto"/>
                      <w:sz w:val="15"/>
                      <w:szCs w:val="15"/>
                      <w:u w:val="single"/>
                    </w:rPr>
                  </w:pPr>
                </w:p>
              </w:tc>
            </w:tr>
            <w:tr w14:paraId="73CE2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0" w:type="pct"/>
                  <w:shd w:val="clear" w:color="auto" w:fill="auto"/>
                  <w:vAlign w:val="center"/>
                </w:tcPr>
                <w:p w14:paraId="6B51059A">
                  <w:pPr>
                    <w:widowControl/>
                    <w:snapToGrid w:val="0"/>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粉料机</w:t>
                  </w:r>
                </w:p>
              </w:tc>
              <w:tc>
                <w:tcPr>
                  <w:tcW w:w="308" w:type="pct"/>
                  <w:shd w:val="clear" w:color="auto" w:fill="auto"/>
                  <w:vAlign w:val="center"/>
                </w:tcPr>
                <w:p w14:paraId="1FDC836D">
                  <w:pPr>
                    <w:widowControl/>
                    <w:snapToGrid w:val="0"/>
                    <w:jc w:val="center"/>
                    <w:rPr>
                      <w:rFonts w:ascii="Times New Roman" w:hAnsi="Times New Roman" w:eastAsia="宋体" w:cs="Times New Roman"/>
                      <w:bCs/>
                      <w:i w:val="0"/>
                      <w:iCs w:val="0"/>
                      <w:color w:val="auto"/>
                      <w:sz w:val="15"/>
                      <w:szCs w:val="15"/>
                      <w:u w:val="single"/>
                      <w:lang w:val="en-US" w:eastAsia="zh-CN" w:bidi="ar-SA"/>
                    </w:rPr>
                  </w:pPr>
                  <w:r>
                    <w:rPr>
                      <w:rFonts w:ascii="Times New Roman" w:hAnsi="Times New Roman" w:eastAsia="宋体" w:cs="Times New Roman"/>
                      <w:bCs/>
                      <w:i w:val="0"/>
                      <w:iCs w:val="0"/>
                      <w:color w:val="auto"/>
                      <w:sz w:val="15"/>
                      <w:szCs w:val="15"/>
                      <w:u w:val="single"/>
                      <w:lang w:val="en-US" w:eastAsia="zh-CN" w:bidi="ar-SA"/>
                    </w:rPr>
                    <w:t>1</w:t>
                  </w:r>
                </w:p>
              </w:tc>
              <w:tc>
                <w:tcPr>
                  <w:tcW w:w="492" w:type="pct"/>
                  <w:vAlign w:val="center"/>
                </w:tcPr>
                <w:p w14:paraId="6C394CE6">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70</w:t>
                  </w:r>
                </w:p>
              </w:tc>
              <w:tc>
                <w:tcPr>
                  <w:tcW w:w="470" w:type="pct"/>
                  <w:vMerge w:val="restart"/>
                  <w:vAlign w:val="center"/>
                </w:tcPr>
                <w:p w14:paraId="0A738AFD">
                  <w:pPr>
                    <w:pStyle w:val="38"/>
                    <w:spacing w:beforeLines="0" w:afterLines="0" w:line="240" w:lineRule="auto"/>
                    <w:jc w:val="center"/>
                    <w:rPr>
                      <w:rFonts w:hint="eastAsia"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厂房内</w:t>
                  </w:r>
                </w:p>
              </w:tc>
              <w:tc>
                <w:tcPr>
                  <w:tcW w:w="293" w:type="pct"/>
                  <w:vAlign w:val="center"/>
                </w:tcPr>
                <w:p w14:paraId="7C5675DC">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7</w:t>
                  </w:r>
                </w:p>
              </w:tc>
              <w:tc>
                <w:tcPr>
                  <w:tcW w:w="263" w:type="pct"/>
                  <w:vAlign w:val="center"/>
                </w:tcPr>
                <w:p w14:paraId="1F27B05A">
                  <w:pPr>
                    <w:pStyle w:val="38"/>
                    <w:spacing w:beforeLines="0" w:afterLines="0" w:line="240" w:lineRule="auto"/>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10</w:t>
                  </w:r>
                </w:p>
              </w:tc>
              <w:tc>
                <w:tcPr>
                  <w:tcW w:w="370" w:type="pct"/>
                  <w:vAlign w:val="center"/>
                </w:tcPr>
                <w:p w14:paraId="4C14BF9E">
                  <w:pPr>
                    <w:pStyle w:val="38"/>
                    <w:spacing w:beforeLines="0" w:afterLines="0" w:line="240" w:lineRule="auto"/>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w:t>
                  </w:r>
                </w:p>
              </w:tc>
              <w:tc>
                <w:tcPr>
                  <w:tcW w:w="1006" w:type="pct"/>
                  <w:vMerge w:val="restart"/>
                  <w:vAlign w:val="center"/>
                </w:tcPr>
                <w:p w14:paraId="63163FA2">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r>
                    <w:rPr>
                      <w:rFonts w:hint="default" w:ascii="Times New Roman" w:hAnsi="Times New Roman" w:eastAsia="宋体" w:cs="Times New Roman"/>
                      <w:bCs/>
                      <w:i w:val="0"/>
                      <w:iCs w:val="0"/>
                      <w:color w:val="auto"/>
                      <w:sz w:val="15"/>
                      <w:szCs w:val="15"/>
                      <w:u w:val="single"/>
                      <w:lang w:val="en-US" w:eastAsia="zh-CN" w:bidi="ar-SA"/>
                    </w:rPr>
                    <w:t>选取低噪声设备、设置减震垫、加装隔声罩、定期维护</w:t>
                  </w:r>
                </w:p>
              </w:tc>
              <w:tc>
                <w:tcPr>
                  <w:tcW w:w="566" w:type="pct"/>
                  <w:vAlign w:val="center"/>
                </w:tcPr>
                <w:p w14:paraId="3F887723">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50</w:t>
                  </w:r>
                </w:p>
              </w:tc>
              <w:tc>
                <w:tcPr>
                  <w:tcW w:w="448" w:type="pct"/>
                  <w:vAlign w:val="center"/>
                </w:tcPr>
                <w:p w14:paraId="60D9F5FA">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10</w:t>
                  </w:r>
                  <w:r>
                    <w:rPr>
                      <w:rFonts w:ascii="Times New Roman" w:hAnsi="Times New Roman" w:eastAsia="宋体" w:cs="Times New Roman"/>
                      <w:bCs/>
                      <w:i w:val="0"/>
                      <w:iCs w:val="0"/>
                      <w:color w:val="auto"/>
                      <w:sz w:val="15"/>
                      <w:szCs w:val="15"/>
                      <w:u w:val="single"/>
                      <w:lang w:val="en-US" w:eastAsia="zh-CN" w:bidi="ar-SA"/>
                    </w:rPr>
                    <w:t>h/d</w:t>
                  </w:r>
                </w:p>
              </w:tc>
            </w:tr>
            <w:tr w14:paraId="7B737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0" w:type="pct"/>
                  <w:shd w:val="clear" w:color="auto" w:fill="auto"/>
                  <w:vAlign w:val="center"/>
                </w:tcPr>
                <w:p w14:paraId="60D17193">
                  <w:pPr>
                    <w:widowControl/>
                    <w:snapToGrid w:val="0"/>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滚筒筛料机</w:t>
                  </w:r>
                </w:p>
              </w:tc>
              <w:tc>
                <w:tcPr>
                  <w:tcW w:w="308" w:type="pct"/>
                  <w:shd w:val="clear" w:color="auto" w:fill="auto"/>
                  <w:vAlign w:val="center"/>
                </w:tcPr>
                <w:p w14:paraId="10D6CA2F">
                  <w:pPr>
                    <w:widowControl/>
                    <w:snapToGrid w:val="0"/>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1</w:t>
                  </w:r>
                </w:p>
              </w:tc>
              <w:tc>
                <w:tcPr>
                  <w:tcW w:w="492" w:type="pct"/>
                  <w:vAlign w:val="center"/>
                </w:tcPr>
                <w:p w14:paraId="697E12B7">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r>
                    <w:rPr>
                      <w:rFonts w:hint="eastAsia" w:ascii="Times New Roman" w:hAnsi="Times New Roman" w:eastAsia="宋体" w:cs="Times New Roman"/>
                      <w:bCs/>
                      <w:i w:val="0"/>
                      <w:iCs w:val="0"/>
                      <w:color w:val="auto"/>
                      <w:sz w:val="15"/>
                      <w:szCs w:val="15"/>
                      <w:u w:val="single"/>
                      <w:lang w:val="en-US" w:eastAsia="zh-CN" w:bidi="ar-SA"/>
                    </w:rPr>
                    <w:t>60</w:t>
                  </w:r>
                </w:p>
              </w:tc>
              <w:tc>
                <w:tcPr>
                  <w:tcW w:w="470" w:type="pct"/>
                  <w:vMerge w:val="continue"/>
                  <w:vAlign w:val="center"/>
                </w:tcPr>
                <w:p w14:paraId="04AD9883">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58EEC8DC">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7</w:t>
                  </w:r>
                </w:p>
              </w:tc>
              <w:tc>
                <w:tcPr>
                  <w:tcW w:w="263" w:type="pct"/>
                  <w:vAlign w:val="center"/>
                </w:tcPr>
                <w:p w14:paraId="6181A61D">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25</w:t>
                  </w:r>
                </w:p>
              </w:tc>
              <w:tc>
                <w:tcPr>
                  <w:tcW w:w="370" w:type="pct"/>
                  <w:vAlign w:val="center"/>
                </w:tcPr>
                <w:p w14:paraId="71B6969C">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w:t>
                  </w:r>
                </w:p>
              </w:tc>
              <w:tc>
                <w:tcPr>
                  <w:tcW w:w="1006" w:type="pct"/>
                  <w:vMerge w:val="continue"/>
                  <w:vAlign w:val="center"/>
                </w:tcPr>
                <w:p w14:paraId="575FF5D8">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0D193BDF">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40</w:t>
                  </w:r>
                </w:p>
              </w:tc>
              <w:tc>
                <w:tcPr>
                  <w:tcW w:w="448" w:type="pct"/>
                  <w:vAlign w:val="center"/>
                </w:tcPr>
                <w:p w14:paraId="582612D7">
                  <w:pPr>
                    <w:jc w:val="center"/>
                    <w:rPr>
                      <w:rFonts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10</w:t>
                  </w:r>
                  <w:r>
                    <w:rPr>
                      <w:rFonts w:ascii="Times New Roman" w:hAnsi="Times New Roman" w:eastAsia="宋体" w:cs="Times New Roman"/>
                      <w:bCs/>
                      <w:i w:val="0"/>
                      <w:iCs w:val="0"/>
                      <w:color w:val="auto"/>
                      <w:sz w:val="15"/>
                      <w:szCs w:val="15"/>
                      <w:u w:val="single"/>
                      <w:lang w:val="en-US" w:eastAsia="zh-CN" w:bidi="ar-SA"/>
                    </w:rPr>
                    <w:t>h/d</w:t>
                  </w:r>
                </w:p>
              </w:tc>
            </w:tr>
            <w:tr w14:paraId="0B997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0" w:type="pct"/>
                  <w:shd w:val="clear" w:color="auto" w:fill="auto"/>
                  <w:vAlign w:val="center"/>
                </w:tcPr>
                <w:p w14:paraId="7A9BE71F">
                  <w:pPr>
                    <w:widowControl/>
                    <w:snapToGrid w:val="0"/>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封袋机</w:t>
                  </w:r>
                </w:p>
              </w:tc>
              <w:tc>
                <w:tcPr>
                  <w:tcW w:w="308" w:type="pct"/>
                  <w:shd w:val="clear" w:color="auto" w:fill="auto"/>
                  <w:vAlign w:val="center"/>
                </w:tcPr>
                <w:p w14:paraId="19460E7D">
                  <w:pPr>
                    <w:widowControl/>
                    <w:snapToGrid w:val="0"/>
                    <w:jc w:val="center"/>
                    <w:rPr>
                      <w:rFonts w:hint="eastAsia"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2</w:t>
                  </w:r>
                </w:p>
              </w:tc>
              <w:tc>
                <w:tcPr>
                  <w:tcW w:w="492" w:type="pct"/>
                  <w:vAlign w:val="center"/>
                </w:tcPr>
                <w:p w14:paraId="248A6D01">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55</w:t>
                  </w:r>
                </w:p>
              </w:tc>
              <w:tc>
                <w:tcPr>
                  <w:tcW w:w="470" w:type="pct"/>
                  <w:vMerge w:val="continue"/>
                  <w:vAlign w:val="center"/>
                </w:tcPr>
                <w:p w14:paraId="5D08575B">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29F5DD23">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10</w:t>
                  </w:r>
                </w:p>
              </w:tc>
              <w:tc>
                <w:tcPr>
                  <w:tcW w:w="263" w:type="pct"/>
                  <w:vAlign w:val="center"/>
                </w:tcPr>
                <w:p w14:paraId="64B77CCD">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21</w:t>
                  </w:r>
                </w:p>
              </w:tc>
              <w:tc>
                <w:tcPr>
                  <w:tcW w:w="370" w:type="pct"/>
                  <w:vAlign w:val="center"/>
                </w:tcPr>
                <w:p w14:paraId="75FE999C">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1.5</w:t>
                  </w:r>
                </w:p>
              </w:tc>
              <w:tc>
                <w:tcPr>
                  <w:tcW w:w="1006" w:type="pct"/>
                  <w:vMerge w:val="continue"/>
                  <w:vAlign w:val="center"/>
                </w:tcPr>
                <w:p w14:paraId="6F16A85B">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77910AF8">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40</w:t>
                  </w:r>
                </w:p>
              </w:tc>
              <w:tc>
                <w:tcPr>
                  <w:tcW w:w="448" w:type="pct"/>
                  <w:vAlign w:val="center"/>
                </w:tcPr>
                <w:p w14:paraId="46D60880">
                  <w:pPr>
                    <w:jc w:val="center"/>
                    <w:rPr>
                      <w:rFonts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10</w:t>
                  </w:r>
                  <w:r>
                    <w:rPr>
                      <w:rFonts w:ascii="Times New Roman" w:hAnsi="Times New Roman" w:eastAsia="宋体" w:cs="Times New Roman"/>
                      <w:bCs/>
                      <w:i w:val="0"/>
                      <w:iCs w:val="0"/>
                      <w:color w:val="auto"/>
                      <w:sz w:val="15"/>
                      <w:szCs w:val="15"/>
                      <w:u w:val="single"/>
                      <w:lang w:val="en-US" w:eastAsia="zh-CN" w:bidi="ar-SA"/>
                    </w:rPr>
                    <w:t>h/d</w:t>
                  </w:r>
                </w:p>
              </w:tc>
            </w:tr>
            <w:tr w14:paraId="5B590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80" w:type="pct"/>
                  <w:vMerge w:val="restart"/>
                  <w:shd w:val="clear" w:color="auto" w:fill="auto"/>
                  <w:vAlign w:val="center"/>
                </w:tcPr>
                <w:p w14:paraId="69438D7B">
                  <w:pPr>
                    <w:widowControl/>
                    <w:snapToGrid w:val="0"/>
                    <w:jc w:val="center"/>
                    <w:rPr>
                      <w:rFonts w:hint="default" w:ascii="Times New Roman" w:hAnsi="Times New Roman" w:eastAsia="宋体" w:cs="Times New Roman"/>
                      <w:bCs/>
                      <w:i w:val="0"/>
                      <w:iCs w:val="0"/>
                      <w:color w:val="auto"/>
                      <w:sz w:val="15"/>
                      <w:szCs w:val="15"/>
                      <w:highlight w:val="none"/>
                      <w:u w:val="single"/>
                      <w:lang w:val="en-US" w:eastAsia="zh-CN" w:bidi="ar-SA"/>
                    </w:rPr>
                  </w:pPr>
                  <w:r>
                    <w:rPr>
                      <w:rFonts w:hint="eastAsia" w:cs="Times New Roman"/>
                      <w:bCs/>
                      <w:i w:val="0"/>
                      <w:iCs w:val="0"/>
                      <w:color w:val="auto"/>
                      <w:sz w:val="15"/>
                      <w:szCs w:val="15"/>
                      <w:highlight w:val="none"/>
                      <w:u w:val="single"/>
                      <w:lang w:val="en-US" w:eastAsia="zh-CN" w:bidi="ar-SA"/>
                    </w:rPr>
                    <w:t>铲车</w:t>
                  </w:r>
                </w:p>
              </w:tc>
              <w:tc>
                <w:tcPr>
                  <w:tcW w:w="308" w:type="pct"/>
                  <w:vMerge w:val="restart"/>
                  <w:shd w:val="clear" w:color="auto" w:fill="auto"/>
                  <w:vAlign w:val="center"/>
                </w:tcPr>
                <w:p w14:paraId="1DB96CEA">
                  <w:pPr>
                    <w:widowControl/>
                    <w:snapToGrid w:val="0"/>
                    <w:jc w:val="center"/>
                    <w:rPr>
                      <w:rFonts w:hint="eastAsia"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2</w:t>
                  </w:r>
                </w:p>
              </w:tc>
              <w:tc>
                <w:tcPr>
                  <w:tcW w:w="492" w:type="pct"/>
                  <w:vMerge w:val="restart"/>
                  <w:vAlign w:val="center"/>
                </w:tcPr>
                <w:p w14:paraId="0F2B6111">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80</w:t>
                  </w:r>
                </w:p>
              </w:tc>
              <w:tc>
                <w:tcPr>
                  <w:tcW w:w="470" w:type="pct"/>
                  <w:vMerge w:val="continue"/>
                  <w:vAlign w:val="center"/>
                </w:tcPr>
                <w:p w14:paraId="233BF8F1">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195221CD">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w:t>
                  </w:r>
                </w:p>
              </w:tc>
              <w:tc>
                <w:tcPr>
                  <w:tcW w:w="263" w:type="pct"/>
                  <w:vAlign w:val="center"/>
                </w:tcPr>
                <w:p w14:paraId="005CF14F">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10</w:t>
                  </w:r>
                </w:p>
              </w:tc>
              <w:tc>
                <w:tcPr>
                  <w:tcW w:w="370" w:type="pct"/>
                  <w:vAlign w:val="center"/>
                </w:tcPr>
                <w:p w14:paraId="29CDD695">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w:t>
                  </w:r>
                </w:p>
              </w:tc>
              <w:tc>
                <w:tcPr>
                  <w:tcW w:w="1006" w:type="pct"/>
                  <w:vMerge w:val="continue"/>
                  <w:vAlign w:val="center"/>
                </w:tcPr>
                <w:p w14:paraId="4860E9DF">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4980B569">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55</w:t>
                  </w:r>
                </w:p>
              </w:tc>
              <w:tc>
                <w:tcPr>
                  <w:tcW w:w="448" w:type="pct"/>
                  <w:vAlign w:val="center"/>
                </w:tcPr>
                <w:p w14:paraId="59F2ED31">
                  <w:pPr>
                    <w:jc w:val="center"/>
                    <w:rPr>
                      <w:rFonts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10</w:t>
                  </w:r>
                  <w:r>
                    <w:rPr>
                      <w:rFonts w:ascii="Times New Roman" w:hAnsi="Times New Roman" w:eastAsia="宋体" w:cs="Times New Roman"/>
                      <w:bCs/>
                      <w:i w:val="0"/>
                      <w:iCs w:val="0"/>
                      <w:color w:val="auto"/>
                      <w:sz w:val="15"/>
                      <w:szCs w:val="15"/>
                      <w:u w:val="single"/>
                      <w:lang w:val="en-US" w:eastAsia="zh-CN" w:bidi="ar-SA"/>
                    </w:rPr>
                    <w:t>h/d</w:t>
                  </w:r>
                </w:p>
              </w:tc>
            </w:tr>
            <w:tr w14:paraId="5E7A7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0" w:type="pct"/>
                  <w:vMerge w:val="continue"/>
                  <w:shd w:val="clear" w:color="auto" w:fill="auto"/>
                  <w:vAlign w:val="center"/>
                </w:tcPr>
                <w:p w14:paraId="0DD5A57D">
                  <w:pPr>
                    <w:widowControl/>
                    <w:snapToGrid w:val="0"/>
                    <w:jc w:val="center"/>
                    <w:rPr>
                      <w:rFonts w:hint="eastAsia" w:ascii="Times New Roman" w:hAnsi="Times New Roman" w:eastAsia="宋体" w:cs="Times New Roman"/>
                      <w:bCs/>
                      <w:i w:val="0"/>
                      <w:iCs w:val="0"/>
                      <w:color w:val="auto"/>
                      <w:sz w:val="15"/>
                      <w:szCs w:val="15"/>
                      <w:highlight w:val="none"/>
                      <w:u w:val="single"/>
                      <w:lang w:val="en-US" w:eastAsia="zh-CN" w:bidi="ar-SA"/>
                    </w:rPr>
                  </w:pPr>
                </w:p>
              </w:tc>
              <w:tc>
                <w:tcPr>
                  <w:tcW w:w="308" w:type="pct"/>
                  <w:vMerge w:val="continue"/>
                  <w:shd w:val="clear" w:color="auto" w:fill="auto"/>
                  <w:vAlign w:val="center"/>
                </w:tcPr>
                <w:p w14:paraId="63380B4D">
                  <w:pPr>
                    <w:widowControl/>
                    <w:snapToGrid w:val="0"/>
                    <w:jc w:val="center"/>
                    <w:rPr>
                      <w:rFonts w:hint="eastAsia" w:ascii="Times New Roman" w:hAnsi="Times New Roman" w:eastAsia="宋体" w:cs="Times New Roman"/>
                      <w:bCs/>
                      <w:i w:val="0"/>
                      <w:iCs w:val="0"/>
                      <w:color w:val="auto"/>
                      <w:sz w:val="15"/>
                      <w:szCs w:val="15"/>
                      <w:u w:val="single"/>
                      <w:lang w:val="en-US" w:eastAsia="zh-CN" w:bidi="ar-SA"/>
                    </w:rPr>
                  </w:pPr>
                </w:p>
              </w:tc>
              <w:tc>
                <w:tcPr>
                  <w:tcW w:w="492" w:type="pct"/>
                  <w:vMerge w:val="continue"/>
                  <w:vAlign w:val="center"/>
                </w:tcPr>
                <w:p w14:paraId="4E8BD681">
                  <w:pPr>
                    <w:pStyle w:val="38"/>
                    <w:spacing w:beforeLines="0" w:afterLines="0" w:line="240" w:lineRule="auto"/>
                    <w:rPr>
                      <w:rFonts w:hint="eastAsia" w:ascii="Times New Roman" w:hAnsi="Times New Roman" w:eastAsia="宋体" w:cs="Times New Roman"/>
                      <w:bCs/>
                      <w:i w:val="0"/>
                      <w:iCs w:val="0"/>
                      <w:color w:val="auto"/>
                      <w:sz w:val="15"/>
                      <w:szCs w:val="15"/>
                      <w:u w:val="single"/>
                      <w:lang w:val="en-US" w:eastAsia="zh-CN" w:bidi="ar-SA"/>
                    </w:rPr>
                  </w:pPr>
                </w:p>
              </w:tc>
              <w:tc>
                <w:tcPr>
                  <w:tcW w:w="470" w:type="pct"/>
                  <w:vMerge w:val="continue"/>
                  <w:vAlign w:val="center"/>
                </w:tcPr>
                <w:p w14:paraId="0E804890">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7CA6E931">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w:t>
                  </w:r>
                </w:p>
              </w:tc>
              <w:tc>
                <w:tcPr>
                  <w:tcW w:w="263" w:type="pct"/>
                  <w:vAlign w:val="center"/>
                </w:tcPr>
                <w:p w14:paraId="2D435E57">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14</w:t>
                  </w:r>
                </w:p>
              </w:tc>
              <w:tc>
                <w:tcPr>
                  <w:tcW w:w="370" w:type="pct"/>
                  <w:vAlign w:val="center"/>
                </w:tcPr>
                <w:p w14:paraId="3C73271D">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w:t>
                  </w:r>
                </w:p>
              </w:tc>
              <w:tc>
                <w:tcPr>
                  <w:tcW w:w="1006" w:type="pct"/>
                  <w:vMerge w:val="continue"/>
                  <w:vAlign w:val="center"/>
                </w:tcPr>
                <w:p w14:paraId="477DC68B">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3249D5E9">
                  <w:pPr>
                    <w:pStyle w:val="38"/>
                    <w:spacing w:beforeLines="0" w:afterLines="0" w:line="240" w:lineRule="auto"/>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55</w:t>
                  </w:r>
                </w:p>
              </w:tc>
              <w:tc>
                <w:tcPr>
                  <w:tcW w:w="448" w:type="pct"/>
                  <w:vAlign w:val="center"/>
                </w:tcPr>
                <w:p w14:paraId="6A92B303">
                  <w:pPr>
                    <w:jc w:val="center"/>
                    <w:rPr>
                      <w:rFonts w:hint="eastAsia"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10</w:t>
                  </w:r>
                  <w:r>
                    <w:rPr>
                      <w:rFonts w:ascii="Times New Roman" w:hAnsi="Times New Roman" w:eastAsia="宋体" w:cs="Times New Roman"/>
                      <w:bCs/>
                      <w:i w:val="0"/>
                      <w:iCs w:val="0"/>
                      <w:color w:val="auto"/>
                      <w:sz w:val="15"/>
                      <w:szCs w:val="15"/>
                      <w:u w:val="single"/>
                      <w:lang w:val="en-US" w:eastAsia="zh-CN" w:bidi="ar-SA"/>
                    </w:rPr>
                    <w:t>h/d</w:t>
                  </w:r>
                </w:p>
              </w:tc>
            </w:tr>
            <w:tr w14:paraId="3F1E9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80" w:type="pct"/>
                  <w:vMerge w:val="restart"/>
                  <w:shd w:val="clear" w:color="auto" w:fill="auto"/>
                  <w:vAlign w:val="center"/>
                </w:tcPr>
                <w:p w14:paraId="722D4D65">
                  <w:pPr>
                    <w:widowControl/>
                    <w:snapToGrid w:val="0"/>
                    <w:jc w:val="center"/>
                    <w:rPr>
                      <w:rFonts w:hint="default" w:ascii="Times New Roman" w:hAnsi="Times New Roman" w:eastAsia="宋体" w:cs="Times New Roman"/>
                      <w:bCs/>
                      <w:i w:val="0"/>
                      <w:iCs w:val="0"/>
                      <w:color w:val="auto"/>
                      <w:sz w:val="15"/>
                      <w:szCs w:val="15"/>
                      <w:highlight w:val="none"/>
                      <w:u w:val="single"/>
                      <w:lang w:val="en-US" w:eastAsia="zh-CN" w:bidi="ar-SA"/>
                    </w:rPr>
                  </w:pPr>
                  <w:r>
                    <w:rPr>
                      <w:rFonts w:hint="eastAsia" w:cs="Times New Roman"/>
                      <w:bCs/>
                      <w:i w:val="0"/>
                      <w:iCs w:val="0"/>
                      <w:color w:val="auto"/>
                      <w:sz w:val="15"/>
                      <w:szCs w:val="15"/>
                      <w:highlight w:val="none"/>
                      <w:u w:val="single"/>
                      <w:lang w:val="en-US" w:eastAsia="zh-CN" w:bidi="ar-SA"/>
                    </w:rPr>
                    <w:t>风机</w:t>
                  </w:r>
                </w:p>
              </w:tc>
              <w:tc>
                <w:tcPr>
                  <w:tcW w:w="308" w:type="pct"/>
                  <w:vMerge w:val="restart"/>
                  <w:shd w:val="clear" w:color="auto" w:fill="auto"/>
                  <w:vAlign w:val="center"/>
                </w:tcPr>
                <w:p w14:paraId="145C21DD">
                  <w:pPr>
                    <w:widowControl/>
                    <w:snapToGrid w:val="0"/>
                    <w:jc w:val="center"/>
                    <w:rPr>
                      <w:rFonts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4</w:t>
                  </w:r>
                </w:p>
              </w:tc>
              <w:tc>
                <w:tcPr>
                  <w:tcW w:w="492" w:type="pct"/>
                  <w:vMerge w:val="restart"/>
                  <w:vAlign w:val="center"/>
                </w:tcPr>
                <w:p w14:paraId="62D12D29">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85</w:t>
                  </w:r>
                </w:p>
              </w:tc>
              <w:tc>
                <w:tcPr>
                  <w:tcW w:w="470" w:type="pct"/>
                  <w:vMerge w:val="continue"/>
                  <w:vAlign w:val="center"/>
                </w:tcPr>
                <w:p w14:paraId="250BCAF1">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7AF6BD58">
                  <w:pPr>
                    <w:pStyle w:val="38"/>
                    <w:spacing w:beforeLines="0" w:afterLines="0" w:line="240" w:lineRule="auto"/>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48</w:t>
                  </w:r>
                </w:p>
              </w:tc>
              <w:tc>
                <w:tcPr>
                  <w:tcW w:w="263" w:type="pct"/>
                  <w:vAlign w:val="center"/>
                </w:tcPr>
                <w:p w14:paraId="0C6D7F23">
                  <w:pPr>
                    <w:pStyle w:val="38"/>
                    <w:spacing w:beforeLines="0" w:afterLines="0" w:line="240" w:lineRule="auto"/>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40</w:t>
                  </w:r>
                </w:p>
              </w:tc>
              <w:tc>
                <w:tcPr>
                  <w:tcW w:w="370" w:type="pct"/>
                  <w:vAlign w:val="center"/>
                </w:tcPr>
                <w:p w14:paraId="02E9A15A">
                  <w:pPr>
                    <w:pStyle w:val="38"/>
                    <w:spacing w:beforeLines="0" w:afterLines="0" w:line="240" w:lineRule="auto"/>
                    <w:jc w:val="center"/>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w:t>
                  </w:r>
                </w:p>
              </w:tc>
              <w:tc>
                <w:tcPr>
                  <w:tcW w:w="1006" w:type="pct"/>
                  <w:vMerge w:val="restart"/>
                  <w:vAlign w:val="center"/>
                </w:tcPr>
                <w:p w14:paraId="20D19868">
                  <w:pPr>
                    <w:pStyle w:val="38"/>
                    <w:spacing w:beforeLines="0" w:afterLines="0" w:line="240" w:lineRule="auto"/>
                    <w:rPr>
                      <w:rFonts w:ascii="Times New Roman" w:hAnsi="Times New Roman" w:eastAsia="宋体" w:cs="Times New Roman"/>
                      <w:bCs/>
                      <w:i w:val="0"/>
                      <w:iCs w:val="0"/>
                      <w:color w:val="auto"/>
                      <w:sz w:val="15"/>
                      <w:szCs w:val="15"/>
                      <w:u w:val="single"/>
                      <w:lang w:val="en-US" w:eastAsia="zh-CN" w:bidi="ar-SA"/>
                    </w:rPr>
                  </w:pPr>
                  <w:r>
                    <w:rPr>
                      <w:rFonts w:hint="default" w:ascii="Times New Roman" w:hAnsi="Times New Roman" w:eastAsia="宋体" w:cs="Times New Roman"/>
                      <w:bCs/>
                      <w:i w:val="0"/>
                      <w:iCs w:val="0"/>
                      <w:color w:val="auto"/>
                      <w:sz w:val="15"/>
                      <w:szCs w:val="15"/>
                      <w:u w:val="single"/>
                      <w:lang w:val="en-US" w:eastAsia="zh-CN" w:bidi="ar-SA"/>
                    </w:rPr>
                    <w:t>减振、隔声、软连接</w:t>
                  </w:r>
                </w:p>
              </w:tc>
              <w:tc>
                <w:tcPr>
                  <w:tcW w:w="566" w:type="pct"/>
                  <w:vAlign w:val="center"/>
                </w:tcPr>
                <w:p w14:paraId="35D62C02">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60</w:t>
                  </w:r>
                </w:p>
              </w:tc>
              <w:tc>
                <w:tcPr>
                  <w:tcW w:w="448" w:type="pct"/>
                  <w:vAlign w:val="center"/>
                </w:tcPr>
                <w:p w14:paraId="2DD5E066">
                  <w:pPr>
                    <w:jc w:val="center"/>
                    <w:rPr>
                      <w:rFonts w:ascii="Times New Roman" w:hAnsi="Times New Roman" w:eastAsia="宋体"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10</w:t>
                  </w:r>
                  <w:r>
                    <w:rPr>
                      <w:rFonts w:ascii="Times New Roman" w:hAnsi="Times New Roman" w:eastAsia="宋体" w:cs="Times New Roman"/>
                      <w:bCs/>
                      <w:i w:val="0"/>
                      <w:iCs w:val="0"/>
                      <w:color w:val="auto"/>
                      <w:sz w:val="15"/>
                      <w:szCs w:val="15"/>
                      <w:u w:val="single"/>
                      <w:lang w:val="en-US" w:eastAsia="zh-CN" w:bidi="ar-SA"/>
                    </w:rPr>
                    <w:t>h/d</w:t>
                  </w:r>
                </w:p>
              </w:tc>
            </w:tr>
            <w:tr w14:paraId="766BF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80" w:type="pct"/>
                  <w:vMerge w:val="continue"/>
                  <w:shd w:val="clear" w:color="auto" w:fill="auto"/>
                  <w:vAlign w:val="center"/>
                </w:tcPr>
                <w:p w14:paraId="442FFFB5">
                  <w:pPr>
                    <w:widowControl/>
                    <w:snapToGrid w:val="0"/>
                    <w:jc w:val="center"/>
                    <w:rPr>
                      <w:rFonts w:hint="eastAsia" w:cs="Times New Roman"/>
                      <w:bCs/>
                      <w:i w:val="0"/>
                      <w:iCs w:val="0"/>
                      <w:color w:val="auto"/>
                      <w:sz w:val="15"/>
                      <w:szCs w:val="15"/>
                      <w:u w:val="single"/>
                      <w:lang w:val="en-US" w:eastAsia="zh-CN" w:bidi="ar-SA"/>
                    </w:rPr>
                  </w:pPr>
                </w:p>
              </w:tc>
              <w:tc>
                <w:tcPr>
                  <w:tcW w:w="308" w:type="pct"/>
                  <w:vMerge w:val="continue"/>
                  <w:shd w:val="clear" w:color="auto" w:fill="auto"/>
                  <w:vAlign w:val="center"/>
                </w:tcPr>
                <w:p w14:paraId="0E0E0280">
                  <w:pPr>
                    <w:widowControl/>
                    <w:snapToGrid w:val="0"/>
                    <w:jc w:val="center"/>
                    <w:rPr>
                      <w:rFonts w:hint="eastAsia" w:cs="Times New Roman"/>
                      <w:bCs/>
                      <w:i w:val="0"/>
                      <w:iCs w:val="0"/>
                      <w:color w:val="auto"/>
                      <w:sz w:val="15"/>
                      <w:szCs w:val="15"/>
                      <w:u w:val="single"/>
                      <w:lang w:val="en-US" w:eastAsia="zh-CN" w:bidi="ar-SA"/>
                    </w:rPr>
                  </w:pPr>
                </w:p>
              </w:tc>
              <w:tc>
                <w:tcPr>
                  <w:tcW w:w="492" w:type="pct"/>
                  <w:vMerge w:val="continue"/>
                  <w:vAlign w:val="center"/>
                </w:tcPr>
                <w:p w14:paraId="1BD1185C">
                  <w:pPr>
                    <w:pStyle w:val="38"/>
                    <w:spacing w:beforeLines="0" w:afterLines="0" w:line="240" w:lineRule="auto"/>
                    <w:rPr>
                      <w:rFonts w:hint="eastAsia" w:ascii="Times New Roman" w:eastAsia="宋体" w:cs="Times New Roman"/>
                      <w:bCs/>
                      <w:i w:val="0"/>
                      <w:iCs w:val="0"/>
                      <w:color w:val="auto"/>
                      <w:sz w:val="15"/>
                      <w:szCs w:val="15"/>
                      <w:u w:val="single"/>
                      <w:lang w:val="en-US" w:eastAsia="zh-CN" w:bidi="ar-SA"/>
                    </w:rPr>
                  </w:pPr>
                </w:p>
              </w:tc>
              <w:tc>
                <w:tcPr>
                  <w:tcW w:w="470" w:type="pct"/>
                  <w:vMerge w:val="continue"/>
                  <w:vAlign w:val="center"/>
                </w:tcPr>
                <w:p w14:paraId="3F76BBF6">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19FB7A3B">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61</w:t>
                  </w:r>
                </w:p>
              </w:tc>
              <w:tc>
                <w:tcPr>
                  <w:tcW w:w="263" w:type="pct"/>
                  <w:vAlign w:val="center"/>
                </w:tcPr>
                <w:p w14:paraId="57D2E8AE">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57</w:t>
                  </w:r>
                </w:p>
              </w:tc>
              <w:tc>
                <w:tcPr>
                  <w:tcW w:w="370" w:type="pct"/>
                  <w:vAlign w:val="center"/>
                </w:tcPr>
                <w:p w14:paraId="53AB150F">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1.8</w:t>
                  </w:r>
                </w:p>
              </w:tc>
              <w:tc>
                <w:tcPr>
                  <w:tcW w:w="1006" w:type="pct"/>
                  <w:vMerge w:val="continue"/>
                  <w:vAlign w:val="center"/>
                </w:tcPr>
                <w:p w14:paraId="5D9C5D60">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4166456E">
                  <w:pPr>
                    <w:pStyle w:val="38"/>
                    <w:spacing w:beforeLines="0" w:afterLines="0" w:line="240" w:lineRule="auto"/>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60</w:t>
                  </w:r>
                </w:p>
              </w:tc>
              <w:tc>
                <w:tcPr>
                  <w:tcW w:w="448" w:type="pct"/>
                  <w:vAlign w:val="center"/>
                </w:tcPr>
                <w:p w14:paraId="76C1DB8D">
                  <w:pPr>
                    <w:jc w:val="center"/>
                    <w:rPr>
                      <w:rFonts w:hint="eastAsia"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20</w:t>
                  </w:r>
                  <w:r>
                    <w:rPr>
                      <w:rFonts w:ascii="Times New Roman" w:hAnsi="Times New Roman" w:eastAsia="宋体" w:cs="Times New Roman"/>
                      <w:bCs/>
                      <w:i w:val="0"/>
                      <w:iCs w:val="0"/>
                      <w:color w:val="auto"/>
                      <w:sz w:val="15"/>
                      <w:szCs w:val="15"/>
                      <w:u w:val="single"/>
                      <w:lang w:val="en-US" w:eastAsia="zh-CN" w:bidi="ar-SA"/>
                    </w:rPr>
                    <w:t>h/d</w:t>
                  </w:r>
                </w:p>
              </w:tc>
            </w:tr>
            <w:tr w14:paraId="4FD4F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80" w:type="pct"/>
                  <w:vMerge w:val="continue"/>
                  <w:shd w:val="clear" w:color="auto" w:fill="auto"/>
                  <w:vAlign w:val="center"/>
                </w:tcPr>
                <w:p w14:paraId="2EB1A922">
                  <w:pPr>
                    <w:widowControl/>
                    <w:snapToGrid w:val="0"/>
                    <w:jc w:val="center"/>
                    <w:rPr>
                      <w:rFonts w:hint="eastAsia" w:cs="Times New Roman"/>
                      <w:bCs/>
                      <w:i w:val="0"/>
                      <w:iCs w:val="0"/>
                      <w:color w:val="auto"/>
                      <w:sz w:val="15"/>
                      <w:szCs w:val="15"/>
                      <w:u w:val="single"/>
                      <w:lang w:val="en-US" w:eastAsia="zh-CN" w:bidi="ar-SA"/>
                    </w:rPr>
                  </w:pPr>
                </w:p>
              </w:tc>
              <w:tc>
                <w:tcPr>
                  <w:tcW w:w="308" w:type="pct"/>
                  <w:vMerge w:val="continue"/>
                  <w:shd w:val="clear" w:color="auto" w:fill="auto"/>
                  <w:vAlign w:val="center"/>
                </w:tcPr>
                <w:p w14:paraId="3575EF13">
                  <w:pPr>
                    <w:widowControl/>
                    <w:snapToGrid w:val="0"/>
                    <w:jc w:val="center"/>
                    <w:rPr>
                      <w:rFonts w:hint="eastAsia" w:cs="Times New Roman"/>
                      <w:bCs/>
                      <w:i w:val="0"/>
                      <w:iCs w:val="0"/>
                      <w:color w:val="auto"/>
                      <w:sz w:val="15"/>
                      <w:szCs w:val="15"/>
                      <w:u w:val="single"/>
                      <w:lang w:val="en-US" w:eastAsia="zh-CN" w:bidi="ar-SA"/>
                    </w:rPr>
                  </w:pPr>
                </w:p>
              </w:tc>
              <w:tc>
                <w:tcPr>
                  <w:tcW w:w="492" w:type="pct"/>
                  <w:vMerge w:val="continue"/>
                  <w:vAlign w:val="center"/>
                </w:tcPr>
                <w:p w14:paraId="610D6764">
                  <w:pPr>
                    <w:pStyle w:val="38"/>
                    <w:spacing w:beforeLines="0" w:afterLines="0" w:line="240" w:lineRule="auto"/>
                    <w:rPr>
                      <w:rFonts w:hint="eastAsia" w:ascii="Times New Roman" w:eastAsia="宋体" w:cs="Times New Roman"/>
                      <w:bCs/>
                      <w:i w:val="0"/>
                      <w:iCs w:val="0"/>
                      <w:color w:val="auto"/>
                      <w:sz w:val="15"/>
                      <w:szCs w:val="15"/>
                      <w:u w:val="single"/>
                      <w:lang w:val="en-US" w:eastAsia="zh-CN" w:bidi="ar-SA"/>
                    </w:rPr>
                  </w:pPr>
                </w:p>
              </w:tc>
              <w:tc>
                <w:tcPr>
                  <w:tcW w:w="470" w:type="pct"/>
                  <w:vMerge w:val="continue"/>
                  <w:vAlign w:val="center"/>
                </w:tcPr>
                <w:p w14:paraId="68CA068D">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5EFA0B45">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59</w:t>
                  </w:r>
                </w:p>
              </w:tc>
              <w:tc>
                <w:tcPr>
                  <w:tcW w:w="263" w:type="pct"/>
                  <w:vAlign w:val="center"/>
                </w:tcPr>
                <w:p w14:paraId="5E29D4DE">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28</w:t>
                  </w:r>
                </w:p>
              </w:tc>
              <w:tc>
                <w:tcPr>
                  <w:tcW w:w="370" w:type="pct"/>
                  <w:vAlign w:val="center"/>
                </w:tcPr>
                <w:p w14:paraId="487E38FC">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1.8</w:t>
                  </w:r>
                </w:p>
              </w:tc>
              <w:tc>
                <w:tcPr>
                  <w:tcW w:w="1006" w:type="pct"/>
                  <w:vMerge w:val="continue"/>
                  <w:vAlign w:val="center"/>
                </w:tcPr>
                <w:p w14:paraId="297072D4">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2DD9FBB2">
                  <w:pPr>
                    <w:pStyle w:val="38"/>
                    <w:spacing w:beforeLines="0" w:afterLines="0" w:line="240" w:lineRule="auto"/>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60</w:t>
                  </w:r>
                </w:p>
              </w:tc>
              <w:tc>
                <w:tcPr>
                  <w:tcW w:w="448" w:type="pct"/>
                  <w:vAlign w:val="center"/>
                </w:tcPr>
                <w:p w14:paraId="4A576D7D">
                  <w:pPr>
                    <w:jc w:val="center"/>
                    <w:rPr>
                      <w:rFonts w:hint="eastAsia"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20</w:t>
                  </w:r>
                  <w:r>
                    <w:rPr>
                      <w:rFonts w:ascii="Times New Roman" w:hAnsi="Times New Roman" w:eastAsia="宋体" w:cs="Times New Roman"/>
                      <w:bCs/>
                      <w:i w:val="0"/>
                      <w:iCs w:val="0"/>
                      <w:color w:val="auto"/>
                      <w:sz w:val="15"/>
                      <w:szCs w:val="15"/>
                      <w:u w:val="single"/>
                      <w:lang w:val="en-US" w:eastAsia="zh-CN" w:bidi="ar-SA"/>
                    </w:rPr>
                    <w:t>h/d</w:t>
                  </w:r>
                </w:p>
              </w:tc>
            </w:tr>
            <w:tr w14:paraId="0FF40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80" w:type="pct"/>
                  <w:vMerge w:val="continue"/>
                  <w:shd w:val="clear" w:color="auto" w:fill="auto"/>
                  <w:vAlign w:val="center"/>
                </w:tcPr>
                <w:p w14:paraId="592D7CFD">
                  <w:pPr>
                    <w:widowControl/>
                    <w:snapToGrid w:val="0"/>
                    <w:jc w:val="center"/>
                    <w:rPr>
                      <w:rFonts w:hint="eastAsia" w:cs="Times New Roman"/>
                      <w:bCs/>
                      <w:i w:val="0"/>
                      <w:iCs w:val="0"/>
                      <w:color w:val="auto"/>
                      <w:sz w:val="15"/>
                      <w:szCs w:val="15"/>
                      <w:u w:val="single"/>
                      <w:lang w:val="en-US" w:eastAsia="zh-CN" w:bidi="ar-SA"/>
                    </w:rPr>
                  </w:pPr>
                </w:p>
              </w:tc>
              <w:tc>
                <w:tcPr>
                  <w:tcW w:w="308" w:type="pct"/>
                  <w:vMerge w:val="continue"/>
                  <w:shd w:val="clear" w:color="auto" w:fill="auto"/>
                  <w:vAlign w:val="center"/>
                </w:tcPr>
                <w:p w14:paraId="2DC02F92">
                  <w:pPr>
                    <w:widowControl/>
                    <w:snapToGrid w:val="0"/>
                    <w:jc w:val="center"/>
                    <w:rPr>
                      <w:rFonts w:hint="eastAsia" w:cs="Times New Roman"/>
                      <w:bCs/>
                      <w:i w:val="0"/>
                      <w:iCs w:val="0"/>
                      <w:color w:val="auto"/>
                      <w:sz w:val="15"/>
                      <w:szCs w:val="15"/>
                      <w:u w:val="single"/>
                      <w:lang w:val="en-US" w:eastAsia="zh-CN" w:bidi="ar-SA"/>
                    </w:rPr>
                  </w:pPr>
                </w:p>
              </w:tc>
              <w:tc>
                <w:tcPr>
                  <w:tcW w:w="492" w:type="pct"/>
                  <w:vMerge w:val="continue"/>
                  <w:vAlign w:val="center"/>
                </w:tcPr>
                <w:p w14:paraId="598CD826">
                  <w:pPr>
                    <w:pStyle w:val="38"/>
                    <w:spacing w:beforeLines="0" w:afterLines="0" w:line="240" w:lineRule="auto"/>
                    <w:rPr>
                      <w:rFonts w:hint="eastAsia" w:ascii="Times New Roman" w:eastAsia="宋体" w:cs="Times New Roman"/>
                      <w:bCs/>
                      <w:i w:val="0"/>
                      <w:iCs w:val="0"/>
                      <w:color w:val="auto"/>
                      <w:sz w:val="15"/>
                      <w:szCs w:val="15"/>
                      <w:u w:val="single"/>
                      <w:lang w:val="en-US" w:eastAsia="zh-CN" w:bidi="ar-SA"/>
                    </w:rPr>
                  </w:pPr>
                </w:p>
              </w:tc>
              <w:tc>
                <w:tcPr>
                  <w:tcW w:w="470" w:type="pct"/>
                  <w:vMerge w:val="continue"/>
                  <w:vAlign w:val="center"/>
                </w:tcPr>
                <w:p w14:paraId="11B1748A">
                  <w:pPr>
                    <w:pStyle w:val="38"/>
                    <w:spacing w:beforeLines="0" w:afterLines="0" w:line="240" w:lineRule="auto"/>
                    <w:jc w:val="center"/>
                    <w:rPr>
                      <w:rFonts w:ascii="Times New Roman" w:hAnsi="Times New Roman" w:eastAsia="宋体" w:cs="Times New Roman"/>
                      <w:bCs/>
                      <w:i w:val="0"/>
                      <w:iCs w:val="0"/>
                      <w:color w:val="auto"/>
                      <w:sz w:val="15"/>
                      <w:szCs w:val="15"/>
                      <w:u w:val="single"/>
                      <w:lang w:val="en-US" w:eastAsia="zh-CN" w:bidi="ar-SA"/>
                    </w:rPr>
                  </w:pPr>
                </w:p>
              </w:tc>
              <w:tc>
                <w:tcPr>
                  <w:tcW w:w="293" w:type="pct"/>
                  <w:vAlign w:val="center"/>
                </w:tcPr>
                <w:p w14:paraId="2F86B5CA">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71</w:t>
                  </w:r>
                </w:p>
              </w:tc>
              <w:tc>
                <w:tcPr>
                  <w:tcW w:w="263" w:type="pct"/>
                  <w:vAlign w:val="center"/>
                </w:tcPr>
                <w:p w14:paraId="179FA94A">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50</w:t>
                  </w:r>
                </w:p>
              </w:tc>
              <w:tc>
                <w:tcPr>
                  <w:tcW w:w="370" w:type="pct"/>
                  <w:vAlign w:val="center"/>
                </w:tcPr>
                <w:p w14:paraId="463AFB08">
                  <w:pPr>
                    <w:pStyle w:val="38"/>
                    <w:spacing w:beforeLines="0" w:afterLines="0" w:line="240" w:lineRule="auto"/>
                    <w:jc w:val="center"/>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1.8</w:t>
                  </w:r>
                </w:p>
              </w:tc>
              <w:tc>
                <w:tcPr>
                  <w:tcW w:w="1006" w:type="pct"/>
                  <w:vMerge w:val="continue"/>
                  <w:vAlign w:val="center"/>
                </w:tcPr>
                <w:p w14:paraId="6A2DBC47">
                  <w:pPr>
                    <w:pStyle w:val="38"/>
                    <w:spacing w:beforeLines="0" w:afterLines="0" w:line="240" w:lineRule="auto"/>
                    <w:rPr>
                      <w:rFonts w:hint="default" w:ascii="Times New Roman" w:hAnsi="Times New Roman" w:eastAsia="宋体" w:cs="Times New Roman"/>
                      <w:bCs/>
                      <w:i w:val="0"/>
                      <w:iCs w:val="0"/>
                      <w:color w:val="auto"/>
                      <w:sz w:val="15"/>
                      <w:szCs w:val="15"/>
                      <w:u w:val="single"/>
                      <w:lang w:val="en-US" w:eastAsia="zh-CN" w:bidi="ar-SA"/>
                    </w:rPr>
                  </w:pPr>
                </w:p>
              </w:tc>
              <w:tc>
                <w:tcPr>
                  <w:tcW w:w="566" w:type="pct"/>
                  <w:vAlign w:val="center"/>
                </w:tcPr>
                <w:p w14:paraId="38099B8A">
                  <w:pPr>
                    <w:pStyle w:val="38"/>
                    <w:spacing w:beforeLines="0" w:afterLines="0" w:line="240" w:lineRule="auto"/>
                    <w:rPr>
                      <w:rFonts w:hint="default" w:ascii="Times New Roman" w:eastAsia="宋体" w:cs="Times New Roman"/>
                      <w:bCs/>
                      <w:i w:val="0"/>
                      <w:iCs w:val="0"/>
                      <w:color w:val="auto"/>
                      <w:sz w:val="15"/>
                      <w:szCs w:val="15"/>
                      <w:u w:val="single"/>
                      <w:lang w:val="en-US" w:eastAsia="zh-CN" w:bidi="ar-SA"/>
                    </w:rPr>
                  </w:pPr>
                  <w:r>
                    <w:rPr>
                      <w:rFonts w:hint="eastAsia" w:ascii="Times New Roman" w:eastAsia="宋体" w:cs="Times New Roman"/>
                      <w:bCs/>
                      <w:i w:val="0"/>
                      <w:iCs w:val="0"/>
                      <w:color w:val="auto"/>
                      <w:sz w:val="15"/>
                      <w:szCs w:val="15"/>
                      <w:u w:val="single"/>
                      <w:lang w:val="en-US" w:eastAsia="zh-CN" w:bidi="ar-SA"/>
                    </w:rPr>
                    <w:t>60</w:t>
                  </w:r>
                </w:p>
              </w:tc>
              <w:tc>
                <w:tcPr>
                  <w:tcW w:w="448" w:type="pct"/>
                  <w:vAlign w:val="center"/>
                </w:tcPr>
                <w:p w14:paraId="587E1695">
                  <w:pPr>
                    <w:jc w:val="center"/>
                    <w:rPr>
                      <w:rFonts w:hint="eastAsia" w:cs="Times New Roman"/>
                      <w:bCs/>
                      <w:i w:val="0"/>
                      <w:iCs w:val="0"/>
                      <w:color w:val="auto"/>
                      <w:sz w:val="15"/>
                      <w:szCs w:val="15"/>
                      <w:u w:val="single"/>
                      <w:lang w:val="en-US" w:eastAsia="zh-CN" w:bidi="ar-SA"/>
                    </w:rPr>
                  </w:pPr>
                  <w:r>
                    <w:rPr>
                      <w:rFonts w:hint="eastAsia" w:cs="Times New Roman"/>
                      <w:bCs/>
                      <w:i w:val="0"/>
                      <w:iCs w:val="0"/>
                      <w:color w:val="auto"/>
                      <w:sz w:val="15"/>
                      <w:szCs w:val="15"/>
                      <w:u w:val="single"/>
                      <w:lang w:val="en-US" w:eastAsia="zh-CN" w:bidi="ar-SA"/>
                    </w:rPr>
                    <w:t>20</w:t>
                  </w:r>
                  <w:r>
                    <w:rPr>
                      <w:rFonts w:ascii="Times New Roman" w:hAnsi="Times New Roman" w:eastAsia="宋体" w:cs="Times New Roman"/>
                      <w:bCs/>
                      <w:i w:val="0"/>
                      <w:iCs w:val="0"/>
                      <w:color w:val="auto"/>
                      <w:sz w:val="15"/>
                      <w:szCs w:val="15"/>
                      <w:u w:val="single"/>
                      <w:lang w:val="en-US" w:eastAsia="zh-CN" w:bidi="ar-SA"/>
                    </w:rPr>
                    <w:t>h/d</w:t>
                  </w:r>
                </w:p>
              </w:tc>
            </w:tr>
          </w:tbl>
          <w:p w14:paraId="6B0C557E">
            <w:pPr>
              <w:pStyle w:val="85"/>
              <w:spacing w:line="240" w:lineRule="auto"/>
              <w:ind w:firstLine="420"/>
              <w:rPr>
                <w:rFonts w:cs="Times New Roman"/>
                <w:color w:val="auto"/>
                <w:sz w:val="10"/>
                <w:szCs w:val="10"/>
                <w:u w:val="single"/>
              </w:rPr>
            </w:pPr>
          </w:p>
          <w:p w14:paraId="6C7337E8">
            <w:pPr>
              <w:pStyle w:val="85"/>
              <w:ind w:firstLine="420"/>
              <w:rPr>
                <w:i w:val="0"/>
                <w:iCs w:val="0"/>
                <w:color w:val="auto"/>
                <w:u w:val="single"/>
              </w:rPr>
            </w:pPr>
            <w:r>
              <w:rPr>
                <w:rFonts w:cs="Times New Roman"/>
                <w:i w:val="0"/>
                <w:iCs w:val="0"/>
                <w:color w:val="auto"/>
                <w:u w:val="single"/>
              </w:rPr>
              <w:t>（</w:t>
            </w:r>
            <w:r>
              <w:rPr>
                <w:rFonts w:hint="eastAsia"/>
                <w:i w:val="0"/>
                <w:iCs w:val="0"/>
                <w:color w:val="auto"/>
                <w:u w:val="single"/>
              </w:rPr>
              <w:t>3</w:t>
            </w:r>
            <w:r>
              <w:rPr>
                <w:i w:val="0"/>
                <w:iCs w:val="0"/>
                <w:color w:val="auto"/>
                <w:u w:val="single"/>
              </w:rPr>
              <w:t>）预测方法</w:t>
            </w:r>
          </w:p>
          <w:p w14:paraId="6265510C">
            <w:pPr>
              <w:widowControl/>
              <w:adjustRightInd w:val="0"/>
              <w:snapToGrid w:val="0"/>
              <w:spacing w:line="360" w:lineRule="auto"/>
              <w:ind w:firstLine="480"/>
              <w:rPr>
                <w:i w:val="0"/>
                <w:iCs w:val="0"/>
                <w:color w:val="auto"/>
                <w:u w:val="single"/>
              </w:rPr>
            </w:pPr>
            <w:r>
              <w:rPr>
                <w:i w:val="0"/>
                <w:iCs w:val="0"/>
                <w:color w:val="auto"/>
                <w:u w:val="single"/>
              </w:rPr>
              <w:t>预测方法采用</w:t>
            </w:r>
            <w:r>
              <w:rPr>
                <w:rFonts w:hint="eastAsia"/>
                <w:i w:val="0"/>
                <w:iCs w:val="0"/>
                <w:color w:val="auto"/>
                <w:u w:val="single"/>
              </w:rPr>
              <w:t xml:space="preserve">《环境影响评价技术导则 </w:t>
            </w:r>
            <w:r>
              <w:rPr>
                <w:i w:val="0"/>
                <w:iCs w:val="0"/>
                <w:color w:val="auto"/>
                <w:u w:val="single"/>
              </w:rPr>
              <w:t xml:space="preserve"> </w:t>
            </w:r>
            <w:r>
              <w:rPr>
                <w:rFonts w:hint="eastAsia"/>
                <w:i w:val="0"/>
                <w:iCs w:val="0"/>
                <w:color w:val="auto"/>
                <w:u w:val="single"/>
              </w:rPr>
              <w:t>声环境》（H</w:t>
            </w:r>
            <w:r>
              <w:rPr>
                <w:i w:val="0"/>
                <w:iCs w:val="0"/>
                <w:color w:val="auto"/>
                <w:u w:val="single"/>
              </w:rPr>
              <w:t>J 2.4-2021</w:t>
            </w:r>
            <w:r>
              <w:rPr>
                <w:rFonts w:hint="eastAsia"/>
                <w:i w:val="0"/>
                <w:iCs w:val="0"/>
                <w:color w:val="auto"/>
                <w:u w:val="single"/>
              </w:rPr>
              <w:t>）附录B典型行业噪声预测模型-工业噪声预测计算模型进行预测，</w:t>
            </w:r>
            <w:r>
              <w:rPr>
                <w:i w:val="0"/>
                <w:iCs w:val="0"/>
                <w:color w:val="auto"/>
                <w:u w:val="single"/>
              </w:rPr>
              <w:t>首先室内源采取降噪措施后源强预测采用点源公式预测到距离室内边界1m处声压级，再等效为室外声压级，再用室外衰减公式预测至预测点噪声</w:t>
            </w:r>
            <w:r>
              <w:rPr>
                <w:rFonts w:hint="eastAsia"/>
                <w:i w:val="0"/>
                <w:iCs w:val="0"/>
                <w:color w:val="auto"/>
                <w:u w:val="single"/>
              </w:rPr>
              <w:t>，具体公式详见下表。</w:t>
            </w:r>
          </w:p>
          <w:p w14:paraId="45CBAC38">
            <w:pPr>
              <w:pStyle w:val="85"/>
              <w:ind w:firstLine="420"/>
              <w:rPr>
                <w:i w:val="0"/>
                <w:iCs w:val="0"/>
                <w:color w:val="auto"/>
                <w:u w:val="single"/>
              </w:rPr>
            </w:pPr>
            <w:r>
              <w:rPr>
                <w:rFonts w:hint="eastAsia" w:ascii="宋体" w:hAnsi="宋体"/>
                <w:i w:val="0"/>
                <w:iCs w:val="0"/>
                <w:color w:val="auto"/>
                <w:u w:val="single"/>
              </w:rPr>
              <w:t>①</w:t>
            </w:r>
            <w:r>
              <w:rPr>
                <w:rFonts w:hint="eastAsia"/>
                <w:i w:val="0"/>
                <w:iCs w:val="0"/>
                <w:color w:val="auto"/>
                <w:u w:val="single"/>
              </w:rPr>
              <w:t>室内声源等效室外声源声功率级计算方法</w:t>
            </w:r>
          </w:p>
          <w:p w14:paraId="0FE55658">
            <w:pPr>
              <w:pStyle w:val="85"/>
              <w:ind w:firstLine="420"/>
              <w:rPr>
                <w:i w:val="0"/>
                <w:iCs w:val="0"/>
                <w:color w:val="auto"/>
                <w:u w:val="single"/>
              </w:rPr>
            </w:pPr>
            <w:r>
              <w:rPr>
                <w:rFonts w:hint="eastAsia"/>
                <w:i w:val="0"/>
                <w:iCs w:val="0"/>
                <w:color w:val="auto"/>
                <w:u w:val="single"/>
              </w:rPr>
              <w:t>声源位于室内，室内声源可采用等效室外声源声功率级法进行计算。设靠近开口处（或窗户）室内、室外某倍频带的声压级或</w:t>
            </w:r>
            <w:r>
              <w:rPr>
                <w:rFonts w:cs="Times New Roman"/>
                <w:i w:val="0"/>
                <w:iCs w:val="0"/>
                <w:color w:val="auto"/>
                <w:u w:val="single"/>
              </w:rPr>
              <w:t>A</w:t>
            </w:r>
            <w:r>
              <w:rPr>
                <w:rFonts w:hint="eastAsia"/>
                <w:i w:val="0"/>
                <w:iCs w:val="0"/>
                <w:color w:val="auto"/>
                <w:u w:val="single"/>
              </w:rPr>
              <w:t>声级分别为</w:t>
            </w:r>
            <w:r>
              <w:rPr>
                <w:rFonts w:cs="Times New Roman"/>
                <w:i w:val="0"/>
                <w:iCs w:val="0"/>
                <w:color w:val="auto"/>
                <w:u w:val="single"/>
              </w:rPr>
              <w:t>Lp1</w:t>
            </w:r>
            <w:r>
              <w:rPr>
                <w:rFonts w:hint="eastAsia"/>
                <w:i w:val="0"/>
                <w:iCs w:val="0"/>
                <w:color w:val="auto"/>
                <w:u w:val="single"/>
              </w:rPr>
              <w:t>和</w:t>
            </w:r>
            <w:r>
              <w:rPr>
                <w:rFonts w:cs="Times New Roman"/>
                <w:i w:val="0"/>
                <w:iCs w:val="0"/>
                <w:color w:val="auto"/>
                <w:u w:val="single"/>
              </w:rPr>
              <w:t>Lp2</w:t>
            </w:r>
            <w:r>
              <w:rPr>
                <w:rFonts w:hint="eastAsia"/>
                <w:i w:val="0"/>
                <w:iCs w:val="0"/>
                <w:color w:val="auto"/>
                <w:u w:val="single"/>
              </w:rPr>
              <w:t>。若声源所在室内声场为近似扩散声场，则室外的倍频带声压级可按式（</w:t>
            </w:r>
            <w:r>
              <w:rPr>
                <w:rFonts w:cs="Times New Roman"/>
                <w:i w:val="0"/>
                <w:iCs w:val="0"/>
                <w:color w:val="auto"/>
                <w:u w:val="single"/>
              </w:rPr>
              <w:t>B.1</w:t>
            </w:r>
            <w:r>
              <w:rPr>
                <w:rFonts w:hint="eastAsia"/>
                <w:i w:val="0"/>
                <w:iCs w:val="0"/>
                <w:color w:val="auto"/>
                <w:u w:val="single"/>
              </w:rPr>
              <w:t>）近似求出：</w:t>
            </w:r>
          </w:p>
          <w:p w14:paraId="4D1FE003">
            <w:pPr>
              <w:pStyle w:val="96"/>
              <w:snapToGrid w:val="0"/>
              <w:rPr>
                <w:rFonts w:hint="default"/>
                <w:i w:val="0"/>
                <w:iCs w:val="0"/>
                <w:color w:val="auto"/>
                <w:sz w:val="21"/>
                <w:szCs w:val="21"/>
                <w:u w:val="single"/>
              </w:rPr>
            </w:pPr>
            <w:r>
              <w:rPr>
                <w:i w:val="0"/>
                <w:iCs w:val="0"/>
                <w:color w:val="auto"/>
                <w:sz w:val="21"/>
                <w:szCs w:val="21"/>
                <w:u w:val="single"/>
              </w:rPr>
              <w:t xml:space="preserve">  </w:t>
            </w:r>
            <w:r>
              <w:rPr>
                <w:i w:val="0"/>
                <w:iCs w:val="0"/>
                <w:color w:val="auto"/>
                <w:sz w:val="21"/>
                <w:szCs w:val="21"/>
                <w:u w:val="single"/>
              </w:rPr>
              <w:drawing>
                <wp:inline distT="0" distB="0" distL="0" distR="0">
                  <wp:extent cx="1466215" cy="293370"/>
                  <wp:effectExtent l="0" t="0" r="635" b="0"/>
                  <wp:docPr id="3478495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49543"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66215" cy="293370"/>
                          </a:xfrm>
                          <a:prstGeom prst="rect">
                            <a:avLst/>
                          </a:prstGeom>
                          <a:noFill/>
                          <a:ln>
                            <a:noFill/>
                          </a:ln>
                        </pic:spPr>
                      </pic:pic>
                    </a:graphicData>
                  </a:graphic>
                </wp:inline>
              </w:drawing>
            </w:r>
          </w:p>
          <w:p w14:paraId="5A6D95C3">
            <w:pPr>
              <w:pStyle w:val="96"/>
              <w:snapToGrid w:val="0"/>
              <w:ind w:firstLine="420" w:firstLineChars="200"/>
              <w:rPr>
                <w:rFonts w:hint="default"/>
                <w:i w:val="0"/>
                <w:iCs w:val="0"/>
                <w:color w:val="auto"/>
                <w:sz w:val="21"/>
                <w:szCs w:val="21"/>
                <w:u w:val="single"/>
              </w:rPr>
            </w:pPr>
            <w:r>
              <w:rPr>
                <w:i w:val="0"/>
                <w:iCs w:val="0"/>
                <w:color w:val="auto"/>
                <w:sz w:val="21"/>
                <w:szCs w:val="21"/>
                <w:u w:val="single"/>
              </w:rPr>
              <w:t>式中：L</w:t>
            </w:r>
            <w:r>
              <w:rPr>
                <w:i w:val="0"/>
                <w:iCs w:val="0"/>
                <w:color w:val="auto"/>
                <w:sz w:val="21"/>
                <w:szCs w:val="21"/>
                <w:u w:val="single"/>
                <w:vertAlign w:val="subscript"/>
              </w:rPr>
              <w:t>p1</w:t>
            </w:r>
            <w:r>
              <w:rPr>
                <w:i w:val="0"/>
                <w:iCs w:val="0"/>
                <w:color w:val="auto"/>
                <w:sz w:val="21"/>
                <w:szCs w:val="21"/>
                <w:u w:val="single"/>
              </w:rPr>
              <w:t>——</w:t>
            </w:r>
            <w:r>
              <w:rPr>
                <w:rFonts w:hint="eastAsia" w:ascii="Times New Roman" w:hAnsi="Times New Roman" w:eastAsia="宋体" w:cs="宋体"/>
                <w:i w:val="0"/>
                <w:iCs w:val="0"/>
                <w:color w:val="auto"/>
                <w:sz w:val="21"/>
                <w:szCs w:val="21"/>
                <w:u w:val="single"/>
                <w:lang w:val="en-US" w:eastAsia="zh-CN" w:bidi="ar-SA"/>
              </w:rPr>
              <w:t>靠近开口处（或窗户）室内某倍频带的声压级或A声级，dB；</w:t>
            </w:r>
          </w:p>
          <w:p w14:paraId="10FBD967">
            <w:pPr>
              <w:pStyle w:val="96"/>
              <w:snapToGrid w:val="0"/>
              <w:ind w:firstLine="1050" w:firstLineChars="500"/>
              <w:rPr>
                <w:rFonts w:hint="default"/>
                <w:i w:val="0"/>
                <w:iCs w:val="0"/>
                <w:color w:val="auto"/>
                <w:sz w:val="21"/>
                <w:szCs w:val="21"/>
                <w:u w:val="single"/>
              </w:rPr>
            </w:pPr>
            <w:r>
              <w:rPr>
                <w:i w:val="0"/>
                <w:iCs w:val="0"/>
                <w:color w:val="auto"/>
                <w:sz w:val="21"/>
                <w:szCs w:val="21"/>
                <w:u w:val="single"/>
              </w:rPr>
              <w:t>L</w:t>
            </w:r>
            <w:r>
              <w:rPr>
                <w:i w:val="0"/>
                <w:iCs w:val="0"/>
                <w:color w:val="auto"/>
                <w:sz w:val="21"/>
                <w:szCs w:val="21"/>
                <w:u w:val="single"/>
                <w:vertAlign w:val="subscript"/>
              </w:rPr>
              <w:t>p2</w:t>
            </w:r>
            <w:r>
              <w:rPr>
                <w:i w:val="0"/>
                <w:iCs w:val="0"/>
                <w:color w:val="auto"/>
                <w:sz w:val="21"/>
                <w:szCs w:val="21"/>
                <w:u w:val="single"/>
              </w:rPr>
              <w:t>——</w:t>
            </w:r>
            <w:r>
              <w:rPr>
                <w:rFonts w:hint="eastAsia" w:ascii="Times New Roman" w:hAnsi="Times New Roman" w:eastAsia="宋体" w:cs="宋体"/>
                <w:i w:val="0"/>
                <w:iCs w:val="0"/>
                <w:color w:val="auto"/>
                <w:sz w:val="21"/>
                <w:szCs w:val="21"/>
                <w:u w:val="single"/>
                <w:lang w:val="en-US" w:eastAsia="zh-CN" w:bidi="ar-SA"/>
              </w:rPr>
              <w:t>靠近开口处（或窗户）室外某倍频带的声压级或A声级，dB；</w:t>
            </w:r>
          </w:p>
          <w:p w14:paraId="281F1E2B">
            <w:pPr>
              <w:pStyle w:val="85"/>
              <w:ind w:firstLine="1050" w:firstLineChars="500"/>
              <w:rPr>
                <w:i w:val="0"/>
                <w:iCs w:val="0"/>
                <w:color w:val="auto"/>
                <w:u w:val="single"/>
              </w:rPr>
            </w:pPr>
            <w:r>
              <w:rPr>
                <w:rFonts w:cs="Times New Roman"/>
                <w:i w:val="0"/>
                <w:iCs w:val="0"/>
                <w:color w:val="auto"/>
                <w:u w:val="single"/>
              </w:rPr>
              <w:t>TL——</w:t>
            </w:r>
            <w:r>
              <w:rPr>
                <w:rFonts w:hint="eastAsia"/>
                <w:i w:val="0"/>
                <w:iCs w:val="0"/>
                <w:color w:val="auto"/>
                <w:u w:val="single"/>
              </w:rPr>
              <w:t>隔墙（或窗户）倍频带或</w:t>
            </w:r>
            <w:r>
              <w:rPr>
                <w:rFonts w:cs="Times New Roman"/>
                <w:i w:val="0"/>
                <w:iCs w:val="0"/>
                <w:color w:val="auto"/>
                <w:u w:val="single"/>
              </w:rPr>
              <w:t>A</w:t>
            </w:r>
            <w:r>
              <w:rPr>
                <w:rFonts w:hint="eastAsia"/>
                <w:i w:val="0"/>
                <w:iCs w:val="0"/>
                <w:color w:val="auto"/>
                <w:u w:val="single"/>
              </w:rPr>
              <w:t>声级的隔声量，</w:t>
            </w:r>
            <w:r>
              <w:rPr>
                <w:rFonts w:cs="Times New Roman"/>
                <w:i w:val="0"/>
                <w:iCs w:val="0"/>
                <w:color w:val="auto"/>
                <w:u w:val="single"/>
              </w:rPr>
              <w:t>dB</w:t>
            </w:r>
            <w:r>
              <w:rPr>
                <w:rFonts w:hint="eastAsia"/>
                <w:i w:val="0"/>
                <w:iCs w:val="0"/>
                <w:color w:val="auto"/>
                <w:u w:val="single"/>
              </w:rPr>
              <w:t>。</w:t>
            </w:r>
          </w:p>
          <w:p w14:paraId="5510057C">
            <w:pPr>
              <w:tabs>
                <w:tab w:val="left" w:pos="5550"/>
              </w:tabs>
              <w:adjustRightInd w:val="0"/>
              <w:snapToGrid w:val="0"/>
              <w:spacing w:line="360" w:lineRule="auto"/>
              <w:ind w:firstLine="420" w:firstLineChars="200"/>
              <w:rPr>
                <w:i w:val="0"/>
                <w:iCs w:val="0"/>
                <w:color w:val="auto"/>
                <w:u w:val="single"/>
              </w:rPr>
            </w:pPr>
            <w:r>
              <w:rPr>
                <w:rFonts w:hint="eastAsia" w:ascii="宋体" w:hAnsi="宋体"/>
                <w:i w:val="0"/>
                <w:iCs w:val="0"/>
                <w:color w:val="auto"/>
                <w:u w:val="single"/>
              </w:rPr>
              <w:t>②</w:t>
            </w:r>
            <w:r>
              <w:rPr>
                <w:i w:val="0"/>
                <w:iCs w:val="0"/>
                <w:color w:val="auto"/>
                <w:u w:val="single"/>
              </w:rPr>
              <w:t>户外声传播衰减计算</w:t>
            </w:r>
          </w:p>
          <w:p w14:paraId="601E25F2">
            <w:pPr>
              <w:tabs>
                <w:tab w:val="left" w:pos="5550"/>
              </w:tabs>
              <w:adjustRightInd w:val="0"/>
              <w:snapToGrid w:val="0"/>
              <w:spacing w:line="360" w:lineRule="auto"/>
              <w:ind w:firstLine="420" w:firstLineChars="200"/>
              <w:rPr>
                <w:i w:val="0"/>
                <w:iCs w:val="0"/>
                <w:color w:val="auto"/>
                <w:u w:val="single"/>
              </w:rPr>
            </w:pPr>
            <w:r>
              <w:rPr>
                <w:i w:val="0"/>
                <w:iCs w:val="0"/>
                <w:color w:val="auto"/>
                <w:u w:val="single"/>
              </w:rPr>
              <w:t>户外声传播衰减包括几何发散（Adiv）、大气吸收（Aatm）、地面效应（Agr）、屏障屏蔽（Abar）、其他多方面效应（Amisc）引起的衰减。</w:t>
            </w:r>
          </w:p>
          <w:p w14:paraId="30324C12">
            <w:pPr>
              <w:tabs>
                <w:tab w:val="left" w:pos="5550"/>
              </w:tabs>
              <w:adjustRightInd w:val="0"/>
              <w:snapToGrid w:val="0"/>
              <w:spacing w:line="360" w:lineRule="auto"/>
              <w:ind w:firstLine="420" w:firstLineChars="200"/>
              <w:rPr>
                <w:i w:val="0"/>
                <w:iCs w:val="0"/>
                <w:color w:val="auto"/>
                <w:u w:val="single"/>
              </w:rPr>
            </w:pPr>
            <w:r>
              <w:rPr>
                <w:i w:val="0"/>
                <w:iCs w:val="0"/>
                <w:color w:val="auto"/>
                <w:u w:val="single"/>
              </w:rPr>
              <w:t>a.在已知距离无指向性点声源参考点r</w:t>
            </w:r>
            <w:r>
              <w:rPr>
                <w:i w:val="0"/>
                <w:iCs w:val="0"/>
                <w:color w:val="auto"/>
                <w:u w:val="single"/>
                <w:vertAlign w:val="subscript"/>
              </w:rPr>
              <w:t>0</w:t>
            </w:r>
            <w:r>
              <w:rPr>
                <w:i w:val="0"/>
                <w:iCs w:val="0"/>
                <w:color w:val="auto"/>
                <w:u w:val="single"/>
              </w:rPr>
              <w:t xml:space="preserve"> 处的倍频带（用63Hz 到8KHz的8 个标称倍频带中心频率）声压级Lp(r</w:t>
            </w:r>
            <w:r>
              <w:rPr>
                <w:i w:val="0"/>
                <w:iCs w:val="0"/>
                <w:color w:val="auto"/>
                <w:u w:val="single"/>
                <w:vertAlign w:val="subscript"/>
              </w:rPr>
              <w:t>0</w:t>
            </w:r>
            <w:r>
              <w:rPr>
                <w:i w:val="0"/>
                <w:iCs w:val="0"/>
                <w:color w:val="auto"/>
                <w:u w:val="single"/>
              </w:rPr>
              <w:t>)和计算出参考点(r</w:t>
            </w:r>
            <w:r>
              <w:rPr>
                <w:i w:val="0"/>
                <w:iCs w:val="0"/>
                <w:color w:val="auto"/>
                <w:u w:val="single"/>
                <w:vertAlign w:val="subscript"/>
              </w:rPr>
              <w:t>0</w:t>
            </w:r>
            <w:r>
              <w:rPr>
                <w:i w:val="0"/>
                <w:iCs w:val="0"/>
                <w:color w:val="auto"/>
                <w:u w:val="single"/>
              </w:rPr>
              <w:t>)和预测点(r)处之间的户外声传播衰减后，预测点8 个倍频带声压级可用下式计算：</w:t>
            </w:r>
          </w:p>
          <w:p w14:paraId="46E86147">
            <w:pPr>
              <w:tabs>
                <w:tab w:val="left" w:pos="5550"/>
              </w:tabs>
              <w:adjustRightInd w:val="0"/>
              <w:snapToGrid w:val="0"/>
              <w:spacing w:line="360" w:lineRule="auto"/>
              <w:ind w:firstLine="420" w:firstLineChars="200"/>
              <w:jc w:val="center"/>
              <w:rPr>
                <w:i w:val="0"/>
                <w:iCs w:val="0"/>
                <w:color w:val="auto"/>
                <w:u w:val="single"/>
              </w:rPr>
            </w:pPr>
            <w:r>
              <w:rPr>
                <w:i w:val="0"/>
                <w:iCs w:val="0"/>
                <w:color w:val="auto"/>
                <w:u w:val="single"/>
              </w:rPr>
              <w:drawing>
                <wp:inline distT="0" distB="0" distL="0" distR="0">
                  <wp:extent cx="2907030" cy="293370"/>
                  <wp:effectExtent l="0" t="0" r="7620" b="0"/>
                  <wp:docPr id="5610067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06758"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07030" cy="293370"/>
                          </a:xfrm>
                          <a:prstGeom prst="rect">
                            <a:avLst/>
                          </a:prstGeom>
                          <a:noFill/>
                          <a:ln>
                            <a:noFill/>
                          </a:ln>
                        </pic:spPr>
                      </pic:pic>
                    </a:graphicData>
                  </a:graphic>
                </wp:inline>
              </w:drawing>
            </w:r>
          </w:p>
          <w:p w14:paraId="39BE4F6B">
            <w:pPr>
              <w:tabs>
                <w:tab w:val="left" w:pos="5550"/>
              </w:tabs>
              <w:adjustRightInd w:val="0"/>
              <w:snapToGrid w:val="0"/>
              <w:spacing w:line="360" w:lineRule="auto"/>
              <w:ind w:firstLine="420" w:firstLineChars="200"/>
              <w:rPr>
                <w:i w:val="0"/>
                <w:iCs w:val="0"/>
                <w:color w:val="auto"/>
                <w:u w:val="single"/>
              </w:rPr>
            </w:pPr>
            <w:r>
              <w:rPr>
                <w:i w:val="0"/>
                <w:iCs w:val="0"/>
                <w:color w:val="auto"/>
                <w:u w:val="single"/>
              </w:rPr>
              <w:t>b.预测点的A 声级LA(r)可按下式计算，即将8 个倍频带声压级合成，计算出预测点的A 声级(LA(r))。</w:t>
            </w:r>
          </w:p>
          <w:p w14:paraId="29338901">
            <w:pPr>
              <w:tabs>
                <w:tab w:val="left" w:pos="5550"/>
              </w:tabs>
              <w:adjustRightInd w:val="0"/>
              <w:snapToGrid w:val="0"/>
              <w:spacing w:line="360" w:lineRule="auto"/>
              <w:ind w:firstLine="420" w:firstLineChars="200"/>
              <w:jc w:val="center"/>
              <w:rPr>
                <w:i w:val="0"/>
                <w:iCs w:val="0"/>
                <w:color w:val="auto"/>
                <w:u w:val="single"/>
              </w:rPr>
            </w:pPr>
            <w:r>
              <w:rPr>
                <w:i w:val="0"/>
                <w:iCs w:val="0"/>
                <w:color w:val="auto"/>
                <w:u w:val="single"/>
              </w:rPr>
              <w:drawing>
                <wp:inline distT="0" distB="0" distL="0" distR="0">
                  <wp:extent cx="1725295" cy="414020"/>
                  <wp:effectExtent l="0" t="0" r="8255" b="5080"/>
                  <wp:docPr id="7327486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48638"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25295" cy="414020"/>
                          </a:xfrm>
                          <a:prstGeom prst="rect">
                            <a:avLst/>
                          </a:prstGeom>
                          <a:noFill/>
                          <a:ln>
                            <a:noFill/>
                          </a:ln>
                        </pic:spPr>
                      </pic:pic>
                    </a:graphicData>
                  </a:graphic>
                </wp:inline>
              </w:drawing>
            </w:r>
          </w:p>
          <w:p w14:paraId="14A22283">
            <w:pPr>
              <w:tabs>
                <w:tab w:val="left" w:pos="5550"/>
              </w:tabs>
              <w:adjustRightInd w:val="0"/>
              <w:snapToGrid w:val="0"/>
              <w:spacing w:line="360" w:lineRule="auto"/>
              <w:ind w:firstLine="420" w:firstLineChars="200"/>
              <w:rPr>
                <w:i w:val="0"/>
                <w:iCs w:val="0"/>
                <w:color w:val="auto"/>
                <w:u w:val="single"/>
              </w:rPr>
            </w:pPr>
            <w:r>
              <w:rPr>
                <w:i w:val="0"/>
                <w:iCs w:val="0"/>
                <w:color w:val="auto"/>
                <w:u w:val="single"/>
              </w:rPr>
              <w:t>式中：L Pi (r)—预测点（r）处，第i 倍频带声压级，dB；</w:t>
            </w:r>
          </w:p>
          <w:p w14:paraId="21C71FC7">
            <w:pPr>
              <w:tabs>
                <w:tab w:val="left" w:pos="5550"/>
              </w:tabs>
              <w:adjustRightInd w:val="0"/>
              <w:snapToGrid w:val="0"/>
              <w:spacing w:line="360" w:lineRule="auto"/>
              <w:ind w:firstLine="1260" w:firstLineChars="600"/>
              <w:rPr>
                <w:i w:val="0"/>
                <w:iCs w:val="0"/>
                <w:color w:val="auto"/>
                <w:u w:val="single"/>
              </w:rPr>
            </w:pPr>
            <w:r>
              <w:rPr>
                <w:i w:val="0"/>
                <w:iCs w:val="0"/>
                <w:color w:val="auto"/>
                <w:u w:val="single"/>
              </w:rPr>
              <w:t>ΔLi—第i 倍频带的A 计权网络修正值，dB。</w:t>
            </w:r>
          </w:p>
          <w:p w14:paraId="0162B34B">
            <w:pPr>
              <w:tabs>
                <w:tab w:val="left" w:pos="5550"/>
              </w:tabs>
              <w:adjustRightInd w:val="0"/>
              <w:snapToGrid w:val="0"/>
              <w:spacing w:line="360" w:lineRule="auto"/>
              <w:ind w:firstLine="420" w:firstLineChars="200"/>
              <w:rPr>
                <w:i w:val="0"/>
                <w:iCs w:val="0"/>
                <w:color w:val="auto"/>
                <w:u w:val="single"/>
              </w:rPr>
            </w:pPr>
            <w:r>
              <w:rPr>
                <w:i w:val="0"/>
                <w:iCs w:val="0"/>
                <w:color w:val="auto"/>
                <w:u w:val="single"/>
              </w:rPr>
              <w:t>c</w:t>
            </w:r>
            <w:r>
              <w:rPr>
                <w:rFonts w:hint="eastAsia"/>
                <w:i w:val="0"/>
                <w:iCs w:val="0"/>
                <w:color w:val="auto"/>
                <w:u w:val="single"/>
              </w:rPr>
              <w:t>.</w:t>
            </w:r>
            <w:r>
              <w:rPr>
                <w:i w:val="0"/>
                <w:iCs w:val="0"/>
                <w:color w:val="auto"/>
                <w:u w:val="single"/>
              </w:rPr>
              <w:t>在只考虑几何发散衰减时，可用如下公式计算：</w:t>
            </w:r>
          </w:p>
          <w:p w14:paraId="7E1DD57C">
            <w:pPr>
              <w:adjustRightInd w:val="0"/>
              <w:snapToGrid w:val="0"/>
              <w:spacing w:line="360" w:lineRule="auto"/>
              <w:ind w:firstLine="420" w:firstLineChars="200"/>
              <w:jc w:val="center"/>
              <w:rPr>
                <w:i w:val="0"/>
                <w:iCs w:val="0"/>
                <w:color w:val="auto"/>
                <w:u w:val="single"/>
              </w:rPr>
            </w:pPr>
            <w:r>
              <w:rPr>
                <w:i w:val="0"/>
                <w:iCs w:val="0"/>
                <w:color w:val="auto"/>
                <w:u w:val="single"/>
              </w:rPr>
              <w:drawing>
                <wp:inline distT="0" distB="0" distL="0" distR="0">
                  <wp:extent cx="1466215" cy="336550"/>
                  <wp:effectExtent l="0" t="0" r="635" b="6350"/>
                  <wp:docPr id="18089207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2077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66215" cy="336550"/>
                          </a:xfrm>
                          <a:prstGeom prst="rect">
                            <a:avLst/>
                          </a:prstGeom>
                          <a:noFill/>
                          <a:ln>
                            <a:noFill/>
                          </a:ln>
                        </pic:spPr>
                      </pic:pic>
                    </a:graphicData>
                  </a:graphic>
                </wp:inline>
              </w:drawing>
            </w:r>
          </w:p>
          <w:p w14:paraId="53E1B39B">
            <w:pPr>
              <w:pStyle w:val="85"/>
              <w:ind w:firstLine="420"/>
              <w:rPr>
                <w:i w:val="0"/>
                <w:iCs w:val="0"/>
                <w:color w:val="auto"/>
                <w:u w:val="single"/>
              </w:rPr>
            </w:pPr>
            <w:r>
              <w:rPr>
                <w:rFonts w:hint="eastAsia" w:ascii="宋体" w:hAnsi="宋体"/>
                <w:i w:val="0"/>
                <w:iCs w:val="0"/>
                <w:color w:val="auto"/>
                <w:u w:val="single"/>
              </w:rPr>
              <w:t>③工业企业噪声计算</w:t>
            </w:r>
          </w:p>
          <w:p w14:paraId="63BE1EEC">
            <w:pPr>
              <w:pStyle w:val="85"/>
              <w:ind w:firstLine="420"/>
              <w:rPr>
                <w:i w:val="0"/>
                <w:iCs w:val="0"/>
                <w:color w:val="auto"/>
                <w:u w:val="single"/>
              </w:rPr>
            </w:pPr>
            <w:r>
              <w:rPr>
                <w:rFonts w:hint="eastAsia"/>
                <w:i w:val="0"/>
                <w:iCs w:val="0"/>
                <w:color w:val="auto"/>
                <w:u w:val="single"/>
              </w:rPr>
              <w:t>设第</w:t>
            </w:r>
            <w:r>
              <w:rPr>
                <w:rFonts w:cs="Times New Roman"/>
                <w:i w:val="0"/>
                <w:iCs w:val="0"/>
                <w:color w:val="auto"/>
                <w:u w:val="single"/>
              </w:rPr>
              <w:t>i</w:t>
            </w:r>
            <w:r>
              <w:rPr>
                <w:rFonts w:hint="eastAsia"/>
                <w:i w:val="0"/>
                <w:iCs w:val="0"/>
                <w:color w:val="auto"/>
                <w:u w:val="single"/>
              </w:rPr>
              <w:t>个室外声源在预测点产生的</w:t>
            </w:r>
            <w:r>
              <w:rPr>
                <w:rFonts w:cs="Times New Roman"/>
                <w:i w:val="0"/>
                <w:iCs w:val="0"/>
                <w:color w:val="auto"/>
                <w:u w:val="single"/>
              </w:rPr>
              <w:t>A</w:t>
            </w:r>
            <w:r>
              <w:rPr>
                <w:rFonts w:hint="eastAsia"/>
                <w:i w:val="0"/>
                <w:iCs w:val="0"/>
                <w:color w:val="auto"/>
                <w:u w:val="single"/>
              </w:rPr>
              <w:t>声级为L</w:t>
            </w:r>
            <w:r>
              <w:rPr>
                <w:i w:val="0"/>
                <w:iCs w:val="0"/>
                <w:color w:val="auto"/>
                <w:u w:val="single"/>
                <w:vertAlign w:val="subscript"/>
              </w:rPr>
              <w:t>A</w:t>
            </w:r>
            <w:r>
              <w:rPr>
                <w:rFonts w:hint="eastAsia"/>
                <w:i w:val="0"/>
                <w:iCs w:val="0"/>
                <w:color w:val="auto"/>
                <w:u w:val="single"/>
                <w:vertAlign w:val="subscript"/>
              </w:rPr>
              <w:t>i</w:t>
            </w:r>
            <w:r>
              <w:rPr>
                <w:rFonts w:hint="eastAsia"/>
                <w:i w:val="0"/>
                <w:iCs w:val="0"/>
                <w:color w:val="auto"/>
                <w:u w:val="single"/>
              </w:rPr>
              <w:t>，在</w:t>
            </w:r>
            <w:r>
              <w:rPr>
                <w:rFonts w:cs="Times New Roman"/>
                <w:i w:val="0"/>
                <w:iCs w:val="0"/>
                <w:color w:val="auto"/>
                <w:u w:val="single"/>
              </w:rPr>
              <w:t>T</w:t>
            </w:r>
            <w:r>
              <w:rPr>
                <w:rFonts w:hint="eastAsia"/>
                <w:i w:val="0"/>
                <w:iCs w:val="0"/>
                <w:color w:val="auto"/>
                <w:u w:val="single"/>
              </w:rPr>
              <w:t>时间内该声源工作时间为t</w:t>
            </w:r>
            <w:r>
              <w:rPr>
                <w:i w:val="0"/>
                <w:iCs w:val="0"/>
                <w:color w:val="auto"/>
                <w:u w:val="single"/>
                <w:vertAlign w:val="subscript"/>
              </w:rPr>
              <w:t>i</w:t>
            </w:r>
            <w:r>
              <w:rPr>
                <w:rFonts w:hint="eastAsia"/>
                <w:i w:val="0"/>
                <w:iCs w:val="0"/>
                <w:color w:val="auto"/>
                <w:u w:val="single"/>
              </w:rPr>
              <w:t>；第</w:t>
            </w:r>
            <w:r>
              <w:rPr>
                <w:rFonts w:cs="Times New Roman"/>
                <w:i w:val="0"/>
                <w:iCs w:val="0"/>
                <w:color w:val="auto"/>
                <w:u w:val="single"/>
              </w:rPr>
              <w:t>j</w:t>
            </w:r>
            <w:r>
              <w:rPr>
                <w:rFonts w:hint="eastAsia"/>
                <w:i w:val="0"/>
                <w:iCs w:val="0"/>
                <w:color w:val="auto"/>
                <w:u w:val="single"/>
              </w:rPr>
              <w:t>个等效室外声源在预测点产生的</w:t>
            </w:r>
            <w:r>
              <w:rPr>
                <w:rFonts w:cs="Times New Roman"/>
                <w:i w:val="0"/>
                <w:iCs w:val="0"/>
                <w:color w:val="auto"/>
                <w:u w:val="single"/>
              </w:rPr>
              <w:t>A</w:t>
            </w:r>
            <w:r>
              <w:rPr>
                <w:rFonts w:hint="eastAsia"/>
                <w:i w:val="0"/>
                <w:iCs w:val="0"/>
                <w:color w:val="auto"/>
                <w:u w:val="single"/>
              </w:rPr>
              <w:t>声级为L</w:t>
            </w:r>
            <w:r>
              <w:rPr>
                <w:i w:val="0"/>
                <w:iCs w:val="0"/>
                <w:color w:val="auto"/>
                <w:u w:val="single"/>
                <w:vertAlign w:val="subscript"/>
              </w:rPr>
              <w:t>Aj</w:t>
            </w:r>
            <w:r>
              <w:rPr>
                <w:rFonts w:hint="eastAsia"/>
                <w:i w:val="0"/>
                <w:iCs w:val="0"/>
                <w:color w:val="auto"/>
                <w:u w:val="single"/>
              </w:rPr>
              <w:t>，在</w:t>
            </w:r>
            <w:r>
              <w:rPr>
                <w:rFonts w:cs="Times New Roman"/>
                <w:i w:val="0"/>
                <w:iCs w:val="0"/>
                <w:color w:val="auto"/>
                <w:u w:val="single"/>
              </w:rPr>
              <w:t>T</w:t>
            </w:r>
            <w:r>
              <w:rPr>
                <w:rFonts w:hint="eastAsia"/>
                <w:i w:val="0"/>
                <w:iCs w:val="0"/>
                <w:color w:val="auto"/>
                <w:u w:val="single"/>
              </w:rPr>
              <w:t>时间内该声源工作时间为t</w:t>
            </w:r>
            <w:r>
              <w:rPr>
                <w:i w:val="0"/>
                <w:iCs w:val="0"/>
                <w:color w:val="auto"/>
                <w:u w:val="single"/>
                <w:vertAlign w:val="subscript"/>
              </w:rPr>
              <w:t>j</w:t>
            </w:r>
            <w:r>
              <w:rPr>
                <w:rFonts w:hint="eastAsia"/>
                <w:i w:val="0"/>
                <w:iCs w:val="0"/>
                <w:color w:val="auto"/>
                <w:u w:val="single"/>
              </w:rPr>
              <w:t>，则拟建工程声源对预测点产生的贡献值（</w:t>
            </w:r>
            <w:r>
              <w:rPr>
                <w:rFonts w:cs="Times New Roman"/>
                <w:i w:val="0"/>
                <w:iCs w:val="0"/>
                <w:color w:val="auto"/>
                <w:u w:val="single"/>
              </w:rPr>
              <w:t>Leqg</w:t>
            </w:r>
            <w:r>
              <w:rPr>
                <w:rFonts w:hint="eastAsia"/>
                <w:i w:val="0"/>
                <w:iCs w:val="0"/>
                <w:color w:val="auto"/>
                <w:u w:val="single"/>
              </w:rPr>
              <w:t>）为：</w:t>
            </w:r>
          </w:p>
          <w:p w14:paraId="70FC1F10">
            <w:pPr>
              <w:pStyle w:val="85"/>
              <w:ind w:firstLine="420"/>
              <w:rPr>
                <w:i w:val="0"/>
                <w:iCs w:val="0"/>
                <w:color w:val="auto"/>
                <w:u w:val="single"/>
              </w:rPr>
            </w:pPr>
            <w:r>
              <w:rPr>
                <w:i w:val="0"/>
                <w:iCs w:val="0"/>
                <w:color w:val="auto"/>
                <w:u w:val="single"/>
              </w:rPr>
              <w:drawing>
                <wp:inline distT="0" distB="0" distL="0" distR="0">
                  <wp:extent cx="2415540" cy="431165"/>
                  <wp:effectExtent l="0" t="0" r="3810" b="6985"/>
                  <wp:docPr id="1586527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27304"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15540" cy="431165"/>
                          </a:xfrm>
                          <a:prstGeom prst="rect">
                            <a:avLst/>
                          </a:prstGeom>
                          <a:noFill/>
                          <a:ln>
                            <a:noFill/>
                          </a:ln>
                        </pic:spPr>
                      </pic:pic>
                    </a:graphicData>
                  </a:graphic>
                </wp:inline>
              </w:drawing>
            </w:r>
          </w:p>
          <w:p w14:paraId="6362EF07">
            <w:pPr>
              <w:autoSpaceDE w:val="0"/>
              <w:autoSpaceDN w:val="0"/>
              <w:adjustRightInd w:val="0"/>
              <w:snapToGrid w:val="0"/>
              <w:spacing w:line="360" w:lineRule="auto"/>
              <w:ind w:firstLine="420" w:firstLineChars="200"/>
              <w:jc w:val="left"/>
              <w:rPr>
                <w:rFonts w:ascii="宋体" w:cs="宋体"/>
                <w:i w:val="0"/>
                <w:iCs w:val="0"/>
                <w:color w:val="auto"/>
                <w:u w:val="single"/>
              </w:rPr>
            </w:pPr>
            <w:r>
              <w:rPr>
                <w:rFonts w:hint="eastAsia" w:ascii="宋体" w:cs="宋体"/>
                <w:i w:val="0"/>
                <w:iCs w:val="0"/>
                <w:color w:val="auto"/>
                <w:u w:val="single"/>
              </w:rPr>
              <w:t>式中：</w:t>
            </w:r>
            <w:r>
              <w:rPr>
                <w:i w:val="0"/>
                <w:iCs w:val="0"/>
                <w:color w:val="auto"/>
                <w:u w:val="single"/>
              </w:rPr>
              <w:t>Leqg——</w:t>
            </w:r>
            <w:r>
              <w:rPr>
                <w:rFonts w:hint="eastAsia" w:ascii="宋体" w:cs="宋体"/>
                <w:i w:val="0"/>
                <w:iCs w:val="0"/>
                <w:color w:val="auto"/>
                <w:u w:val="single"/>
              </w:rPr>
              <w:t>建设项目声源在预测点产生的噪声贡献值，</w:t>
            </w:r>
            <w:r>
              <w:rPr>
                <w:i w:val="0"/>
                <w:iCs w:val="0"/>
                <w:color w:val="auto"/>
                <w:u w:val="single"/>
              </w:rPr>
              <w:t>dB</w:t>
            </w:r>
            <w:r>
              <w:rPr>
                <w:rFonts w:hint="eastAsia" w:ascii="宋体" w:cs="宋体"/>
                <w:i w:val="0"/>
                <w:iCs w:val="0"/>
                <w:color w:val="auto"/>
                <w:u w:val="single"/>
              </w:rPr>
              <w:t>；</w:t>
            </w:r>
          </w:p>
          <w:p w14:paraId="4A5AB0E4">
            <w:pPr>
              <w:autoSpaceDE w:val="0"/>
              <w:autoSpaceDN w:val="0"/>
              <w:adjustRightInd w:val="0"/>
              <w:snapToGrid w:val="0"/>
              <w:spacing w:line="360" w:lineRule="auto"/>
              <w:ind w:firstLine="1050" w:firstLineChars="500"/>
              <w:jc w:val="left"/>
              <w:rPr>
                <w:rFonts w:ascii="宋体" w:cs="宋体"/>
                <w:i w:val="0"/>
                <w:iCs w:val="0"/>
                <w:color w:val="auto"/>
                <w:u w:val="single"/>
              </w:rPr>
            </w:pPr>
            <w:r>
              <w:rPr>
                <w:i w:val="0"/>
                <w:iCs w:val="0"/>
                <w:color w:val="auto"/>
                <w:u w:val="single"/>
              </w:rPr>
              <w:t>T ——</w:t>
            </w:r>
            <w:r>
              <w:rPr>
                <w:rFonts w:hint="eastAsia" w:ascii="宋体" w:cs="宋体"/>
                <w:i w:val="0"/>
                <w:iCs w:val="0"/>
                <w:color w:val="auto"/>
                <w:u w:val="single"/>
              </w:rPr>
              <w:t>用于计算等效声级的时间，</w:t>
            </w:r>
            <w:r>
              <w:rPr>
                <w:i w:val="0"/>
                <w:iCs w:val="0"/>
                <w:color w:val="auto"/>
                <w:u w:val="single"/>
              </w:rPr>
              <w:t>s</w:t>
            </w:r>
            <w:r>
              <w:rPr>
                <w:rFonts w:hint="eastAsia" w:ascii="宋体" w:cs="宋体"/>
                <w:i w:val="0"/>
                <w:iCs w:val="0"/>
                <w:color w:val="auto"/>
                <w:u w:val="single"/>
              </w:rPr>
              <w:t>；</w:t>
            </w:r>
          </w:p>
          <w:p w14:paraId="72203E90">
            <w:pPr>
              <w:autoSpaceDE w:val="0"/>
              <w:autoSpaceDN w:val="0"/>
              <w:adjustRightInd w:val="0"/>
              <w:snapToGrid w:val="0"/>
              <w:spacing w:line="360" w:lineRule="auto"/>
              <w:ind w:firstLine="1050" w:firstLineChars="500"/>
              <w:jc w:val="left"/>
              <w:rPr>
                <w:rFonts w:ascii="宋体" w:cs="宋体"/>
                <w:i w:val="0"/>
                <w:iCs w:val="0"/>
                <w:color w:val="auto"/>
                <w:u w:val="single"/>
              </w:rPr>
            </w:pPr>
            <w:r>
              <w:rPr>
                <w:i w:val="0"/>
                <w:iCs w:val="0"/>
                <w:color w:val="auto"/>
                <w:u w:val="single"/>
              </w:rPr>
              <w:t>N ——</w:t>
            </w:r>
            <w:r>
              <w:rPr>
                <w:rFonts w:hint="eastAsia" w:ascii="宋体" w:cs="宋体"/>
                <w:i w:val="0"/>
                <w:iCs w:val="0"/>
                <w:color w:val="auto"/>
                <w:u w:val="single"/>
              </w:rPr>
              <w:t>室外声源个数；</w:t>
            </w:r>
          </w:p>
          <w:p w14:paraId="4E6E26FD">
            <w:pPr>
              <w:autoSpaceDE w:val="0"/>
              <w:autoSpaceDN w:val="0"/>
              <w:adjustRightInd w:val="0"/>
              <w:snapToGrid w:val="0"/>
              <w:spacing w:line="360" w:lineRule="auto"/>
              <w:ind w:firstLine="1050" w:firstLineChars="500"/>
              <w:jc w:val="left"/>
              <w:rPr>
                <w:rFonts w:ascii="宋体" w:cs="宋体"/>
                <w:i w:val="0"/>
                <w:iCs w:val="0"/>
                <w:color w:val="auto"/>
                <w:u w:val="single"/>
              </w:rPr>
            </w:pPr>
            <w:r>
              <w:rPr>
                <w:i w:val="0"/>
                <w:iCs w:val="0"/>
                <w:color w:val="auto"/>
                <w:u w:val="single"/>
              </w:rPr>
              <w:t xml:space="preserve">t </w:t>
            </w:r>
            <w:r>
              <w:rPr>
                <w:i w:val="0"/>
                <w:iCs w:val="0"/>
                <w:color w:val="auto"/>
                <w:u w:val="single"/>
                <w:vertAlign w:val="subscript"/>
              </w:rPr>
              <w:t>i</w:t>
            </w:r>
            <w:r>
              <w:rPr>
                <w:i w:val="0"/>
                <w:iCs w:val="0"/>
                <w:color w:val="auto"/>
                <w:u w:val="single"/>
              </w:rPr>
              <w:t xml:space="preserve"> ——</w:t>
            </w:r>
            <w:r>
              <w:rPr>
                <w:rFonts w:hint="eastAsia" w:ascii="宋体" w:cs="宋体"/>
                <w:i w:val="0"/>
                <w:iCs w:val="0"/>
                <w:color w:val="auto"/>
                <w:u w:val="single"/>
              </w:rPr>
              <w:t>在</w:t>
            </w:r>
            <w:r>
              <w:rPr>
                <w:i w:val="0"/>
                <w:iCs w:val="0"/>
                <w:color w:val="auto"/>
                <w:u w:val="single"/>
              </w:rPr>
              <w:t xml:space="preserve">T </w:t>
            </w:r>
            <w:r>
              <w:rPr>
                <w:rFonts w:hint="eastAsia" w:ascii="宋体" w:cs="宋体"/>
                <w:i w:val="0"/>
                <w:iCs w:val="0"/>
                <w:color w:val="auto"/>
                <w:u w:val="single"/>
              </w:rPr>
              <w:t>时间内</w:t>
            </w:r>
            <w:r>
              <w:rPr>
                <w:i w:val="0"/>
                <w:iCs w:val="0"/>
                <w:color w:val="auto"/>
                <w:u w:val="single"/>
              </w:rPr>
              <w:t xml:space="preserve">i </w:t>
            </w:r>
            <w:r>
              <w:rPr>
                <w:rFonts w:hint="eastAsia" w:ascii="宋体" w:cs="宋体"/>
                <w:i w:val="0"/>
                <w:iCs w:val="0"/>
                <w:color w:val="auto"/>
                <w:u w:val="single"/>
              </w:rPr>
              <w:t>声源工作时间，</w:t>
            </w:r>
            <w:r>
              <w:rPr>
                <w:i w:val="0"/>
                <w:iCs w:val="0"/>
                <w:color w:val="auto"/>
                <w:u w:val="single"/>
              </w:rPr>
              <w:t>s</w:t>
            </w:r>
            <w:r>
              <w:rPr>
                <w:rFonts w:hint="eastAsia" w:ascii="宋体" w:cs="宋体"/>
                <w:i w:val="0"/>
                <w:iCs w:val="0"/>
                <w:color w:val="auto"/>
                <w:u w:val="single"/>
              </w:rPr>
              <w:t>；</w:t>
            </w:r>
          </w:p>
          <w:p w14:paraId="79D21B55">
            <w:pPr>
              <w:autoSpaceDE w:val="0"/>
              <w:autoSpaceDN w:val="0"/>
              <w:adjustRightInd w:val="0"/>
              <w:snapToGrid w:val="0"/>
              <w:spacing w:line="360" w:lineRule="auto"/>
              <w:ind w:firstLine="1050" w:firstLineChars="500"/>
              <w:jc w:val="left"/>
              <w:rPr>
                <w:rFonts w:ascii="宋体" w:cs="宋体"/>
                <w:i w:val="0"/>
                <w:iCs w:val="0"/>
                <w:color w:val="auto"/>
                <w:u w:val="single"/>
              </w:rPr>
            </w:pPr>
            <w:r>
              <w:rPr>
                <w:i w:val="0"/>
                <w:iCs w:val="0"/>
                <w:color w:val="auto"/>
                <w:u w:val="single"/>
              </w:rPr>
              <w:t>M ——</w:t>
            </w:r>
            <w:r>
              <w:rPr>
                <w:rFonts w:hint="eastAsia" w:ascii="宋体" w:cs="宋体"/>
                <w:i w:val="0"/>
                <w:iCs w:val="0"/>
                <w:color w:val="auto"/>
                <w:u w:val="single"/>
              </w:rPr>
              <w:t>等效室外声源个数；</w:t>
            </w:r>
          </w:p>
          <w:p w14:paraId="5CA5E3A6">
            <w:pPr>
              <w:pStyle w:val="85"/>
              <w:ind w:firstLine="1050" w:firstLineChars="500"/>
              <w:rPr>
                <w:i w:val="0"/>
                <w:iCs w:val="0"/>
                <w:color w:val="auto"/>
                <w:u w:val="single"/>
              </w:rPr>
            </w:pPr>
            <w:r>
              <w:rPr>
                <w:i w:val="0"/>
                <w:iCs w:val="0"/>
                <w:color w:val="auto"/>
                <w:u w:val="single"/>
              </w:rPr>
              <w:t xml:space="preserve">t </w:t>
            </w:r>
            <w:r>
              <w:rPr>
                <w:i w:val="0"/>
                <w:iCs w:val="0"/>
                <w:color w:val="auto"/>
                <w:u w:val="single"/>
                <w:vertAlign w:val="subscript"/>
              </w:rPr>
              <w:t>j</w:t>
            </w:r>
            <w:r>
              <w:rPr>
                <w:i w:val="0"/>
                <w:iCs w:val="0"/>
                <w:color w:val="auto"/>
                <w:u w:val="single"/>
              </w:rPr>
              <w:t xml:space="preserve"> ——</w:t>
            </w:r>
            <w:r>
              <w:rPr>
                <w:rFonts w:hint="eastAsia" w:ascii="宋体"/>
                <w:i w:val="0"/>
                <w:iCs w:val="0"/>
                <w:color w:val="auto"/>
                <w:u w:val="single"/>
              </w:rPr>
              <w:t>在</w:t>
            </w:r>
            <w:r>
              <w:rPr>
                <w:i w:val="0"/>
                <w:iCs w:val="0"/>
                <w:color w:val="auto"/>
                <w:u w:val="single"/>
              </w:rPr>
              <w:t xml:space="preserve">T </w:t>
            </w:r>
            <w:r>
              <w:rPr>
                <w:rFonts w:hint="eastAsia" w:ascii="宋体"/>
                <w:i w:val="0"/>
                <w:iCs w:val="0"/>
                <w:color w:val="auto"/>
                <w:u w:val="single"/>
              </w:rPr>
              <w:t>时间内</w:t>
            </w:r>
            <w:r>
              <w:rPr>
                <w:i w:val="0"/>
                <w:iCs w:val="0"/>
                <w:color w:val="auto"/>
                <w:u w:val="single"/>
              </w:rPr>
              <w:t xml:space="preserve">j </w:t>
            </w:r>
            <w:r>
              <w:rPr>
                <w:rFonts w:hint="eastAsia" w:ascii="宋体"/>
                <w:i w:val="0"/>
                <w:iCs w:val="0"/>
                <w:color w:val="auto"/>
                <w:u w:val="single"/>
              </w:rPr>
              <w:t>声源工作时间，</w:t>
            </w:r>
            <w:r>
              <w:rPr>
                <w:i w:val="0"/>
                <w:iCs w:val="0"/>
                <w:color w:val="auto"/>
                <w:u w:val="single"/>
              </w:rPr>
              <w:t>s</w:t>
            </w:r>
            <w:r>
              <w:rPr>
                <w:rFonts w:hint="eastAsia" w:ascii="宋体"/>
                <w:i w:val="0"/>
                <w:iCs w:val="0"/>
                <w:color w:val="auto"/>
                <w:u w:val="single"/>
              </w:rPr>
              <w:t>。</w:t>
            </w:r>
          </w:p>
          <w:p w14:paraId="5B7FAE7C">
            <w:pPr>
              <w:pStyle w:val="85"/>
              <w:ind w:firstLine="420"/>
              <w:rPr>
                <w:i w:val="0"/>
                <w:iCs w:val="0"/>
                <w:color w:val="auto"/>
                <w:u w:val="single"/>
              </w:rPr>
            </w:pPr>
            <w:r>
              <w:rPr>
                <w:rFonts w:hint="eastAsia"/>
                <w:i w:val="0"/>
                <w:iCs w:val="0"/>
                <w:color w:val="auto"/>
                <w:u w:val="single"/>
              </w:rPr>
              <w:t>拟建工程在预测点的噪声预测值为预测点的贡献值和背景值按能量叠加方法计算得到的声级。噪声预测值（</w:t>
            </w:r>
            <w:r>
              <w:rPr>
                <w:i w:val="0"/>
                <w:iCs w:val="0"/>
                <w:color w:val="auto"/>
                <w:u w:val="single"/>
              </w:rPr>
              <w:t>Leq</w:t>
            </w:r>
            <w:r>
              <w:rPr>
                <w:rFonts w:hint="eastAsia"/>
                <w:i w:val="0"/>
                <w:iCs w:val="0"/>
                <w:color w:val="auto"/>
                <w:u w:val="single"/>
              </w:rPr>
              <w:t>）计算公式为：</w:t>
            </w:r>
            <w:r>
              <w:rPr>
                <w:i w:val="0"/>
                <w:iCs w:val="0"/>
                <w:color w:val="auto"/>
                <w:u w:val="single"/>
              </w:rPr>
              <w:t xml:space="preserve"> </w:t>
            </w:r>
          </w:p>
          <w:p w14:paraId="0E9BB1FD">
            <w:pPr>
              <w:pStyle w:val="85"/>
              <w:ind w:firstLine="420"/>
              <w:rPr>
                <w:i w:val="0"/>
                <w:iCs w:val="0"/>
                <w:color w:val="auto"/>
                <w:u w:val="single"/>
              </w:rPr>
            </w:pPr>
            <w:r>
              <w:rPr>
                <w:i w:val="0"/>
                <w:iCs w:val="0"/>
                <w:color w:val="auto"/>
                <w:u w:val="single"/>
              </w:rPr>
              <w:drawing>
                <wp:inline distT="0" distB="0" distL="0" distR="0">
                  <wp:extent cx="1923415" cy="344805"/>
                  <wp:effectExtent l="0" t="0" r="635" b="0"/>
                  <wp:docPr id="825362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6295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3415" cy="344805"/>
                          </a:xfrm>
                          <a:prstGeom prst="rect">
                            <a:avLst/>
                          </a:prstGeom>
                          <a:noFill/>
                          <a:ln>
                            <a:noFill/>
                          </a:ln>
                        </pic:spPr>
                      </pic:pic>
                    </a:graphicData>
                  </a:graphic>
                </wp:inline>
              </w:drawing>
            </w:r>
          </w:p>
          <w:p w14:paraId="25673FE7">
            <w:pPr>
              <w:pStyle w:val="85"/>
              <w:ind w:firstLine="420"/>
              <w:rPr>
                <w:i w:val="0"/>
                <w:iCs w:val="0"/>
                <w:color w:val="auto"/>
                <w:u w:val="single"/>
              </w:rPr>
            </w:pPr>
            <w:r>
              <w:rPr>
                <w:rFonts w:hint="eastAsia"/>
                <w:i w:val="0"/>
                <w:iCs w:val="0"/>
                <w:color w:val="auto"/>
                <w:u w:val="single"/>
              </w:rPr>
              <w:t>式中：</w:t>
            </w:r>
            <w:r>
              <w:rPr>
                <w:i w:val="0"/>
                <w:iCs w:val="0"/>
                <w:color w:val="auto"/>
                <w:u w:val="single"/>
              </w:rPr>
              <w:t>L</w:t>
            </w:r>
            <w:r>
              <w:rPr>
                <w:i w:val="0"/>
                <w:iCs w:val="0"/>
                <w:color w:val="auto"/>
                <w:u w:val="single"/>
                <w:vertAlign w:val="subscript"/>
              </w:rPr>
              <w:t>eq</w:t>
            </w:r>
            <w:r>
              <w:rPr>
                <w:rFonts w:cs="Times New Roman"/>
                <w:i w:val="0"/>
                <w:iCs w:val="0"/>
                <w:color w:val="auto"/>
                <w:u w:val="single"/>
              </w:rPr>
              <w:t>——</w:t>
            </w:r>
            <w:r>
              <w:rPr>
                <w:rFonts w:hint="eastAsia"/>
                <w:i w:val="0"/>
                <w:iCs w:val="0"/>
                <w:color w:val="auto"/>
                <w:u w:val="single"/>
              </w:rPr>
              <w:t>预测点的噪声预测值，</w:t>
            </w:r>
            <w:r>
              <w:rPr>
                <w:rFonts w:cs="Times New Roman"/>
                <w:i w:val="0"/>
                <w:iCs w:val="0"/>
                <w:color w:val="auto"/>
                <w:u w:val="single"/>
              </w:rPr>
              <w:t>dB</w:t>
            </w:r>
            <w:r>
              <w:rPr>
                <w:rFonts w:hint="eastAsia"/>
                <w:i w:val="0"/>
                <w:iCs w:val="0"/>
                <w:color w:val="auto"/>
                <w:u w:val="single"/>
              </w:rPr>
              <w:t>；</w:t>
            </w:r>
            <w:r>
              <w:rPr>
                <w:i w:val="0"/>
                <w:iCs w:val="0"/>
                <w:color w:val="auto"/>
                <w:u w:val="single"/>
              </w:rPr>
              <w:t xml:space="preserve"> </w:t>
            </w:r>
          </w:p>
          <w:p w14:paraId="06F25B56">
            <w:pPr>
              <w:autoSpaceDE w:val="0"/>
              <w:autoSpaceDN w:val="0"/>
              <w:adjustRightInd w:val="0"/>
              <w:snapToGrid w:val="0"/>
              <w:spacing w:line="360" w:lineRule="auto"/>
              <w:ind w:firstLine="1050" w:firstLineChars="500"/>
              <w:jc w:val="left"/>
              <w:rPr>
                <w:rFonts w:ascii="宋体" w:cs="宋体"/>
                <w:i w:val="0"/>
                <w:iCs w:val="0"/>
                <w:color w:val="auto"/>
                <w:u w:val="single"/>
              </w:rPr>
            </w:pPr>
            <w:r>
              <w:rPr>
                <w:i w:val="0"/>
                <w:iCs w:val="0"/>
                <w:color w:val="auto"/>
                <w:u w:val="single"/>
              </w:rPr>
              <w:t>L</w:t>
            </w:r>
            <w:r>
              <w:rPr>
                <w:rFonts w:hint="eastAsia"/>
                <w:i w:val="0"/>
                <w:iCs w:val="0"/>
                <w:color w:val="auto"/>
                <w:u w:val="single"/>
                <w:vertAlign w:val="subscript"/>
              </w:rPr>
              <w:t>eqg</w:t>
            </w:r>
            <w:r>
              <w:rPr>
                <w:i w:val="0"/>
                <w:iCs w:val="0"/>
                <w:color w:val="auto"/>
                <w:u w:val="single"/>
              </w:rPr>
              <w:t xml:space="preserve"> ——</w:t>
            </w:r>
            <w:r>
              <w:rPr>
                <w:rFonts w:hint="eastAsia" w:ascii="宋体" w:cs="宋体"/>
                <w:i w:val="0"/>
                <w:iCs w:val="0"/>
                <w:color w:val="auto"/>
                <w:u w:val="single"/>
              </w:rPr>
              <w:t>建设项目声源在预测点产生的噪声贡献值，</w:t>
            </w:r>
            <w:r>
              <w:rPr>
                <w:i w:val="0"/>
                <w:iCs w:val="0"/>
                <w:color w:val="auto"/>
                <w:u w:val="single"/>
              </w:rPr>
              <w:t>dB</w:t>
            </w:r>
            <w:r>
              <w:rPr>
                <w:rFonts w:hint="eastAsia" w:ascii="宋体" w:cs="宋体"/>
                <w:i w:val="0"/>
                <w:iCs w:val="0"/>
                <w:color w:val="auto"/>
                <w:u w:val="single"/>
              </w:rPr>
              <w:t>；</w:t>
            </w:r>
          </w:p>
          <w:p w14:paraId="3EF90CFF">
            <w:pPr>
              <w:pStyle w:val="85"/>
              <w:ind w:firstLine="1050" w:firstLineChars="500"/>
              <w:rPr>
                <w:i w:val="0"/>
                <w:iCs w:val="0"/>
                <w:color w:val="auto"/>
                <w:u w:val="single"/>
              </w:rPr>
            </w:pPr>
            <w:r>
              <w:rPr>
                <w:i w:val="0"/>
                <w:iCs w:val="0"/>
                <w:color w:val="auto"/>
                <w:u w:val="single"/>
              </w:rPr>
              <w:t>L eqb ——</w:t>
            </w:r>
            <w:r>
              <w:rPr>
                <w:rFonts w:hint="eastAsia" w:ascii="宋体"/>
                <w:i w:val="0"/>
                <w:iCs w:val="0"/>
                <w:color w:val="auto"/>
                <w:u w:val="single"/>
              </w:rPr>
              <w:t>预测点的背景噪声值，</w:t>
            </w:r>
            <w:r>
              <w:rPr>
                <w:i w:val="0"/>
                <w:iCs w:val="0"/>
                <w:color w:val="auto"/>
                <w:u w:val="single"/>
              </w:rPr>
              <w:t>dB</w:t>
            </w:r>
            <w:r>
              <w:rPr>
                <w:rFonts w:hint="eastAsia" w:ascii="宋体"/>
                <w:i w:val="0"/>
                <w:iCs w:val="0"/>
                <w:color w:val="auto"/>
                <w:u w:val="single"/>
              </w:rPr>
              <w:t>。</w:t>
            </w:r>
          </w:p>
          <w:p w14:paraId="009D6BF3">
            <w:pPr>
              <w:pStyle w:val="85"/>
              <w:ind w:firstLine="420"/>
              <w:rPr>
                <w:i w:val="0"/>
                <w:iCs w:val="0"/>
                <w:color w:val="auto"/>
                <w:u w:val="single"/>
              </w:rPr>
            </w:pPr>
            <w:r>
              <w:rPr>
                <w:i w:val="0"/>
                <w:iCs w:val="0"/>
                <w:color w:val="auto"/>
                <w:u w:val="single"/>
              </w:rPr>
              <w:t>（</w:t>
            </w:r>
            <w:r>
              <w:rPr>
                <w:rFonts w:hint="eastAsia"/>
                <w:i w:val="0"/>
                <w:iCs w:val="0"/>
                <w:color w:val="auto"/>
                <w:u w:val="single"/>
              </w:rPr>
              <w:t>4</w:t>
            </w:r>
            <w:r>
              <w:rPr>
                <w:i w:val="0"/>
                <w:iCs w:val="0"/>
                <w:color w:val="auto"/>
                <w:u w:val="single"/>
              </w:rPr>
              <w:t>）预测结果</w:t>
            </w:r>
          </w:p>
          <w:p w14:paraId="5F404838">
            <w:pPr>
              <w:tabs>
                <w:tab w:val="left" w:pos="720"/>
              </w:tabs>
              <w:autoSpaceDE w:val="0"/>
              <w:autoSpaceDN w:val="0"/>
              <w:adjustRightInd w:val="0"/>
              <w:snapToGrid w:val="0"/>
              <w:spacing w:line="360" w:lineRule="auto"/>
              <w:ind w:firstLine="420" w:firstLineChars="200"/>
              <w:rPr>
                <w:i w:val="0"/>
                <w:iCs w:val="0"/>
                <w:color w:val="auto"/>
                <w:u w:val="single"/>
              </w:rPr>
            </w:pPr>
            <w:r>
              <w:rPr>
                <w:i w:val="0"/>
                <w:iCs w:val="0"/>
                <w:color w:val="auto"/>
                <w:u w:val="single"/>
              </w:rPr>
              <w:t>根据以上公式计算出本项目</w:t>
            </w:r>
            <w:r>
              <w:rPr>
                <w:rFonts w:hint="eastAsia"/>
                <w:i w:val="0"/>
                <w:iCs w:val="0"/>
                <w:color w:val="auto"/>
                <w:u w:val="single"/>
              </w:rPr>
              <w:t>运营期噪声</w:t>
            </w:r>
            <w:r>
              <w:rPr>
                <w:i w:val="0"/>
                <w:iCs w:val="0"/>
                <w:color w:val="auto"/>
                <w:u w:val="single"/>
              </w:rPr>
              <w:t>对厂界声环境质量的贡献值，以反映项目</w:t>
            </w:r>
            <w:r>
              <w:rPr>
                <w:rFonts w:hint="eastAsia"/>
                <w:i w:val="0"/>
                <w:iCs w:val="0"/>
                <w:color w:val="auto"/>
                <w:u w:val="single"/>
              </w:rPr>
              <w:t>建成投产</w:t>
            </w:r>
            <w:r>
              <w:rPr>
                <w:i w:val="0"/>
                <w:iCs w:val="0"/>
                <w:color w:val="auto"/>
                <w:u w:val="single"/>
              </w:rPr>
              <w:t>后对</w:t>
            </w:r>
            <w:r>
              <w:rPr>
                <w:rFonts w:hint="eastAsia"/>
                <w:i w:val="0"/>
                <w:iCs w:val="0"/>
                <w:color w:val="auto"/>
                <w:u w:val="single"/>
              </w:rPr>
              <w:t>周边声环境</w:t>
            </w:r>
            <w:r>
              <w:rPr>
                <w:i w:val="0"/>
                <w:iCs w:val="0"/>
                <w:color w:val="auto"/>
                <w:u w:val="single"/>
              </w:rPr>
              <w:t>影响情况，预测结果详见</w:t>
            </w:r>
            <w:r>
              <w:rPr>
                <w:rFonts w:hint="eastAsia"/>
                <w:i w:val="0"/>
                <w:iCs w:val="0"/>
                <w:color w:val="auto"/>
                <w:u w:val="single"/>
              </w:rPr>
              <w:t>下表</w:t>
            </w:r>
            <w:r>
              <w:rPr>
                <w:i w:val="0"/>
                <w:iCs w:val="0"/>
                <w:color w:val="auto"/>
                <w:u w:val="single"/>
              </w:rPr>
              <w:t>。</w:t>
            </w:r>
          </w:p>
          <w:p w14:paraId="5A35C964">
            <w:pPr>
              <w:jc w:val="center"/>
              <w:rPr>
                <w:rFonts w:ascii="Times New Roman" w:eastAsia="宋体"/>
                <w:i w:val="0"/>
                <w:iCs w:val="0"/>
                <w:color w:val="0000FF"/>
                <w:sz w:val="18"/>
                <w:szCs w:val="18"/>
                <w:u w:val="none"/>
              </w:rPr>
            </w:pPr>
            <w:r>
              <w:rPr>
                <w:rFonts w:hint="eastAsia"/>
                <w:i w:val="0"/>
                <w:iCs w:val="0"/>
                <w:color w:val="auto"/>
                <w:u w:val="none"/>
                <w:lang w:val="en-US" w:eastAsia="zh-CN"/>
              </w:rPr>
              <w:t xml:space="preserve">  </w:t>
            </w:r>
            <w:r>
              <w:rPr>
                <w:rFonts w:hint="eastAsia"/>
                <w:i w:val="0"/>
                <w:iCs w:val="0"/>
                <w:color w:val="0000FF"/>
                <w:u w:val="none"/>
                <w:lang w:val="en-US" w:eastAsia="zh-CN"/>
              </w:rPr>
              <w:t xml:space="preserve">    噪声治理后预测结果</w:t>
            </w:r>
            <w:r>
              <w:rPr>
                <w:rFonts w:hint="eastAsia"/>
                <w:i w:val="0"/>
                <w:iCs w:val="0"/>
                <w:color w:val="0000FF"/>
                <w:u w:val="none"/>
              </w:rPr>
              <w:t>一览表</w:t>
            </w:r>
            <w:r>
              <w:rPr>
                <w:i w:val="0"/>
                <w:iCs w:val="0"/>
                <w:color w:val="0000FF"/>
                <w:u w:val="none"/>
              </w:rPr>
              <w:t xml:space="preserve"> </w:t>
            </w:r>
            <w:r>
              <w:rPr>
                <w:b/>
                <w:bCs/>
                <w:i w:val="0"/>
                <w:iCs w:val="0"/>
                <w:color w:val="0000FF"/>
                <w:sz w:val="24"/>
                <w:u w:val="none"/>
              </w:rPr>
              <w:t xml:space="preserve">    </w:t>
            </w:r>
            <w:r>
              <w:rPr>
                <w:rFonts w:ascii="Times New Roman" w:eastAsia="宋体"/>
                <w:i w:val="0"/>
                <w:iCs w:val="0"/>
                <w:color w:val="0000FF"/>
                <w:sz w:val="18"/>
                <w:szCs w:val="18"/>
                <w:u w:val="none"/>
              </w:rPr>
              <w:t xml:space="preserve"> 单位：dB（A）</w:t>
            </w:r>
          </w:p>
          <w:tbl>
            <w:tblPr>
              <w:tblStyle w:val="30"/>
              <w:tblW w:w="7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73"/>
              <w:gridCol w:w="873"/>
              <w:gridCol w:w="738"/>
              <w:gridCol w:w="1125"/>
              <w:gridCol w:w="756"/>
              <w:gridCol w:w="873"/>
              <w:gridCol w:w="874"/>
              <w:gridCol w:w="874"/>
              <w:gridCol w:w="874"/>
            </w:tblGrid>
            <w:tr w14:paraId="7B06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tcPr>
                <w:p w14:paraId="4981A672">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时段</w:t>
                  </w:r>
                </w:p>
              </w:tc>
              <w:tc>
                <w:tcPr>
                  <w:tcW w:w="1611" w:type="dxa"/>
                  <w:gridSpan w:val="2"/>
                </w:tcPr>
                <w:p w14:paraId="490858FB">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叠加后室外边界噪声值</w:t>
                  </w:r>
                </w:p>
              </w:tc>
              <w:tc>
                <w:tcPr>
                  <w:tcW w:w="1125" w:type="dxa"/>
                </w:tcPr>
                <w:p w14:paraId="26454520">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厂界</w:t>
                  </w:r>
                </w:p>
              </w:tc>
              <w:tc>
                <w:tcPr>
                  <w:tcW w:w="756" w:type="dxa"/>
                </w:tcPr>
                <w:p w14:paraId="00F26CF7">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距离（m）</w:t>
                  </w:r>
                </w:p>
              </w:tc>
              <w:tc>
                <w:tcPr>
                  <w:tcW w:w="873" w:type="dxa"/>
                </w:tcPr>
                <w:p w14:paraId="5D4A2627">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贡献值</w:t>
                  </w:r>
                </w:p>
              </w:tc>
              <w:tc>
                <w:tcPr>
                  <w:tcW w:w="874" w:type="dxa"/>
                </w:tcPr>
                <w:p w14:paraId="77FF0B96">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预测值</w:t>
                  </w:r>
                </w:p>
              </w:tc>
              <w:tc>
                <w:tcPr>
                  <w:tcW w:w="874" w:type="dxa"/>
                </w:tcPr>
                <w:p w14:paraId="288C2082">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标准值</w:t>
                  </w:r>
                </w:p>
              </w:tc>
              <w:tc>
                <w:tcPr>
                  <w:tcW w:w="874" w:type="dxa"/>
                </w:tcPr>
                <w:p w14:paraId="2C68E160">
                  <w:pPr>
                    <w:jc w:val="center"/>
                    <w:rPr>
                      <w:rFonts w:hint="eastAsia"/>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达标</w:t>
                  </w:r>
                </w:p>
                <w:p w14:paraId="610C123B">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情况</w:t>
                  </w:r>
                </w:p>
              </w:tc>
            </w:tr>
            <w:tr w14:paraId="1985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restart"/>
                </w:tcPr>
                <w:p w14:paraId="370D5494">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夜间</w:t>
                  </w:r>
                </w:p>
              </w:tc>
              <w:tc>
                <w:tcPr>
                  <w:tcW w:w="873" w:type="dxa"/>
                </w:tcPr>
                <w:p w14:paraId="1A4D0448">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东</w:t>
                  </w:r>
                </w:p>
              </w:tc>
              <w:tc>
                <w:tcPr>
                  <w:tcW w:w="738" w:type="dxa"/>
                </w:tcPr>
                <w:p w14:paraId="309605A2">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30</w:t>
                  </w:r>
                </w:p>
              </w:tc>
              <w:tc>
                <w:tcPr>
                  <w:tcW w:w="1125" w:type="dxa"/>
                </w:tcPr>
                <w:p w14:paraId="61A1B1D0">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东侧</w:t>
                  </w:r>
                </w:p>
              </w:tc>
              <w:tc>
                <w:tcPr>
                  <w:tcW w:w="756" w:type="dxa"/>
                </w:tcPr>
                <w:p w14:paraId="08CC2BAA">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10</w:t>
                  </w:r>
                </w:p>
              </w:tc>
              <w:tc>
                <w:tcPr>
                  <w:tcW w:w="873" w:type="dxa"/>
                </w:tcPr>
                <w:p w14:paraId="40BB7A61">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10</w:t>
                  </w:r>
                </w:p>
              </w:tc>
              <w:tc>
                <w:tcPr>
                  <w:tcW w:w="874" w:type="dxa"/>
                </w:tcPr>
                <w:p w14:paraId="2C0A9AB1">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40</w:t>
                  </w:r>
                </w:p>
              </w:tc>
              <w:tc>
                <w:tcPr>
                  <w:tcW w:w="874" w:type="dxa"/>
                  <w:vAlign w:val="top"/>
                </w:tcPr>
                <w:p w14:paraId="04DE1AA0">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45</w:t>
                  </w:r>
                </w:p>
              </w:tc>
              <w:tc>
                <w:tcPr>
                  <w:tcW w:w="874" w:type="dxa"/>
                </w:tcPr>
                <w:p w14:paraId="7CBD3758">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达标</w:t>
                  </w:r>
                </w:p>
              </w:tc>
            </w:tr>
            <w:tr w14:paraId="351E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07846ED3">
                  <w:pPr>
                    <w:jc w:val="center"/>
                    <w:rPr>
                      <w:rFonts w:ascii="Times New Roman" w:eastAsia="宋体"/>
                      <w:i w:val="0"/>
                      <w:iCs w:val="0"/>
                      <w:color w:val="0000FF"/>
                      <w:sz w:val="18"/>
                      <w:szCs w:val="18"/>
                      <w:u w:val="single"/>
                      <w:vertAlign w:val="baseline"/>
                    </w:rPr>
                  </w:pPr>
                </w:p>
              </w:tc>
              <w:tc>
                <w:tcPr>
                  <w:tcW w:w="873" w:type="dxa"/>
                </w:tcPr>
                <w:p w14:paraId="435EF1FE">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南</w:t>
                  </w:r>
                </w:p>
              </w:tc>
              <w:tc>
                <w:tcPr>
                  <w:tcW w:w="738" w:type="dxa"/>
                </w:tcPr>
                <w:p w14:paraId="24907B5D">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34</w:t>
                  </w:r>
                </w:p>
              </w:tc>
              <w:tc>
                <w:tcPr>
                  <w:tcW w:w="1125" w:type="dxa"/>
                </w:tcPr>
                <w:p w14:paraId="501BC2B2">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南侧</w:t>
                  </w:r>
                </w:p>
              </w:tc>
              <w:tc>
                <w:tcPr>
                  <w:tcW w:w="756" w:type="dxa"/>
                </w:tcPr>
                <w:p w14:paraId="17F29B22">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w:t>
                  </w:r>
                </w:p>
              </w:tc>
              <w:tc>
                <w:tcPr>
                  <w:tcW w:w="873" w:type="dxa"/>
                </w:tcPr>
                <w:p w14:paraId="51F82C98">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24</w:t>
                  </w:r>
                </w:p>
              </w:tc>
              <w:tc>
                <w:tcPr>
                  <w:tcW w:w="874" w:type="dxa"/>
                </w:tcPr>
                <w:p w14:paraId="2232CC46">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42</w:t>
                  </w:r>
                </w:p>
              </w:tc>
              <w:tc>
                <w:tcPr>
                  <w:tcW w:w="874" w:type="dxa"/>
                  <w:vAlign w:val="top"/>
                </w:tcPr>
                <w:p w14:paraId="03CC355B">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45</w:t>
                  </w:r>
                </w:p>
              </w:tc>
              <w:tc>
                <w:tcPr>
                  <w:tcW w:w="874" w:type="dxa"/>
                </w:tcPr>
                <w:p w14:paraId="6E81FF82">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00D2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7CD67D66">
                  <w:pPr>
                    <w:jc w:val="center"/>
                    <w:rPr>
                      <w:rFonts w:ascii="Times New Roman" w:eastAsia="宋体"/>
                      <w:i w:val="0"/>
                      <w:iCs w:val="0"/>
                      <w:color w:val="0000FF"/>
                      <w:sz w:val="18"/>
                      <w:szCs w:val="18"/>
                      <w:u w:val="single"/>
                      <w:vertAlign w:val="baseline"/>
                    </w:rPr>
                  </w:pPr>
                </w:p>
              </w:tc>
              <w:tc>
                <w:tcPr>
                  <w:tcW w:w="873" w:type="dxa"/>
                </w:tcPr>
                <w:p w14:paraId="55B24558">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西</w:t>
                  </w:r>
                </w:p>
              </w:tc>
              <w:tc>
                <w:tcPr>
                  <w:tcW w:w="738" w:type="dxa"/>
                </w:tcPr>
                <w:p w14:paraId="2966318A">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28</w:t>
                  </w:r>
                </w:p>
              </w:tc>
              <w:tc>
                <w:tcPr>
                  <w:tcW w:w="1125" w:type="dxa"/>
                </w:tcPr>
                <w:p w14:paraId="412B9B02">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西侧</w:t>
                  </w:r>
                </w:p>
              </w:tc>
              <w:tc>
                <w:tcPr>
                  <w:tcW w:w="756" w:type="dxa"/>
                </w:tcPr>
                <w:p w14:paraId="31812230">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w:t>
                  </w:r>
                </w:p>
              </w:tc>
              <w:tc>
                <w:tcPr>
                  <w:tcW w:w="873" w:type="dxa"/>
                </w:tcPr>
                <w:p w14:paraId="35E3F5C8">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16</w:t>
                  </w:r>
                </w:p>
              </w:tc>
              <w:tc>
                <w:tcPr>
                  <w:tcW w:w="874" w:type="dxa"/>
                </w:tcPr>
                <w:p w14:paraId="7A44AA47">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41</w:t>
                  </w:r>
                </w:p>
              </w:tc>
              <w:tc>
                <w:tcPr>
                  <w:tcW w:w="874" w:type="dxa"/>
                  <w:vAlign w:val="top"/>
                </w:tcPr>
                <w:p w14:paraId="1B52D23B">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45</w:t>
                  </w:r>
                </w:p>
              </w:tc>
              <w:tc>
                <w:tcPr>
                  <w:tcW w:w="874" w:type="dxa"/>
                </w:tcPr>
                <w:p w14:paraId="3165AD7A">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3026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39C01037">
                  <w:pPr>
                    <w:jc w:val="center"/>
                    <w:rPr>
                      <w:rFonts w:ascii="Times New Roman" w:eastAsia="宋体"/>
                      <w:i w:val="0"/>
                      <w:iCs w:val="0"/>
                      <w:color w:val="0000FF"/>
                      <w:sz w:val="18"/>
                      <w:szCs w:val="18"/>
                      <w:u w:val="single"/>
                      <w:vertAlign w:val="baseline"/>
                    </w:rPr>
                  </w:pPr>
                </w:p>
              </w:tc>
              <w:tc>
                <w:tcPr>
                  <w:tcW w:w="873" w:type="dxa"/>
                </w:tcPr>
                <w:p w14:paraId="48CA712B">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北</w:t>
                  </w:r>
                </w:p>
              </w:tc>
              <w:tc>
                <w:tcPr>
                  <w:tcW w:w="738" w:type="dxa"/>
                </w:tcPr>
                <w:p w14:paraId="674F0585">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35</w:t>
                  </w:r>
                </w:p>
              </w:tc>
              <w:tc>
                <w:tcPr>
                  <w:tcW w:w="1125" w:type="dxa"/>
                </w:tcPr>
                <w:p w14:paraId="7EE25FD4">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北侧</w:t>
                  </w:r>
                </w:p>
              </w:tc>
              <w:tc>
                <w:tcPr>
                  <w:tcW w:w="756" w:type="dxa"/>
                </w:tcPr>
                <w:p w14:paraId="3437B0B9">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2</w:t>
                  </w:r>
                </w:p>
              </w:tc>
              <w:tc>
                <w:tcPr>
                  <w:tcW w:w="873" w:type="dxa"/>
                </w:tcPr>
                <w:p w14:paraId="7D43B7A9">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29</w:t>
                  </w:r>
                </w:p>
              </w:tc>
              <w:tc>
                <w:tcPr>
                  <w:tcW w:w="874" w:type="dxa"/>
                </w:tcPr>
                <w:p w14:paraId="7CF9E865">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42</w:t>
                  </w:r>
                </w:p>
              </w:tc>
              <w:tc>
                <w:tcPr>
                  <w:tcW w:w="874" w:type="dxa"/>
                  <w:vAlign w:val="top"/>
                </w:tcPr>
                <w:p w14:paraId="1DAB33DF">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45</w:t>
                  </w:r>
                </w:p>
              </w:tc>
              <w:tc>
                <w:tcPr>
                  <w:tcW w:w="874" w:type="dxa"/>
                </w:tcPr>
                <w:p w14:paraId="29D16E38">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5D70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5AF73910">
                  <w:pPr>
                    <w:jc w:val="center"/>
                    <w:rPr>
                      <w:rFonts w:ascii="Times New Roman" w:eastAsia="宋体"/>
                      <w:i w:val="0"/>
                      <w:iCs w:val="0"/>
                      <w:color w:val="0000FF"/>
                      <w:sz w:val="18"/>
                      <w:szCs w:val="18"/>
                      <w:u w:val="single"/>
                      <w:vertAlign w:val="baseline"/>
                    </w:rPr>
                  </w:pPr>
                </w:p>
              </w:tc>
              <w:tc>
                <w:tcPr>
                  <w:tcW w:w="873" w:type="dxa"/>
                </w:tcPr>
                <w:p w14:paraId="0BD6F4CA">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w:t>
                  </w:r>
                </w:p>
              </w:tc>
              <w:tc>
                <w:tcPr>
                  <w:tcW w:w="738" w:type="dxa"/>
                </w:tcPr>
                <w:p w14:paraId="1AAC6147">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w:t>
                  </w:r>
                </w:p>
              </w:tc>
              <w:tc>
                <w:tcPr>
                  <w:tcW w:w="1125" w:type="dxa"/>
                </w:tcPr>
                <w:p w14:paraId="5A2F828C">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西敏感目标</w:t>
                  </w:r>
                </w:p>
              </w:tc>
              <w:tc>
                <w:tcPr>
                  <w:tcW w:w="756" w:type="dxa"/>
                </w:tcPr>
                <w:p w14:paraId="3FB5FB7B">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32</w:t>
                  </w:r>
                </w:p>
              </w:tc>
              <w:tc>
                <w:tcPr>
                  <w:tcW w:w="873" w:type="dxa"/>
                </w:tcPr>
                <w:p w14:paraId="11A33DF1">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0</w:t>
                  </w:r>
                </w:p>
              </w:tc>
              <w:tc>
                <w:tcPr>
                  <w:tcW w:w="874" w:type="dxa"/>
                </w:tcPr>
                <w:p w14:paraId="47705CD0">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39</w:t>
                  </w:r>
                </w:p>
              </w:tc>
              <w:tc>
                <w:tcPr>
                  <w:tcW w:w="874" w:type="dxa"/>
                  <w:vAlign w:val="top"/>
                </w:tcPr>
                <w:p w14:paraId="74AE8243">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45</w:t>
                  </w:r>
                </w:p>
              </w:tc>
              <w:tc>
                <w:tcPr>
                  <w:tcW w:w="874" w:type="dxa"/>
                </w:tcPr>
                <w:p w14:paraId="76A392DF">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6629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restart"/>
                </w:tcPr>
                <w:p w14:paraId="556FB6F0">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昼间</w:t>
                  </w:r>
                </w:p>
              </w:tc>
              <w:tc>
                <w:tcPr>
                  <w:tcW w:w="873" w:type="dxa"/>
                  <w:shd w:val="clear"/>
                  <w:vAlign w:val="top"/>
                </w:tcPr>
                <w:p w14:paraId="1CDDD124">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东</w:t>
                  </w:r>
                </w:p>
              </w:tc>
              <w:tc>
                <w:tcPr>
                  <w:tcW w:w="738" w:type="dxa"/>
                  <w:shd w:val="clear"/>
                  <w:vAlign w:val="top"/>
                </w:tcPr>
                <w:p w14:paraId="10ABCDE8">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37</w:t>
                  </w:r>
                </w:p>
              </w:tc>
              <w:tc>
                <w:tcPr>
                  <w:tcW w:w="1125" w:type="dxa"/>
                  <w:shd w:val="clear"/>
                  <w:vAlign w:val="top"/>
                </w:tcPr>
                <w:p w14:paraId="6054E0F4">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东侧</w:t>
                  </w:r>
                </w:p>
              </w:tc>
              <w:tc>
                <w:tcPr>
                  <w:tcW w:w="756" w:type="dxa"/>
                  <w:shd w:val="clear"/>
                  <w:vAlign w:val="top"/>
                </w:tcPr>
                <w:p w14:paraId="7300BF67">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10</w:t>
                  </w:r>
                </w:p>
              </w:tc>
              <w:tc>
                <w:tcPr>
                  <w:tcW w:w="873" w:type="dxa"/>
                </w:tcPr>
                <w:p w14:paraId="61D874D8">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17</w:t>
                  </w:r>
                </w:p>
              </w:tc>
              <w:tc>
                <w:tcPr>
                  <w:tcW w:w="874" w:type="dxa"/>
                </w:tcPr>
                <w:p w14:paraId="78403FCA">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51</w:t>
                  </w:r>
                </w:p>
              </w:tc>
              <w:tc>
                <w:tcPr>
                  <w:tcW w:w="874" w:type="dxa"/>
                </w:tcPr>
                <w:p w14:paraId="4A8691DE">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55</w:t>
                  </w:r>
                </w:p>
              </w:tc>
              <w:tc>
                <w:tcPr>
                  <w:tcW w:w="874" w:type="dxa"/>
                </w:tcPr>
                <w:p w14:paraId="10FC5C55">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6D18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543E2BCE">
                  <w:pPr>
                    <w:jc w:val="center"/>
                    <w:rPr>
                      <w:rFonts w:ascii="Times New Roman" w:eastAsia="宋体"/>
                      <w:i w:val="0"/>
                      <w:iCs w:val="0"/>
                      <w:color w:val="0000FF"/>
                      <w:sz w:val="18"/>
                      <w:szCs w:val="18"/>
                      <w:u w:val="single"/>
                      <w:vertAlign w:val="baseline"/>
                    </w:rPr>
                  </w:pPr>
                </w:p>
              </w:tc>
              <w:tc>
                <w:tcPr>
                  <w:tcW w:w="873" w:type="dxa"/>
                  <w:shd w:val="clear"/>
                  <w:vAlign w:val="top"/>
                </w:tcPr>
                <w:p w14:paraId="05378B45">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南</w:t>
                  </w:r>
                </w:p>
              </w:tc>
              <w:tc>
                <w:tcPr>
                  <w:tcW w:w="738" w:type="dxa"/>
                  <w:shd w:val="clear"/>
                  <w:vAlign w:val="top"/>
                </w:tcPr>
                <w:p w14:paraId="6FB7663A">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41</w:t>
                  </w:r>
                </w:p>
              </w:tc>
              <w:tc>
                <w:tcPr>
                  <w:tcW w:w="1125" w:type="dxa"/>
                  <w:shd w:val="clear"/>
                  <w:vAlign w:val="top"/>
                </w:tcPr>
                <w:p w14:paraId="5D47D6D4">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南侧</w:t>
                  </w:r>
                </w:p>
              </w:tc>
              <w:tc>
                <w:tcPr>
                  <w:tcW w:w="756" w:type="dxa"/>
                  <w:shd w:val="clear"/>
                  <w:vAlign w:val="top"/>
                </w:tcPr>
                <w:p w14:paraId="45A9E784">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3</w:t>
                  </w:r>
                </w:p>
              </w:tc>
              <w:tc>
                <w:tcPr>
                  <w:tcW w:w="873" w:type="dxa"/>
                </w:tcPr>
                <w:p w14:paraId="2D5D1D9A">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31</w:t>
                  </w:r>
                </w:p>
              </w:tc>
              <w:tc>
                <w:tcPr>
                  <w:tcW w:w="874" w:type="dxa"/>
                </w:tcPr>
                <w:p w14:paraId="155D09B4">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52</w:t>
                  </w:r>
                </w:p>
              </w:tc>
              <w:tc>
                <w:tcPr>
                  <w:tcW w:w="874" w:type="dxa"/>
                </w:tcPr>
                <w:p w14:paraId="1AFF5C1E">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55</w:t>
                  </w:r>
                </w:p>
              </w:tc>
              <w:tc>
                <w:tcPr>
                  <w:tcW w:w="874" w:type="dxa"/>
                </w:tcPr>
                <w:p w14:paraId="16CD39C2">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586E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17964A04">
                  <w:pPr>
                    <w:jc w:val="center"/>
                    <w:rPr>
                      <w:rFonts w:ascii="Times New Roman" w:eastAsia="宋体"/>
                      <w:i w:val="0"/>
                      <w:iCs w:val="0"/>
                      <w:color w:val="0000FF"/>
                      <w:sz w:val="18"/>
                      <w:szCs w:val="18"/>
                      <w:u w:val="single"/>
                      <w:vertAlign w:val="baseline"/>
                    </w:rPr>
                  </w:pPr>
                </w:p>
              </w:tc>
              <w:tc>
                <w:tcPr>
                  <w:tcW w:w="873" w:type="dxa"/>
                  <w:shd w:val="clear"/>
                  <w:vAlign w:val="top"/>
                </w:tcPr>
                <w:p w14:paraId="57CAC590">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西</w:t>
                  </w:r>
                </w:p>
              </w:tc>
              <w:tc>
                <w:tcPr>
                  <w:tcW w:w="738" w:type="dxa"/>
                  <w:shd w:val="clear"/>
                  <w:vAlign w:val="top"/>
                </w:tcPr>
                <w:p w14:paraId="151AC87B">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35</w:t>
                  </w:r>
                </w:p>
              </w:tc>
              <w:tc>
                <w:tcPr>
                  <w:tcW w:w="1125" w:type="dxa"/>
                  <w:shd w:val="clear"/>
                  <w:vAlign w:val="top"/>
                </w:tcPr>
                <w:p w14:paraId="79EBFE1B">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西侧</w:t>
                  </w:r>
                </w:p>
              </w:tc>
              <w:tc>
                <w:tcPr>
                  <w:tcW w:w="756" w:type="dxa"/>
                  <w:shd w:val="clear"/>
                  <w:vAlign w:val="top"/>
                </w:tcPr>
                <w:p w14:paraId="248C3674">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4</w:t>
                  </w:r>
                </w:p>
              </w:tc>
              <w:tc>
                <w:tcPr>
                  <w:tcW w:w="873" w:type="dxa"/>
                </w:tcPr>
                <w:p w14:paraId="218B8838">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23</w:t>
                  </w:r>
                </w:p>
              </w:tc>
              <w:tc>
                <w:tcPr>
                  <w:tcW w:w="874" w:type="dxa"/>
                </w:tcPr>
                <w:p w14:paraId="3348C461">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51</w:t>
                  </w:r>
                </w:p>
              </w:tc>
              <w:tc>
                <w:tcPr>
                  <w:tcW w:w="874" w:type="dxa"/>
                </w:tcPr>
                <w:p w14:paraId="33D5FCFD">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55</w:t>
                  </w:r>
                </w:p>
              </w:tc>
              <w:tc>
                <w:tcPr>
                  <w:tcW w:w="874" w:type="dxa"/>
                </w:tcPr>
                <w:p w14:paraId="4A3FEEDC">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1D13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2D1A73D7">
                  <w:pPr>
                    <w:jc w:val="center"/>
                    <w:rPr>
                      <w:rFonts w:ascii="Times New Roman" w:eastAsia="宋体"/>
                      <w:i w:val="0"/>
                      <w:iCs w:val="0"/>
                      <w:color w:val="0000FF"/>
                      <w:sz w:val="18"/>
                      <w:szCs w:val="18"/>
                      <w:u w:val="single"/>
                      <w:vertAlign w:val="baseline"/>
                    </w:rPr>
                  </w:pPr>
                </w:p>
              </w:tc>
              <w:tc>
                <w:tcPr>
                  <w:tcW w:w="873" w:type="dxa"/>
                  <w:shd w:val="clear"/>
                  <w:vAlign w:val="top"/>
                </w:tcPr>
                <w:p w14:paraId="7A2329C7">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北</w:t>
                  </w:r>
                </w:p>
              </w:tc>
              <w:tc>
                <w:tcPr>
                  <w:tcW w:w="738" w:type="dxa"/>
                  <w:shd w:val="clear"/>
                  <w:vAlign w:val="top"/>
                </w:tcPr>
                <w:p w14:paraId="56F5617D">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42</w:t>
                  </w:r>
                </w:p>
              </w:tc>
              <w:tc>
                <w:tcPr>
                  <w:tcW w:w="1125" w:type="dxa"/>
                  <w:shd w:val="clear"/>
                  <w:vAlign w:val="top"/>
                </w:tcPr>
                <w:p w14:paraId="3195F110">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北侧</w:t>
                  </w:r>
                </w:p>
              </w:tc>
              <w:tc>
                <w:tcPr>
                  <w:tcW w:w="756" w:type="dxa"/>
                  <w:shd w:val="clear"/>
                  <w:vAlign w:val="top"/>
                </w:tcPr>
                <w:p w14:paraId="7714EE61">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2</w:t>
                  </w:r>
                </w:p>
              </w:tc>
              <w:tc>
                <w:tcPr>
                  <w:tcW w:w="873" w:type="dxa"/>
                </w:tcPr>
                <w:p w14:paraId="02EECFDF">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36</w:t>
                  </w:r>
                </w:p>
              </w:tc>
              <w:tc>
                <w:tcPr>
                  <w:tcW w:w="874" w:type="dxa"/>
                </w:tcPr>
                <w:p w14:paraId="65034814">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53</w:t>
                  </w:r>
                </w:p>
              </w:tc>
              <w:tc>
                <w:tcPr>
                  <w:tcW w:w="874" w:type="dxa"/>
                </w:tcPr>
                <w:p w14:paraId="50541C70">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55</w:t>
                  </w:r>
                </w:p>
              </w:tc>
              <w:tc>
                <w:tcPr>
                  <w:tcW w:w="874" w:type="dxa"/>
                </w:tcPr>
                <w:p w14:paraId="4B193FF1">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r w14:paraId="0CC3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73" w:type="dxa"/>
                  <w:vMerge w:val="continue"/>
                  <w:tcBorders/>
                </w:tcPr>
                <w:p w14:paraId="65220062">
                  <w:pPr>
                    <w:jc w:val="center"/>
                    <w:rPr>
                      <w:rFonts w:ascii="Times New Roman" w:eastAsia="宋体"/>
                      <w:i w:val="0"/>
                      <w:iCs w:val="0"/>
                      <w:color w:val="0000FF"/>
                      <w:sz w:val="18"/>
                      <w:szCs w:val="18"/>
                      <w:u w:val="single"/>
                      <w:vertAlign w:val="baseline"/>
                    </w:rPr>
                  </w:pPr>
                </w:p>
              </w:tc>
              <w:tc>
                <w:tcPr>
                  <w:tcW w:w="873" w:type="dxa"/>
                  <w:shd w:val="clear"/>
                  <w:vAlign w:val="top"/>
                </w:tcPr>
                <w:p w14:paraId="0829205C">
                  <w:pPr>
                    <w:jc w:val="center"/>
                    <w:rPr>
                      <w:rFonts w:hint="eastAsia"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w:t>
                  </w:r>
                </w:p>
              </w:tc>
              <w:tc>
                <w:tcPr>
                  <w:tcW w:w="738" w:type="dxa"/>
                  <w:shd w:val="clear"/>
                  <w:vAlign w:val="top"/>
                </w:tcPr>
                <w:p w14:paraId="3A1511C6">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cs="Times New Roman"/>
                      <w:i w:val="0"/>
                      <w:iCs w:val="0"/>
                      <w:color w:val="0000FF"/>
                      <w:sz w:val="18"/>
                      <w:szCs w:val="18"/>
                      <w:u w:val="single"/>
                      <w:vertAlign w:val="baseline"/>
                      <w:lang w:val="en-US" w:eastAsia="zh-CN" w:bidi="ar-SA"/>
                    </w:rPr>
                    <w:t>/</w:t>
                  </w:r>
                </w:p>
              </w:tc>
              <w:tc>
                <w:tcPr>
                  <w:tcW w:w="1125" w:type="dxa"/>
                  <w:shd w:val="clear"/>
                  <w:vAlign w:val="top"/>
                </w:tcPr>
                <w:p w14:paraId="35E4954E">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西敏感目标</w:t>
                  </w:r>
                </w:p>
              </w:tc>
              <w:tc>
                <w:tcPr>
                  <w:tcW w:w="756" w:type="dxa"/>
                  <w:shd w:val="clear"/>
                  <w:vAlign w:val="top"/>
                </w:tcPr>
                <w:p w14:paraId="212B9F5B">
                  <w:pPr>
                    <w:jc w:val="center"/>
                    <w:rPr>
                      <w:rFonts w:hint="default" w:ascii="Times New Roman" w:hAnsi="Times New Roman" w:eastAsia="宋体" w:cs="Times New Roman"/>
                      <w:i w:val="0"/>
                      <w:iCs w:val="0"/>
                      <w:color w:val="0000FF"/>
                      <w:sz w:val="18"/>
                      <w:szCs w:val="18"/>
                      <w:u w:val="single"/>
                      <w:vertAlign w:val="baseline"/>
                      <w:lang w:val="en-US" w:eastAsia="zh-CN" w:bidi="ar-SA"/>
                    </w:rPr>
                  </w:pPr>
                  <w:r>
                    <w:rPr>
                      <w:rFonts w:hint="eastAsia"/>
                      <w:i w:val="0"/>
                      <w:iCs w:val="0"/>
                      <w:color w:val="0000FF"/>
                      <w:sz w:val="18"/>
                      <w:szCs w:val="18"/>
                      <w:u w:val="single"/>
                      <w:vertAlign w:val="baseline"/>
                      <w:lang w:val="en-US" w:eastAsia="zh-CN"/>
                    </w:rPr>
                    <w:t>32</w:t>
                  </w:r>
                </w:p>
              </w:tc>
              <w:tc>
                <w:tcPr>
                  <w:tcW w:w="873" w:type="dxa"/>
                </w:tcPr>
                <w:p w14:paraId="545A696F">
                  <w:pPr>
                    <w:jc w:val="center"/>
                    <w:rPr>
                      <w:rFonts w:hint="eastAsia"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w:t>
                  </w:r>
                </w:p>
              </w:tc>
              <w:tc>
                <w:tcPr>
                  <w:tcW w:w="874" w:type="dxa"/>
                </w:tcPr>
                <w:p w14:paraId="0117D83D">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50</w:t>
                  </w:r>
                </w:p>
              </w:tc>
              <w:tc>
                <w:tcPr>
                  <w:tcW w:w="874" w:type="dxa"/>
                </w:tcPr>
                <w:p w14:paraId="04EDCE46">
                  <w:pPr>
                    <w:jc w:val="center"/>
                    <w:rPr>
                      <w:rFonts w:hint="default" w:ascii="Times New Roman" w:eastAsia="宋体"/>
                      <w:i w:val="0"/>
                      <w:iCs w:val="0"/>
                      <w:color w:val="0000FF"/>
                      <w:sz w:val="18"/>
                      <w:szCs w:val="18"/>
                      <w:u w:val="single"/>
                      <w:vertAlign w:val="baseline"/>
                      <w:lang w:val="en-US" w:eastAsia="zh-CN"/>
                    </w:rPr>
                  </w:pPr>
                  <w:r>
                    <w:rPr>
                      <w:rFonts w:hint="eastAsia"/>
                      <w:i w:val="0"/>
                      <w:iCs w:val="0"/>
                      <w:color w:val="0000FF"/>
                      <w:sz w:val="18"/>
                      <w:szCs w:val="18"/>
                      <w:u w:val="single"/>
                      <w:vertAlign w:val="baseline"/>
                      <w:lang w:val="en-US" w:eastAsia="zh-CN"/>
                    </w:rPr>
                    <w:t>55</w:t>
                  </w:r>
                </w:p>
              </w:tc>
              <w:tc>
                <w:tcPr>
                  <w:tcW w:w="874" w:type="dxa"/>
                </w:tcPr>
                <w:p w14:paraId="2F165F27">
                  <w:pPr>
                    <w:jc w:val="center"/>
                    <w:rPr>
                      <w:rFonts w:ascii="Times New Roman" w:eastAsia="宋体"/>
                      <w:i w:val="0"/>
                      <w:iCs w:val="0"/>
                      <w:color w:val="0000FF"/>
                      <w:sz w:val="18"/>
                      <w:szCs w:val="18"/>
                      <w:u w:val="single"/>
                      <w:vertAlign w:val="baseline"/>
                    </w:rPr>
                  </w:pPr>
                  <w:r>
                    <w:rPr>
                      <w:rFonts w:hint="eastAsia"/>
                      <w:i w:val="0"/>
                      <w:iCs w:val="0"/>
                      <w:color w:val="0000FF"/>
                      <w:sz w:val="18"/>
                      <w:szCs w:val="18"/>
                      <w:u w:val="single"/>
                      <w:vertAlign w:val="baseline"/>
                      <w:lang w:val="en-US" w:eastAsia="zh-CN"/>
                    </w:rPr>
                    <w:t>达标</w:t>
                  </w:r>
                </w:p>
              </w:tc>
            </w:tr>
          </w:tbl>
          <w:p w14:paraId="44543096">
            <w:pPr>
              <w:jc w:val="center"/>
              <w:rPr>
                <w:rFonts w:ascii="Times New Roman" w:eastAsia="宋体"/>
                <w:i w:val="0"/>
                <w:iCs w:val="0"/>
                <w:color w:val="0000FF"/>
                <w:sz w:val="18"/>
                <w:szCs w:val="18"/>
                <w:u w:val="single"/>
              </w:rPr>
            </w:pPr>
          </w:p>
          <w:p w14:paraId="32777B40">
            <w:pPr>
              <w:pStyle w:val="9"/>
              <w:adjustRightInd w:val="0"/>
              <w:snapToGrid w:val="0"/>
              <w:spacing w:line="336" w:lineRule="auto"/>
              <w:ind w:firstLine="420" w:firstLineChars="200"/>
              <w:rPr>
                <w:rFonts w:ascii="Times New Roman" w:hAnsi="Times New Roman" w:cs="Times New Roman"/>
                <w:color w:val="0000FF"/>
                <w:sz w:val="21"/>
                <w:szCs w:val="21"/>
                <w:u w:val="single"/>
              </w:rPr>
            </w:pPr>
            <w:r>
              <w:rPr>
                <w:rFonts w:ascii="Times New Roman" w:hAnsi="Times New Roman" w:cs="Times New Roman"/>
                <w:color w:val="0000FF"/>
                <w:sz w:val="21"/>
                <w:szCs w:val="21"/>
                <w:u w:val="single"/>
              </w:rPr>
              <w:t>由上表可知，厂界噪声</w:t>
            </w:r>
            <w:r>
              <w:rPr>
                <w:rFonts w:hint="eastAsia" w:ascii="Times New Roman" w:hAnsi="Times New Roman" w:cs="Times New Roman"/>
                <w:color w:val="0000FF"/>
                <w:sz w:val="21"/>
                <w:szCs w:val="21"/>
                <w:u w:val="single"/>
                <w:lang w:val="en-US" w:eastAsia="zh-CN"/>
              </w:rPr>
              <w:t>贡献值</w:t>
            </w:r>
            <w:r>
              <w:rPr>
                <w:rFonts w:ascii="Times New Roman" w:hAnsi="Times New Roman" w:cs="Times New Roman"/>
                <w:color w:val="0000FF"/>
                <w:sz w:val="21"/>
                <w:szCs w:val="21"/>
                <w:u w:val="single"/>
              </w:rPr>
              <w:t>满足GB12348-2008《工业企业厂界环境噪声排放标准》</w:t>
            </w:r>
            <w:r>
              <w:rPr>
                <w:rFonts w:hint="eastAsia" w:ascii="Times New Roman" w:hAnsi="Times New Roman" w:cs="Times New Roman"/>
                <w:color w:val="0000FF"/>
                <w:sz w:val="21"/>
                <w:szCs w:val="21"/>
                <w:u w:val="single"/>
                <w:lang w:val="en-US" w:eastAsia="zh-CN"/>
              </w:rPr>
              <w:t>1类</w:t>
            </w:r>
            <w:r>
              <w:rPr>
                <w:rFonts w:ascii="Times New Roman" w:hAnsi="Times New Roman" w:cs="Times New Roman"/>
                <w:color w:val="0000FF"/>
                <w:sz w:val="21"/>
                <w:szCs w:val="21"/>
                <w:u w:val="single"/>
              </w:rPr>
              <w:t>标准要求</w:t>
            </w:r>
            <w:r>
              <w:rPr>
                <w:rFonts w:hint="eastAsia" w:ascii="Times New Roman" w:hAnsi="Times New Roman" w:cs="Times New Roman"/>
                <w:color w:val="0000FF"/>
                <w:sz w:val="21"/>
                <w:szCs w:val="21"/>
                <w:u w:val="single"/>
                <w:lang w:eastAsia="zh-CN"/>
              </w:rPr>
              <w:t>，</w:t>
            </w:r>
            <w:r>
              <w:rPr>
                <w:rFonts w:hint="eastAsia" w:ascii="Times New Roman" w:hAnsi="Times New Roman" w:cs="Times New Roman"/>
                <w:color w:val="0000FF"/>
                <w:sz w:val="21"/>
                <w:szCs w:val="21"/>
                <w:u w:val="single"/>
                <w:lang w:val="en-US" w:eastAsia="zh-CN"/>
              </w:rPr>
              <w:t>西侧声环境保护目标处的噪声贡献值和预测值满足</w:t>
            </w:r>
            <w:r>
              <w:rPr>
                <w:rFonts w:ascii="Times New Roman" w:hAnsi="Times New Roman" w:cs="Times New Roman"/>
                <w:color w:val="0000FF"/>
                <w:sz w:val="21"/>
                <w:szCs w:val="21"/>
                <w:u w:val="single"/>
              </w:rPr>
              <w:t>《声环境质量标准》（GB3096-2008）中</w:t>
            </w:r>
            <w:r>
              <w:rPr>
                <w:rFonts w:hint="eastAsia" w:ascii="Times New Roman" w:hAnsi="Times New Roman" w:cs="Times New Roman"/>
                <w:color w:val="0000FF"/>
                <w:sz w:val="21"/>
                <w:szCs w:val="21"/>
                <w:u w:val="single"/>
                <w:lang w:val="en-US" w:eastAsia="zh-CN"/>
              </w:rPr>
              <w:t>1</w:t>
            </w:r>
            <w:r>
              <w:rPr>
                <w:rFonts w:ascii="Times New Roman" w:hAnsi="Times New Roman" w:cs="Times New Roman"/>
                <w:color w:val="0000FF"/>
                <w:sz w:val="21"/>
                <w:szCs w:val="21"/>
                <w:u w:val="single"/>
              </w:rPr>
              <w:t>类标准；故本项目建成后对周围声环境影响不大。</w:t>
            </w:r>
          </w:p>
          <w:p w14:paraId="7C6905DB">
            <w:pPr>
              <w:pStyle w:val="85"/>
              <w:ind w:firstLine="420"/>
              <w:rPr>
                <w:rFonts w:cs="Times New Roman"/>
                <w:color w:val="auto"/>
                <w:u w:val="single"/>
              </w:rPr>
            </w:pPr>
            <w:r>
              <w:rPr>
                <w:rFonts w:cs="Times New Roman"/>
                <w:color w:val="auto"/>
                <w:u w:val="single"/>
              </w:rPr>
              <w:t>为了进一步减轻各类噪声对工作环境和周围环境敏感点的影响，根据各类噪声的声源特征，本次评价提出以下噪声防治措施：</w:t>
            </w:r>
          </w:p>
          <w:p w14:paraId="3DDB5AE1">
            <w:pPr>
              <w:spacing w:line="360" w:lineRule="auto"/>
              <w:ind w:firstLine="411" w:firstLineChars="196"/>
              <w:rPr>
                <w:rFonts w:hint="eastAsia" w:ascii="Times New Roman" w:hAnsi="Times New Roman" w:eastAsia="宋体" w:cs="Times New Roman"/>
                <w:color w:val="auto"/>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bidi="ar-SA"/>
              </w:rPr>
              <w:t>在设计阶段：①尽量选用低噪声设备，无论是委托设计制造还是购买成品，都应提出相应的控制噪声措施和声级值控制指标，配套定购降噪、防噪设施；②在满足生产工艺、安全生产的前提下合理布局，尽量将高噪声装置向厂房中央集中，增大高噪声源与厂界的距离。</w:t>
            </w:r>
          </w:p>
          <w:p w14:paraId="145C1AAC">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default" w:ascii="Times New Roman" w:hAnsi="Times New Roman" w:eastAsia="宋体" w:cs="Times New Roman"/>
                <w:color w:val="auto"/>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bidi="ar-SA"/>
              </w:rPr>
              <w:t>在建设与生产阶段：①根据</w:t>
            </w:r>
            <w:r>
              <w:rPr>
                <w:rFonts w:hint="eastAsia" w:cs="Times New Roman"/>
                <w:color w:val="auto"/>
                <w:sz w:val="21"/>
                <w:szCs w:val="21"/>
                <w:u w:val="single"/>
                <w:lang w:val="en-US" w:eastAsia="zh-CN" w:bidi="ar-SA"/>
              </w:rPr>
              <w:t>粉料</w:t>
            </w:r>
            <w:r>
              <w:rPr>
                <w:rFonts w:hint="eastAsia" w:ascii="Times New Roman" w:hAnsi="Times New Roman" w:eastAsia="宋体" w:cs="Times New Roman"/>
                <w:color w:val="auto"/>
                <w:sz w:val="21"/>
                <w:szCs w:val="21"/>
                <w:u w:val="single"/>
                <w:lang w:val="en-US" w:eastAsia="zh-CN" w:bidi="ar-SA"/>
              </w:rPr>
              <w:t>机型号，在底座与基础之间安装橡胶或弹簧减震垫，将</w:t>
            </w:r>
            <w:r>
              <w:rPr>
                <w:rFonts w:hint="eastAsia" w:cs="Times New Roman"/>
                <w:color w:val="auto"/>
                <w:sz w:val="21"/>
                <w:szCs w:val="21"/>
                <w:u w:val="single"/>
                <w:lang w:val="en-US" w:eastAsia="zh-CN" w:bidi="ar-SA"/>
              </w:rPr>
              <w:t>设备</w:t>
            </w:r>
            <w:r>
              <w:rPr>
                <w:rFonts w:hint="eastAsia" w:ascii="Times New Roman" w:hAnsi="Times New Roman" w:eastAsia="宋体" w:cs="Times New Roman"/>
                <w:color w:val="auto"/>
                <w:sz w:val="21"/>
                <w:szCs w:val="21"/>
                <w:u w:val="single"/>
                <w:lang w:val="en-US" w:eastAsia="zh-CN" w:bidi="ar-SA"/>
              </w:rPr>
              <w:t>整体或部分封闭在隔声罩内，定期对进行保养。②选择低噪声</w:t>
            </w:r>
            <w:r>
              <w:rPr>
                <w:rFonts w:hint="eastAsia" w:cs="Times New Roman"/>
                <w:color w:val="auto"/>
                <w:sz w:val="21"/>
                <w:szCs w:val="21"/>
                <w:u w:val="single"/>
                <w:lang w:val="en-US" w:eastAsia="zh-CN" w:bidi="ar-SA"/>
              </w:rPr>
              <w:t>风机</w:t>
            </w:r>
            <w:r>
              <w:rPr>
                <w:rFonts w:hint="eastAsia" w:ascii="Times New Roman" w:hAnsi="Times New Roman" w:eastAsia="宋体" w:cs="Times New Roman"/>
                <w:color w:val="auto"/>
                <w:sz w:val="21"/>
                <w:szCs w:val="21"/>
                <w:u w:val="single"/>
                <w:lang w:val="en-US" w:eastAsia="zh-CN" w:bidi="ar-SA"/>
              </w:rPr>
              <w:t>型号，底座与基础之间安装减振橡胶，采用变频技术节能降噪，定期维护设备，减少异常噪声，与管道连接部位采用柔性接头，采用弹性吊架和</w:t>
            </w:r>
            <w:r>
              <w:rPr>
                <w:rFonts w:hint="eastAsia" w:cs="Times New Roman"/>
                <w:color w:val="auto"/>
                <w:sz w:val="21"/>
                <w:szCs w:val="21"/>
                <w:u w:val="single"/>
                <w:lang w:val="en-US" w:eastAsia="zh-CN" w:bidi="ar-SA"/>
              </w:rPr>
              <w:t>减振</w:t>
            </w:r>
            <w:r>
              <w:rPr>
                <w:rFonts w:hint="eastAsia" w:ascii="Times New Roman" w:hAnsi="Times New Roman" w:eastAsia="宋体" w:cs="Times New Roman"/>
                <w:color w:val="auto"/>
                <w:sz w:val="21"/>
                <w:szCs w:val="21"/>
                <w:u w:val="single"/>
                <w:lang w:val="en-US" w:eastAsia="zh-CN" w:bidi="ar-SA"/>
              </w:rPr>
              <w:t>支架，设置隔音屏障。③选用设计精良且具有降噪措施的</w:t>
            </w:r>
            <w:r>
              <w:rPr>
                <w:rFonts w:hint="eastAsia" w:cs="Times New Roman"/>
                <w:color w:val="auto"/>
                <w:sz w:val="21"/>
                <w:szCs w:val="21"/>
                <w:u w:val="single"/>
                <w:lang w:val="en-US" w:eastAsia="zh-CN" w:bidi="ar-SA"/>
              </w:rPr>
              <w:t>滚筒筛料机</w:t>
            </w:r>
            <w:r>
              <w:rPr>
                <w:rFonts w:hint="eastAsia" w:ascii="Times New Roman" w:hAnsi="Times New Roman" w:eastAsia="宋体" w:cs="Times New Roman"/>
                <w:color w:val="auto"/>
                <w:sz w:val="21"/>
                <w:szCs w:val="21"/>
                <w:u w:val="single"/>
                <w:lang w:val="en-US" w:eastAsia="zh-CN" w:bidi="ar-SA"/>
              </w:rPr>
              <w:t>。定期对</w:t>
            </w:r>
            <w:r>
              <w:rPr>
                <w:rFonts w:hint="eastAsia" w:cs="Times New Roman"/>
                <w:color w:val="auto"/>
                <w:sz w:val="21"/>
                <w:szCs w:val="21"/>
                <w:u w:val="single"/>
                <w:lang w:val="en-US" w:eastAsia="zh-CN" w:bidi="ar-SA"/>
              </w:rPr>
              <w:t>其</w:t>
            </w:r>
            <w:r>
              <w:rPr>
                <w:rFonts w:hint="eastAsia" w:ascii="Times New Roman" w:hAnsi="Times New Roman" w:eastAsia="宋体" w:cs="Times New Roman"/>
                <w:color w:val="auto"/>
                <w:sz w:val="21"/>
                <w:szCs w:val="21"/>
                <w:u w:val="single"/>
                <w:lang w:val="en-US" w:eastAsia="zh-CN" w:bidi="ar-SA"/>
              </w:rPr>
              <w:t>进行维护保养，磨损严重的部件及时更换，确保设备运行稳定，减少因部件磨损导致的振动和噪声</w:t>
            </w:r>
            <w:r>
              <w:rPr>
                <w:rFonts w:ascii="Times New Roman" w:hAnsi="Times New Roman" w:eastAsia="宋体" w:cs="Times New Roman"/>
                <w:color w:val="auto"/>
                <w:sz w:val="21"/>
                <w:szCs w:val="21"/>
                <w:u w:val="single"/>
                <w:lang w:val="en-US" w:eastAsia="zh-CN" w:bidi="ar-SA"/>
              </w:rPr>
              <w:t>。</w:t>
            </w:r>
            <w:r>
              <w:rPr>
                <w:rFonts w:hint="eastAsia" w:ascii="Times New Roman" w:hAnsi="Times New Roman" w:eastAsia="宋体" w:cs="Times New Roman"/>
                <w:color w:val="auto"/>
                <w:sz w:val="21"/>
                <w:szCs w:val="21"/>
                <w:u w:val="single"/>
                <w:lang w:val="en-US" w:eastAsia="zh-CN" w:bidi="ar-SA"/>
              </w:rPr>
              <w:t>④</w:t>
            </w:r>
            <w:r>
              <w:rPr>
                <w:rFonts w:ascii="Times New Roman" w:hAnsi="Times New Roman" w:eastAsia="宋体" w:cs="Times New Roman"/>
                <w:color w:val="auto"/>
                <w:sz w:val="21"/>
                <w:szCs w:val="21"/>
                <w:u w:val="single"/>
                <w:lang w:val="en-US" w:eastAsia="zh-CN" w:bidi="ar-SA"/>
              </w:rPr>
              <w:t>检查和优化</w:t>
            </w:r>
            <w:r>
              <w:rPr>
                <w:rFonts w:hint="eastAsia" w:cs="Times New Roman"/>
                <w:color w:val="auto"/>
                <w:sz w:val="21"/>
                <w:szCs w:val="21"/>
                <w:u w:val="single"/>
                <w:lang w:val="en-US" w:eastAsia="zh-CN" w:bidi="ar-SA"/>
              </w:rPr>
              <w:t>传送带</w:t>
            </w:r>
            <w:r>
              <w:rPr>
                <w:rFonts w:ascii="Times New Roman" w:hAnsi="Times New Roman" w:eastAsia="宋体" w:cs="Times New Roman"/>
                <w:color w:val="auto"/>
                <w:sz w:val="21"/>
                <w:szCs w:val="21"/>
                <w:u w:val="single"/>
                <w:lang w:val="en-US" w:eastAsia="zh-CN" w:bidi="ar-SA"/>
              </w:rPr>
              <w:t>的牵引辊、传动链条或皮带、电机等部件。确保牵引表面光滑、圆度良好，避免因表面不平整导致物料传输时产生振动噪声。</w:t>
            </w:r>
            <w:r>
              <w:rPr>
                <w:rFonts w:hint="eastAsia" w:ascii="Times New Roman" w:hAnsi="Times New Roman" w:eastAsia="宋体" w:cs="Times New Roman"/>
                <w:color w:val="auto"/>
                <w:sz w:val="21"/>
                <w:szCs w:val="21"/>
                <w:u w:val="single"/>
                <w:lang w:val="en-US" w:eastAsia="zh-CN" w:bidi="ar-SA"/>
              </w:rPr>
              <w:t>⑤为减轻项目原辅材料运输过程中车辆噪声对其集中通过区域的影响，建议厂方对运输车辆加强管理和维护</w:t>
            </w:r>
            <w:r>
              <w:rPr>
                <w:rFonts w:hint="eastAsia" w:cs="Times New Roman"/>
                <w:color w:val="auto"/>
                <w:sz w:val="21"/>
                <w:szCs w:val="21"/>
                <w:u w:val="single"/>
                <w:lang w:val="en-US" w:eastAsia="zh-CN" w:bidi="ar-SA"/>
              </w:rPr>
              <w:t>，更换低噪声实心胎</w:t>
            </w:r>
            <w:r>
              <w:rPr>
                <w:rFonts w:hint="eastAsia" w:ascii="Times New Roman" w:hAnsi="Times New Roman" w:eastAsia="宋体" w:cs="Times New Roman"/>
                <w:color w:val="auto"/>
                <w:sz w:val="21"/>
                <w:szCs w:val="21"/>
                <w:u w:val="single"/>
                <w:lang w:val="en-US" w:eastAsia="zh-CN" w:bidi="ar-SA"/>
              </w:rPr>
              <w:t>，保持车辆有良好的车况，要求机动车驾驶人员经过噪声敏感区地段限制车速，禁止鸣笛，尽量避免夜间运输。所有运输装卸活动尽可能安排在昼间。</w:t>
            </w:r>
            <w:r>
              <w:rPr>
                <w:rFonts w:hint="eastAsia" w:ascii="宋体" w:hAnsi="宋体" w:eastAsia="宋体" w:cs="宋体"/>
                <w:color w:val="auto"/>
                <w:sz w:val="21"/>
                <w:szCs w:val="21"/>
                <w:u w:val="single"/>
                <w:lang w:val="en-US" w:eastAsia="zh-CN" w:bidi="ar-SA"/>
              </w:rPr>
              <w:t>⑥</w:t>
            </w:r>
            <w:r>
              <w:rPr>
                <w:rFonts w:hint="eastAsia" w:cs="Times New Roman"/>
                <w:color w:val="auto"/>
                <w:sz w:val="21"/>
                <w:szCs w:val="21"/>
                <w:u w:val="single"/>
                <w:lang w:val="en-US" w:eastAsia="zh-CN" w:bidi="ar-SA"/>
              </w:rPr>
              <w:t>车间密闭，加装隔声卷帘门，破碎机单独设置可拆卸隔声罩，操作口配置柔性密封帘。</w:t>
            </w:r>
          </w:p>
          <w:p w14:paraId="690CFBDC">
            <w:pPr>
              <w:pStyle w:val="85"/>
              <w:ind w:firstLine="420"/>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（4）监测计划</w:t>
            </w:r>
          </w:p>
          <w:p w14:paraId="145567FF">
            <w:pPr>
              <w:pStyle w:val="85"/>
              <w:ind w:firstLine="420"/>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根据</w:t>
            </w:r>
            <w:r>
              <w:rPr>
                <w:rFonts w:ascii="Times New Roman" w:hAnsi="Times New Roman" w:eastAsia="宋体" w:cs="Times New Roman"/>
                <w:color w:val="auto"/>
                <w:sz w:val="21"/>
                <w:szCs w:val="21"/>
                <w:lang w:val="en-US" w:eastAsia="zh-CN" w:bidi="ar-SA"/>
              </w:rPr>
              <w:t xml:space="preserve">《排污单位自行监测技术指南 </w:t>
            </w:r>
            <w:r>
              <w:rPr>
                <w:rFonts w:hint="eastAsia" w:ascii="Times New Roman" w:hAnsi="Times New Roman" w:eastAsia="宋体" w:cs="Times New Roman"/>
                <w:color w:val="auto"/>
                <w:sz w:val="21"/>
                <w:szCs w:val="21"/>
                <w:lang w:val="en-US" w:eastAsia="zh-CN" w:bidi="ar-SA"/>
              </w:rPr>
              <w:t>总则</w:t>
            </w:r>
            <w:r>
              <w:rPr>
                <w:rFonts w:ascii="Times New Roman" w:hAnsi="Times New Roman" w:eastAsia="宋体" w:cs="Times New Roman"/>
                <w:color w:val="auto"/>
                <w:sz w:val="21"/>
                <w:szCs w:val="21"/>
                <w:lang w:val="en-US" w:eastAsia="zh-CN" w:bidi="ar-SA"/>
              </w:rPr>
              <w:t>》（HJ8</w:t>
            </w:r>
            <w:r>
              <w:rPr>
                <w:rFonts w:hint="eastAsia" w:ascii="Times New Roman" w:hAnsi="Times New Roman" w:eastAsia="宋体" w:cs="Times New Roman"/>
                <w:color w:val="auto"/>
                <w:sz w:val="21"/>
                <w:szCs w:val="21"/>
                <w:lang w:val="en-US" w:eastAsia="zh-CN" w:bidi="ar-SA"/>
              </w:rPr>
              <w:t>19</w:t>
            </w:r>
            <w:r>
              <w:rPr>
                <w:rFonts w:ascii="Times New Roman" w:hAnsi="Times New Roman" w:eastAsia="宋体" w:cs="Times New Roman"/>
                <w:color w:val="auto"/>
                <w:sz w:val="21"/>
                <w:szCs w:val="21"/>
                <w:lang w:val="en-US" w:eastAsia="zh-CN" w:bidi="ar-SA"/>
              </w:rPr>
              <w:t>-2017）</w:t>
            </w:r>
            <w:r>
              <w:rPr>
                <w:rFonts w:hint="eastAsia" w:ascii="Times New Roman" w:hAnsi="Times New Roman" w:eastAsia="宋体" w:cs="Times New Roman"/>
                <w:color w:val="auto"/>
                <w:sz w:val="21"/>
                <w:szCs w:val="21"/>
                <w:lang w:val="en-US" w:eastAsia="zh-CN" w:bidi="ar-SA"/>
              </w:rPr>
              <w:t>，噪声</w:t>
            </w:r>
            <w:r>
              <w:rPr>
                <w:rFonts w:ascii="Times New Roman" w:hAnsi="Times New Roman" w:eastAsia="宋体" w:cs="Times New Roman"/>
                <w:color w:val="auto"/>
                <w:sz w:val="21"/>
                <w:szCs w:val="21"/>
                <w:lang w:val="en-US" w:eastAsia="zh-CN" w:bidi="ar-SA"/>
              </w:rPr>
              <w:t>监测计划如下：</w:t>
            </w:r>
          </w:p>
          <w:p w14:paraId="76FFD7C9">
            <w:pPr>
              <w:pStyle w:val="83"/>
              <w:spacing w:line="240" w:lineRule="auto"/>
              <w:rPr>
                <w:rFonts w:cs="宋体"/>
                <w:b w:val="0"/>
                <w:bCs/>
                <w:color w:val="auto"/>
                <w:sz w:val="21"/>
                <w:u w:val="none"/>
              </w:rPr>
            </w:pPr>
            <w:r>
              <w:rPr>
                <w:rFonts w:cs="宋体"/>
                <w:b w:val="0"/>
                <w:bCs/>
                <w:color w:val="auto"/>
                <w:sz w:val="21"/>
                <w:u w:val="none"/>
              </w:rPr>
              <w:t>噪声监测计划</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1"/>
              <w:gridCol w:w="1925"/>
              <w:gridCol w:w="2047"/>
              <w:gridCol w:w="1364"/>
              <w:gridCol w:w="1233"/>
            </w:tblGrid>
            <w:tr w14:paraId="491071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21" w:type="pct"/>
                  <w:vAlign w:val="center"/>
                </w:tcPr>
                <w:p w14:paraId="2CC817F3">
                  <w:pPr>
                    <w:pStyle w:val="38"/>
                    <w:spacing w:before="24" w:after="24"/>
                    <w:rPr>
                      <w:rFonts w:ascii="Times New Roman" w:eastAsia="宋体"/>
                      <w:color w:val="auto"/>
                      <w:sz w:val="18"/>
                      <w:szCs w:val="18"/>
                      <w:u w:val="none"/>
                    </w:rPr>
                  </w:pPr>
                  <w:r>
                    <w:rPr>
                      <w:rFonts w:ascii="Times New Roman" w:eastAsia="宋体"/>
                      <w:color w:val="auto"/>
                      <w:sz w:val="18"/>
                      <w:szCs w:val="18"/>
                      <w:u w:val="none"/>
                    </w:rPr>
                    <w:t>监测类别</w:t>
                  </w:r>
                </w:p>
              </w:tc>
              <w:tc>
                <w:tcPr>
                  <w:tcW w:w="1224" w:type="pct"/>
                  <w:vAlign w:val="center"/>
                </w:tcPr>
                <w:p w14:paraId="48A80150">
                  <w:pPr>
                    <w:pStyle w:val="38"/>
                    <w:spacing w:before="24" w:after="24"/>
                    <w:rPr>
                      <w:rFonts w:ascii="Times New Roman" w:eastAsia="宋体"/>
                      <w:color w:val="auto"/>
                      <w:sz w:val="18"/>
                      <w:szCs w:val="18"/>
                      <w:u w:val="none"/>
                    </w:rPr>
                  </w:pPr>
                  <w:r>
                    <w:rPr>
                      <w:rFonts w:ascii="Times New Roman" w:eastAsia="宋体"/>
                      <w:color w:val="auto"/>
                      <w:sz w:val="18"/>
                      <w:szCs w:val="18"/>
                      <w:u w:val="none"/>
                    </w:rPr>
                    <w:t>排放源</w:t>
                  </w:r>
                </w:p>
              </w:tc>
              <w:tc>
                <w:tcPr>
                  <w:tcW w:w="1302" w:type="pct"/>
                  <w:vAlign w:val="center"/>
                </w:tcPr>
                <w:p w14:paraId="4C5FBAFB">
                  <w:pPr>
                    <w:pStyle w:val="38"/>
                    <w:spacing w:before="24" w:after="24"/>
                    <w:rPr>
                      <w:rFonts w:ascii="Times New Roman" w:eastAsia="宋体"/>
                      <w:color w:val="auto"/>
                      <w:sz w:val="18"/>
                      <w:szCs w:val="18"/>
                      <w:u w:val="none"/>
                    </w:rPr>
                  </w:pPr>
                  <w:r>
                    <w:rPr>
                      <w:rFonts w:ascii="Times New Roman" w:eastAsia="宋体"/>
                      <w:color w:val="auto"/>
                      <w:sz w:val="18"/>
                      <w:szCs w:val="18"/>
                      <w:u w:val="none"/>
                    </w:rPr>
                    <w:t>监测因子</w:t>
                  </w:r>
                </w:p>
              </w:tc>
              <w:tc>
                <w:tcPr>
                  <w:tcW w:w="868" w:type="pct"/>
                  <w:vAlign w:val="center"/>
                </w:tcPr>
                <w:p w14:paraId="1DCB19C8">
                  <w:pPr>
                    <w:pStyle w:val="38"/>
                    <w:spacing w:before="24" w:after="24"/>
                    <w:rPr>
                      <w:rFonts w:ascii="Times New Roman" w:eastAsia="宋体"/>
                      <w:color w:val="auto"/>
                      <w:sz w:val="18"/>
                      <w:szCs w:val="18"/>
                      <w:u w:val="none"/>
                    </w:rPr>
                  </w:pPr>
                  <w:r>
                    <w:rPr>
                      <w:rFonts w:ascii="Times New Roman" w:eastAsia="宋体"/>
                      <w:color w:val="auto"/>
                      <w:sz w:val="18"/>
                      <w:szCs w:val="18"/>
                      <w:u w:val="none"/>
                    </w:rPr>
                    <w:t>监测点</w:t>
                  </w:r>
                </w:p>
              </w:tc>
              <w:tc>
                <w:tcPr>
                  <w:tcW w:w="784" w:type="pct"/>
                  <w:vAlign w:val="center"/>
                </w:tcPr>
                <w:p w14:paraId="26F030CE">
                  <w:pPr>
                    <w:pStyle w:val="38"/>
                    <w:spacing w:before="24" w:after="24"/>
                    <w:rPr>
                      <w:rFonts w:ascii="Times New Roman" w:eastAsia="宋体"/>
                      <w:color w:val="auto"/>
                      <w:sz w:val="18"/>
                      <w:szCs w:val="18"/>
                      <w:u w:val="none"/>
                    </w:rPr>
                  </w:pPr>
                  <w:r>
                    <w:rPr>
                      <w:rFonts w:ascii="Times New Roman" w:eastAsia="宋体"/>
                      <w:color w:val="auto"/>
                      <w:sz w:val="18"/>
                      <w:szCs w:val="18"/>
                      <w:u w:val="none"/>
                    </w:rPr>
                    <w:t>监测频率</w:t>
                  </w:r>
                </w:p>
              </w:tc>
            </w:tr>
            <w:tr w14:paraId="7E4B88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 w:type="pct"/>
                  <w:vAlign w:val="center"/>
                </w:tcPr>
                <w:p w14:paraId="67BF9102">
                  <w:pPr>
                    <w:pStyle w:val="38"/>
                    <w:spacing w:before="24" w:after="24"/>
                    <w:rPr>
                      <w:rFonts w:ascii="Times New Roman" w:eastAsia="宋体"/>
                      <w:color w:val="auto"/>
                      <w:sz w:val="18"/>
                      <w:szCs w:val="18"/>
                      <w:u w:val="none"/>
                    </w:rPr>
                  </w:pPr>
                  <w:r>
                    <w:rPr>
                      <w:rFonts w:ascii="Times New Roman" w:eastAsia="宋体"/>
                      <w:color w:val="auto"/>
                      <w:sz w:val="18"/>
                      <w:szCs w:val="18"/>
                      <w:u w:val="none"/>
                    </w:rPr>
                    <w:t>噪声</w:t>
                  </w:r>
                </w:p>
              </w:tc>
              <w:tc>
                <w:tcPr>
                  <w:tcW w:w="1224" w:type="pct"/>
                  <w:vAlign w:val="center"/>
                </w:tcPr>
                <w:p w14:paraId="6D4D4F50">
                  <w:pPr>
                    <w:pStyle w:val="38"/>
                    <w:spacing w:before="24" w:after="24"/>
                    <w:rPr>
                      <w:rFonts w:ascii="Times New Roman" w:eastAsia="宋体"/>
                      <w:color w:val="auto"/>
                      <w:sz w:val="18"/>
                      <w:szCs w:val="18"/>
                      <w:u w:val="none"/>
                    </w:rPr>
                  </w:pPr>
                  <w:r>
                    <w:rPr>
                      <w:rFonts w:ascii="Times New Roman" w:eastAsia="宋体"/>
                      <w:color w:val="auto"/>
                      <w:sz w:val="18"/>
                      <w:szCs w:val="18"/>
                      <w:u w:val="none"/>
                    </w:rPr>
                    <w:t>连续等效A声级</w:t>
                  </w:r>
                </w:p>
              </w:tc>
              <w:tc>
                <w:tcPr>
                  <w:tcW w:w="1302" w:type="pct"/>
                  <w:vAlign w:val="center"/>
                </w:tcPr>
                <w:p w14:paraId="39E60244">
                  <w:pPr>
                    <w:pStyle w:val="38"/>
                    <w:spacing w:before="24" w:after="24"/>
                    <w:rPr>
                      <w:rFonts w:ascii="Times New Roman" w:eastAsia="宋体"/>
                      <w:color w:val="auto"/>
                      <w:sz w:val="18"/>
                      <w:szCs w:val="18"/>
                      <w:u w:val="none"/>
                    </w:rPr>
                  </w:pPr>
                  <w:r>
                    <w:rPr>
                      <w:rFonts w:ascii="Times New Roman" w:eastAsia="宋体"/>
                      <w:color w:val="auto"/>
                      <w:sz w:val="18"/>
                      <w:szCs w:val="18"/>
                      <w:u w:val="none"/>
                    </w:rPr>
                    <w:t>连续等效A声级</w:t>
                  </w:r>
                </w:p>
              </w:tc>
              <w:tc>
                <w:tcPr>
                  <w:tcW w:w="868" w:type="pct"/>
                  <w:vAlign w:val="center"/>
                </w:tcPr>
                <w:p w14:paraId="4A31BD49">
                  <w:pPr>
                    <w:pStyle w:val="38"/>
                    <w:spacing w:before="24" w:after="24"/>
                    <w:rPr>
                      <w:rFonts w:ascii="Times New Roman" w:eastAsia="宋体"/>
                      <w:color w:val="auto"/>
                      <w:sz w:val="18"/>
                      <w:szCs w:val="18"/>
                      <w:u w:val="none"/>
                    </w:rPr>
                  </w:pPr>
                  <w:r>
                    <w:rPr>
                      <w:rFonts w:ascii="Times New Roman" w:eastAsia="宋体"/>
                      <w:color w:val="auto"/>
                      <w:sz w:val="18"/>
                      <w:szCs w:val="18"/>
                      <w:u w:val="none"/>
                    </w:rPr>
                    <w:t>厂界四周</w:t>
                  </w:r>
                </w:p>
              </w:tc>
              <w:tc>
                <w:tcPr>
                  <w:tcW w:w="784" w:type="pct"/>
                  <w:vAlign w:val="center"/>
                </w:tcPr>
                <w:p w14:paraId="3DAEF471">
                  <w:pPr>
                    <w:pStyle w:val="38"/>
                    <w:spacing w:before="24" w:after="24"/>
                    <w:rPr>
                      <w:rFonts w:ascii="Times New Roman" w:eastAsia="宋体"/>
                      <w:color w:val="auto"/>
                      <w:sz w:val="18"/>
                      <w:szCs w:val="18"/>
                      <w:u w:val="none"/>
                    </w:rPr>
                  </w:pPr>
                  <w:r>
                    <w:rPr>
                      <w:rFonts w:ascii="Times New Roman" w:eastAsia="宋体"/>
                      <w:color w:val="auto"/>
                      <w:sz w:val="18"/>
                      <w:szCs w:val="18"/>
                      <w:u w:val="none"/>
                    </w:rPr>
                    <w:t xml:space="preserve">1次/季度    </w:t>
                  </w:r>
                </w:p>
              </w:tc>
            </w:tr>
          </w:tbl>
          <w:p w14:paraId="1B0D73EB">
            <w:pPr>
              <w:pStyle w:val="2"/>
              <w:adjustRightInd w:val="0"/>
              <w:spacing w:before="0" w:after="0" w:line="240" w:lineRule="auto"/>
              <w:rPr>
                <w:color w:val="auto"/>
                <w:sz w:val="10"/>
                <w:szCs w:val="10"/>
              </w:rPr>
            </w:pPr>
          </w:p>
          <w:p w14:paraId="6C2DA199">
            <w:pPr>
              <w:pStyle w:val="9"/>
              <w:adjustRightInd w:val="0"/>
              <w:snapToGrid w:val="0"/>
              <w:spacing w:line="336" w:lineRule="auto"/>
              <w:jc w:val="both"/>
              <w:rPr>
                <w:rFonts w:ascii="Times New Roman" w:cs="Times New Roman"/>
                <w:color w:val="auto"/>
                <w:sz w:val="21"/>
                <w:szCs w:val="21"/>
              </w:rPr>
            </w:pPr>
            <w:r>
              <w:rPr>
                <w:rFonts w:hint="eastAsia" w:ascii="Times New Roman" w:cs="Times New Roman"/>
                <w:color w:val="auto"/>
                <w:sz w:val="21"/>
                <w:szCs w:val="21"/>
              </w:rPr>
              <w:t>4、固体废物</w:t>
            </w:r>
          </w:p>
          <w:p w14:paraId="4CCCCAAC">
            <w:pPr>
              <w:pStyle w:val="66"/>
              <w:adjustRightInd w:val="0"/>
              <w:snapToGrid w:val="0"/>
              <w:spacing w:line="360" w:lineRule="auto"/>
              <w:ind w:firstLineChars="200"/>
              <w:rPr>
                <w:rFonts w:ascii="Times New Roman" w:hAnsi="Times New Roman" w:cs="Times New Roman"/>
                <w:i w:val="0"/>
                <w:iCs w:val="0"/>
                <w:color w:val="0000FF"/>
                <w:sz w:val="21"/>
                <w:szCs w:val="21"/>
                <w:u w:val="single"/>
              </w:rPr>
            </w:pPr>
            <w:r>
              <w:rPr>
                <w:rFonts w:ascii="Times New Roman" w:hAnsi="Times New Roman" w:cs="Times New Roman"/>
                <w:i w:val="0"/>
                <w:iCs w:val="0"/>
                <w:color w:val="auto"/>
                <w:sz w:val="21"/>
                <w:szCs w:val="21"/>
                <w:u w:val="single"/>
              </w:rPr>
              <w:t>本项目固体废物主要为生活垃圾</w:t>
            </w:r>
            <w:r>
              <w:rPr>
                <w:rFonts w:hint="eastAsia" w:ascii="Times New Roman" w:hAnsi="Times New Roman" w:cs="Times New Roman"/>
                <w:i w:val="0"/>
                <w:iCs w:val="0"/>
                <w:color w:val="auto"/>
                <w:sz w:val="21"/>
                <w:szCs w:val="21"/>
                <w:u w:val="single"/>
                <w:lang w:val="en-US" w:eastAsia="zh-CN"/>
              </w:rPr>
              <w:t>及废包装物、除尘灰、</w:t>
            </w:r>
            <w:r>
              <w:rPr>
                <w:rFonts w:hint="eastAsia" w:ascii="Times New Roman" w:hAnsi="Times New Roman" w:cs="Times New Roman"/>
                <w:i w:val="0"/>
                <w:iCs w:val="0"/>
                <w:color w:val="0000FF"/>
                <w:sz w:val="21"/>
                <w:szCs w:val="21"/>
                <w:u w:val="single"/>
                <w:lang w:val="en-US" w:eastAsia="zh-CN"/>
              </w:rPr>
              <w:t>废布袋</w:t>
            </w:r>
            <w:r>
              <w:rPr>
                <w:rFonts w:hint="eastAsia" w:ascii="Times New Roman" w:hAnsi="Times New Roman" w:cs="Times New Roman"/>
                <w:i w:val="0"/>
                <w:iCs w:val="0"/>
                <w:color w:val="auto"/>
                <w:sz w:val="21"/>
                <w:szCs w:val="21"/>
                <w:u w:val="single"/>
                <w:lang w:val="en-US" w:eastAsia="zh-CN"/>
              </w:rPr>
              <w:t>；</w:t>
            </w:r>
            <w:r>
              <w:rPr>
                <w:rFonts w:hint="eastAsia" w:ascii="Times New Roman" w:hAnsi="Times New Roman" w:cs="Times New Roman"/>
                <w:i w:val="0"/>
                <w:iCs w:val="0"/>
                <w:color w:val="0000FF"/>
                <w:sz w:val="21"/>
                <w:szCs w:val="21"/>
                <w:u w:val="single"/>
                <w:lang w:val="en-US" w:eastAsia="zh-CN"/>
              </w:rPr>
              <w:t>设备维护保养委托专业维修单位进行，主要添加润滑脂等；车辆维修保养不在厂区内进行，外委保养，故无废机油等产生</w:t>
            </w:r>
            <w:r>
              <w:rPr>
                <w:rFonts w:ascii="Times New Roman" w:hAnsi="Times New Roman" w:cs="Times New Roman"/>
                <w:i w:val="0"/>
                <w:iCs w:val="0"/>
                <w:color w:val="0000FF"/>
                <w:sz w:val="21"/>
                <w:szCs w:val="21"/>
                <w:u w:val="single"/>
              </w:rPr>
              <w:t>。</w:t>
            </w:r>
          </w:p>
          <w:p w14:paraId="050901D6">
            <w:pPr>
              <w:pStyle w:val="66"/>
              <w:adjustRightInd w:val="0"/>
              <w:snapToGrid w:val="0"/>
              <w:spacing w:line="360" w:lineRule="auto"/>
              <w:ind w:firstLineChars="200"/>
              <w:rPr>
                <w:rFonts w:hint="default" w:eastAsiaTheme="minorEastAsia"/>
                <w:i w:val="0"/>
                <w:iCs w:val="0"/>
                <w:color w:val="0000FF"/>
                <w:u w:val="single"/>
                <w:lang w:val="en-US" w:eastAsia="zh-CN"/>
              </w:rPr>
            </w:pPr>
            <w:r>
              <w:rPr>
                <w:rFonts w:ascii="Times New Roman" w:hAnsi="Times New Roman" w:cs="Times New Roman"/>
                <w:i w:val="0"/>
                <w:iCs w:val="0"/>
                <w:color w:val="auto"/>
                <w:sz w:val="21"/>
                <w:szCs w:val="21"/>
                <w:u w:val="single"/>
              </w:rPr>
              <w:t>生活垃圾产生量按0.5kg/人·d计，则生活垃圾产生量为</w:t>
            </w:r>
            <w:r>
              <w:rPr>
                <w:rFonts w:hint="eastAsia" w:ascii="Times New Roman" w:hAnsi="Times New Roman" w:cs="Times New Roman"/>
                <w:i w:val="0"/>
                <w:iCs w:val="0"/>
                <w:color w:val="auto"/>
                <w:sz w:val="21"/>
                <w:szCs w:val="21"/>
                <w:u w:val="single"/>
                <w:lang w:val="en-US" w:eastAsia="zh-CN"/>
              </w:rPr>
              <w:t>0.5</w:t>
            </w:r>
            <w:r>
              <w:rPr>
                <w:rFonts w:ascii="Times New Roman" w:hAnsi="Times New Roman" w:cs="Times New Roman"/>
                <w:i w:val="0"/>
                <w:iCs w:val="0"/>
                <w:color w:val="auto"/>
                <w:sz w:val="21"/>
                <w:szCs w:val="21"/>
                <w:u w:val="single"/>
              </w:rPr>
              <w:t>t/a，生活垃圾集中收集后，由环卫部门统一运至生活垃圾填埋场</w:t>
            </w:r>
            <w:r>
              <w:rPr>
                <w:rFonts w:hint="eastAsia" w:ascii="Times New Roman" w:hAnsi="Times New Roman" w:cs="Times New Roman"/>
                <w:i w:val="0"/>
                <w:iCs w:val="0"/>
                <w:color w:val="auto"/>
                <w:sz w:val="21"/>
                <w:szCs w:val="21"/>
                <w:u w:val="single"/>
                <w:lang w:eastAsia="zh-CN"/>
              </w:rPr>
              <w:t>；</w:t>
            </w:r>
            <w:r>
              <w:rPr>
                <w:rFonts w:hint="eastAsia" w:ascii="Times New Roman" w:hAnsi="Times New Roman" w:cs="Times New Roman"/>
                <w:i w:val="0"/>
                <w:iCs w:val="0"/>
                <w:color w:val="auto"/>
                <w:sz w:val="21"/>
                <w:szCs w:val="21"/>
                <w:u w:val="single"/>
                <w:lang w:val="en-US" w:eastAsia="zh-CN"/>
              </w:rPr>
              <w:t>发酵菌剂及生物除臭剂、珍珠岩等会产生废包装物，产生量为0.5t/a，集中收集，外卖处理；除尘灰产生量为5.4945t/a，集中收集，回用于生产；</w:t>
            </w:r>
            <w:r>
              <w:rPr>
                <w:rFonts w:hint="eastAsia" w:ascii="Times New Roman" w:hAnsi="Times New Roman" w:cs="Times New Roman"/>
                <w:i w:val="0"/>
                <w:iCs w:val="0"/>
                <w:color w:val="0000FF"/>
                <w:sz w:val="21"/>
                <w:szCs w:val="21"/>
                <w:u w:val="single"/>
                <w:lang w:val="en-US" w:eastAsia="zh-CN"/>
              </w:rPr>
              <w:t>布袋除尘器约每年更换一次，产生量约为0.03t/a，由厂界负责更换处置。</w:t>
            </w:r>
          </w:p>
          <w:p w14:paraId="15C83688">
            <w:pPr>
              <w:pStyle w:val="90"/>
              <w:adjustRightInd w:val="0"/>
              <w:snapToGrid w:val="0"/>
              <w:spacing w:after="0"/>
              <w:ind w:firstLine="0" w:firstLineChars="0"/>
              <w:jc w:val="center"/>
              <w:rPr>
                <w:rFonts w:ascii="宋体" w:hAnsi="宋体"/>
                <w:bCs/>
                <w:i w:val="0"/>
                <w:iCs w:val="0"/>
                <w:color w:val="auto"/>
                <w:sz w:val="21"/>
                <w:szCs w:val="21"/>
                <w:u w:val="single"/>
              </w:rPr>
            </w:pPr>
            <w:r>
              <w:rPr>
                <w:rFonts w:hint="eastAsia" w:ascii="宋体" w:hAnsi="宋体"/>
                <w:bCs/>
                <w:i w:val="0"/>
                <w:iCs w:val="0"/>
                <w:color w:val="auto"/>
                <w:sz w:val="21"/>
                <w:szCs w:val="21"/>
                <w:u w:val="single"/>
              </w:rPr>
              <w:t>固废产生情况一览表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981"/>
              <w:gridCol w:w="1051"/>
              <w:gridCol w:w="1270"/>
              <w:gridCol w:w="2941"/>
            </w:tblGrid>
            <w:tr w14:paraId="6E553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92" w:type="pct"/>
                  <w:tcBorders>
                    <w:tl2br w:val="nil"/>
                    <w:tr2bl w:val="nil"/>
                  </w:tcBorders>
                  <w:vAlign w:val="center"/>
                </w:tcPr>
                <w:p w14:paraId="370DFB9B">
                  <w:pPr>
                    <w:jc w:val="center"/>
                    <w:rPr>
                      <w:rFonts w:hint="default" w:ascii="Times New Roman" w:hAnsi="Times New Roman" w:eastAsia="宋体" w:cs="Times New Roman"/>
                      <w:bCs/>
                      <w:i w:val="0"/>
                      <w:iCs w:val="0"/>
                      <w:color w:val="auto"/>
                      <w:sz w:val="18"/>
                      <w:szCs w:val="18"/>
                      <w:u w:val="single"/>
                    </w:rPr>
                  </w:pPr>
                  <w:bookmarkStart w:id="2" w:name="_Hlk38727427"/>
                  <w:r>
                    <w:rPr>
                      <w:rFonts w:hint="default" w:ascii="Times New Roman" w:hAnsi="Times New Roman" w:eastAsia="宋体" w:cs="Times New Roman"/>
                      <w:bCs/>
                      <w:i w:val="0"/>
                      <w:iCs w:val="0"/>
                      <w:color w:val="auto"/>
                      <w:sz w:val="18"/>
                      <w:szCs w:val="18"/>
                      <w:u w:val="single"/>
                    </w:rPr>
                    <w:t>序号</w:t>
                  </w:r>
                  <w:bookmarkEnd w:id="2"/>
                </w:p>
              </w:tc>
              <w:tc>
                <w:tcPr>
                  <w:tcW w:w="1260" w:type="pct"/>
                  <w:tcBorders>
                    <w:tl2br w:val="nil"/>
                    <w:tr2bl w:val="nil"/>
                  </w:tcBorders>
                  <w:vAlign w:val="center"/>
                </w:tcPr>
                <w:p w14:paraId="23F365D8">
                  <w:pPr>
                    <w:jc w:val="center"/>
                    <w:rPr>
                      <w:rFonts w:hint="default" w:ascii="Times New Roman" w:hAnsi="Times New Roman" w:eastAsia="宋体" w:cs="Times New Roman"/>
                      <w:bCs/>
                      <w:i w:val="0"/>
                      <w:iCs w:val="0"/>
                      <w:color w:val="auto"/>
                      <w:sz w:val="18"/>
                      <w:szCs w:val="18"/>
                      <w:u w:val="single"/>
                    </w:rPr>
                  </w:pPr>
                  <w:r>
                    <w:rPr>
                      <w:rFonts w:hint="default" w:ascii="Times New Roman" w:hAnsi="Times New Roman" w:eastAsia="宋体" w:cs="Times New Roman"/>
                      <w:bCs/>
                      <w:i w:val="0"/>
                      <w:iCs w:val="0"/>
                      <w:color w:val="auto"/>
                      <w:sz w:val="18"/>
                      <w:szCs w:val="18"/>
                      <w:u w:val="single"/>
                    </w:rPr>
                    <w:t>名称</w:t>
                  </w:r>
                </w:p>
              </w:tc>
              <w:tc>
                <w:tcPr>
                  <w:tcW w:w="668" w:type="pct"/>
                  <w:tcBorders>
                    <w:tl2br w:val="nil"/>
                    <w:tr2bl w:val="nil"/>
                  </w:tcBorders>
                  <w:vAlign w:val="center"/>
                </w:tcPr>
                <w:p w14:paraId="5CC262EC">
                  <w:pPr>
                    <w:jc w:val="center"/>
                    <w:rPr>
                      <w:rFonts w:hint="default" w:ascii="Times New Roman" w:hAnsi="Times New Roman" w:eastAsia="宋体" w:cs="Times New Roman"/>
                      <w:bCs/>
                      <w:i w:val="0"/>
                      <w:iCs w:val="0"/>
                      <w:color w:val="auto"/>
                      <w:sz w:val="18"/>
                      <w:szCs w:val="18"/>
                      <w:u w:val="single"/>
                    </w:rPr>
                  </w:pPr>
                  <w:r>
                    <w:rPr>
                      <w:rFonts w:hint="default" w:ascii="Times New Roman" w:hAnsi="Times New Roman" w:eastAsia="宋体" w:cs="Times New Roman"/>
                      <w:bCs/>
                      <w:i w:val="0"/>
                      <w:iCs w:val="0"/>
                      <w:color w:val="auto"/>
                      <w:sz w:val="18"/>
                      <w:szCs w:val="18"/>
                      <w:u w:val="single"/>
                    </w:rPr>
                    <w:t>产生量（t/a）</w:t>
                  </w:r>
                </w:p>
              </w:tc>
              <w:tc>
                <w:tcPr>
                  <w:tcW w:w="807" w:type="pct"/>
                  <w:tcBorders>
                    <w:tl2br w:val="nil"/>
                    <w:tr2bl w:val="nil"/>
                  </w:tcBorders>
                  <w:vAlign w:val="center"/>
                </w:tcPr>
                <w:p w14:paraId="50100408">
                  <w:pPr>
                    <w:jc w:val="center"/>
                    <w:rPr>
                      <w:rFonts w:hint="default" w:ascii="Times New Roman" w:hAnsi="Times New Roman" w:eastAsia="宋体" w:cs="Times New Roman"/>
                      <w:bCs/>
                      <w:i w:val="0"/>
                      <w:iCs w:val="0"/>
                      <w:color w:val="auto"/>
                      <w:sz w:val="18"/>
                      <w:szCs w:val="18"/>
                      <w:u w:val="single"/>
                    </w:rPr>
                  </w:pPr>
                  <w:r>
                    <w:rPr>
                      <w:rFonts w:hint="default" w:ascii="Times New Roman" w:hAnsi="Times New Roman" w:eastAsia="宋体" w:cs="Times New Roman"/>
                      <w:bCs/>
                      <w:i w:val="0"/>
                      <w:iCs w:val="0"/>
                      <w:color w:val="auto"/>
                      <w:sz w:val="18"/>
                      <w:szCs w:val="18"/>
                      <w:u w:val="single"/>
                    </w:rPr>
                    <w:t>代码</w:t>
                  </w:r>
                </w:p>
              </w:tc>
              <w:tc>
                <w:tcPr>
                  <w:tcW w:w="1870" w:type="pct"/>
                  <w:tcBorders>
                    <w:tl2br w:val="nil"/>
                    <w:tr2bl w:val="nil"/>
                  </w:tcBorders>
                  <w:vAlign w:val="center"/>
                </w:tcPr>
                <w:p w14:paraId="65AFCB4C">
                  <w:pPr>
                    <w:jc w:val="center"/>
                    <w:rPr>
                      <w:rFonts w:hint="default" w:ascii="Times New Roman" w:hAnsi="Times New Roman" w:eastAsia="宋体" w:cs="Times New Roman"/>
                      <w:bCs/>
                      <w:i w:val="0"/>
                      <w:iCs w:val="0"/>
                      <w:color w:val="auto"/>
                      <w:sz w:val="18"/>
                      <w:szCs w:val="18"/>
                      <w:u w:val="single"/>
                    </w:rPr>
                  </w:pPr>
                  <w:r>
                    <w:rPr>
                      <w:rFonts w:hint="default" w:ascii="Times New Roman" w:hAnsi="Times New Roman" w:eastAsia="宋体" w:cs="Times New Roman"/>
                      <w:bCs/>
                      <w:i w:val="0"/>
                      <w:iCs w:val="0"/>
                      <w:color w:val="auto"/>
                      <w:sz w:val="18"/>
                      <w:szCs w:val="18"/>
                      <w:u w:val="single"/>
                    </w:rPr>
                    <w:t>处置方式</w:t>
                  </w:r>
                </w:p>
              </w:tc>
            </w:tr>
            <w:tr w14:paraId="234DE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92" w:type="pct"/>
                  <w:tcBorders>
                    <w:tl2br w:val="nil"/>
                    <w:tr2bl w:val="nil"/>
                  </w:tcBorders>
                  <w:vAlign w:val="center"/>
                </w:tcPr>
                <w:p w14:paraId="01F55316">
                  <w:pPr>
                    <w:jc w:val="center"/>
                    <w:rPr>
                      <w:rFonts w:hint="default" w:ascii="Times New Roman" w:hAnsi="Times New Roman" w:eastAsia="宋体" w:cs="Times New Roman"/>
                      <w:i w:val="0"/>
                      <w:iCs w:val="0"/>
                      <w:color w:val="auto"/>
                      <w:sz w:val="18"/>
                      <w:szCs w:val="18"/>
                      <w:u w:val="single"/>
                    </w:rPr>
                  </w:pPr>
                  <w:r>
                    <w:rPr>
                      <w:rFonts w:hint="default" w:ascii="Times New Roman" w:hAnsi="Times New Roman" w:eastAsia="宋体" w:cs="Times New Roman"/>
                      <w:i w:val="0"/>
                      <w:iCs w:val="0"/>
                      <w:color w:val="auto"/>
                      <w:sz w:val="18"/>
                      <w:szCs w:val="18"/>
                      <w:u w:val="single"/>
                    </w:rPr>
                    <w:t>1</w:t>
                  </w:r>
                </w:p>
              </w:tc>
              <w:tc>
                <w:tcPr>
                  <w:tcW w:w="1260" w:type="pct"/>
                  <w:tcBorders>
                    <w:tl2br w:val="nil"/>
                    <w:tr2bl w:val="nil"/>
                  </w:tcBorders>
                  <w:vAlign w:val="center"/>
                </w:tcPr>
                <w:p w14:paraId="648A6D2D">
                  <w:pPr>
                    <w:pStyle w:val="38"/>
                    <w:spacing w:beforeLines="0" w:afterLines="0" w:line="240" w:lineRule="auto"/>
                    <w:rPr>
                      <w:rFonts w:hint="default" w:ascii="Times New Roman" w:hAnsi="Times New Roman" w:eastAsia="宋体" w:cs="Times New Roman"/>
                      <w:i w:val="0"/>
                      <w:iCs w:val="0"/>
                      <w:snapToGrid w:val="0"/>
                      <w:color w:val="auto"/>
                      <w:kern w:val="21"/>
                      <w:sz w:val="18"/>
                      <w:szCs w:val="18"/>
                      <w:u w:val="single"/>
                    </w:rPr>
                  </w:pPr>
                  <w:r>
                    <w:rPr>
                      <w:rFonts w:hint="default" w:ascii="Times New Roman" w:hAnsi="Times New Roman" w:eastAsia="宋体" w:cs="Times New Roman"/>
                      <w:i w:val="0"/>
                      <w:iCs w:val="0"/>
                      <w:snapToGrid w:val="0"/>
                      <w:color w:val="auto"/>
                      <w:kern w:val="21"/>
                      <w:sz w:val="18"/>
                      <w:szCs w:val="18"/>
                      <w:u w:val="single"/>
                    </w:rPr>
                    <w:t>生活垃圾</w:t>
                  </w:r>
                </w:p>
              </w:tc>
              <w:tc>
                <w:tcPr>
                  <w:tcW w:w="668" w:type="pct"/>
                  <w:tcBorders>
                    <w:tl2br w:val="nil"/>
                    <w:tr2bl w:val="nil"/>
                  </w:tcBorders>
                  <w:vAlign w:val="center"/>
                </w:tcPr>
                <w:p w14:paraId="6596F5DD">
                  <w:pPr>
                    <w:pStyle w:val="38"/>
                    <w:spacing w:beforeLines="0" w:afterLines="0" w:line="240" w:lineRule="auto"/>
                    <w:rPr>
                      <w:rFonts w:hint="default" w:ascii="Times New Roman" w:hAnsi="Times New Roman" w:eastAsia="宋体" w:cs="Times New Roman"/>
                      <w:i w:val="0"/>
                      <w:iCs w:val="0"/>
                      <w:snapToGrid w:val="0"/>
                      <w:color w:val="auto"/>
                      <w:kern w:val="21"/>
                      <w:sz w:val="18"/>
                      <w:szCs w:val="18"/>
                      <w:u w:val="single"/>
                      <w:lang w:val="en-US" w:eastAsia="zh-CN"/>
                    </w:rPr>
                  </w:pPr>
                  <w:r>
                    <w:rPr>
                      <w:rFonts w:hint="eastAsia" w:ascii="Times New Roman" w:hAnsi="Times New Roman" w:eastAsia="宋体" w:cs="Times New Roman"/>
                      <w:i w:val="0"/>
                      <w:iCs w:val="0"/>
                      <w:color w:val="auto"/>
                      <w:sz w:val="18"/>
                      <w:szCs w:val="18"/>
                      <w:u w:val="single"/>
                      <w:lang w:val="en-US" w:eastAsia="zh-CN"/>
                    </w:rPr>
                    <w:t>0.5</w:t>
                  </w:r>
                </w:p>
              </w:tc>
              <w:tc>
                <w:tcPr>
                  <w:tcW w:w="807" w:type="pct"/>
                  <w:tcBorders>
                    <w:tl2br w:val="nil"/>
                    <w:tr2bl w:val="nil"/>
                  </w:tcBorders>
                  <w:vAlign w:val="center"/>
                </w:tcPr>
                <w:p w14:paraId="753097B9">
                  <w:pPr>
                    <w:jc w:val="center"/>
                    <w:rPr>
                      <w:rFonts w:hint="default" w:ascii="Times New Roman" w:hAnsi="Times New Roman" w:eastAsia="宋体" w:cs="Times New Roman"/>
                      <w:i w:val="0"/>
                      <w:iCs w:val="0"/>
                      <w:color w:val="auto"/>
                      <w:sz w:val="18"/>
                      <w:szCs w:val="18"/>
                      <w:u w:val="single"/>
                    </w:rPr>
                  </w:pPr>
                  <w:r>
                    <w:rPr>
                      <w:rFonts w:hint="default" w:ascii="Times New Roman" w:hAnsi="Times New Roman" w:eastAsia="宋体" w:cs="Times New Roman"/>
                      <w:i w:val="0"/>
                      <w:iCs w:val="0"/>
                      <w:color w:val="auto"/>
                      <w:sz w:val="18"/>
                      <w:szCs w:val="18"/>
                      <w:u w:val="single"/>
                    </w:rPr>
                    <w:t>900-</w:t>
                  </w:r>
                  <w:r>
                    <w:rPr>
                      <w:rFonts w:hint="default" w:ascii="Times New Roman" w:hAnsi="Times New Roman" w:eastAsia="宋体" w:cs="Times New Roman"/>
                      <w:i w:val="0"/>
                      <w:iCs w:val="0"/>
                      <w:color w:val="auto"/>
                      <w:sz w:val="18"/>
                      <w:szCs w:val="18"/>
                      <w:u w:val="single"/>
                      <w:lang w:val="en-US" w:eastAsia="zh-CN"/>
                    </w:rPr>
                    <w:t>001-S60</w:t>
                  </w:r>
                </w:p>
              </w:tc>
              <w:tc>
                <w:tcPr>
                  <w:tcW w:w="1870" w:type="pct"/>
                  <w:tcBorders>
                    <w:tl2br w:val="nil"/>
                    <w:tr2bl w:val="nil"/>
                  </w:tcBorders>
                  <w:vAlign w:val="center"/>
                </w:tcPr>
                <w:p w14:paraId="34CE3403">
                  <w:pPr>
                    <w:jc w:val="center"/>
                    <w:rPr>
                      <w:rFonts w:hint="default" w:ascii="Times New Roman" w:hAnsi="Times New Roman" w:eastAsia="宋体" w:cs="Times New Roman"/>
                      <w:i w:val="0"/>
                      <w:iCs w:val="0"/>
                      <w:color w:val="auto"/>
                      <w:sz w:val="18"/>
                      <w:szCs w:val="18"/>
                      <w:u w:val="single"/>
                    </w:rPr>
                  </w:pPr>
                  <w:r>
                    <w:rPr>
                      <w:rFonts w:hint="default" w:ascii="Times New Roman" w:hAnsi="Times New Roman" w:eastAsia="宋体" w:cs="Times New Roman"/>
                      <w:i w:val="0"/>
                      <w:iCs w:val="0"/>
                      <w:color w:val="auto"/>
                      <w:sz w:val="18"/>
                      <w:szCs w:val="18"/>
                      <w:u w:val="single"/>
                    </w:rPr>
                    <w:t>集中收集，环卫定期清运</w:t>
                  </w:r>
                </w:p>
              </w:tc>
            </w:tr>
            <w:tr w14:paraId="22958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92" w:type="pct"/>
                  <w:tcBorders>
                    <w:tl2br w:val="nil"/>
                    <w:tr2bl w:val="nil"/>
                  </w:tcBorders>
                  <w:vAlign w:val="center"/>
                </w:tcPr>
                <w:p w14:paraId="5245FDA7">
                  <w:pPr>
                    <w:jc w:val="center"/>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2</w:t>
                  </w:r>
                </w:p>
              </w:tc>
              <w:tc>
                <w:tcPr>
                  <w:tcW w:w="1260" w:type="pct"/>
                  <w:tcBorders>
                    <w:tl2br w:val="nil"/>
                    <w:tr2bl w:val="nil"/>
                  </w:tcBorders>
                  <w:vAlign w:val="center"/>
                </w:tcPr>
                <w:p w14:paraId="2D6320D3">
                  <w:pPr>
                    <w:pStyle w:val="38"/>
                    <w:spacing w:beforeLines="0" w:afterLines="0" w:line="240" w:lineRule="auto"/>
                    <w:rPr>
                      <w:rFonts w:hint="default" w:ascii="Times New Roman" w:hAnsi="Times New Roman" w:eastAsia="宋体" w:cs="Times New Roman"/>
                      <w:i w:val="0"/>
                      <w:iCs w:val="0"/>
                      <w:snapToGrid w:val="0"/>
                      <w:color w:val="auto"/>
                      <w:kern w:val="21"/>
                      <w:sz w:val="18"/>
                      <w:szCs w:val="18"/>
                      <w:u w:val="single"/>
                      <w:lang w:val="en-US" w:eastAsia="zh-CN"/>
                    </w:rPr>
                  </w:pPr>
                  <w:r>
                    <w:rPr>
                      <w:rFonts w:hint="default" w:ascii="Times New Roman" w:hAnsi="Times New Roman" w:eastAsia="宋体" w:cs="Times New Roman"/>
                      <w:i w:val="0"/>
                      <w:iCs w:val="0"/>
                      <w:snapToGrid w:val="0"/>
                      <w:color w:val="auto"/>
                      <w:kern w:val="21"/>
                      <w:sz w:val="18"/>
                      <w:szCs w:val="18"/>
                      <w:u w:val="single"/>
                      <w:lang w:val="en-US" w:eastAsia="zh-CN"/>
                    </w:rPr>
                    <w:t>废包装物</w:t>
                  </w:r>
                </w:p>
              </w:tc>
              <w:tc>
                <w:tcPr>
                  <w:tcW w:w="668" w:type="pct"/>
                  <w:tcBorders>
                    <w:tl2br w:val="nil"/>
                    <w:tr2bl w:val="nil"/>
                  </w:tcBorders>
                  <w:vAlign w:val="center"/>
                </w:tcPr>
                <w:p w14:paraId="22C9339A">
                  <w:pPr>
                    <w:pStyle w:val="38"/>
                    <w:spacing w:beforeLines="0" w:afterLines="0" w:line="240" w:lineRule="auto"/>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0.</w:t>
                  </w:r>
                  <w:r>
                    <w:rPr>
                      <w:rFonts w:hint="eastAsia" w:ascii="Times New Roman" w:eastAsia="宋体" w:cs="Times New Roman"/>
                      <w:i w:val="0"/>
                      <w:iCs w:val="0"/>
                      <w:color w:val="auto"/>
                      <w:sz w:val="18"/>
                      <w:szCs w:val="18"/>
                      <w:u w:val="single"/>
                      <w:lang w:val="en-US" w:eastAsia="zh-CN"/>
                    </w:rPr>
                    <w:t>5</w:t>
                  </w:r>
                </w:p>
              </w:tc>
              <w:tc>
                <w:tcPr>
                  <w:tcW w:w="807" w:type="pct"/>
                  <w:tcBorders>
                    <w:tl2br w:val="nil"/>
                    <w:tr2bl w:val="nil"/>
                  </w:tcBorders>
                  <w:vAlign w:val="center"/>
                </w:tcPr>
                <w:p w14:paraId="47D52E63">
                  <w:pPr>
                    <w:jc w:val="center"/>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900-003-S17</w:t>
                  </w:r>
                </w:p>
              </w:tc>
              <w:tc>
                <w:tcPr>
                  <w:tcW w:w="1870" w:type="pct"/>
                  <w:tcBorders>
                    <w:tl2br w:val="nil"/>
                    <w:tr2bl w:val="nil"/>
                  </w:tcBorders>
                  <w:vAlign w:val="center"/>
                </w:tcPr>
                <w:p w14:paraId="42AD3A16">
                  <w:pPr>
                    <w:jc w:val="center"/>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集中收集，外卖处理</w:t>
                  </w:r>
                </w:p>
              </w:tc>
            </w:tr>
            <w:tr w14:paraId="3F4D6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92" w:type="pct"/>
                  <w:tcBorders>
                    <w:tl2br w:val="nil"/>
                    <w:tr2bl w:val="nil"/>
                  </w:tcBorders>
                  <w:vAlign w:val="center"/>
                </w:tcPr>
                <w:p w14:paraId="165CA9F3">
                  <w:pPr>
                    <w:jc w:val="center"/>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3</w:t>
                  </w:r>
                </w:p>
              </w:tc>
              <w:tc>
                <w:tcPr>
                  <w:tcW w:w="1260" w:type="pct"/>
                  <w:tcBorders>
                    <w:tl2br w:val="nil"/>
                    <w:tr2bl w:val="nil"/>
                  </w:tcBorders>
                  <w:vAlign w:val="center"/>
                </w:tcPr>
                <w:p w14:paraId="32FDA566">
                  <w:pPr>
                    <w:pStyle w:val="38"/>
                    <w:spacing w:beforeLines="0" w:afterLines="0" w:line="240" w:lineRule="auto"/>
                    <w:rPr>
                      <w:rFonts w:hint="default" w:ascii="Times New Roman" w:hAnsi="Times New Roman" w:eastAsia="宋体" w:cs="Times New Roman"/>
                      <w:i w:val="0"/>
                      <w:iCs w:val="0"/>
                      <w:snapToGrid w:val="0"/>
                      <w:color w:val="auto"/>
                      <w:kern w:val="21"/>
                      <w:sz w:val="18"/>
                      <w:szCs w:val="18"/>
                      <w:u w:val="single"/>
                      <w:lang w:val="en-US" w:eastAsia="zh-CN"/>
                    </w:rPr>
                  </w:pPr>
                  <w:r>
                    <w:rPr>
                      <w:rFonts w:hint="default" w:ascii="Times New Roman" w:hAnsi="Times New Roman" w:eastAsia="宋体" w:cs="Times New Roman"/>
                      <w:i w:val="0"/>
                      <w:iCs w:val="0"/>
                      <w:snapToGrid w:val="0"/>
                      <w:color w:val="auto"/>
                      <w:kern w:val="21"/>
                      <w:sz w:val="18"/>
                      <w:szCs w:val="18"/>
                      <w:u w:val="single"/>
                      <w:lang w:val="en-US" w:eastAsia="zh-CN"/>
                    </w:rPr>
                    <w:t>除尘灰</w:t>
                  </w:r>
                </w:p>
              </w:tc>
              <w:tc>
                <w:tcPr>
                  <w:tcW w:w="668" w:type="pct"/>
                  <w:tcBorders>
                    <w:tl2br w:val="nil"/>
                    <w:tr2bl w:val="nil"/>
                  </w:tcBorders>
                  <w:vAlign w:val="center"/>
                </w:tcPr>
                <w:p w14:paraId="3A8F9663">
                  <w:pPr>
                    <w:pStyle w:val="38"/>
                    <w:spacing w:beforeLines="0" w:afterLines="0" w:line="240" w:lineRule="auto"/>
                    <w:rPr>
                      <w:rFonts w:hint="default" w:ascii="Times New Roman" w:hAnsi="Times New Roman" w:eastAsia="宋体" w:cs="Times New Roman"/>
                      <w:i w:val="0"/>
                      <w:iCs w:val="0"/>
                      <w:color w:val="auto"/>
                      <w:sz w:val="18"/>
                      <w:szCs w:val="18"/>
                      <w:u w:val="single"/>
                      <w:lang w:val="en-US" w:eastAsia="zh-CN"/>
                    </w:rPr>
                  </w:pPr>
                  <w:r>
                    <w:rPr>
                      <w:rFonts w:hint="eastAsia" w:ascii="Times New Roman" w:eastAsia="宋体" w:cs="Times New Roman"/>
                      <w:i w:val="0"/>
                      <w:iCs w:val="0"/>
                      <w:color w:val="auto"/>
                      <w:sz w:val="18"/>
                      <w:szCs w:val="18"/>
                      <w:u w:val="single"/>
                      <w:lang w:val="en-US" w:eastAsia="zh-CN"/>
                    </w:rPr>
                    <w:t>5.4945</w:t>
                  </w:r>
                </w:p>
              </w:tc>
              <w:tc>
                <w:tcPr>
                  <w:tcW w:w="807" w:type="pct"/>
                  <w:tcBorders>
                    <w:tl2br w:val="nil"/>
                    <w:tr2bl w:val="nil"/>
                  </w:tcBorders>
                  <w:vAlign w:val="center"/>
                </w:tcPr>
                <w:p w14:paraId="0F34B38D">
                  <w:pPr>
                    <w:jc w:val="center"/>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900-009-S59</w:t>
                  </w:r>
                </w:p>
              </w:tc>
              <w:tc>
                <w:tcPr>
                  <w:tcW w:w="1870" w:type="pct"/>
                  <w:tcBorders>
                    <w:tl2br w:val="nil"/>
                    <w:tr2bl w:val="nil"/>
                  </w:tcBorders>
                  <w:vAlign w:val="center"/>
                </w:tcPr>
                <w:p w14:paraId="454F5011">
                  <w:pPr>
                    <w:jc w:val="center"/>
                    <w:rPr>
                      <w:rFonts w:hint="default" w:ascii="Times New Roman" w:hAnsi="Times New Roman" w:eastAsia="宋体" w:cs="Times New Roman"/>
                      <w:i w:val="0"/>
                      <w:iCs w:val="0"/>
                      <w:color w:val="auto"/>
                      <w:sz w:val="18"/>
                      <w:szCs w:val="18"/>
                      <w:u w:val="single"/>
                      <w:lang w:val="en-US" w:eastAsia="zh-CN"/>
                    </w:rPr>
                  </w:pPr>
                  <w:r>
                    <w:rPr>
                      <w:rFonts w:hint="default" w:ascii="Times New Roman" w:hAnsi="Times New Roman" w:eastAsia="宋体" w:cs="Times New Roman"/>
                      <w:i w:val="0"/>
                      <w:iCs w:val="0"/>
                      <w:color w:val="auto"/>
                      <w:sz w:val="18"/>
                      <w:szCs w:val="18"/>
                      <w:u w:val="single"/>
                      <w:lang w:val="en-US" w:eastAsia="zh-CN"/>
                    </w:rPr>
                    <w:t>集中收集，回用于生产</w:t>
                  </w:r>
                </w:p>
              </w:tc>
            </w:tr>
            <w:tr w14:paraId="31944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92" w:type="pct"/>
                  <w:tcBorders>
                    <w:tl2br w:val="nil"/>
                    <w:tr2bl w:val="nil"/>
                  </w:tcBorders>
                  <w:vAlign w:val="center"/>
                </w:tcPr>
                <w:p w14:paraId="34AB0004">
                  <w:pPr>
                    <w:jc w:val="center"/>
                    <w:rPr>
                      <w:rFonts w:hint="default" w:ascii="Times New Roman" w:hAnsi="Times New Roman" w:eastAsia="宋体" w:cs="Times New Roman"/>
                      <w:i w:val="0"/>
                      <w:iCs w:val="0"/>
                      <w:color w:val="0000FF"/>
                      <w:sz w:val="18"/>
                      <w:szCs w:val="18"/>
                      <w:u w:val="single"/>
                      <w:lang w:val="en-US" w:eastAsia="zh-CN"/>
                    </w:rPr>
                  </w:pPr>
                  <w:r>
                    <w:rPr>
                      <w:rFonts w:hint="eastAsia" w:cs="Times New Roman"/>
                      <w:i w:val="0"/>
                      <w:iCs w:val="0"/>
                      <w:color w:val="0000FF"/>
                      <w:sz w:val="18"/>
                      <w:szCs w:val="18"/>
                      <w:u w:val="single"/>
                      <w:lang w:val="en-US" w:eastAsia="zh-CN"/>
                    </w:rPr>
                    <w:t>4</w:t>
                  </w:r>
                </w:p>
              </w:tc>
              <w:tc>
                <w:tcPr>
                  <w:tcW w:w="1260" w:type="pct"/>
                  <w:tcBorders>
                    <w:tl2br w:val="nil"/>
                    <w:tr2bl w:val="nil"/>
                  </w:tcBorders>
                  <w:vAlign w:val="center"/>
                </w:tcPr>
                <w:p w14:paraId="2AB56697">
                  <w:pPr>
                    <w:pStyle w:val="38"/>
                    <w:spacing w:beforeLines="0" w:afterLines="0" w:line="240" w:lineRule="auto"/>
                    <w:rPr>
                      <w:rFonts w:hint="default" w:ascii="Times New Roman" w:hAnsi="Times New Roman" w:eastAsia="宋体" w:cs="Times New Roman"/>
                      <w:i w:val="0"/>
                      <w:iCs w:val="0"/>
                      <w:snapToGrid w:val="0"/>
                      <w:color w:val="0000FF"/>
                      <w:kern w:val="21"/>
                      <w:sz w:val="18"/>
                      <w:szCs w:val="18"/>
                      <w:u w:val="single"/>
                      <w:lang w:val="en-US" w:eastAsia="zh-CN"/>
                    </w:rPr>
                  </w:pPr>
                  <w:r>
                    <w:rPr>
                      <w:rFonts w:hint="eastAsia" w:ascii="Times New Roman" w:eastAsia="宋体" w:cs="Times New Roman"/>
                      <w:i w:val="0"/>
                      <w:iCs w:val="0"/>
                      <w:snapToGrid w:val="0"/>
                      <w:color w:val="0000FF"/>
                      <w:kern w:val="21"/>
                      <w:sz w:val="18"/>
                      <w:szCs w:val="18"/>
                      <w:u w:val="single"/>
                      <w:lang w:val="en-US" w:eastAsia="zh-CN"/>
                    </w:rPr>
                    <w:t>废布袋</w:t>
                  </w:r>
                </w:p>
              </w:tc>
              <w:tc>
                <w:tcPr>
                  <w:tcW w:w="668" w:type="pct"/>
                  <w:tcBorders>
                    <w:tl2br w:val="nil"/>
                    <w:tr2bl w:val="nil"/>
                  </w:tcBorders>
                  <w:vAlign w:val="center"/>
                </w:tcPr>
                <w:p w14:paraId="4C64D04F">
                  <w:pPr>
                    <w:pStyle w:val="38"/>
                    <w:spacing w:beforeLines="0" w:afterLines="0" w:line="240" w:lineRule="auto"/>
                    <w:rPr>
                      <w:rFonts w:hint="default" w:ascii="Times New Roman" w:eastAsia="宋体" w:cs="Times New Roman"/>
                      <w:i w:val="0"/>
                      <w:iCs w:val="0"/>
                      <w:color w:val="0000FF"/>
                      <w:sz w:val="18"/>
                      <w:szCs w:val="18"/>
                      <w:u w:val="single"/>
                      <w:lang w:val="en-US" w:eastAsia="zh-CN"/>
                    </w:rPr>
                  </w:pPr>
                  <w:r>
                    <w:rPr>
                      <w:rFonts w:hint="eastAsia" w:ascii="Times New Roman" w:eastAsia="宋体" w:cs="Times New Roman"/>
                      <w:i w:val="0"/>
                      <w:iCs w:val="0"/>
                      <w:color w:val="0000FF"/>
                      <w:sz w:val="18"/>
                      <w:szCs w:val="18"/>
                      <w:u w:val="single"/>
                      <w:lang w:val="en-US" w:eastAsia="zh-CN"/>
                    </w:rPr>
                    <w:t>0.03</w:t>
                  </w:r>
                </w:p>
              </w:tc>
              <w:tc>
                <w:tcPr>
                  <w:tcW w:w="807" w:type="pct"/>
                  <w:tcBorders>
                    <w:tl2br w:val="nil"/>
                    <w:tr2bl w:val="nil"/>
                  </w:tcBorders>
                  <w:shd w:val="clear"/>
                  <w:vAlign w:val="center"/>
                </w:tcPr>
                <w:p w14:paraId="2C5EC702">
                  <w:pPr>
                    <w:jc w:val="center"/>
                    <w:rPr>
                      <w:rFonts w:hint="default" w:ascii="Times New Roman" w:hAnsi="Times New Roman" w:eastAsia="宋体" w:cs="Times New Roman"/>
                      <w:i w:val="0"/>
                      <w:iCs w:val="0"/>
                      <w:color w:val="0000FF"/>
                      <w:sz w:val="18"/>
                      <w:szCs w:val="18"/>
                      <w:u w:val="single"/>
                      <w:lang w:val="en-US" w:eastAsia="zh-CN" w:bidi="ar-SA"/>
                    </w:rPr>
                  </w:pPr>
                  <w:r>
                    <w:rPr>
                      <w:rFonts w:hint="default" w:ascii="Times New Roman" w:hAnsi="Times New Roman" w:eastAsia="宋体" w:cs="Times New Roman"/>
                      <w:i w:val="0"/>
                      <w:iCs w:val="0"/>
                      <w:color w:val="0000FF"/>
                      <w:sz w:val="18"/>
                      <w:szCs w:val="18"/>
                      <w:u w:val="single"/>
                      <w:lang w:val="en-US" w:eastAsia="zh-CN"/>
                    </w:rPr>
                    <w:t>900-003-S17</w:t>
                  </w:r>
                </w:p>
              </w:tc>
              <w:tc>
                <w:tcPr>
                  <w:tcW w:w="1870" w:type="pct"/>
                  <w:tcBorders>
                    <w:tl2br w:val="nil"/>
                    <w:tr2bl w:val="nil"/>
                  </w:tcBorders>
                  <w:shd w:val="clear"/>
                  <w:vAlign w:val="center"/>
                </w:tcPr>
                <w:p w14:paraId="160FF332">
                  <w:pPr>
                    <w:jc w:val="center"/>
                    <w:rPr>
                      <w:rFonts w:hint="default" w:ascii="Times New Roman" w:hAnsi="Times New Roman" w:eastAsia="宋体" w:cs="Times New Roman"/>
                      <w:i w:val="0"/>
                      <w:iCs w:val="0"/>
                      <w:color w:val="0000FF"/>
                      <w:sz w:val="18"/>
                      <w:szCs w:val="18"/>
                      <w:u w:val="single"/>
                      <w:lang w:val="en-US" w:eastAsia="zh-CN" w:bidi="ar-SA"/>
                    </w:rPr>
                  </w:pPr>
                  <w:r>
                    <w:rPr>
                      <w:rFonts w:hint="eastAsia" w:cs="Times New Roman"/>
                      <w:i w:val="0"/>
                      <w:iCs w:val="0"/>
                      <w:color w:val="0000FF"/>
                      <w:sz w:val="18"/>
                      <w:szCs w:val="18"/>
                      <w:u w:val="single"/>
                      <w:lang w:val="en-US" w:eastAsia="zh-CN" w:bidi="ar-SA"/>
                    </w:rPr>
                    <w:t>厂家负责更换处置</w:t>
                  </w:r>
                </w:p>
              </w:tc>
            </w:tr>
          </w:tbl>
          <w:p w14:paraId="6268F9FD">
            <w:pPr>
              <w:pStyle w:val="83"/>
              <w:spacing w:line="240" w:lineRule="auto"/>
              <w:ind w:left="424" w:leftChars="202" w:firstLine="735" w:firstLineChars="735"/>
              <w:jc w:val="both"/>
              <w:rPr>
                <w:rFonts w:cs="宋体"/>
                <w:b w:val="0"/>
                <w:bCs/>
                <w:i/>
                <w:iCs/>
                <w:color w:val="auto"/>
                <w:sz w:val="10"/>
                <w:szCs w:val="10"/>
                <w:u w:val="single"/>
              </w:rPr>
            </w:pPr>
          </w:p>
          <w:p w14:paraId="7C8453E8">
            <w:pPr>
              <w:adjustRightInd w:val="0"/>
              <w:snapToGrid w:val="0"/>
              <w:spacing w:line="360" w:lineRule="auto"/>
              <w:ind w:firstLine="420" w:firstLineChars="200"/>
              <w:rPr>
                <w:rFonts w:hint="eastAsia"/>
                <w:i w:val="0"/>
                <w:iCs w:val="0"/>
                <w:color w:val="auto"/>
                <w:u w:val="none"/>
                <w:lang w:val="en-US" w:eastAsia="zh-CN"/>
              </w:rPr>
            </w:pPr>
            <w:r>
              <w:rPr>
                <w:rFonts w:hint="eastAsia"/>
                <w:i w:val="0"/>
                <w:iCs w:val="0"/>
                <w:color w:val="auto"/>
                <w:u w:val="none"/>
                <w:lang w:val="en-US" w:eastAsia="zh-CN"/>
              </w:rPr>
              <w:t>固废环境管理措施如下：</w:t>
            </w:r>
          </w:p>
          <w:p w14:paraId="59E6BCBD">
            <w:pPr>
              <w:adjustRightInd w:val="0"/>
              <w:snapToGrid w:val="0"/>
              <w:spacing w:line="360" w:lineRule="auto"/>
              <w:ind w:firstLine="420" w:firstLineChars="200"/>
              <w:rPr>
                <w:rFonts w:hint="eastAsia"/>
                <w:i w:val="0"/>
                <w:iCs w:val="0"/>
                <w:color w:val="auto"/>
                <w:u w:val="none"/>
              </w:rPr>
            </w:pPr>
            <w:r>
              <w:rPr>
                <w:rFonts w:hint="eastAsia"/>
                <w:i w:val="0"/>
                <w:iCs w:val="0"/>
                <w:color w:val="auto"/>
                <w:u w:val="none"/>
              </w:rPr>
              <w:t>按照《一般工业固体废物贮存和填埋污染控制标准》（GB18599-2020）的要求设置暂存场所。</w:t>
            </w:r>
          </w:p>
          <w:p w14:paraId="464A1E3F">
            <w:pPr>
              <w:adjustRightInd w:val="0"/>
              <w:snapToGrid w:val="0"/>
              <w:spacing w:line="360" w:lineRule="auto"/>
              <w:ind w:firstLine="420" w:firstLineChars="200"/>
              <w:rPr>
                <w:rFonts w:hint="eastAsia"/>
                <w:i w:val="0"/>
                <w:iCs w:val="0"/>
                <w:color w:val="auto"/>
                <w:u w:val="none"/>
              </w:rPr>
            </w:pPr>
            <w:r>
              <w:rPr>
                <w:rFonts w:hint="eastAsia"/>
                <w:i w:val="0"/>
                <w:iCs w:val="0"/>
                <w:color w:val="auto"/>
                <w:u w:val="none"/>
              </w:rPr>
              <w:t>贮存、处置场的设置必须与将要堆放的一般工业固体废物的类别相一致。</w:t>
            </w:r>
          </w:p>
          <w:p w14:paraId="51B88896">
            <w:pPr>
              <w:adjustRightInd w:val="0"/>
              <w:snapToGrid w:val="0"/>
              <w:spacing w:line="360" w:lineRule="auto"/>
              <w:ind w:firstLine="420" w:firstLineChars="200"/>
              <w:rPr>
                <w:rFonts w:hint="eastAsia"/>
                <w:i w:val="0"/>
                <w:iCs w:val="0"/>
                <w:color w:val="auto"/>
                <w:u w:val="none"/>
              </w:rPr>
            </w:pPr>
            <w:r>
              <w:rPr>
                <w:rFonts w:hint="eastAsia"/>
                <w:i w:val="0"/>
                <w:iCs w:val="0"/>
                <w:color w:val="auto"/>
                <w:u w:val="none"/>
              </w:rPr>
              <w:t>不得露天堆放，防止雨水进入产生二次污染。</w:t>
            </w:r>
          </w:p>
          <w:p w14:paraId="34DD097C">
            <w:pPr>
              <w:adjustRightInd w:val="0"/>
              <w:snapToGrid w:val="0"/>
              <w:spacing w:line="360" w:lineRule="auto"/>
              <w:ind w:firstLine="420" w:firstLineChars="200"/>
              <w:rPr>
                <w:rFonts w:hint="eastAsia"/>
                <w:i w:val="0"/>
                <w:iCs w:val="0"/>
                <w:color w:val="auto"/>
                <w:u w:val="none"/>
              </w:rPr>
            </w:pPr>
            <w:r>
              <w:rPr>
                <w:rFonts w:hint="eastAsia"/>
                <w:i w:val="0"/>
                <w:iCs w:val="0"/>
                <w:color w:val="auto"/>
                <w:u w:val="none"/>
              </w:rPr>
              <w:t>贮存、处置场使用单位，应建立检查维护制度，定期检查维护以保障正常运行。</w:t>
            </w:r>
          </w:p>
          <w:p w14:paraId="55654815">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i w:val="0"/>
                <w:iCs w:val="0"/>
                <w:color w:val="auto"/>
                <w:u w:val="none"/>
              </w:rPr>
            </w:pPr>
            <w:r>
              <w:rPr>
                <w:rFonts w:hint="eastAsia"/>
                <w:i w:val="0"/>
                <w:iCs w:val="0"/>
                <w:color w:val="auto"/>
                <w:u w:val="none"/>
              </w:rPr>
              <w:t>单位须针对此员工进行培训，加强安全及防止污染的意识，培训通过后方可上岗，对于固体废弃物的收集、运输要实施专人专职管理制度并建立好档案制度。应将入场的一般工业固体废物的种类和数量以及下列资料，详细记录在案，长期保存，供随时查阅。</w:t>
            </w:r>
          </w:p>
          <w:p w14:paraId="4386E1BE">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i w:val="0"/>
                <w:iCs/>
                <w:color w:val="auto"/>
                <w:sz w:val="10"/>
                <w:szCs w:val="10"/>
                <w:u w:val="single"/>
              </w:rPr>
            </w:pPr>
            <w:r>
              <w:rPr>
                <w:rFonts w:hint="eastAsia"/>
                <w:i w:val="0"/>
                <w:iCs w:val="0"/>
                <w:color w:val="auto"/>
                <w:u w:val="none"/>
              </w:rPr>
              <w:t>综上，本项目各种固体废物均得到合理地处理与处置，不会产生二次污染。</w:t>
            </w:r>
          </w:p>
          <w:p w14:paraId="790A86F6">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i w:val="0"/>
                <w:iCs w:val="0"/>
                <w:color w:val="auto"/>
                <w:u w:val="none"/>
              </w:rPr>
            </w:pPr>
            <w:bookmarkStart w:id="3" w:name="_Toc273572487"/>
            <w:bookmarkStart w:id="4" w:name="_Toc273572288"/>
            <w:r>
              <w:rPr>
                <w:rFonts w:hint="eastAsia"/>
                <w:i w:val="0"/>
                <w:iCs w:val="0"/>
                <w:color w:val="auto"/>
                <w:u w:val="none"/>
              </w:rPr>
              <w:t>5、</w:t>
            </w:r>
            <w:r>
              <w:rPr>
                <w:rFonts w:hint="eastAsia"/>
                <w:i w:val="0"/>
                <w:iCs w:val="0"/>
                <w:color w:val="auto"/>
                <w:u w:val="none"/>
                <w:lang w:val="en-US" w:eastAsia="zh-CN"/>
              </w:rPr>
              <w:t>土壤、</w:t>
            </w:r>
            <w:r>
              <w:rPr>
                <w:i w:val="0"/>
                <w:iCs w:val="0"/>
                <w:color w:val="auto"/>
                <w:u w:val="none"/>
              </w:rPr>
              <w:t>地下水污染防治措施</w:t>
            </w:r>
          </w:p>
          <w:p w14:paraId="629F62A6">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i w:val="0"/>
                <w:iCs w:val="0"/>
                <w:color w:val="auto"/>
                <w:u w:val="none"/>
              </w:rPr>
            </w:pPr>
            <w:r>
              <w:rPr>
                <w:i w:val="0"/>
                <w:iCs w:val="0"/>
                <w:color w:val="auto"/>
                <w:u w:val="none"/>
              </w:rPr>
              <w:t>根据《环境影响评价技术导则地下水环境》（HJ610-2016）的相关要求，根据厂区各生产功能单一可能泄漏至地面的污染物性质和生产单元的构筑方式，将</w:t>
            </w:r>
            <w:r>
              <w:rPr>
                <w:rFonts w:hint="eastAsia"/>
                <w:i w:val="0"/>
                <w:iCs w:val="0"/>
                <w:color w:val="auto"/>
                <w:u w:val="none"/>
                <w:lang w:val="en-US" w:eastAsia="zh-CN"/>
              </w:rPr>
              <w:t>项目区域全部</w:t>
            </w:r>
            <w:r>
              <w:rPr>
                <w:i w:val="0"/>
                <w:iCs w:val="0"/>
                <w:color w:val="auto"/>
                <w:u w:val="none"/>
              </w:rPr>
              <w:t>划分为</w:t>
            </w:r>
            <w:r>
              <w:rPr>
                <w:rFonts w:hint="eastAsia"/>
                <w:i w:val="0"/>
                <w:iCs w:val="0"/>
                <w:color w:val="auto"/>
                <w:u w:val="none"/>
                <w:lang w:val="en-US" w:eastAsia="zh-CN"/>
              </w:rPr>
              <w:t>一般防渗区</w:t>
            </w:r>
            <w:r>
              <w:rPr>
                <w:i w:val="0"/>
                <w:iCs w:val="0"/>
                <w:color w:val="auto"/>
                <w:u w:val="none"/>
              </w:rPr>
              <w:t>，并按要求进行防渗。</w:t>
            </w:r>
          </w:p>
          <w:p w14:paraId="6C96510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eastAsia="宋体"/>
                <w:i w:val="0"/>
                <w:iCs w:val="0"/>
                <w:color w:val="auto"/>
                <w:u w:val="none"/>
                <w:lang w:val="en-US" w:eastAsia="zh-CN"/>
              </w:rPr>
            </w:pPr>
            <w:r>
              <w:rPr>
                <w:rFonts w:hint="eastAsia"/>
                <w:i w:val="0"/>
                <w:iCs w:val="0"/>
                <w:color w:val="auto"/>
                <w:u w:val="none"/>
                <w:lang w:val="en-US" w:eastAsia="zh-CN"/>
              </w:rPr>
              <w:t>项目分区划分情况一览表</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511"/>
              <w:gridCol w:w="2828"/>
              <w:gridCol w:w="2390"/>
            </w:tblGrid>
            <w:tr w14:paraId="57422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57" w:type="dxa"/>
                  <w:tcBorders>
                    <w:tl2br w:val="nil"/>
                    <w:tr2bl w:val="nil"/>
                  </w:tcBorders>
                  <w:vAlign w:val="top"/>
                </w:tcPr>
                <w:p w14:paraId="709B08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b/>
                      <w:bCs/>
                      <w:color w:val="auto"/>
                      <w:kern w:val="0"/>
                      <w:sz w:val="18"/>
                      <w:szCs w:val="18"/>
                      <w:lang w:val="en-US" w:eastAsia="zh-CN" w:bidi="ar"/>
                    </w:rPr>
                    <w:t>防渗分区</w:t>
                  </w:r>
                </w:p>
              </w:tc>
              <w:tc>
                <w:tcPr>
                  <w:tcW w:w="1511" w:type="dxa"/>
                  <w:tcBorders>
                    <w:tl2br w:val="nil"/>
                    <w:tr2bl w:val="nil"/>
                  </w:tcBorders>
                  <w:vAlign w:val="top"/>
                </w:tcPr>
                <w:p w14:paraId="39767C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b/>
                      <w:bCs/>
                      <w:color w:val="auto"/>
                      <w:kern w:val="0"/>
                      <w:sz w:val="18"/>
                      <w:szCs w:val="18"/>
                      <w:lang w:val="en-US" w:eastAsia="zh-CN" w:bidi="ar"/>
                    </w:rPr>
                    <w:t>覆盖区域</w:t>
                  </w:r>
                </w:p>
              </w:tc>
              <w:tc>
                <w:tcPr>
                  <w:tcW w:w="2828" w:type="dxa"/>
                  <w:tcBorders>
                    <w:tl2br w:val="nil"/>
                    <w:tr2bl w:val="nil"/>
                  </w:tcBorders>
                  <w:vAlign w:val="top"/>
                </w:tcPr>
                <w:p w14:paraId="0ACEE3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b/>
                      <w:bCs/>
                      <w:color w:val="auto"/>
                      <w:kern w:val="0"/>
                      <w:sz w:val="18"/>
                      <w:szCs w:val="18"/>
                      <w:lang w:val="en-US" w:eastAsia="zh-CN" w:bidi="ar"/>
                    </w:rPr>
                    <w:t>防渗技术指标</w:t>
                  </w:r>
                </w:p>
              </w:tc>
              <w:tc>
                <w:tcPr>
                  <w:tcW w:w="2390" w:type="dxa"/>
                  <w:tcBorders>
                    <w:tl2br w:val="nil"/>
                    <w:tr2bl w:val="nil"/>
                  </w:tcBorders>
                  <w:vAlign w:val="top"/>
                </w:tcPr>
                <w:p w14:paraId="5E1ADC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b/>
                      <w:bCs/>
                      <w:color w:val="auto"/>
                      <w:kern w:val="0"/>
                      <w:sz w:val="18"/>
                      <w:szCs w:val="18"/>
                      <w:lang w:val="en-US" w:eastAsia="zh-CN" w:bidi="ar"/>
                    </w:rPr>
                    <w:t>执行标准依据</w:t>
                  </w:r>
                </w:p>
              </w:tc>
            </w:tr>
            <w:tr w14:paraId="48251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7" w:type="dxa"/>
                  <w:tcBorders>
                    <w:tl2br w:val="nil"/>
                    <w:tr2bl w:val="nil"/>
                  </w:tcBorders>
                  <w:vAlign w:val="top"/>
                </w:tcPr>
                <w:p w14:paraId="4B3CAE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color w:val="auto"/>
                      <w:kern w:val="0"/>
                      <w:sz w:val="18"/>
                      <w:szCs w:val="18"/>
                      <w:lang w:val="en-US" w:eastAsia="zh-CN" w:bidi="ar"/>
                    </w:rPr>
                    <w:t>一般防渗区</w:t>
                  </w:r>
                </w:p>
              </w:tc>
              <w:tc>
                <w:tcPr>
                  <w:tcW w:w="1511" w:type="dxa"/>
                  <w:tcBorders>
                    <w:tl2br w:val="nil"/>
                    <w:tr2bl w:val="nil"/>
                  </w:tcBorders>
                  <w:vAlign w:val="top"/>
                </w:tcPr>
                <w:p w14:paraId="60C826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lang w:val="en-US"/>
                    </w:rPr>
                  </w:pPr>
                  <w:r>
                    <w:rPr>
                      <w:rFonts w:hint="eastAsia" w:ascii="Times New Roman" w:hAnsi="Times New Roman" w:eastAsia="宋体" w:cs="Times New Roman"/>
                      <w:color w:val="auto"/>
                      <w:kern w:val="0"/>
                      <w:sz w:val="18"/>
                      <w:szCs w:val="18"/>
                      <w:lang w:val="en-US" w:eastAsia="zh-CN" w:bidi="ar"/>
                    </w:rPr>
                    <w:t>生产车间、综合车间等</w:t>
                  </w:r>
                </w:p>
              </w:tc>
              <w:tc>
                <w:tcPr>
                  <w:tcW w:w="2828" w:type="dxa"/>
                  <w:tcBorders>
                    <w:tl2br w:val="nil"/>
                    <w:tr2bl w:val="nil"/>
                  </w:tcBorders>
                  <w:vAlign w:val="top"/>
                </w:tcPr>
                <w:p w14:paraId="45D95E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color w:val="auto"/>
                      <w:kern w:val="0"/>
                      <w:sz w:val="18"/>
                      <w:szCs w:val="18"/>
                      <w:lang w:val="en-US" w:eastAsia="zh-CN" w:bidi="ar"/>
                    </w:rPr>
                    <w:t>等效黏土防渗层厚度≥1.5m，渗透系数≤1×10⁻⁷cm/s；硬化层抗压强度≥C30</w:t>
                  </w:r>
                </w:p>
              </w:tc>
              <w:tc>
                <w:tcPr>
                  <w:tcW w:w="2390" w:type="dxa"/>
                  <w:tcBorders>
                    <w:tl2br w:val="nil"/>
                    <w:tr2bl w:val="nil"/>
                  </w:tcBorders>
                  <w:vAlign w:val="top"/>
                </w:tcPr>
                <w:p w14:paraId="7DF016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i w:val="0"/>
                      <w:iCs w:val="0"/>
                      <w:color w:val="auto"/>
                      <w:sz w:val="18"/>
                      <w:szCs w:val="18"/>
                      <w:u w:val="none"/>
                      <w:vertAlign w:val="baseline"/>
                    </w:rPr>
                  </w:pPr>
                  <w:r>
                    <w:rPr>
                      <w:rFonts w:hint="default" w:ascii="Times New Roman" w:hAnsi="Times New Roman" w:eastAsia="宋体" w:cs="Times New Roman"/>
                      <w:color w:val="auto"/>
                      <w:kern w:val="0"/>
                      <w:sz w:val="18"/>
                      <w:szCs w:val="18"/>
                      <w:lang w:val="en-US" w:eastAsia="zh-CN" w:bidi="ar"/>
                    </w:rPr>
                    <w:t xml:space="preserve">《地下水环境影响评价导则》HJ610-2016 、 《一般工业固体废物贮存和填埋污染控制标准》GB18599-2020 </w:t>
                  </w:r>
                </w:p>
              </w:tc>
            </w:tr>
          </w:tbl>
          <w:p w14:paraId="040869DE">
            <w:pPr>
              <w:adjustRightInd w:val="0"/>
              <w:snapToGrid w:val="0"/>
              <w:spacing w:line="360" w:lineRule="auto"/>
              <w:rPr>
                <w:rFonts w:hint="eastAsia"/>
                <w:color w:val="auto"/>
                <w:sz w:val="10"/>
                <w:szCs w:val="10"/>
                <w:u w:val="none"/>
                <w:lang w:val="en-US" w:eastAsia="zh-CN" w:bidi="ar"/>
              </w:rPr>
            </w:pPr>
          </w:p>
          <w:p w14:paraId="7CA482D2">
            <w:pPr>
              <w:adjustRightInd w:val="0"/>
              <w:snapToGrid w:val="0"/>
              <w:spacing w:line="360" w:lineRule="auto"/>
              <w:rPr>
                <w:rFonts w:hint="eastAsia"/>
                <w:color w:val="auto"/>
                <w:u w:val="single"/>
                <w:lang w:val="en-US" w:eastAsia="zh-CN" w:bidi="ar"/>
              </w:rPr>
            </w:pPr>
            <w:r>
              <w:rPr>
                <w:rFonts w:hint="eastAsia"/>
                <w:color w:val="auto"/>
                <w:u w:val="single"/>
                <w:lang w:val="en-US" w:eastAsia="zh-CN" w:bidi="ar"/>
              </w:rPr>
              <w:t>5.1生产车间防渗措施</w:t>
            </w:r>
          </w:p>
          <w:p w14:paraId="5D5A99D5">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生产车间总建筑面积 4200㎡，其中发酵区域 1800㎡（8 条发酵条带）、物料混合区 500㎡、粉碎筛分区 300㎡。</w:t>
            </w:r>
          </w:p>
          <w:p w14:paraId="3C954ADB">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（1）发酵作业区（核心防渗区域，1800㎡）</w:t>
            </w:r>
          </w:p>
          <w:p w14:paraId="129AEF05">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作为调湿水使用的主要区域，需强化 “基层防渗 + 面层防护 + 导排辅助” 三重措施：</w:t>
            </w:r>
          </w:p>
          <w:p w14:paraId="7C01532E">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基层处理（防渗基础）：场地平整后，分层夯实，铺设 150mm 厚 3:7 石灰黏土混合层，分层夯实（每层厚度≤300mm），形成初始防渗屏障，渗透系数≤1×10</w:t>
            </w:r>
            <w:r>
              <w:rPr>
                <w:rFonts w:hint="eastAsia"/>
                <w:color w:val="auto"/>
                <w:u w:val="single"/>
                <w:vertAlign w:val="superscript"/>
                <w:lang w:val="en-US" w:eastAsia="zh-CN" w:bidi="ar"/>
              </w:rPr>
              <w:t>-6</w:t>
            </w:r>
            <w:r>
              <w:rPr>
                <w:rFonts w:hint="eastAsia"/>
                <w:color w:val="auto"/>
                <w:u w:val="single"/>
                <w:lang w:val="en-US" w:eastAsia="zh-CN" w:bidi="ar"/>
              </w:rPr>
              <w:t>cm/s。</w:t>
            </w:r>
          </w:p>
          <w:p w14:paraId="2B0795BB">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主防渗层（核心阻隔）：采用C30 抗渗混凝土（抗渗等级 P8） ，厚度 150mm，混凝土中添加水泥基渗透结晶型防水剂（掺量为水泥用量的 3%），提升抗渗性能；</w:t>
            </w:r>
          </w:p>
          <w:p w14:paraId="1A54620A">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面层防护（耐磨 + 防腐蚀）：发酵条带区域（每条 50m×4m）：表面涂刷环氧树脂防腐涂料（干膜厚度≥200μm） ，防止中药渣残留有机酸腐蚀混凝土；</w:t>
            </w:r>
          </w:p>
          <w:p w14:paraId="41883E42">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操作通道区域（宽 1m）：表面撒布金刚砂耐磨骨料（掺量 5kg/㎡），提升抗磨损能力。</w:t>
            </w:r>
          </w:p>
          <w:p w14:paraId="758A6151">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导排辅助：建议每条发酵条带两侧设U 型混凝土导流沟（宽 200mm、深 150mm，C25 混凝土浇筑），沟内坡度≥3‰，末端连接车间内应急收集池（容积 5m³，与主防渗层同材质，防渗等级 P8）；收集池少量渗滤液达到 1/2 液位时，送至混合工序作为调湿用水，不外排。</w:t>
            </w:r>
          </w:p>
          <w:p w14:paraId="799AC934">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（2）物料混合区（调湿水使用区，500㎡）</w:t>
            </w:r>
          </w:p>
          <w:p w14:paraId="4DB3F0A9">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该区域因添加调湿水（单批次 258t），需重点防范局部积水渗滤，防渗措施与发酵区协同但简化：基层 + 主防渗层：同发酵区（150mm 厚 3：7 石灰黏土层+150mm 厚 C30 抗渗混凝土 P8）；积水管控：地面设 2‰坡度，坡向导流沟（与发酵区导流沟连通）；混合设备下方设钢制接水托盘（尺寸 2m×1.5m，高 100mm），收集调湿水溅落液，定期倒入导流沟。</w:t>
            </w:r>
          </w:p>
          <w:p w14:paraId="11396214">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（3）粉碎筛分区（低渗风险，300㎡）</w:t>
            </w:r>
          </w:p>
          <w:p w14:paraId="5C5225CE">
            <w:p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防渗措施以 “硬化 + 防漏” 为主，基层 + 主防渗层：采用 100mm 厚 C30 混凝土（抗渗等级 P6），基层为 100mm 厚石灰黏土夯实层（渗透系数≤1×10</w:t>
            </w:r>
            <w:r>
              <w:rPr>
                <w:rFonts w:hint="eastAsia"/>
                <w:color w:val="auto"/>
                <w:u w:val="single"/>
                <w:vertAlign w:val="superscript"/>
                <w:lang w:val="en-US" w:eastAsia="zh-CN" w:bidi="ar"/>
              </w:rPr>
              <w:t>-6</w:t>
            </w:r>
            <w:r>
              <w:rPr>
                <w:rFonts w:hint="eastAsia"/>
                <w:color w:val="auto"/>
                <w:u w:val="single"/>
                <w:lang w:val="en-US" w:eastAsia="zh-CN" w:bidi="ar"/>
              </w:rPr>
              <w:t>cm/s）。</w:t>
            </w:r>
          </w:p>
          <w:p w14:paraId="5E46E235">
            <w:pPr>
              <w:numPr>
                <w:ilvl w:val="0"/>
                <w:numId w:val="0"/>
              </w:numPr>
              <w:adjustRightInd w:val="0"/>
              <w:snapToGrid w:val="0"/>
              <w:spacing w:line="360" w:lineRule="auto"/>
              <w:ind w:firstLine="420" w:firstLineChars="200"/>
              <w:rPr>
                <w:rFonts w:hint="eastAsia"/>
                <w:color w:val="auto"/>
                <w:u w:val="single"/>
                <w:lang w:val="en-US" w:eastAsia="zh-CN" w:bidi="ar"/>
              </w:rPr>
            </w:pPr>
            <w:r>
              <w:rPr>
                <w:rFonts w:hint="eastAsia" w:ascii="Times New Roman" w:hAnsi="Times New Roman" w:eastAsia="宋体" w:cs="Times New Roman"/>
                <w:color w:val="auto"/>
                <w:sz w:val="21"/>
                <w:szCs w:val="21"/>
                <w:u w:val="single"/>
                <w:lang w:val="en-US" w:eastAsia="zh-CN" w:bidi="ar"/>
              </w:rPr>
              <w:t>（4）</w:t>
            </w:r>
            <w:r>
              <w:rPr>
                <w:rFonts w:hint="eastAsia"/>
                <w:color w:val="auto"/>
                <w:u w:val="single"/>
                <w:lang w:val="en-US" w:eastAsia="zh-CN" w:bidi="ar"/>
              </w:rPr>
              <w:t>库房</w:t>
            </w:r>
          </w:p>
          <w:p w14:paraId="218C0109">
            <w:pPr>
              <w:numPr>
                <w:ilvl w:val="0"/>
                <w:numId w:val="0"/>
              </w:numPr>
              <w:adjustRightInd w:val="0"/>
              <w:snapToGrid w:val="0"/>
              <w:spacing w:line="360" w:lineRule="auto"/>
              <w:ind w:firstLine="420" w:firstLineChars="200"/>
              <w:rPr>
                <w:rFonts w:hint="eastAsia"/>
                <w:color w:val="auto"/>
                <w:u w:val="single"/>
                <w:lang w:val="en-US" w:eastAsia="zh-CN" w:bidi="ar"/>
              </w:rPr>
            </w:pPr>
            <w:r>
              <w:rPr>
                <w:rFonts w:hint="eastAsia"/>
                <w:color w:val="auto"/>
                <w:u w:val="single"/>
                <w:lang w:val="en-US" w:eastAsia="zh-CN" w:bidi="ar"/>
              </w:rPr>
              <w:t>场地夯实（压实度≥90%）后，铺设 100mm 厚级配碎石垫层（粒径 5-20mm），提升地面承载能力，采用 “C30 混凝土 + HDPE 膜” 复合结构。</w:t>
            </w:r>
          </w:p>
          <w:p w14:paraId="0E453C6D">
            <w:pPr>
              <w:adjustRightInd w:val="0"/>
              <w:snapToGrid w:val="0"/>
              <w:spacing w:line="360" w:lineRule="auto"/>
              <w:ind w:firstLine="420" w:firstLineChars="200"/>
              <w:rPr>
                <w:rFonts w:hint="default"/>
                <w:i w:val="0"/>
                <w:iCs w:val="0"/>
                <w:color w:val="auto"/>
                <w:u w:val="single"/>
                <w:lang w:val="en-US" w:eastAsia="zh-CN"/>
              </w:rPr>
            </w:pPr>
            <w:r>
              <w:rPr>
                <w:rFonts w:hint="eastAsia"/>
                <w:i w:val="0"/>
                <w:iCs w:val="0"/>
                <w:color w:val="auto"/>
                <w:u w:val="single"/>
                <w:lang w:val="en-US" w:eastAsia="zh-CN"/>
              </w:rPr>
              <w:t>通过上述的施工措施，可以使得厂车间地面能够达到一般防渗区的防渗要求。</w:t>
            </w:r>
          </w:p>
          <w:bookmarkEnd w:id="3"/>
          <w:bookmarkEnd w:id="4"/>
          <w:p w14:paraId="4765E6A5">
            <w:pPr>
              <w:adjustRightInd w:val="0"/>
              <w:snapToGrid w:val="0"/>
              <w:spacing w:line="360" w:lineRule="auto"/>
              <w:rPr>
                <w:color w:val="auto"/>
                <w:lang w:val="zh-CN"/>
              </w:rPr>
            </w:pPr>
            <w:r>
              <w:rPr>
                <w:color w:val="auto"/>
                <w:lang w:val="zh-CN"/>
              </w:rPr>
              <w:t>6、</w:t>
            </w:r>
            <w:r>
              <w:rPr>
                <w:rFonts w:hint="eastAsia" w:cs="宋体"/>
                <w:color w:val="auto"/>
                <w:lang w:val="zh-CN"/>
              </w:rPr>
              <w:t>环保设施投资估算</w:t>
            </w:r>
          </w:p>
          <w:p w14:paraId="1C732C64">
            <w:pPr>
              <w:pStyle w:val="8"/>
              <w:adjustRightInd w:val="0"/>
              <w:snapToGrid w:val="0"/>
              <w:spacing w:line="360" w:lineRule="auto"/>
              <w:ind w:firstLine="420" w:firstLineChars="200"/>
              <w:rPr>
                <w:snapToGrid w:val="0"/>
                <w:color w:val="auto"/>
                <w:szCs w:val="21"/>
              </w:rPr>
            </w:pPr>
            <w:r>
              <w:rPr>
                <w:snapToGrid w:val="0"/>
                <w:color w:val="auto"/>
                <w:szCs w:val="21"/>
              </w:rPr>
              <w:t>本环评针对污染特征提出了相应的防治措施，以合理的经济投入最大限度地降低对环境的污染，使本项目创造良好的环境效益。本项目总投</w:t>
            </w:r>
            <w:r>
              <w:rPr>
                <w:snapToGrid w:val="0"/>
                <w:color w:val="auto"/>
                <w:szCs w:val="21"/>
                <w:highlight w:val="none"/>
              </w:rPr>
              <w:t>资为</w:t>
            </w:r>
            <w:r>
              <w:rPr>
                <w:rFonts w:hint="eastAsia"/>
                <w:snapToGrid w:val="0"/>
                <w:color w:val="auto"/>
                <w:szCs w:val="21"/>
                <w:highlight w:val="none"/>
                <w:lang w:val="en-US" w:eastAsia="zh-CN"/>
              </w:rPr>
              <w:t>1</w:t>
            </w:r>
            <w:r>
              <w:rPr>
                <w:rFonts w:hint="eastAsia"/>
                <w:snapToGrid w:val="0"/>
                <w:color w:val="auto"/>
                <w:szCs w:val="21"/>
                <w:highlight w:val="none"/>
              </w:rPr>
              <w:t>00</w:t>
            </w:r>
            <w:r>
              <w:rPr>
                <w:snapToGrid w:val="0"/>
                <w:color w:val="auto"/>
                <w:szCs w:val="21"/>
                <w:highlight w:val="none"/>
              </w:rPr>
              <w:t>万元，</w:t>
            </w:r>
            <w:r>
              <w:rPr>
                <w:snapToGrid w:val="0"/>
                <w:color w:val="auto"/>
                <w:szCs w:val="21"/>
              </w:rPr>
              <w:t>其中环保投资为</w:t>
            </w:r>
            <w:r>
              <w:rPr>
                <w:rFonts w:hint="eastAsia"/>
                <w:snapToGrid w:val="0"/>
                <w:color w:val="auto"/>
                <w:szCs w:val="21"/>
                <w:lang w:val="en-US" w:eastAsia="zh-CN"/>
              </w:rPr>
              <w:t>30</w:t>
            </w:r>
            <w:r>
              <w:rPr>
                <w:snapToGrid w:val="0"/>
                <w:color w:val="auto"/>
                <w:szCs w:val="21"/>
              </w:rPr>
              <w:t>万元，占总投资的</w:t>
            </w:r>
            <w:r>
              <w:rPr>
                <w:rFonts w:hint="eastAsia"/>
                <w:snapToGrid w:val="0"/>
                <w:color w:val="auto"/>
                <w:szCs w:val="21"/>
                <w:lang w:val="en-US" w:eastAsia="zh-CN"/>
              </w:rPr>
              <w:t>30</w:t>
            </w:r>
            <w:r>
              <w:rPr>
                <w:snapToGrid w:val="0"/>
                <w:color w:val="auto"/>
                <w:szCs w:val="21"/>
              </w:rPr>
              <w:t>%，环保投资估算详见下表。</w:t>
            </w:r>
          </w:p>
          <w:p w14:paraId="1EA151F5">
            <w:pPr>
              <w:pStyle w:val="83"/>
              <w:spacing w:line="240" w:lineRule="auto"/>
              <w:ind w:left="636" w:leftChars="101" w:hanging="424" w:hangingChars="202"/>
              <w:rPr>
                <w:rFonts w:cs="宋体"/>
                <w:b w:val="0"/>
                <w:bCs/>
                <w:color w:val="auto"/>
                <w:sz w:val="21"/>
              </w:rPr>
            </w:pPr>
            <w:r>
              <w:rPr>
                <w:rFonts w:cs="宋体"/>
                <w:b w:val="0"/>
                <w:bCs/>
                <w:color w:val="auto"/>
                <w:sz w:val="21"/>
              </w:rPr>
              <w:t>环保投资一览表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7"/>
              <w:gridCol w:w="1168"/>
              <w:gridCol w:w="4337"/>
              <w:gridCol w:w="1718"/>
            </w:tblGrid>
            <w:tr w14:paraId="42A9F0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05" w:type="pct"/>
                  <w:vAlign w:val="center"/>
                </w:tcPr>
                <w:p w14:paraId="7DCF2717">
                  <w:pPr>
                    <w:autoSpaceDE w:val="0"/>
                    <w:autoSpaceDN w:val="0"/>
                    <w:adjustRightInd w:val="0"/>
                    <w:snapToGrid w:val="0"/>
                    <w:jc w:val="center"/>
                    <w:rPr>
                      <w:iCs/>
                      <w:color w:val="auto"/>
                      <w:sz w:val="18"/>
                      <w:szCs w:val="18"/>
                      <w:lang w:val="zh-CN"/>
                    </w:rPr>
                  </w:pPr>
                  <w:r>
                    <w:rPr>
                      <w:iCs/>
                      <w:color w:val="auto"/>
                      <w:sz w:val="18"/>
                      <w:szCs w:val="18"/>
                      <w:lang w:val="zh-CN"/>
                    </w:rPr>
                    <w:t>序号</w:t>
                  </w:r>
                </w:p>
              </w:tc>
              <w:tc>
                <w:tcPr>
                  <w:tcW w:w="743" w:type="pct"/>
                  <w:vAlign w:val="center"/>
                </w:tcPr>
                <w:p w14:paraId="2AE52CA4">
                  <w:pPr>
                    <w:autoSpaceDE w:val="0"/>
                    <w:autoSpaceDN w:val="0"/>
                    <w:adjustRightInd w:val="0"/>
                    <w:snapToGrid w:val="0"/>
                    <w:jc w:val="center"/>
                    <w:rPr>
                      <w:iCs/>
                      <w:color w:val="auto"/>
                      <w:sz w:val="18"/>
                      <w:szCs w:val="18"/>
                      <w:lang w:val="zh-CN"/>
                    </w:rPr>
                  </w:pPr>
                  <w:r>
                    <w:rPr>
                      <w:iCs/>
                      <w:color w:val="auto"/>
                      <w:sz w:val="18"/>
                      <w:szCs w:val="18"/>
                      <w:lang w:val="zh-CN"/>
                    </w:rPr>
                    <w:t>治理项目</w:t>
                  </w:r>
                </w:p>
              </w:tc>
              <w:tc>
                <w:tcPr>
                  <w:tcW w:w="2758" w:type="pct"/>
                  <w:vAlign w:val="center"/>
                </w:tcPr>
                <w:p w14:paraId="5CF151F6">
                  <w:pPr>
                    <w:autoSpaceDE w:val="0"/>
                    <w:autoSpaceDN w:val="0"/>
                    <w:adjustRightInd w:val="0"/>
                    <w:snapToGrid w:val="0"/>
                    <w:jc w:val="center"/>
                    <w:rPr>
                      <w:iCs/>
                      <w:color w:val="auto"/>
                      <w:sz w:val="18"/>
                      <w:szCs w:val="18"/>
                      <w:lang w:val="zh-CN"/>
                    </w:rPr>
                  </w:pPr>
                  <w:r>
                    <w:rPr>
                      <w:iCs/>
                      <w:color w:val="auto"/>
                      <w:sz w:val="18"/>
                      <w:szCs w:val="18"/>
                      <w:lang w:val="zh-CN"/>
                    </w:rPr>
                    <w:t>治理措施</w:t>
                  </w:r>
                </w:p>
              </w:tc>
              <w:tc>
                <w:tcPr>
                  <w:tcW w:w="1092" w:type="pct"/>
                  <w:vAlign w:val="center"/>
                </w:tcPr>
                <w:p w14:paraId="6BC08F6F">
                  <w:pPr>
                    <w:autoSpaceDE w:val="0"/>
                    <w:autoSpaceDN w:val="0"/>
                    <w:adjustRightInd w:val="0"/>
                    <w:snapToGrid w:val="0"/>
                    <w:jc w:val="center"/>
                    <w:rPr>
                      <w:iCs/>
                      <w:color w:val="auto"/>
                      <w:sz w:val="18"/>
                      <w:szCs w:val="18"/>
                      <w:lang w:val="zh-CN"/>
                    </w:rPr>
                  </w:pPr>
                  <w:r>
                    <w:rPr>
                      <w:iCs/>
                      <w:color w:val="auto"/>
                      <w:sz w:val="18"/>
                      <w:szCs w:val="18"/>
                      <w:lang w:val="zh-CN"/>
                    </w:rPr>
                    <w:t>环保投资</w:t>
                  </w:r>
                </w:p>
                <w:p w14:paraId="43A1F913">
                  <w:pPr>
                    <w:autoSpaceDE w:val="0"/>
                    <w:autoSpaceDN w:val="0"/>
                    <w:adjustRightInd w:val="0"/>
                    <w:snapToGrid w:val="0"/>
                    <w:jc w:val="center"/>
                    <w:rPr>
                      <w:iCs/>
                      <w:color w:val="auto"/>
                      <w:sz w:val="18"/>
                      <w:szCs w:val="18"/>
                      <w:lang w:val="zh-CN"/>
                    </w:rPr>
                  </w:pPr>
                  <w:r>
                    <w:rPr>
                      <w:iCs/>
                      <w:color w:val="auto"/>
                      <w:sz w:val="18"/>
                      <w:szCs w:val="18"/>
                      <w:lang w:val="zh-CN"/>
                    </w:rPr>
                    <w:t>（万元）</w:t>
                  </w:r>
                </w:p>
              </w:tc>
            </w:tr>
            <w:tr w14:paraId="763658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05" w:type="pct"/>
                  <w:vAlign w:val="center"/>
                </w:tcPr>
                <w:p w14:paraId="04627E30">
                  <w:pPr>
                    <w:autoSpaceDE w:val="0"/>
                    <w:autoSpaceDN w:val="0"/>
                    <w:adjustRightInd w:val="0"/>
                    <w:snapToGrid w:val="0"/>
                    <w:jc w:val="center"/>
                    <w:rPr>
                      <w:iCs/>
                      <w:color w:val="auto"/>
                      <w:sz w:val="18"/>
                      <w:szCs w:val="18"/>
                      <w:u w:val="single"/>
                      <w:lang w:val="zh-CN"/>
                    </w:rPr>
                  </w:pPr>
                  <w:r>
                    <w:rPr>
                      <w:rFonts w:hint="eastAsia"/>
                      <w:iCs/>
                      <w:color w:val="auto"/>
                      <w:sz w:val="18"/>
                      <w:szCs w:val="18"/>
                      <w:u w:val="single"/>
                      <w:lang w:val="zh-CN"/>
                    </w:rPr>
                    <w:t>1</w:t>
                  </w:r>
                </w:p>
              </w:tc>
              <w:tc>
                <w:tcPr>
                  <w:tcW w:w="743" w:type="pct"/>
                  <w:vAlign w:val="center"/>
                </w:tcPr>
                <w:p w14:paraId="3B102163">
                  <w:pPr>
                    <w:autoSpaceDE w:val="0"/>
                    <w:autoSpaceDN w:val="0"/>
                    <w:adjustRightInd w:val="0"/>
                    <w:snapToGrid w:val="0"/>
                    <w:jc w:val="center"/>
                    <w:rPr>
                      <w:iCs/>
                      <w:color w:val="auto"/>
                      <w:sz w:val="18"/>
                      <w:szCs w:val="18"/>
                      <w:u w:val="single"/>
                      <w:lang w:val="zh-CN"/>
                    </w:rPr>
                  </w:pPr>
                  <w:r>
                    <w:rPr>
                      <w:rFonts w:hint="eastAsia"/>
                      <w:iCs/>
                      <w:color w:val="auto"/>
                      <w:sz w:val="18"/>
                      <w:szCs w:val="18"/>
                      <w:u w:val="single"/>
                    </w:rPr>
                    <w:t>废气</w:t>
                  </w:r>
                </w:p>
              </w:tc>
              <w:tc>
                <w:tcPr>
                  <w:tcW w:w="2758" w:type="pct"/>
                  <w:vAlign w:val="center"/>
                </w:tcPr>
                <w:p w14:paraId="54445358">
                  <w:pPr>
                    <w:adjustRightInd w:val="0"/>
                    <w:snapToGrid w:val="0"/>
                    <w:jc w:val="center"/>
                    <w:rPr>
                      <w:rFonts w:hint="eastAsia"/>
                      <w:iCs/>
                      <w:color w:val="auto"/>
                      <w:sz w:val="18"/>
                      <w:szCs w:val="18"/>
                      <w:u w:val="single"/>
                    </w:rPr>
                  </w:pPr>
                  <w:r>
                    <w:rPr>
                      <w:iCs/>
                      <w:color w:val="auto"/>
                      <w:sz w:val="18"/>
                      <w:szCs w:val="18"/>
                      <w:u w:val="single"/>
                    </w:rPr>
                    <w:t>生物除臭剂</w:t>
                  </w:r>
                  <w:r>
                    <w:rPr>
                      <w:rFonts w:hint="eastAsia"/>
                      <w:iCs/>
                      <w:color w:val="auto"/>
                      <w:sz w:val="18"/>
                      <w:szCs w:val="18"/>
                      <w:u w:val="single"/>
                    </w:rPr>
                    <w:t>；</w:t>
                  </w:r>
                </w:p>
                <w:p w14:paraId="51252801">
                  <w:pPr>
                    <w:adjustRightInd w:val="0"/>
                    <w:snapToGrid w:val="0"/>
                    <w:jc w:val="center"/>
                    <w:rPr>
                      <w:rFonts w:hint="default" w:eastAsia="宋体"/>
                      <w:iCs/>
                      <w:color w:val="auto"/>
                      <w:sz w:val="18"/>
                      <w:szCs w:val="18"/>
                      <w:u w:val="single"/>
                      <w:lang w:val="en-US" w:eastAsia="zh-CN"/>
                    </w:rPr>
                  </w:pPr>
                  <w:r>
                    <w:rPr>
                      <w:rFonts w:hint="eastAsia"/>
                      <w:iCs/>
                      <w:color w:val="auto"/>
                      <w:sz w:val="18"/>
                      <w:szCs w:val="18"/>
                      <w:u w:val="single"/>
                      <w:lang w:val="en-US" w:eastAsia="zh-CN"/>
                    </w:rPr>
                    <w:t>布袋除尘器+15m高排气筒（DA001）；</w:t>
                  </w:r>
                </w:p>
              </w:tc>
              <w:tc>
                <w:tcPr>
                  <w:tcW w:w="1092" w:type="pct"/>
                  <w:vAlign w:val="center"/>
                </w:tcPr>
                <w:p w14:paraId="44A5F733">
                  <w:pPr>
                    <w:autoSpaceDE w:val="0"/>
                    <w:autoSpaceDN w:val="0"/>
                    <w:adjustRightInd w:val="0"/>
                    <w:snapToGrid w:val="0"/>
                    <w:jc w:val="center"/>
                    <w:rPr>
                      <w:rFonts w:hint="default" w:eastAsia="宋体"/>
                      <w:iCs/>
                      <w:color w:val="auto"/>
                      <w:sz w:val="18"/>
                      <w:szCs w:val="18"/>
                      <w:u w:val="single"/>
                      <w:lang w:val="en-US" w:eastAsia="zh-CN"/>
                    </w:rPr>
                  </w:pPr>
                  <w:r>
                    <w:rPr>
                      <w:rFonts w:hint="eastAsia"/>
                      <w:iCs/>
                      <w:color w:val="auto"/>
                      <w:sz w:val="18"/>
                      <w:szCs w:val="18"/>
                      <w:u w:val="single"/>
                      <w:lang w:val="en-US" w:eastAsia="zh-CN"/>
                    </w:rPr>
                    <w:t>15</w:t>
                  </w:r>
                </w:p>
              </w:tc>
            </w:tr>
            <w:tr w14:paraId="28AD7B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05" w:type="pct"/>
                  <w:vAlign w:val="center"/>
                </w:tcPr>
                <w:p w14:paraId="658164E2">
                  <w:pPr>
                    <w:autoSpaceDE w:val="0"/>
                    <w:autoSpaceDN w:val="0"/>
                    <w:adjustRightInd w:val="0"/>
                    <w:snapToGrid w:val="0"/>
                    <w:jc w:val="center"/>
                    <w:rPr>
                      <w:iCs/>
                      <w:color w:val="auto"/>
                      <w:sz w:val="18"/>
                      <w:szCs w:val="18"/>
                      <w:lang w:val="zh-CN"/>
                    </w:rPr>
                  </w:pPr>
                  <w:r>
                    <w:rPr>
                      <w:rFonts w:hint="eastAsia"/>
                      <w:iCs/>
                      <w:color w:val="auto"/>
                      <w:sz w:val="18"/>
                      <w:szCs w:val="18"/>
                      <w:lang w:val="zh-CN"/>
                    </w:rPr>
                    <w:t>3</w:t>
                  </w:r>
                </w:p>
              </w:tc>
              <w:tc>
                <w:tcPr>
                  <w:tcW w:w="743" w:type="pct"/>
                  <w:vAlign w:val="center"/>
                </w:tcPr>
                <w:p w14:paraId="7A1A4051">
                  <w:pPr>
                    <w:autoSpaceDE w:val="0"/>
                    <w:autoSpaceDN w:val="0"/>
                    <w:adjustRightInd w:val="0"/>
                    <w:snapToGrid w:val="0"/>
                    <w:jc w:val="center"/>
                    <w:rPr>
                      <w:iCs/>
                      <w:color w:val="auto"/>
                      <w:sz w:val="18"/>
                      <w:szCs w:val="18"/>
                      <w:lang w:val="zh-CN"/>
                    </w:rPr>
                  </w:pPr>
                  <w:r>
                    <w:rPr>
                      <w:rFonts w:hint="eastAsia"/>
                      <w:iCs/>
                      <w:color w:val="auto"/>
                      <w:sz w:val="18"/>
                      <w:szCs w:val="18"/>
                      <w:lang w:val="zh-CN"/>
                    </w:rPr>
                    <w:t>废水</w:t>
                  </w:r>
                </w:p>
              </w:tc>
              <w:tc>
                <w:tcPr>
                  <w:tcW w:w="2758" w:type="pct"/>
                  <w:vAlign w:val="center"/>
                </w:tcPr>
                <w:p w14:paraId="3975A314">
                  <w:pPr>
                    <w:adjustRightInd w:val="0"/>
                    <w:snapToGrid w:val="0"/>
                    <w:jc w:val="center"/>
                    <w:rPr>
                      <w:rFonts w:hint="eastAsia" w:eastAsia="宋体"/>
                      <w:iCs/>
                      <w:color w:val="auto"/>
                      <w:sz w:val="18"/>
                      <w:szCs w:val="18"/>
                      <w:lang w:eastAsia="zh-CN"/>
                    </w:rPr>
                  </w:pPr>
                  <w:r>
                    <w:rPr>
                      <w:rFonts w:hint="eastAsia"/>
                      <w:iCs/>
                      <w:color w:val="auto"/>
                      <w:sz w:val="18"/>
                      <w:szCs w:val="18"/>
                    </w:rPr>
                    <w:t>防渗</w:t>
                  </w:r>
                  <w:r>
                    <w:rPr>
                      <w:rFonts w:hint="eastAsia"/>
                      <w:iCs/>
                      <w:color w:val="auto"/>
                      <w:sz w:val="18"/>
                      <w:szCs w:val="18"/>
                      <w:lang w:eastAsia="zh-CN"/>
                    </w:rPr>
                    <w:t>旱厕</w:t>
                  </w:r>
                </w:p>
              </w:tc>
              <w:tc>
                <w:tcPr>
                  <w:tcW w:w="1092" w:type="pct"/>
                  <w:vAlign w:val="center"/>
                </w:tcPr>
                <w:p w14:paraId="753EF394">
                  <w:pPr>
                    <w:autoSpaceDE w:val="0"/>
                    <w:autoSpaceDN w:val="0"/>
                    <w:adjustRightInd w:val="0"/>
                    <w:snapToGrid w:val="0"/>
                    <w:jc w:val="center"/>
                    <w:rPr>
                      <w:rFonts w:hint="eastAsia" w:eastAsia="宋体"/>
                      <w:iCs/>
                      <w:color w:val="auto"/>
                      <w:sz w:val="18"/>
                      <w:szCs w:val="18"/>
                      <w:lang w:val="zh-CN" w:eastAsia="zh-CN"/>
                    </w:rPr>
                  </w:pPr>
                  <w:r>
                    <w:rPr>
                      <w:rFonts w:hint="eastAsia"/>
                      <w:iCs/>
                      <w:color w:val="auto"/>
                      <w:sz w:val="18"/>
                      <w:szCs w:val="18"/>
                      <w:lang w:val="en-US" w:eastAsia="zh-CN"/>
                    </w:rPr>
                    <w:t>2</w:t>
                  </w:r>
                </w:p>
              </w:tc>
            </w:tr>
            <w:tr w14:paraId="45C1E5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405" w:type="pct"/>
                  <w:vAlign w:val="center"/>
                </w:tcPr>
                <w:p w14:paraId="26C88B70">
                  <w:pPr>
                    <w:autoSpaceDE w:val="0"/>
                    <w:autoSpaceDN w:val="0"/>
                    <w:adjustRightInd w:val="0"/>
                    <w:snapToGrid w:val="0"/>
                    <w:jc w:val="center"/>
                    <w:rPr>
                      <w:iCs/>
                      <w:color w:val="auto"/>
                      <w:sz w:val="18"/>
                      <w:szCs w:val="18"/>
                      <w:lang w:val="zh-CN"/>
                    </w:rPr>
                  </w:pPr>
                  <w:r>
                    <w:rPr>
                      <w:rFonts w:hint="eastAsia"/>
                      <w:iCs/>
                      <w:color w:val="auto"/>
                      <w:sz w:val="18"/>
                      <w:szCs w:val="18"/>
                      <w:lang w:val="zh-CN"/>
                    </w:rPr>
                    <w:t>4</w:t>
                  </w:r>
                </w:p>
              </w:tc>
              <w:tc>
                <w:tcPr>
                  <w:tcW w:w="743" w:type="pct"/>
                  <w:vAlign w:val="center"/>
                </w:tcPr>
                <w:p w14:paraId="4C4B141C">
                  <w:pPr>
                    <w:adjustRightInd w:val="0"/>
                    <w:snapToGrid w:val="0"/>
                    <w:jc w:val="center"/>
                    <w:rPr>
                      <w:iCs/>
                      <w:color w:val="auto"/>
                      <w:sz w:val="18"/>
                      <w:szCs w:val="18"/>
                    </w:rPr>
                  </w:pPr>
                  <w:r>
                    <w:rPr>
                      <w:iCs/>
                      <w:color w:val="auto"/>
                      <w:sz w:val="18"/>
                      <w:szCs w:val="18"/>
                    </w:rPr>
                    <w:t>噪声</w:t>
                  </w:r>
                </w:p>
              </w:tc>
              <w:tc>
                <w:tcPr>
                  <w:tcW w:w="2758" w:type="pct"/>
                  <w:vAlign w:val="center"/>
                </w:tcPr>
                <w:p w14:paraId="725FA5E7">
                  <w:pPr>
                    <w:adjustRightInd w:val="0"/>
                    <w:snapToGrid w:val="0"/>
                    <w:jc w:val="center"/>
                    <w:rPr>
                      <w:iCs/>
                      <w:color w:val="auto"/>
                      <w:sz w:val="18"/>
                      <w:szCs w:val="18"/>
                    </w:rPr>
                  </w:pPr>
                  <w:r>
                    <w:rPr>
                      <w:iCs/>
                      <w:color w:val="auto"/>
                      <w:sz w:val="18"/>
                      <w:szCs w:val="18"/>
                    </w:rPr>
                    <w:t>消声材料、减振垫、消声器等</w:t>
                  </w:r>
                </w:p>
              </w:tc>
              <w:tc>
                <w:tcPr>
                  <w:tcW w:w="1092" w:type="pct"/>
                  <w:vAlign w:val="center"/>
                </w:tcPr>
                <w:p w14:paraId="5B7E409E">
                  <w:pPr>
                    <w:autoSpaceDE w:val="0"/>
                    <w:autoSpaceDN w:val="0"/>
                    <w:adjustRightInd w:val="0"/>
                    <w:snapToGrid w:val="0"/>
                    <w:jc w:val="center"/>
                    <w:rPr>
                      <w:rFonts w:hint="eastAsia" w:eastAsia="宋体"/>
                      <w:iCs/>
                      <w:color w:val="auto"/>
                      <w:sz w:val="18"/>
                      <w:szCs w:val="18"/>
                      <w:lang w:eastAsia="zh-CN"/>
                    </w:rPr>
                  </w:pPr>
                  <w:r>
                    <w:rPr>
                      <w:rFonts w:hint="eastAsia"/>
                      <w:iCs/>
                      <w:color w:val="auto"/>
                      <w:sz w:val="18"/>
                      <w:szCs w:val="18"/>
                      <w:lang w:val="en-US" w:eastAsia="zh-CN"/>
                    </w:rPr>
                    <w:t>2</w:t>
                  </w:r>
                </w:p>
              </w:tc>
            </w:tr>
            <w:tr w14:paraId="16C09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405" w:type="pct"/>
                  <w:vAlign w:val="center"/>
                </w:tcPr>
                <w:p w14:paraId="5EA7F3A2">
                  <w:pPr>
                    <w:autoSpaceDE w:val="0"/>
                    <w:autoSpaceDN w:val="0"/>
                    <w:adjustRightInd w:val="0"/>
                    <w:snapToGrid w:val="0"/>
                    <w:jc w:val="center"/>
                    <w:rPr>
                      <w:iCs/>
                      <w:color w:val="auto"/>
                      <w:sz w:val="18"/>
                      <w:szCs w:val="18"/>
                      <w:lang w:val="zh-CN"/>
                    </w:rPr>
                  </w:pPr>
                  <w:r>
                    <w:rPr>
                      <w:rFonts w:hint="eastAsia"/>
                      <w:iCs/>
                      <w:color w:val="auto"/>
                      <w:sz w:val="18"/>
                      <w:szCs w:val="18"/>
                      <w:lang w:val="zh-CN"/>
                    </w:rPr>
                    <w:t>5</w:t>
                  </w:r>
                </w:p>
              </w:tc>
              <w:tc>
                <w:tcPr>
                  <w:tcW w:w="743" w:type="pct"/>
                  <w:vAlign w:val="center"/>
                </w:tcPr>
                <w:p w14:paraId="28812047">
                  <w:pPr>
                    <w:adjustRightInd w:val="0"/>
                    <w:snapToGrid w:val="0"/>
                    <w:jc w:val="center"/>
                    <w:rPr>
                      <w:iCs/>
                      <w:color w:val="auto"/>
                      <w:sz w:val="18"/>
                      <w:szCs w:val="18"/>
                    </w:rPr>
                  </w:pPr>
                  <w:r>
                    <w:rPr>
                      <w:iCs/>
                      <w:color w:val="auto"/>
                      <w:sz w:val="18"/>
                      <w:szCs w:val="18"/>
                    </w:rPr>
                    <w:t>固体废物</w:t>
                  </w:r>
                </w:p>
              </w:tc>
              <w:tc>
                <w:tcPr>
                  <w:tcW w:w="2758" w:type="pct"/>
                  <w:vAlign w:val="center"/>
                </w:tcPr>
                <w:p w14:paraId="7CAF2BE3">
                  <w:pPr>
                    <w:adjustRightInd w:val="0"/>
                    <w:snapToGrid w:val="0"/>
                    <w:jc w:val="center"/>
                    <w:rPr>
                      <w:iCs/>
                      <w:color w:val="auto"/>
                      <w:sz w:val="18"/>
                      <w:szCs w:val="18"/>
                    </w:rPr>
                  </w:pPr>
                  <w:r>
                    <w:rPr>
                      <w:iCs/>
                      <w:color w:val="auto"/>
                      <w:sz w:val="18"/>
                      <w:szCs w:val="18"/>
                    </w:rPr>
                    <w:t>集中收集</w:t>
                  </w:r>
                  <w:r>
                    <w:rPr>
                      <w:rFonts w:hint="eastAsia"/>
                      <w:iCs/>
                      <w:color w:val="auto"/>
                      <w:sz w:val="18"/>
                      <w:szCs w:val="18"/>
                    </w:rPr>
                    <w:t>处理</w:t>
                  </w:r>
                </w:p>
              </w:tc>
              <w:tc>
                <w:tcPr>
                  <w:tcW w:w="1092" w:type="pct"/>
                  <w:vAlign w:val="center"/>
                </w:tcPr>
                <w:p w14:paraId="1723535C">
                  <w:pPr>
                    <w:autoSpaceDE w:val="0"/>
                    <w:autoSpaceDN w:val="0"/>
                    <w:adjustRightInd w:val="0"/>
                    <w:snapToGrid w:val="0"/>
                    <w:jc w:val="center"/>
                    <w:rPr>
                      <w:iCs/>
                      <w:color w:val="auto"/>
                      <w:sz w:val="18"/>
                      <w:szCs w:val="18"/>
                      <w:lang w:val="zh-CN"/>
                    </w:rPr>
                  </w:pPr>
                  <w:r>
                    <w:rPr>
                      <w:rFonts w:hint="eastAsia"/>
                      <w:iCs/>
                      <w:color w:val="auto"/>
                      <w:sz w:val="18"/>
                      <w:szCs w:val="18"/>
                    </w:rPr>
                    <w:t>1</w:t>
                  </w:r>
                </w:p>
              </w:tc>
            </w:tr>
            <w:tr w14:paraId="76A3F7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405" w:type="pct"/>
                  <w:vAlign w:val="center"/>
                </w:tcPr>
                <w:p w14:paraId="6E525457">
                  <w:pPr>
                    <w:autoSpaceDE w:val="0"/>
                    <w:autoSpaceDN w:val="0"/>
                    <w:adjustRightInd w:val="0"/>
                    <w:snapToGrid w:val="0"/>
                    <w:jc w:val="center"/>
                    <w:rPr>
                      <w:iCs/>
                      <w:color w:val="auto"/>
                      <w:sz w:val="18"/>
                      <w:szCs w:val="18"/>
                      <w:u w:val="single"/>
                      <w:lang w:val="zh-CN"/>
                    </w:rPr>
                  </w:pPr>
                  <w:r>
                    <w:rPr>
                      <w:rFonts w:hint="eastAsia"/>
                      <w:iCs/>
                      <w:color w:val="auto"/>
                      <w:sz w:val="18"/>
                      <w:szCs w:val="18"/>
                      <w:u w:val="single"/>
                      <w:lang w:val="zh-CN"/>
                    </w:rPr>
                    <w:t>6</w:t>
                  </w:r>
                </w:p>
              </w:tc>
              <w:tc>
                <w:tcPr>
                  <w:tcW w:w="743" w:type="pct"/>
                  <w:vAlign w:val="center"/>
                </w:tcPr>
                <w:p w14:paraId="3715CE41">
                  <w:pPr>
                    <w:adjustRightInd w:val="0"/>
                    <w:snapToGrid w:val="0"/>
                    <w:jc w:val="center"/>
                    <w:rPr>
                      <w:iCs/>
                      <w:color w:val="auto"/>
                      <w:sz w:val="18"/>
                      <w:szCs w:val="18"/>
                      <w:u w:val="single"/>
                    </w:rPr>
                  </w:pPr>
                  <w:r>
                    <w:rPr>
                      <w:rFonts w:hint="eastAsia"/>
                      <w:iCs/>
                      <w:color w:val="auto"/>
                      <w:sz w:val="18"/>
                      <w:szCs w:val="18"/>
                      <w:u w:val="single"/>
                      <w:lang w:val="en-US" w:eastAsia="zh-CN"/>
                    </w:rPr>
                    <w:t>土壤、</w:t>
                  </w:r>
                  <w:r>
                    <w:rPr>
                      <w:iCs/>
                      <w:color w:val="auto"/>
                      <w:sz w:val="18"/>
                      <w:szCs w:val="18"/>
                      <w:u w:val="single"/>
                    </w:rPr>
                    <w:t>地下水</w:t>
                  </w:r>
                </w:p>
              </w:tc>
              <w:tc>
                <w:tcPr>
                  <w:tcW w:w="2758" w:type="pct"/>
                  <w:vAlign w:val="center"/>
                </w:tcPr>
                <w:p w14:paraId="104B8BB6">
                  <w:pPr>
                    <w:adjustRightInd w:val="0"/>
                    <w:snapToGrid w:val="0"/>
                    <w:jc w:val="center"/>
                    <w:rPr>
                      <w:rFonts w:hint="eastAsia"/>
                      <w:iCs/>
                      <w:color w:val="auto"/>
                      <w:sz w:val="18"/>
                      <w:szCs w:val="18"/>
                      <w:u w:val="single"/>
                      <w:lang w:val="en-US" w:eastAsia="zh-CN"/>
                    </w:rPr>
                  </w:pPr>
                  <w:r>
                    <w:rPr>
                      <w:rFonts w:hint="eastAsia"/>
                      <w:iCs/>
                      <w:color w:val="auto"/>
                      <w:sz w:val="18"/>
                      <w:szCs w:val="18"/>
                      <w:u w:val="single"/>
                      <w:lang w:val="en-US" w:eastAsia="zh-CN"/>
                    </w:rPr>
                    <w:t>按照一般防渗区进行防渗</w:t>
                  </w:r>
                </w:p>
                <w:p w14:paraId="72544117">
                  <w:pPr>
                    <w:pStyle w:val="27"/>
                    <w:ind w:left="0" w:leftChars="0" w:firstLine="0" w:firstLineChars="0"/>
                    <w:jc w:val="center"/>
                    <w:rPr>
                      <w:rFonts w:hint="default"/>
                      <w:color w:val="auto"/>
                      <w:u w:val="single"/>
                      <w:lang w:val="en-US" w:eastAsia="zh-CN"/>
                    </w:rPr>
                  </w:pPr>
                  <w:r>
                    <w:rPr>
                      <w:rFonts w:hint="default" w:ascii="Times New Roman" w:hAnsi="Times New Roman" w:eastAsia="宋体" w:cs="Times New Roman"/>
                      <w:color w:val="auto"/>
                      <w:kern w:val="0"/>
                      <w:sz w:val="18"/>
                      <w:szCs w:val="18"/>
                      <w:u w:val="single"/>
                      <w:lang w:val="en-US" w:eastAsia="zh-CN" w:bidi="ar"/>
                    </w:rPr>
                    <w:t>等效黏土防渗层厚度≥1.5m，渗透系数≤1×10⁻⁷cm/s；硬化层抗压强度≥C30</w:t>
                  </w:r>
                </w:p>
              </w:tc>
              <w:tc>
                <w:tcPr>
                  <w:tcW w:w="1092" w:type="pct"/>
                  <w:vAlign w:val="center"/>
                </w:tcPr>
                <w:p w14:paraId="020AB570">
                  <w:pPr>
                    <w:autoSpaceDE w:val="0"/>
                    <w:autoSpaceDN w:val="0"/>
                    <w:adjustRightInd w:val="0"/>
                    <w:snapToGrid w:val="0"/>
                    <w:jc w:val="center"/>
                    <w:rPr>
                      <w:rFonts w:hint="default" w:eastAsia="宋体"/>
                      <w:iCs/>
                      <w:color w:val="auto"/>
                      <w:sz w:val="18"/>
                      <w:szCs w:val="18"/>
                      <w:u w:val="single"/>
                      <w:lang w:val="en-US" w:eastAsia="zh-CN"/>
                    </w:rPr>
                  </w:pPr>
                  <w:r>
                    <w:rPr>
                      <w:rFonts w:hint="eastAsia"/>
                      <w:iCs/>
                      <w:color w:val="auto"/>
                      <w:sz w:val="18"/>
                      <w:szCs w:val="18"/>
                      <w:u w:val="single"/>
                      <w:lang w:val="en-US" w:eastAsia="zh-CN"/>
                    </w:rPr>
                    <w:t>10</w:t>
                  </w:r>
                </w:p>
              </w:tc>
            </w:tr>
            <w:tr w14:paraId="6B5A65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3907" w:type="pct"/>
                  <w:gridSpan w:val="3"/>
                  <w:vAlign w:val="center"/>
                </w:tcPr>
                <w:p w14:paraId="0BEDB38F">
                  <w:pPr>
                    <w:adjustRightInd w:val="0"/>
                    <w:snapToGrid w:val="0"/>
                    <w:jc w:val="center"/>
                    <w:rPr>
                      <w:iCs/>
                      <w:color w:val="auto"/>
                      <w:sz w:val="18"/>
                      <w:szCs w:val="18"/>
                    </w:rPr>
                  </w:pPr>
                  <w:r>
                    <w:rPr>
                      <w:iCs/>
                      <w:color w:val="auto"/>
                      <w:sz w:val="18"/>
                      <w:szCs w:val="18"/>
                      <w:lang w:val="zh-CN"/>
                    </w:rPr>
                    <w:t>合计</w:t>
                  </w:r>
                </w:p>
              </w:tc>
              <w:tc>
                <w:tcPr>
                  <w:tcW w:w="1092" w:type="pct"/>
                  <w:vAlign w:val="center"/>
                </w:tcPr>
                <w:p w14:paraId="0CCA9D12">
                  <w:pPr>
                    <w:autoSpaceDE w:val="0"/>
                    <w:autoSpaceDN w:val="0"/>
                    <w:adjustRightInd w:val="0"/>
                    <w:snapToGrid w:val="0"/>
                    <w:jc w:val="center"/>
                    <w:rPr>
                      <w:rFonts w:hint="default" w:eastAsia="宋体"/>
                      <w:iCs/>
                      <w:color w:val="auto"/>
                      <w:sz w:val="18"/>
                      <w:szCs w:val="18"/>
                      <w:lang w:val="en-US" w:eastAsia="zh-CN"/>
                    </w:rPr>
                  </w:pPr>
                  <w:r>
                    <w:rPr>
                      <w:rFonts w:hint="eastAsia"/>
                      <w:iCs/>
                      <w:color w:val="auto"/>
                      <w:sz w:val="18"/>
                      <w:szCs w:val="18"/>
                      <w:lang w:val="en-US" w:eastAsia="zh-CN"/>
                    </w:rPr>
                    <w:t>30</w:t>
                  </w:r>
                </w:p>
              </w:tc>
            </w:tr>
          </w:tbl>
          <w:p w14:paraId="201DDC5F">
            <w:pPr>
              <w:adjustRightInd w:val="0"/>
              <w:snapToGrid w:val="0"/>
              <w:spacing w:line="336" w:lineRule="auto"/>
              <w:rPr>
                <w:rFonts w:ascii="宋体" w:hAnsi="宋体" w:cs="宋体"/>
                <w:bCs/>
                <w:color w:val="auto"/>
                <w:spacing w:val="-10"/>
              </w:rPr>
            </w:pPr>
          </w:p>
        </w:tc>
      </w:tr>
    </w:tbl>
    <w:p w14:paraId="007D44E2">
      <w:pPr>
        <w:adjustRightInd w:val="0"/>
        <w:snapToGrid w:val="0"/>
        <w:spacing w:line="360" w:lineRule="auto"/>
        <w:rPr>
          <w:rFonts w:ascii="宋体" w:cs="宋体"/>
          <w:b/>
          <w:color w:val="auto"/>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661112">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460"/>
        <w:gridCol w:w="1040"/>
        <w:gridCol w:w="2191"/>
        <w:gridCol w:w="2731"/>
      </w:tblGrid>
      <w:tr w14:paraId="06449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8" w:type="dxa"/>
            <w:tcBorders>
              <w:tl2br w:val="single" w:color="auto" w:sz="4" w:space="0"/>
            </w:tcBorders>
          </w:tcPr>
          <w:p w14:paraId="29994F76">
            <w:pPr>
              <w:adjustRightInd w:val="0"/>
              <w:snapToGrid w:val="0"/>
              <w:ind w:firstLine="720" w:firstLineChars="400"/>
              <w:rPr>
                <w:i w:val="0"/>
                <w:iCs w:val="0"/>
                <w:color w:val="auto"/>
                <w:sz w:val="18"/>
                <w:szCs w:val="18"/>
                <w:u w:val="single"/>
              </w:rPr>
            </w:pPr>
            <w:r>
              <w:rPr>
                <w:i w:val="0"/>
                <w:iCs w:val="0"/>
                <w:color w:val="auto"/>
                <w:sz w:val="18"/>
                <w:szCs w:val="18"/>
                <w:u w:val="single"/>
              </w:rPr>
              <w:t>内容</w:t>
            </w:r>
          </w:p>
          <w:p w14:paraId="0089C222">
            <w:pPr>
              <w:adjustRightInd w:val="0"/>
              <w:snapToGrid w:val="0"/>
              <w:rPr>
                <w:i w:val="0"/>
                <w:iCs w:val="0"/>
                <w:color w:val="auto"/>
                <w:sz w:val="18"/>
                <w:szCs w:val="18"/>
                <w:u w:val="single"/>
              </w:rPr>
            </w:pPr>
            <w:r>
              <w:rPr>
                <w:i w:val="0"/>
                <w:iCs w:val="0"/>
                <w:color w:val="auto"/>
                <w:sz w:val="18"/>
                <w:szCs w:val="18"/>
                <w:u w:val="single"/>
              </w:rPr>
              <w:t>要素</w:t>
            </w:r>
          </w:p>
        </w:tc>
        <w:tc>
          <w:tcPr>
            <w:tcW w:w="1460" w:type="dxa"/>
            <w:vAlign w:val="center"/>
          </w:tcPr>
          <w:p w14:paraId="16FCEB35">
            <w:pPr>
              <w:adjustRightInd w:val="0"/>
              <w:snapToGrid w:val="0"/>
              <w:jc w:val="center"/>
              <w:rPr>
                <w:i w:val="0"/>
                <w:iCs w:val="0"/>
                <w:color w:val="auto"/>
                <w:sz w:val="18"/>
                <w:szCs w:val="18"/>
                <w:u w:val="single"/>
              </w:rPr>
            </w:pPr>
            <w:r>
              <w:rPr>
                <w:i w:val="0"/>
                <w:iCs w:val="0"/>
                <w:color w:val="auto"/>
                <w:sz w:val="18"/>
                <w:szCs w:val="18"/>
                <w:u w:val="single"/>
              </w:rPr>
              <w:t>排放口</w:t>
            </w:r>
            <w:r>
              <w:rPr>
                <w:rFonts w:hint="eastAsia"/>
                <w:i w:val="0"/>
                <w:iCs w:val="0"/>
                <w:color w:val="auto"/>
                <w:sz w:val="18"/>
                <w:szCs w:val="18"/>
                <w:u w:val="single"/>
              </w:rPr>
              <w:t>（</w:t>
            </w:r>
            <w:r>
              <w:rPr>
                <w:i w:val="0"/>
                <w:iCs w:val="0"/>
                <w:color w:val="auto"/>
                <w:sz w:val="18"/>
                <w:szCs w:val="18"/>
                <w:u w:val="single"/>
              </w:rPr>
              <w:t>编号、</w:t>
            </w:r>
          </w:p>
          <w:p w14:paraId="0833850B">
            <w:pPr>
              <w:adjustRightInd w:val="0"/>
              <w:snapToGrid w:val="0"/>
              <w:jc w:val="center"/>
              <w:rPr>
                <w:i w:val="0"/>
                <w:iCs w:val="0"/>
                <w:color w:val="auto"/>
                <w:sz w:val="18"/>
                <w:szCs w:val="18"/>
                <w:u w:val="single"/>
              </w:rPr>
            </w:pPr>
            <w:r>
              <w:rPr>
                <w:i w:val="0"/>
                <w:iCs w:val="0"/>
                <w:color w:val="auto"/>
                <w:sz w:val="18"/>
                <w:szCs w:val="18"/>
                <w:u w:val="single"/>
              </w:rPr>
              <w:t>名称</w:t>
            </w:r>
            <w:r>
              <w:rPr>
                <w:rFonts w:hint="eastAsia"/>
                <w:i w:val="0"/>
                <w:iCs w:val="0"/>
                <w:color w:val="auto"/>
                <w:sz w:val="18"/>
                <w:szCs w:val="18"/>
                <w:u w:val="single"/>
              </w:rPr>
              <w:t>）</w:t>
            </w:r>
            <w:r>
              <w:rPr>
                <w:i w:val="0"/>
                <w:iCs w:val="0"/>
                <w:color w:val="auto"/>
                <w:sz w:val="18"/>
                <w:szCs w:val="18"/>
                <w:u w:val="single"/>
              </w:rPr>
              <w:t>/污染源</w:t>
            </w:r>
          </w:p>
        </w:tc>
        <w:tc>
          <w:tcPr>
            <w:tcW w:w="1040" w:type="dxa"/>
            <w:vAlign w:val="center"/>
          </w:tcPr>
          <w:p w14:paraId="1502CA0E">
            <w:pPr>
              <w:adjustRightInd w:val="0"/>
              <w:snapToGrid w:val="0"/>
              <w:jc w:val="center"/>
              <w:rPr>
                <w:i w:val="0"/>
                <w:iCs w:val="0"/>
                <w:color w:val="auto"/>
                <w:sz w:val="18"/>
                <w:szCs w:val="18"/>
                <w:u w:val="single"/>
              </w:rPr>
            </w:pPr>
            <w:r>
              <w:rPr>
                <w:i w:val="0"/>
                <w:iCs w:val="0"/>
                <w:color w:val="auto"/>
                <w:sz w:val="18"/>
                <w:szCs w:val="18"/>
                <w:u w:val="single"/>
              </w:rPr>
              <w:t>污染物项目</w:t>
            </w:r>
          </w:p>
        </w:tc>
        <w:tc>
          <w:tcPr>
            <w:tcW w:w="2191" w:type="dxa"/>
            <w:vAlign w:val="center"/>
          </w:tcPr>
          <w:p w14:paraId="726B15B0">
            <w:pPr>
              <w:adjustRightInd w:val="0"/>
              <w:snapToGrid w:val="0"/>
              <w:jc w:val="center"/>
              <w:rPr>
                <w:i w:val="0"/>
                <w:iCs w:val="0"/>
                <w:color w:val="auto"/>
                <w:sz w:val="18"/>
                <w:szCs w:val="18"/>
                <w:u w:val="single"/>
              </w:rPr>
            </w:pPr>
            <w:r>
              <w:rPr>
                <w:i w:val="0"/>
                <w:iCs w:val="0"/>
                <w:color w:val="auto"/>
                <w:sz w:val="18"/>
                <w:szCs w:val="18"/>
                <w:u w:val="single"/>
              </w:rPr>
              <w:t>环境保护措施</w:t>
            </w:r>
          </w:p>
        </w:tc>
        <w:tc>
          <w:tcPr>
            <w:tcW w:w="2731" w:type="dxa"/>
            <w:vAlign w:val="center"/>
          </w:tcPr>
          <w:p w14:paraId="5EF37673">
            <w:pPr>
              <w:adjustRightInd w:val="0"/>
              <w:snapToGrid w:val="0"/>
              <w:jc w:val="center"/>
              <w:rPr>
                <w:i w:val="0"/>
                <w:iCs w:val="0"/>
                <w:color w:val="auto"/>
                <w:sz w:val="18"/>
                <w:szCs w:val="18"/>
                <w:u w:val="single"/>
              </w:rPr>
            </w:pPr>
            <w:r>
              <w:rPr>
                <w:i w:val="0"/>
                <w:iCs w:val="0"/>
                <w:color w:val="auto"/>
                <w:sz w:val="18"/>
                <w:szCs w:val="18"/>
                <w:u w:val="single"/>
              </w:rPr>
              <w:t>执行标准</w:t>
            </w:r>
          </w:p>
        </w:tc>
      </w:tr>
      <w:tr w14:paraId="50F79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78" w:type="dxa"/>
            <w:vMerge w:val="restart"/>
            <w:vAlign w:val="center"/>
          </w:tcPr>
          <w:p w14:paraId="79D145D0">
            <w:pPr>
              <w:adjustRightInd w:val="0"/>
              <w:snapToGrid w:val="0"/>
              <w:jc w:val="center"/>
              <w:rPr>
                <w:i w:val="0"/>
                <w:iCs w:val="0"/>
                <w:color w:val="auto"/>
                <w:sz w:val="18"/>
                <w:szCs w:val="18"/>
                <w:u w:val="single"/>
              </w:rPr>
            </w:pPr>
            <w:r>
              <w:rPr>
                <w:i w:val="0"/>
                <w:iCs w:val="0"/>
                <w:color w:val="auto"/>
                <w:sz w:val="18"/>
                <w:szCs w:val="18"/>
                <w:u w:val="single"/>
              </w:rPr>
              <w:t>大气环境</w:t>
            </w:r>
          </w:p>
        </w:tc>
        <w:tc>
          <w:tcPr>
            <w:tcW w:w="1460" w:type="dxa"/>
            <w:vAlign w:val="center"/>
          </w:tcPr>
          <w:p w14:paraId="74191D36">
            <w:pPr>
              <w:adjustRightInd w:val="0"/>
              <w:snapToGrid w:val="0"/>
              <w:jc w:val="center"/>
              <w:rPr>
                <w:i w:val="0"/>
                <w:iCs w:val="0"/>
                <w:color w:val="auto"/>
                <w:sz w:val="18"/>
                <w:szCs w:val="18"/>
                <w:u w:val="single"/>
              </w:rPr>
            </w:pPr>
            <w:r>
              <w:rPr>
                <w:rFonts w:hint="eastAsia"/>
                <w:i w:val="0"/>
                <w:iCs w:val="0"/>
                <w:color w:val="auto"/>
                <w:sz w:val="18"/>
                <w:szCs w:val="18"/>
                <w:u w:val="single"/>
                <w:lang w:val="en-US" w:eastAsia="zh-CN"/>
              </w:rPr>
              <w:t>发酵废气</w:t>
            </w:r>
          </w:p>
        </w:tc>
        <w:tc>
          <w:tcPr>
            <w:tcW w:w="1040" w:type="dxa"/>
            <w:tcBorders>
              <w:bottom w:val="single" w:color="auto" w:sz="4" w:space="0"/>
            </w:tcBorders>
            <w:vAlign w:val="center"/>
          </w:tcPr>
          <w:p w14:paraId="408859AD">
            <w:pPr>
              <w:adjustRightInd w:val="0"/>
              <w:snapToGrid w:val="0"/>
              <w:jc w:val="center"/>
              <w:rPr>
                <w:rFonts w:hint="default" w:eastAsia="宋体"/>
                <w:i w:val="0"/>
                <w:iCs w:val="0"/>
                <w:color w:val="auto"/>
                <w:sz w:val="18"/>
                <w:szCs w:val="18"/>
                <w:u w:val="single"/>
                <w:lang w:val="en-US" w:eastAsia="zh-CN"/>
              </w:rPr>
            </w:pPr>
            <w:r>
              <w:rPr>
                <w:rFonts w:hint="eastAsia"/>
                <w:i w:val="0"/>
                <w:iCs w:val="0"/>
                <w:color w:val="auto"/>
                <w:sz w:val="18"/>
                <w:szCs w:val="18"/>
                <w:u w:val="single"/>
                <w:lang w:val="en-US" w:eastAsia="zh-CN"/>
              </w:rPr>
              <w:t>氨、硫化氢、臭气浓度</w:t>
            </w:r>
          </w:p>
        </w:tc>
        <w:tc>
          <w:tcPr>
            <w:tcW w:w="2191" w:type="dxa"/>
            <w:vAlign w:val="center"/>
          </w:tcPr>
          <w:p w14:paraId="61B44952">
            <w:pPr>
              <w:adjustRightInd w:val="0"/>
              <w:snapToGrid w:val="0"/>
              <w:jc w:val="center"/>
              <w:rPr>
                <w:i w:val="0"/>
                <w:iCs w:val="0"/>
                <w:color w:val="auto"/>
                <w:sz w:val="18"/>
                <w:szCs w:val="18"/>
                <w:u w:val="single"/>
              </w:rPr>
            </w:pPr>
            <w:r>
              <w:rPr>
                <w:iCs/>
                <w:color w:val="auto"/>
                <w:sz w:val="18"/>
                <w:szCs w:val="18"/>
                <w:u w:val="single"/>
              </w:rPr>
              <w:t>生物除臭剂</w:t>
            </w:r>
            <w:r>
              <w:rPr>
                <w:rFonts w:hint="eastAsia"/>
                <w:iCs/>
                <w:color w:val="auto"/>
                <w:sz w:val="18"/>
                <w:szCs w:val="18"/>
                <w:u w:val="single"/>
              </w:rPr>
              <w:t>；</w:t>
            </w:r>
          </w:p>
        </w:tc>
        <w:tc>
          <w:tcPr>
            <w:tcW w:w="2731" w:type="dxa"/>
            <w:vAlign w:val="center"/>
          </w:tcPr>
          <w:p w14:paraId="5327AEB4">
            <w:pPr>
              <w:adjustRightInd w:val="0"/>
              <w:snapToGrid w:val="0"/>
              <w:jc w:val="center"/>
              <w:rPr>
                <w:i w:val="0"/>
                <w:iCs w:val="0"/>
                <w:color w:val="auto"/>
                <w:sz w:val="18"/>
                <w:szCs w:val="18"/>
                <w:u w:val="single"/>
              </w:rPr>
            </w:pPr>
            <w:r>
              <w:rPr>
                <w:i w:val="0"/>
                <w:iCs w:val="0"/>
                <w:color w:val="auto"/>
                <w:sz w:val="18"/>
                <w:szCs w:val="18"/>
                <w:u w:val="single"/>
              </w:rPr>
              <w:t>GB14554-93《恶臭污染物排放标准》</w:t>
            </w:r>
          </w:p>
        </w:tc>
      </w:tr>
      <w:tr w14:paraId="6226F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78" w:type="dxa"/>
            <w:vMerge w:val="continue"/>
            <w:vAlign w:val="center"/>
          </w:tcPr>
          <w:p w14:paraId="016134A4">
            <w:pPr>
              <w:adjustRightInd w:val="0"/>
              <w:snapToGrid w:val="0"/>
              <w:jc w:val="center"/>
              <w:rPr>
                <w:i w:val="0"/>
                <w:iCs w:val="0"/>
                <w:color w:val="auto"/>
                <w:sz w:val="18"/>
                <w:szCs w:val="18"/>
                <w:u w:val="single"/>
              </w:rPr>
            </w:pPr>
          </w:p>
        </w:tc>
        <w:tc>
          <w:tcPr>
            <w:tcW w:w="1460" w:type="dxa"/>
            <w:vAlign w:val="center"/>
          </w:tcPr>
          <w:p w14:paraId="19B932A6">
            <w:pPr>
              <w:adjustRightInd w:val="0"/>
              <w:snapToGrid w:val="0"/>
              <w:jc w:val="center"/>
              <w:rPr>
                <w:rFonts w:hint="eastAsia"/>
                <w:i w:val="0"/>
                <w:iCs w:val="0"/>
                <w:color w:val="auto"/>
                <w:sz w:val="18"/>
                <w:szCs w:val="18"/>
                <w:u w:val="single"/>
                <w:lang w:val="en-US" w:eastAsia="zh-CN"/>
              </w:rPr>
            </w:pPr>
            <w:r>
              <w:rPr>
                <w:rFonts w:hint="eastAsia"/>
                <w:i w:val="0"/>
                <w:iCs w:val="0"/>
                <w:color w:val="auto"/>
                <w:sz w:val="18"/>
                <w:szCs w:val="18"/>
                <w:u w:val="single"/>
                <w:lang w:val="en-US" w:eastAsia="zh-CN"/>
              </w:rPr>
              <w:t>破碎筛分粉尘</w:t>
            </w:r>
          </w:p>
          <w:p w14:paraId="7561327E">
            <w:pPr>
              <w:adjustRightInd w:val="0"/>
              <w:snapToGrid w:val="0"/>
              <w:jc w:val="center"/>
              <w:rPr>
                <w:rFonts w:hint="default"/>
                <w:i w:val="0"/>
                <w:iCs w:val="0"/>
                <w:color w:val="auto"/>
                <w:sz w:val="18"/>
                <w:szCs w:val="18"/>
                <w:u w:val="single"/>
                <w:lang w:val="en-US" w:eastAsia="zh-CN"/>
              </w:rPr>
            </w:pPr>
            <w:r>
              <w:rPr>
                <w:rFonts w:hint="eastAsia"/>
                <w:i w:val="0"/>
                <w:iCs w:val="0"/>
                <w:color w:val="auto"/>
                <w:sz w:val="18"/>
                <w:szCs w:val="18"/>
                <w:u w:val="single"/>
                <w:lang w:val="en-US" w:eastAsia="zh-CN"/>
              </w:rPr>
              <w:t>（DA001）</w:t>
            </w:r>
          </w:p>
        </w:tc>
        <w:tc>
          <w:tcPr>
            <w:tcW w:w="1040" w:type="dxa"/>
            <w:tcBorders>
              <w:bottom w:val="single" w:color="auto" w:sz="4" w:space="0"/>
            </w:tcBorders>
            <w:vAlign w:val="center"/>
          </w:tcPr>
          <w:p w14:paraId="012F0A95">
            <w:pPr>
              <w:adjustRightInd w:val="0"/>
              <w:snapToGrid w:val="0"/>
              <w:jc w:val="center"/>
              <w:rPr>
                <w:rFonts w:hint="default"/>
                <w:i w:val="0"/>
                <w:iCs w:val="0"/>
                <w:color w:val="auto"/>
                <w:sz w:val="18"/>
                <w:szCs w:val="18"/>
                <w:u w:val="single"/>
                <w:lang w:val="en-US" w:eastAsia="zh-CN"/>
              </w:rPr>
            </w:pPr>
            <w:r>
              <w:rPr>
                <w:rFonts w:hint="eastAsia"/>
                <w:i w:val="0"/>
                <w:iCs w:val="0"/>
                <w:color w:val="auto"/>
                <w:sz w:val="18"/>
                <w:szCs w:val="18"/>
                <w:u w:val="single"/>
                <w:lang w:val="en-US" w:eastAsia="zh-CN"/>
              </w:rPr>
              <w:t>颗粒物</w:t>
            </w:r>
          </w:p>
        </w:tc>
        <w:tc>
          <w:tcPr>
            <w:tcW w:w="2191" w:type="dxa"/>
            <w:vAlign w:val="center"/>
          </w:tcPr>
          <w:p w14:paraId="71DF3034">
            <w:pPr>
              <w:adjustRightInd w:val="0"/>
              <w:snapToGrid w:val="0"/>
              <w:jc w:val="center"/>
              <w:rPr>
                <w:iCs/>
                <w:color w:val="auto"/>
                <w:sz w:val="18"/>
                <w:szCs w:val="18"/>
                <w:u w:val="single"/>
              </w:rPr>
            </w:pPr>
            <w:r>
              <w:rPr>
                <w:rFonts w:hint="eastAsia"/>
                <w:iCs/>
                <w:color w:val="auto"/>
                <w:sz w:val="18"/>
                <w:szCs w:val="18"/>
                <w:u w:val="single"/>
                <w:lang w:val="en-US" w:eastAsia="zh-CN"/>
              </w:rPr>
              <w:t>布袋除尘器+15m高排气筒（DA001）；</w:t>
            </w:r>
          </w:p>
        </w:tc>
        <w:tc>
          <w:tcPr>
            <w:tcW w:w="2731" w:type="dxa"/>
            <w:vAlign w:val="center"/>
          </w:tcPr>
          <w:p w14:paraId="3BC94E10">
            <w:pPr>
              <w:adjustRightInd w:val="0"/>
              <w:snapToGrid w:val="0"/>
              <w:jc w:val="center"/>
              <w:rPr>
                <w:rFonts w:hint="eastAsia"/>
                <w:i w:val="0"/>
                <w:iCs w:val="0"/>
                <w:color w:val="auto"/>
                <w:sz w:val="18"/>
                <w:szCs w:val="18"/>
                <w:u w:val="single"/>
              </w:rPr>
            </w:pPr>
            <w:r>
              <w:rPr>
                <w:rFonts w:hint="eastAsia" w:ascii="Times New Roman" w:hAnsi="Times New Roman" w:eastAsia="宋体" w:cs="宋体"/>
                <w:color w:val="auto"/>
                <w:sz w:val="18"/>
                <w:szCs w:val="18"/>
                <w:u w:val="single"/>
              </w:rPr>
              <w:t>《大气污染物综合排放标准》（GB16297-1996）</w:t>
            </w:r>
          </w:p>
        </w:tc>
      </w:tr>
      <w:tr w14:paraId="4F2FE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378" w:type="dxa"/>
            <w:vMerge w:val="continue"/>
            <w:vAlign w:val="center"/>
          </w:tcPr>
          <w:p w14:paraId="3C54093E">
            <w:pPr>
              <w:adjustRightInd w:val="0"/>
              <w:snapToGrid w:val="0"/>
              <w:jc w:val="center"/>
              <w:rPr>
                <w:i w:val="0"/>
                <w:iCs w:val="0"/>
                <w:color w:val="auto"/>
                <w:sz w:val="18"/>
                <w:szCs w:val="18"/>
                <w:u w:val="single"/>
              </w:rPr>
            </w:pPr>
          </w:p>
        </w:tc>
        <w:tc>
          <w:tcPr>
            <w:tcW w:w="1460" w:type="dxa"/>
            <w:tcBorders>
              <w:top w:val="single" w:color="auto" w:sz="4" w:space="0"/>
            </w:tcBorders>
            <w:vAlign w:val="center"/>
          </w:tcPr>
          <w:p w14:paraId="694231AB">
            <w:pPr>
              <w:adjustRightInd w:val="0"/>
              <w:snapToGrid w:val="0"/>
              <w:jc w:val="center"/>
              <w:rPr>
                <w:rFonts w:hint="default" w:eastAsia="宋体"/>
                <w:i w:val="0"/>
                <w:iCs w:val="0"/>
                <w:color w:val="auto"/>
                <w:sz w:val="18"/>
                <w:szCs w:val="18"/>
                <w:u w:val="single"/>
                <w:lang w:val="en-US" w:eastAsia="zh-CN"/>
              </w:rPr>
            </w:pPr>
            <w:r>
              <w:rPr>
                <w:rFonts w:hint="eastAsia"/>
                <w:i w:val="0"/>
                <w:iCs w:val="0"/>
                <w:color w:val="auto"/>
                <w:sz w:val="18"/>
                <w:szCs w:val="18"/>
                <w:u w:val="single"/>
                <w:lang w:val="en-US" w:eastAsia="zh-CN"/>
              </w:rPr>
              <w:t>无组织</w:t>
            </w:r>
          </w:p>
        </w:tc>
        <w:tc>
          <w:tcPr>
            <w:tcW w:w="1040" w:type="dxa"/>
            <w:tcBorders>
              <w:top w:val="single" w:color="auto" w:sz="4" w:space="0"/>
            </w:tcBorders>
            <w:vAlign w:val="center"/>
          </w:tcPr>
          <w:p w14:paraId="4C953B66">
            <w:pPr>
              <w:adjustRightInd w:val="0"/>
              <w:snapToGrid w:val="0"/>
              <w:jc w:val="center"/>
              <w:rPr>
                <w:i w:val="0"/>
                <w:iCs w:val="0"/>
                <w:color w:val="auto"/>
                <w:sz w:val="18"/>
                <w:szCs w:val="18"/>
                <w:u w:val="single"/>
              </w:rPr>
            </w:pPr>
            <w:r>
              <w:rPr>
                <w:rFonts w:hint="eastAsia" w:eastAsia="宋体"/>
                <w:i w:val="0"/>
                <w:iCs w:val="0"/>
                <w:color w:val="auto"/>
                <w:sz w:val="18"/>
                <w:szCs w:val="18"/>
                <w:u w:val="single"/>
                <w:lang w:val="en-US" w:eastAsia="zh-CN"/>
              </w:rPr>
              <w:t>颗粒物</w:t>
            </w:r>
          </w:p>
        </w:tc>
        <w:tc>
          <w:tcPr>
            <w:tcW w:w="2191" w:type="dxa"/>
            <w:tcBorders>
              <w:top w:val="single" w:color="auto" w:sz="4" w:space="0"/>
              <w:bottom w:val="single" w:color="auto" w:sz="4" w:space="0"/>
            </w:tcBorders>
            <w:vAlign w:val="center"/>
          </w:tcPr>
          <w:p w14:paraId="2D944C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i w:val="0"/>
                <w:iCs w:val="0"/>
                <w:color w:val="auto"/>
                <w:sz w:val="18"/>
                <w:szCs w:val="18"/>
                <w:u w:val="single"/>
                <w:lang w:val="en-US"/>
              </w:rPr>
            </w:pPr>
            <w:r>
              <w:rPr>
                <w:rFonts w:hint="eastAsia" w:ascii="Times New Roman" w:hAnsi="Times New Roman" w:eastAsia="宋体" w:cs="Times New Roman"/>
                <w:i w:val="0"/>
                <w:iCs w:val="0"/>
                <w:color w:val="auto"/>
                <w:sz w:val="18"/>
                <w:szCs w:val="18"/>
                <w:u w:val="single"/>
                <w:lang w:val="en-US" w:eastAsia="zh-CN" w:bidi="ar-SA"/>
              </w:rPr>
              <w:t>地面进行硬化，加强道路清扫，保持清洁</w:t>
            </w:r>
            <w:r>
              <w:rPr>
                <w:rFonts w:hint="eastAsia" w:cs="Times New Roman"/>
                <w:i w:val="0"/>
                <w:iCs w:val="0"/>
                <w:color w:val="auto"/>
                <w:sz w:val="18"/>
                <w:szCs w:val="18"/>
                <w:u w:val="single"/>
                <w:lang w:val="en-US" w:eastAsia="zh-CN" w:bidi="ar-SA"/>
              </w:rPr>
              <w:t>，</w:t>
            </w:r>
            <w:r>
              <w:rPr>
                <w:rFonts w:hint="eastAsia" w:cs="Times New Roman"/>
                <w:i w:val="0"/>
                <w:iCs w:val="0"/>
                <w:color w:val="0000FF"/>
                <w:sz w:val="18"/>
                <w:szCs w:val="18"/>
                <w:u w:val="single"/>
                <w:lang w:val="en-US" w:eastAsia="zh-CN" w:bidi="ar-SA"/>
              </w:rPr>
              <w:t>厂房阻隔；</w:t>
            </w:r>
          </w:p>
        </w:tc>
        <w:tc>
          <w:tcPr>
            <w:tcW w:w="2731" w:type="dxa"/>
            <w:vAlign w:val="center"/>
          </w:tcPr>
          <w:p w14:paraId="339F8678">
            <w:pPr>
              <w:adjustRightInd w:val="0"/>
              <w:snapToGrid w:val="0"/>
              <w:jc w:val="center"/>
              <w:rPr>
                <w:rFonts w:hint="eastAsia" w:eastAsia="宋体"/>
                <w:i w:val="0"/>
                <w:iCs w:val="0"/>
                <w:color w:val="auto"/>
                <w:sz w:val="18"/>
                <w:szCs w:val="18"/>
                <w:u w:val="single"/>
                <w:lang w:eastAsia="zh-CN"/>
              </w:rPr>
            </w:pPr>
            <w:r>
              <w:rPr>
                <w:rFonts w:hint="eastAsia" w:ascii="Times New Roman" w:hAnsi="Times New Roman" w:eastAsia="宋体" w:cs="宋体"/>
                <w:color w:val="auto"/>
                <w:sz w:val="18"/>
                <w:szCs w:val="18"/>
                <w:u w:val="single"/>
              </w:rPr>
              <w:t>《大气污染物综合排放标准》（GB16297-1996）</w:t>
            </w:r>
          </w:p>
        </w:tc>
      </w:tr>
      <w:tr w14:paraId="5803B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8" w:type="dxa"/>
            <w:tcBorders>
              <w:top w:val="single" w:color="auto" w:sz="4" w:space="0"/>
            </w:tcBorders>
            <w:vAlign w:val="center"/>
          </w:tcPr>
          <w:p w14:paraId="003B75E1">
            <w:pPr>
              <w:adjustRightInd w:val="0"/>
              <w:snapToGrid w:val="0"/>
              <w:jc w:val="center"/>
              <w:rPr>
                <w:i w:val="0"/>
                <w:iCs w:val="0"/>
                <w:color w:val="auto"/>
                <w:sz w:val="18"/>
                <w:szCs w:val="18"/>
                <w:u w:val="single"/>
              </w:rPr>
            </w:pPr>
            <w:r>
              <w:rPr>
                <w:i w:val="0"/>
                <w:iCs w:val="0"/>
                <w:color w:val="auto"/>
                <w:sz w:val="18"/>
                <w:szCs w:val="18"/>
                <w:u w:val="single"/>
              </w:rPr>
              <w:t>地表水环境</w:t>
            </w:r>
          </w:p>
        </w:tc>
        <w:tc>
          <w:tcPr>
            <w:tcW w:w="1460" w:type="dxa"/>
            <w:tcBorders>
              <w:top w:val="single" w:color="auto" w:sz="4" w:space="0"/>
            </w:tcBorders>
            <w:vAlign w:val="center"/>
          </w:tcPr>
          <w:p w14:paraId="291A6FC8">
            <w:pPr>
              <w:adjustRightInd w:val="0"/>
              <w:snapToGrid w:val="0"/>
              <w:jc w:val="center"/>
              <w:rPr>
                <w:i w:val="0"/>
                <w:iCs w:val="0"/>
                <w:color w:val="auto"/>
                <w:sz w:val="18"/>
                <w:szCs w:val="18"/>
                <w:u w:val="single"/>
              </w:rPr>
            </w:pPr>
            <w:r>
              <w:rPr>
                <w:i w:val="0"/>
                <w:iCs w:val="0"/>
                <w:color w:val="auto"/>
                <w:sz w:val="18"/>
                <w:szCs w:val="18"/>
                <w:u w:val="single"/>
              </w:rPr>
              <w:t>生活污水</w:t>
            </w:r>
          </w:p>
        </w:tc>
        <w:tc>
          <w:tcPr>
            <w:tcW w:w="1040" w:type="dxa"/>
            <w:tcBorders>
              <w:top w:val="single" w:color="auto" w:sz="4" w:space="0"/>
            </w:tcBorders>
            <w:vAlign w:val="center"/>
          </w:tcPr>
          <w:p w14:paraId="3CDF4ED9">
            <w:pPr>
              <w:adjustRightInd w:val="0"/>
              <w:snapToGrid w:val="0"/>
              <w:jc w:val="center"/>
              <w:rPr>
                <w:rFonts w:hint="eastAsia" w:eastAsia="宋体"/>
                <w:i w:val="0"/>
                <w:iCs w:val="0"/>
                <w:color w:val="auto"/>
                <w:sz w:val="18"/>
                <w:szCs w:val="18"/>
                <w:u w:val="single"/>
                <w:lang w:eastAsia="zh-CN"/>
              </w:rPr>
            </w:pPr>
            <w:r>
              <w:rPr>
                <w:rFonts w:hint="eastAsia"/>
                <w:i w:val="0"/>
                <w:iCs w:val="0"/>
                <w:color w:val="auto"/>
                <w:sz w:val="18"/>
                <w:szCs w:val="18"/>
                <w:u w:val="single"/>
                <w:lang w:val="en-US" w:eastAsia="zh-CN"/>
              </w:rPr>
              <w:t>/</w:t>
            </w:r>
          </w:p>
        </w:tc>
        <w:tc>
          <w:tcPr>
            <w:tcW w:w="2191" w:type="dxa"/>
            <w:tcBorders>
              <w:top w:val="single" w:color="auto" w:sz="4" w:space="0"/>
            </w:tcBorders>
            <w:vAlign w:val="center"/>
          </w:tcPr>
          <w:p w14:paraId="781122FE">
            <w:pPr>
              <w:adjustRightInd w:val="0"/>
              <w:snapToGrid w:val="0"/>
              <w:jc w:val="center"/>
              <w:rPr>
                <w:i w:val="0"/>
                <w:iCs w:val="0"/>
                <w:color w:val="auto"/>
                <w:sz w:val="18"/>
                <w:szCs w:val="18"/>
                <w:u w:val="single"/>
              </w:rPr>
            </w:pPr>
            <w:r>
              <w:rPr>
                <w:rFonts w:hint="eastAsia" w:ascii="Times New Roman" w:hAnsi="Times New Roman" w:eastAsia="宋体" w:cs="Times New Roman"/>
                <w:i w:val="0"/>
                <w:iCs w:val="0"/>
                <w:color w:val="auto"/>
                <w:sz w:val="18"/>
                <w:szCs w:val="18"/>
                <w:u w:val="single"/>
                <w:lang w:val="en-US" w:eastAsia="zh-CN" w:bidi="ar-SA"/>
              </w:rPr>
              <w:t>生活污水排入防渗旱厕，定期清掏做农肥</w:t>
            </w:r>
          </w:p>
        </w:tc>
        <w:tc>
          <w:tcPr>
            <w:tcW w:w="2731" w:type="dxa"/>
            <w:tcBorders>
              <w:top w:val="single" w:color="auto" w:sz="4" w:space="0"/>
            </w:tcBorders>
            <w:vAlign w:val="center"/>
          </w:tcPr>
          <w:p w14:paraId="0C862A41">
            <w:pPr>
              <w:adjustRightInd w:val="0"/>
              <w:snapToGrid w:val="0"/>
              <w:jc w:val="center"/>
              <w:rPr>
                <w:rFonts w:hint="eastAsia" w:eastAsia="宋体"/>
                <w:i w:val="0"/>
                <w:iCs w:val="0"/>
                <w:color w:val="auto"/>
                <w:sz w:val="18"/>
                <w:szCs w:val="18"/>
                <w:u w:val="single"/>
                <w:lang w:val="en-US" w:eastAsia="zh-CN"/>
              </w:rPr>
            </w:pPr>
            <w:r>
              <w:rPr>
                <w:rFonts w:hint="eastAsia"/>
                <w:i w:val="0"/>
                <w:iCs w:val="0"/>
                <w:color w:val="auto"/>
                <w:sz w:val="18"/>
                <w:szCs w:val="18"/>
                <w:u w:val="single"/>
                <w:lang w:val="en-US" w:eastAsia="zh-CN"/>
              </w:rPr>
              <w:t>/</w:t>
            </w:r>
          </w:p>
        </w:tc>
      </w:tr>
      <w:tr w14:paraId="34C02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8" w:type="dxa"/>
            <w:vAlign w:val="center"/>
          </w:tcPr>
          <w:p w14:paraId="246B2CFA">
            <w:pPr>
              <w:adjustRightInd w:val="0"/>
              <w:snapToGrid w:val="0"/>
              <w:jc w:val="center"/>
              <w:rPr>
                <w:i w:val="0"/>
                <w:iCs w:val="0"/>
                <w:color w:val="auto"/>
                <w:sz w:val="18"/>
                <w:szCs w:val="18"/>
                <w:u w:val="single"/>
              </w:rPr>
            </w:pPr>
            <w:r>
              <w:rPr>
                <w:i w:val="0"/>
                <w:iCs w:val="0"/>
                <w:color w:val="auto"/>
                <w:sz w:val="18"/>
                <w:szCs w:val="18"/>
                <w:u w:val="single"/>
              </w:rPr>
              <w:t>声环境</w:t>
            </w:r>
          </w:p>
        </w:tc>
        <w:tc>
          <w:tcPr>
            <w:tcW w:w="1460" w:type="dxa"/>
            <w:vAlign w:val="center"/>
          </w:tcPr>
          <w:p w14:paraId="37CE2303">
            <w:pPr>
              <w:pStyle w:val="85"/>
              <w:spacing w:line="240" w:lineRule="auto"/>
              <w:ind w:firstLine="0" w:firstLineChars="0"/>
              <w:jc w:val="center"/>
              <w:rPr>
                <w:rFonts w:cs="Times New Roman"/>
                <w:i w:val="0"/>
                <w:iCs w:val="0"/>
                <w:color w:val="auto"/>
                <w:sz w:val="18"/>
                <w:szCs w:val="18"/>
                <w:u w:val="single"/>
              </w:rPr>
            </w:pPr>
            <w:r>
              <w:rPr>
                <w:rFonts w:cs="Times New Roman"/>
                <w:i w:val="0"/>
                <w:iCs w:val="0"/>
                <w:color w:val="auto"/>
                <w:sz w:val="18"/>
                <w:szCs w:val="18"/>
                <w:u w:val="single"/>
              </w:rPr>
              <w:t>设备噪声</w:t>
            </w:r>
          </w:p>
        </w:tc>
        <w:tc>
          <w:tcPr>
            <w:tcW w:w="1040" w:type="dxa"/>
            <w:vAlign w:val="center"/>
          </w:tcPr>
          <w:p w14:paraId="31C18827">
            <w:pPr>
              <w:pStyle w:val="85"/>
              <w:spacing w:line="240" w:lineRule="auto"/>
              <w:ind w:firstLine="0" w:firstLineChars="0"/>
              <w:jc w:val="center"/>
              <w:rPr>
                <w:rFonts w:cs="Times New Roman"/>
                <w:i w:val="0"/>
                <w:iCs w:val="0"/>
                <w:color w:val="auto"/>
                <w:sz w:val="18"/>
                <w:szCs w:val="18"/>
                <w:u w:val="single"/>
              </w:rPr>
            </w:pPr>
            <w:r>
              <w:rPr>
                <w:rFonts w:cs="Times New Roman"/>
                <w:i w:val="0"/>
                <w:iCs w:val="0"/>
                <w:color w:val="auto"/>
                <w:sz w:val="18"/>
                <w:szCs w:val="18"/>
                <w:u w:val="single"/>
              </w:rPr>
              <w:t>噪声</w:t>
            </w:r>
          </w:p>
        </w:tc>
        <w:tc>
          <w:tcPr>
            <w:tcW w:w="2191" w:type="dxa"/>
            <w:vAlign w:val="center"/>
          </w:tcPr>
          <w:p w14:paraId="295C324A">
            <w:pPr>
              <w:pStyle w:val="85"/>
              <w:spacing w:line="240" w:lineRule="auto"/>
              <w:ind w:firstLine="0" w:firstLineChars="0"/>
              <w:jc w:val="center"/>
              <w:rPr>
                <w:rFonts w:hint="default" w:eastAsia="宋体" w:cs="Times New Roman"/>
                <w:i w:val="0"/>
                <w:iCs w:val="0"/>
                <w:color w:val="auto"/>
                <w:sz w:val="18"/>
                <w:szCs w:val="18"/>
                <w:u w:val="single"/>
                <w:lang w:val="en-US" w:eastAsia="zh-CN"/>
              </w:rPr>
            </w:pPr>
            <w:r>
              <w:rPr>
                <w:rFonts w:cs="Times New Roman"/>
                <w:i w:val="0"/>
                <w:iCs w:val="0"/>
                <w:color w:val="auto"/>
                <w:sz w:val="18"/>
                <w:szCs w:val="18"/>
                <w:u w:val="single"/>
              </w:rPr>
              <w:t>减振、隔声</w:t>
            </w:r>
            <w:r>
              <w:rPr>
                <w:rFonts w:hint="eastAsia" w:cs="Times New Roman"/>
                <w:i w:val="0"/>
                <w:iCs w:val="0"/>
                <w:color w:val="auto"/>
                <w:sz w:val="18"/>
                <w:szCs w:val="18"/>
                <w:u w:val="single"/>
                <w:lang w:val="en-US" w:eastAsia="zh-CN"/>
              </w:rPr>
              <w:t>等措施</w:t>
            </w:r>
          </w:p>
        </w:tc>
        <w:tc>
          <w:tcPr>
            <w:tcW w:w="2731" w:type="dxa"/>
            <w:vAlign w:val="center"/>
          </w:tcPr>
          <w:p w14:paraId="5E022959">
            <w:pPr>
              <w:pStyle w:val="85"/>
              <w:spacing w:line="240" w:lineRule="auto"/>
              <w:ind w:firstLine="0" w:firstLineChars="0"/>
              <w:jc w:val="center"/>
              <w:rPr>
                <w:rFonts w:hint="default" w:cs="Times New Roman"/>
                <w:i w:val="0"/>
                <w:iCs w:val="0"/>
                <w:color w:val="auto"/>
                <w:sz w:val="18"/>
                <w:szCs w:val="18"/>
                <w:u w:val="single"/>
                <w:lang w:val="en-US"/>
              </w:rPr>
            </w:pPr>
            <w:r>
              <w:rPr>
                <w:rFonts w:cs="Times New Roman"/>
                <w:i w:val="0"/>
                <w:iCs w:val="0"/>
                <w:color w:val="auto"/>
                <w:sz w:val="18"/>
                <w:szCs w:val="18"/>
                <w:u w:val="single"/>
              </w:rPr>
              <w:t>GB12348-2008《工业企业厂界环境噪声排放标准》</w:t>
            </w:r>
            <w:r>
              <w:rPr>
                <w:rFonts w:hint="eastAsia" w:cs="Times New Roman"/>
                <w:i w:val="0"/>
                <w:iCs w:val="0"/>
                <w:color w:val="auto"/>
                <w:sz w:val="18"/>
                <w:szCs w:val="18"/>
                <w:u w:val="single"/>
                <w:lang w:val="en-US" w:eastAsia="zh-CN"/>
              </w:rPr>
              <w:t>1类标准</w:t>
            </w:r>
          </w:p>
        </w:tc>
      </w:tr>
      <w:tr w14:paraId="47FCE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8" w:type="dxa"/>
            <w:vAlign w:val="center"/>
          </w:tcPr>
          <w:p w14:paraId="257157CD">
            <w:pPr>
              <w:adjustRightInd w:val="0"/>
              <w:snapToGrid w:val="0"/>
              <w:jc w:val="center"/>
              <w:rPr>
                <w:i w:val="0"/>
                <w:iCs w:val="0"/>
                <w:color w:val="auto"/>
                <w:sz w:val="18"/>
                <w:szCs w:val="18"/>
                <w:u w:val="single"/>
              </w:rPr>
            </w:pPr>
            <w:r>
              <w:rPr>
                <w:i w:val="0"/>
                <w:iCs w:val="0"/>
                <w:color w:val="auto"/>
                <w:sz w:val="18"/>
                <w:szCs w:val="18"/>
                <w:u w:val="single"/>
              </w:rPr>
              <w:t>电磁辐射</w:t>
            </w:r>
          </w:p>
        </w:tc>
        <w:tc>
          <w:tcPr>
            <w:tcW w:w="1460" w:type="dxa"/>
            <w:vAlign w:val="center"/>
          </w:tcPr>
          <w:p w14:paraId="5801D0FB">
            <w:pPr>
              <w:adjustRightInd w:val="0"/>
              <w:snapToGrid w:val="0"/>
              <w:jc w:val="center"/>
              <w:rPr>
                <w:i w:val="0"/>
                <w:iCs w:val="0"/>
                <w:color w:val="auto"/>
                <w:sz w:val="18"/>
                <w:szCs w:val="18"/>
                <w:u w:val="single"/>
              </w:rPr>
            </w:pPr>
            <w:r>
              <w:rPr>
                <w:i w:val="0"/>
                <w:iCs w:val="0"/>
                <w:color w:val="auto"/>
                <w:sz w:val="18"/>
                <w:szCs w:val="18"/>
                <w:u w:val="single"/>
              </w:rPr>
              <w:t>/</w:t>
            </w:r>
          </w:p>
        </w:tc>
        <w:tc>
          <w:tcPr>
            <w:tcW w:w="1040" w:type="dxa"/>
            <w:vAlign w:val="center"/>
          </w:tcPr>
          <w:p w14:paraId="10AFD899">
            <w:pPr>
              <w:adjustRightInd w:val="0"/>
              <w:snapToGrid w:val="0"/>
              <w:jc w:val="center"/>
              <w:rPr>
                <w:i w:val="0"/>
                <w:iCs w:val="0"/>
                <w:color w:val="auto"/>
                <w:sz w:val="18"/>
                <w:szCs w:val="18"/>
                <w:u w:val="single"/>
              </w:rPr>
            </w:pPr>
            <w:r>
              <w:rPr>
                <w:i w:val="0"/>
                <w:iCs w:val="0"/>
                <w:color w:val="auto"/>
                <w:sz w:val="18"/>
                <w:szCs w:val="18"/>
                <w:u w:val="single"/>
              </w:rPr>
              <w:t>/</w:t>
            </w:r>
          </w:p>
        </w:tc>
        <w:tc>
          <w:tcPr>
            <w:tcW w:w="2191" w:type="dxa"/>
            <w:vAlign w:val="center"/>
          </w:tcPr>
          <w:p w14:paraId="2FA7881C">
            <w:pPr>
              <w:adjustRightInd w:val="0"/>
              <w:snapToGrid w:val="0"/>
              <w:jc w:val="center"/>
              <w:rPr>
                <w:i w:val="0"/>
                <w:iCs w:val="0"/>
                <w:color w:val="auto"/>
                <w:sz w:val="18"/>
                <w:szCs w:val="18"/>
                <w:u w:val="single"/>
              </w:rPr>
            </w:pPr>
            <w:r>
              <w:rPr>
                <w:i w:val="0"/>
                <w:iCs w:val="0"/>
                <w:color w:val="auto"/>
                <w:sz w:val="18"/>
                <w:szCs w:val="18"/>
                <w:u w:val="single"/>
              </w:rPr>
              <w:t>/</w:t>
            </w:r>
          </w:p>
        </w:tc>
        <w:tc>
          <w:tcPr>
            <w:tcW w:w="2731" w:type="dxa"/>
            <w:vAlign w:val="center"/>
          </w:tcPr>
          <w:p w14:paraId="3A52D82F">
            <w:pPr>
              <w:adjustRightInd w:val="0"/>
              <w:snapToGrid w:val="0"/>
              <w:jc w:val="center"/>
              <w:rPr>
                <w:i w:val="0"/>
                <w:iCs w:val="0"/>
                <w:color w:val="auto"/>
                <w:sz w:val="18"/>
                <w:szCs w:val="18"/>
                <w:u w:val="single"/>
              </w:rPr>
            </w:pPr>
            <w:r>
              <w:rPr>
                <w:i w:val="0"/>
                <w:iCs w:val="0"/>
                <w:color w:val="auto"/>
                <w:sz w:val="18"/>
                <w:szCs w:val="18"/>
                <w:u w:val="single"/>
              </w:rPr>
              <w:t>/</w:t>
            </w:r>
          </w:p>
        </w:tc>
      </w:tr>
      <w:tr w14:paraId="771F5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78" w:type="dxa"/>
            <w:vAlign w:val="center"/>
          </w:tcPr>
          <w:p w14:paraId="7DE77D79">
            <w:pPr>
              <w:adjustRightInd w:val="0"/>
              <w:snapToGrid w:val="0"/>
              <w:jc w:val="center"/>
              <w:rPr>
                <w:i w:val="0"/>
                <w:iCs w:val="0"/>
                <w:color w:val="auto"/>
                <w:sz w:val="18"/>
                <w:szCs w:val="18"/>
                <w:u w:val="single"/>
              </w:rPr>
            </w:pPr>
            <w:r>
              <w:rPr>
                <w:i w:val="0"/>
                <w:iCs w:val="0"/>
                <w:color w:val="auto"/>
                <w:sz w:val="18"/>
                <w:szCs w:val="18"/>
                <w:u w:val="single"/>
              </w:rPr>
              <w:t>固体废物</w:t>
            </w:r>
          </w:p>
        </w:tc>
        <w:tc>
          <w:tcPr>
            <w:tcW w:w="7422" w:type="dxa"/>
            <w:gridSpan w:val="4"/>
            <w:vAlign w:val="center"/>
          </w:tcPr>
          <w:p w14:paraId="2C8B7BE2">
            <w:pPr>
              <w:adjustRightInd w:val="0"/>
              <w:snapToGrid w:val="0"/>
              <w:jc w:val="center"/>
              <w:rPr>
                <w:rFonts w:ascii="Times New Roman" w:hAnsi="Times New Roman" w:eastAsia="宋体" w:cs="Times New Roman"/>
                <w:i w:val="0"/>
                <w:iCs w:val="0"/>
                <w:color w:val="auto"/>
                <w:sz w:val="18"/>
                <w:szCs w:val="18"/>
                <w:u w:val="single"/>
                <w:lang w:val="en-US" w:eastAsia="zh-CN" w:bidi="ar-SA"/>
              </w:rPr>
            </w:pPr>
            <w:r>
              <w:rPr>
                <w:rFonts w:ascii="Times New Roman" w:hAnsi="Times New Roman" w:eastAsia="宋体" w:cs="Times New Roman"/>
                <w:i w:val="0"/>
                <w:iCs w:val="0"/>
                <w:color w:val="auto"/>
                <w:sz w:val="18"/>
                <w:szCs w:val="18"/>
                <w:u w:val="single"/>
                <w:lang w:val="en-US" w:eastAsia="zh-CN" w:bidi="ar-SA"/>
              </w:rPr>
              <w:t>本项目产生的生活垃圾</w:t>
            </w:r>
            <w:r>
              <w:rPr>
                <w:rFonts w:hint="eastAsia" w:ascii="Times New Roman" w:hAnsi="Times New Roman" w:eastAsia="宋体" w:cs="Times New Roman"/>
                <w:i w:val="0"/>
                <w:iCs w:val="0"/>
                <w:color w:val="auto"/>
                <w:sz w:val="18"/>
                <w:szCs w:val="18"/>
                <w:u w:val="single"/>
                <w:lang w:val="en-US" w:eastAsia="zh-CN" w:bidi="ar-SA"/>
              </w:rPr>
              <w:t>集中收集，</w:t>
            </w:r>
            <w:r>
              <w:rPr>
                <w:rFonts w:ascii="Times New Roman" w:hAnsi="Times New Roman" w:eastAsia="宋体" w:cs="Times New Roman"/>
                <w:i w:val="0"/>
                <w:iCs w:val="0"/>
                <w:color w:val="auto"/>
                <w:sz w:val="18"/>
                <w:szCs w:val="18"/>
                <w:u w:val="single"/>
                <w:lang w:val="en-US" w:eastAsia="zh-CN" w:bidi="ar-SA"/>
              </w:rPr>
              <w:t>由环卫部门定期统一处理</w:t>
            </w:r>
            <w:r>
              <w:rPr>
                <w:rFonts w:hint="eastAsia" w:ascii="Times New Roman" w:hAnsi="Times New Roman" w:eastAsia="宋体" w:cs="Times New Roman"/>
                <w:i w:val="0"/>
                <w:iCs w:val="0"/>
                <w:color w:val="auto"/>
                <w:sz w:val="18"/>
                <w:szCs w:val="18"/>
                <w:u w:val="single"/>
                <w:lang w:val="en-US" w:eastAsia="zh-CN" w:bidi="ar-SA"/>
              </w:rPr>
              <w:t>；废包装物集中收集，外卖处理；除尘灰集中收集，回用于生产</w:t>
            </w:r>
            <w:r>
              <w:rPr>
                <w:rFonts w:hint="eastAsia" w:cs="Times New Roman"/>
                <w:i w:val="0"/>
                <w:iCs w:val="0"/>
                <w:color w:val="auto"/>
                <w:sz w:val="18"/>
                <w:szCs w:val="18"/>
                <w:u w:val="single"/>
                <w:lang w:val="en-US" w:eastAsia="zh-CN" w:bidi="ar-SA"/>
              </w:rPr>
              <w:t>；</w:t>
            </w:r>
            <w:r>
              <w:rPr>
                <w:rFonts w:hint="eastAsia" w:cs="Times New Roman"/>
                <w:i w:val="0"/>
                <w:iCs w:val="0"/>
                <w:color w:val="0000FF"/>
                <w:sz w:val="18"/>
                <w:szCs w:val="18"/>
                <w:u w:val="single"/>
                <w:lang w:val="en-US" w:eastAsia="zh-CN" w:bidi="ar-SA"/>
              </w:rPr>
              <w:t>废布袋由厂家负责更换处置</w:t>
            </w:r>
            <w:r>
              <w:rPr>
                <w:rFonts w:hint="eastAsia" w:ascii="Times New Roman" w:hAnsi="Times New Roman" w:eastAsia="宋体" w:cs="Times New Roman"/>
                <w:i w:val="0"/>
                <w:iCs w:val="0"/>
                <w:color w:val="0000FF"/>
                <w:sz w:val="18"/>
                <w:szCs w:val="18"/>
                <w:u w:val="single"/>
                <w:lang w:val="en-US" w:eastAsia="zh-CN" w:bidi="ar-SA"/>
              </w:rPr>
              <w:t>。</w:t>
            </w:r>
          </w:p>
        </w:tc>
      </w:tr>
      <w:tr w14:paraId="38AAB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78" w:type="dxa"/>
            <w:vAlign w:val="center"/>
          </w:tcPr>
          <w:p w14:paraId="0FBFCF44">
            <w:pPr>
              <w:adjustRightInd w:val="0"/>
              <w:snapToGrid w:val="0"/>
              <w:jc w:val="center"/>
              <w:rPr>
                <w:i w:val="0"/>
                <w:iCs w:val="0"/>
                <w:color w:val="auto"/>
                <w:sz w:val="18"/>
                <w:szCs w:val="18"/>
                <w:u w:val="single"/>
              </w:rPr>
            </w:pPr>
            <w:r>
              <w:rPr>
                <w:i w:val="0"/>
                <w:iCs w:val="0"/>
                <w:color w:val="auto"/>
                <w:sz w:val="18"/>
                <w:szCs w:val="18"/>
                <w:u w:val="single"/>
              </w:rPr>
              <w:t>土壤及地下水</w:t>
            </w:r>
          </w:p>
          <w:p w14:paraId="21546552">
            <w:pPr>
              <w:adjustRightInd w:val="0"/>
              <w:snapToGrid w:val="0"/>
              <w:jc w:val="center"/>
              <w:rPr>
                <w:i w:val="0"/>
                <w:iCs w:val="0"/>
                <w:color w:val="auto"/>
                <w:sz w:val="18"/>
                <w:szCs w:val="18"/>
                <w:u w:val="single"/>
              </w:rPr>
            </w:pPr>
            <w:r>
              <w:rPr>
                <w:i w:val="0"/>
                <w:iCs w:val="0"/>
                <w:color w:val="auto"/>
                <w:sz w:val="18"/>
                <w:szCs w:val="18"/>
                <w:u w:val="single"/>
              </w:rPr>
              <w:t>污染防治措施</w:t>
            </w:r>
          </w:p>
        </w:tc>
        <w:tc>
          <w:tcPr>
            <w:tcW w:w="7422" w:type="dxa"/>
            <w:gridSpan w:val="4"/>
            <w:vAlign w:val="center"/>
          </w:tcPr>
          <w:p w14:paraId="5B84E2E2">
            <w:pPr>
              <w:adjustRightInd w:val="0"/>
              <w:snapToGrid w:val="0"/>
              <w:jc w:val="center"/>
              <w:rPr>
                <w:rFonts w:ascii="Times New Roman" w:hAnsi="Times New Roman" w:eastAsia="宋体" w:cs="Times New Roman"/>
                <w:i w:val="0"/>
                <w:iCs w:val="0"/>
                <w:color w:val="auto"/>
                <w:sz w:val="18"/>
                <w:szCs w:val="18"/>
                <w:u w:val="single"/>
                <w:lang w:val="en-US" w:eastAsia="zh-CN" w:bidi="ar-SA"/>
              </w:rPr>
            </w:pPr>
            <w:r>
              <w:rPr>
                <w:rFonts w:ascii="Times New Roman" w:hAnsi="Times New Roman" w:eastAsia="宋体" w:cs="Times New Roman"/>
                <w:i w:val="0"/>
                <w:iCs w:val="0"/>
                <w:color w:val="auto"/>
                <w:sz w:val="18"/>
                <w:szCs w:val="18"/>
                <w:u w:val="single"/>
                <w:lang w:val="en-US" w:eastAsia="zh-CN" w:bidi="ar-SA"/>
              </w:rPr>
              <w:t>根据厂区各生产功能</w:t>
            </w:r>
            <w:r>
              <w:rPr>
                <w:rFonts w:hint="eastAsia" w:ascii="Times New Roman" w:hAnsi="Times New Roman" w:eastAsia="宋体" w:cs="Times New Roman"/>
                <w:i w:val="0"/>
                <w:iCs w:val="0"/>
                <w:color w:val="auto"/>
                <w:sz w:val="18"/>
                <w:szCs w:val="18"/>
                <w:u w:val="single"/>
                <w:lang w:val="en-US" w:eastAsia="zh-CN" w:bidi="ar-SA"/>
              </w:rPr>
              <w:t>单元，</w:t>
            </w:r>
            <w:r>
              <w:rPr>
                <w:rFonts w:ascii="Times New Roman" w:hAnsi="Times New Roman" w:eastAsia="宋体" w:cs="Times New Roman"/>
                <w:i w:val="0"/>
                <w:iCs w:val="0"/>
                <w:color w:val="auto"/>
                <w:sz w:val="18"/>
                <w:szCs w:val="18"/>
                <w:u w:val="single"/>
                <w:lang w:val="en-US" w:eastAsia="zh-CN" w:bidi="ar-SA"/>
              </w:rPr>
              <w:t>可能泄漏至地面的污染物性质和生产单元的构筑方式，将厂区划分为</w:t>
            </w:r>
            <w:r>
              <w:rPr>
                <w:rFonts w:hint="eastAsia" w:ascii="Times New Roman" w:hAnsi="Times New Roman" w:eastAsia="宋体" w:cs="Times New Roman"/>
                <w:i w:val="0"/>
                <w:iCs w:val="0"/>
                <w:color w:val="auto"/>
                <w:sz w:val="18"/>
                <w:szCs w:val="18"/>
                <w:u w:val="single"/>
                <w:lang w:val="en-US" w:eastAsia="zh-CN" w:bidi="ar-SA"/>
              </w:rPr>
              <w:t>一般</w:t>
            </w:r>
            <w:r>
              <w:rPr>
                <w:rFonts w:ascii="Times New Roman" w:hAnsi="Times New Roman" w:eastAsia="宋体" w:cs="Times New Roman"/>
                <w:i w:val="0"/>
                <w:iCs w:val="0"/>
                <w:color w:val="auto"/>
                <w:sz w:val="18"/>
                <w:szCs w:val="18"/>
                <w:u w:val="single"/>
                <w:lang w:val="en-US" w:eastAsia="zh-CN" w:bidi="ar-SA"/>
              </w:rPr>
              <w:t>防渗区，并按要求进行防渗。</w:t>
            </w:r>
          </w:p>
        </w:tc>
      </w:tr>
      <w:tr w14:paraId="719B3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78" w:type="dxa"/>
            <w:vAlign w:val="center"/>
          </w:tcPr>
          <w:p w14:paraId="4B4A6949">
            <w:pPr>
              <w:adjustRightInd w:val="0"/>
              <w:snapToGrid w:val="0"/>
              <w:jc w:val="center"/>
              <w:rPr>
                <w:i w:val="0"/>
                <w:iCs w:val="0"/>
                <w:color w:val="auto"/>
                <w:sz w:val="18"/>
                <w:szCs w:val="18"/>
                <w:u w:val="single"/>
              </w:rPr>
            </w:pPr>
            <w:r>
              <w:rPr>
                <w:i w:val="0"/>
                <w:iCs w:val="0"/>
                <w:color w:val="auto"/>
                <w:sz w:val="18"/>
                <w:szCs w:val="18"/>
                <w:u w:val="single"/>
              </w:rPr>
              <w:t>生态保护措施</w:t>
            </w:r>
          </w:p>
        </w:tc>
        <w:tc>
          <w:tcPr>
            <w:tcW w:w="7422" w:type="dxa"/>
            <w:gridSpan w:val="4"/>
            <w:vAlign w:val="center"/>
          </w:tcPr>
          <w:p w14:paraId="2CAA1DB6">
            <w:pPr>
              <w:adjustRightInd w:val="0"/>
              <w:snapToGrid w:val="0"/>
              <w:jc w:val="center"/>
              <w:rPr>
                <w:i w:val="0"/>
                <w:iCs w:val="0"/>
                <w:color w:val="auto"/>
                <w:sz w:val="18"/>
                <w:szCs w:val="18"/>
                <w:u w:val="single"/>
              </w:rPr>
            </w:pPr>
            <w:r>
              <w:rPr>
                <w:i w:val="0"/>
                <w:iCs w:val="0"/>
                <w:color w:val="auto"/>
                <w:sz w:val="18"/>
                <w:szCs w:val="18"/>
                <w:u w:val="single"/>
              </w:rPr>
              <w:t>/</w:t>
            </w:r>
          </w:p>
        </w:tc>
      </w:tr>
      <w:tr w14:paraId="19721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78" w:type="dxa"/>
            <w:vAlign w:val="center"/>
          </w:tcPr>
          <w:p w14:paraId="67C220BC">
            <w:pPr>
              <w:adjustRightInd w:val="0"/>
              <w:snapToGrid w:val="0"/>
              <w:jc w:val="center"/>
              <w:rPr>
                <w:i w:val="0"/>
                <w:iCs w:val="0"/>
                <w:color w:val="auto"/>
                <w:sz w:val="18"/>
                <w:szCs w:val="18"/>
                <w:u w:val="single"/>
              </w:rPr>
            </w:pPr>
            <w:r>
              <w:rPr>
                <w:i w:val="0"/>
                <w:iCs w:val="0"/>
                <w:color w:val="auto"/>
                <w:sz w:val="18"/>
                <w:szCs w:val="18"/>
                <w:u w:val="single"/>
              </w:rPr>
              <w:t>环境风险</w:t>
            </w:r>
          </w:p>
          <w:p w14:paraId="019A7371">
            <w:pPr>
              <w:adjustRightInd w:val="0"/>
              <w:snapToGrid w:val="0"/>
              <w:jc w:val="center"/>
              <w:rPr>
                <w:i w:val="0"/>
                <w:iCs w:val="0"/>
                <w:color w:val="auto"/>
                <w:spacing w:val="-8"/>
                <w:sz w:val="18"/>
                <w:szCs w:val="18"/>
                <w:u w:val="single"/>
              </w:rPr>
            </w:pPr>
            <w:r>
              <w:rPr>
                <w:i w:val="0"/>
                <w:iCs w:val="0"/>
                <w:color w:val="auto"/>
                <w:sz w:val="18"/>
                <w:szCs w:val="18"/>
                <w:u w:val="single"/>
              </w:rPr>
              <w:t>防范措施</w:t>
            </w:r>
          </w:p>
        </w:tc>
        <w:tc>
          <w:tcPr>
            <w:tcW w:w="7422" w:type="dxa"/>
            <w:gridSpan w:val="4"/>
            <w:vAlign w:val="center"/>
          </w:tcPr>
          <w:p w14:paraId="6D83140C">
            <w:pPr>
              <w:pStyle w:val="38"/>
              <w:spacing w:before="24" w:after="24"/>
              <w:rPr>
                <w:i w:val="0"/>
                <w:iCs w:val="0"/>
                <w:color w:val="auto"/>
                <w:sz w:val="18"/>
                <w:szCs w:val="18"/>
                <w:u w:val="single"/>
              </w:rPr>
            </w:pPr>
            <w:r>
              <w:rPr>
                <w:rFonts w:hint="eastAsia"/>
                <w:i w:val="0"/>
                <w:iCs w:val="0"/>
                <w:color w:val="auto"/>
                <w:sz w:val="18"/>
                <w:szCs w:val="18"/>
                <w:u w:val="single"/>
              </w:rPr>
              <w:t>/</w:t>
            </w:r>
          </w:p>
        </w:tc>
      </w:tr>
      <w:tr w14:paraId="48008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78" w:type="dxa"/>
            <w:vAlign w:val="center"/>
          </w:tcPr>
          <w:p w14:paraId="412E68DD">
            <w:pPr>
              <w:adjustRightInd w:val="0"/>
              <w:snapToGrid w:val="0"/>
              <w:jc w:val="center"/>
              <w:rPr>
                <w:i w:val="0"/>
                <w:iCs w:val="0"/>
                <w:color w:val="auto"/>
                <w:sz w:val="18"/>
                <w:szCs w:val="18"/>
                <w:u w:val="single"/>
              </w:rPr>
            </w:pPr>
            <w:r>
              <w:rPr>
                <w:i w:val="0"/>
                <w:iCs w:val="0"/>
                <w:color w:val="auto"/>
                <w:sz w:val="18"/>
                <w:szCs w:val="18"/>
                <w:u w:val="single"/>
              </w:rPr>
              <w:t>其他环境</w:t>
            </w:r>
          </w:p>
          <w:p w14:paraId="101C8826">
            <w:pPr>
              <w:adjustRightInd w:val="0"/>
              <w:snapToGrid w:val="0"/>
              <w:jc w:val="center"/>
              <w:rPr>
                <w:i w:val="0"/>
                <w:iCs w:val="0"/>
                <w:color w:val="auto"/>
                <w:spacing w:val="-8"/>
                <w:sz w:val="18"/>
                <w:szCs w:val="18"/>
                <w:u w:val="single"/>
              </w:rPr>
            </w:pPr>
            <w:r>
              <w:rPr>
                <w:i w:val="0"/>
                <w:iCs w:val="0"/>
                <w:color w:val="auto"/>
                <w:sz w:val="18"/>
                <w:szCs w:val="18"/>
                <w:u w:val="single"/>
              </w:rPr>
              <w:t>管理要求</w:t>
            </w:r>
          </w:p>
        </w:tc>
        <w:tc>
          <w:tcPr>
            <w:tcW w:w="7422" w:type="dxa"/>
            <w:gridSpan w:val="4"/>
            <w:vAlign w:val="center"/>
          </w:tcPr>
          <w:p w14:paraId="225915C5">
            <w:pPr>
              <w:pStyle w:val="2"/>
              <w:adjustRightInd w:val="0"/>
              <w:snapToGrid w:val="0"/>
              <w:spacing w:before="120" w:beforeLines="50" w:after="0" w:line="360" w:lineRule="auto"/>
              <w:rPr>
                <w:b w:val="0"/>
                <w:bCs w:val="0"/>
                <w:i w:val="0"/>
                <w:iCs w:val="0"/>
                <w:color w:val="auto"/>
                <w:sz w:val="21"/>
                <w:szCs w:val="21"/>
                <w:u w:val="single"/>
              </w:rPr>
            </w:pPr>
            <w:r>
              <w:rPr>
                <w:b w:val="0"/>
                <w:bCs w:val="0"/>
                <w:i w:val="0"/>
                <w:iCs w:val="0"/>
                <w:color w:val="auto"/>
                <w:sz w:val="21"/>
                <w:szCs w:val="21"/>
                <w:u w:val="single"/>
              </w:rPr>
              <w:t>1、排污许可相关要求</w:t>
            </w:r>
          </w:p>
          <w:p w14:paraId="54C33F3F">
            <w:pPr>
              <w:pStyle w:val="85"/>
              <w:ind w:firstLine="360"/>
              <w:rPr>
                <w:rFonts w:cs="Times New Roman"/>
                <w:i w:val="0"/>
                <w:iCs w:val="0"/>
                <w:color w:val="auto"/>
                <w:sz w:val="21"/>
                <w:szCs w:val="21"/>
                <w:u w:val="single"/>
              </w:rPr>
            </w:pPr>
            <w:r>
              <w:rPr>
                <w:rFonts w:cs="Times New Roman"/>
                <w:i w:val="0"/>
                <w:iCs w:val="0"/>
                <w:color w:val="auto"/>
                <w:sz w:val="21"/>
                <w:szCs w:val="21"/>
                <w:u w:val="single"/>
              </w:rPr>
              <w:t>纳入固定污染源排污许可分类管理名录的企业事业单位和其他生产经营者应当按照规定的时限申请并取得排污许可证；未纳入固定污染源排污许可分类管理名录的排污单位，暂不需申请排污许可证。排污单位应当依法持有排污许可证，并按照排污许可证的规定排放污染物。排污单位应当按照排污许可证规定的关于执行报告内容和频次的要求，编制排污许可证执行报告；排污单位应当每年在全国排污许可证管理信息平台上填报、提交排污许可证年度执行报告并公开，同时向核发环保部门提交通过全国排污许可证管理信息平台印制的书面执行报告。书面执行报告应当由法定代表人或者主要负责人签字或者盖章。排污单位应当对提交的台账记录、监测数据和执行报告的真实性、完整性负责，依法接受环境保护主管部门的监督检查。排污单位应当及时公开有关排污信息，自觉接受公众监督。</w:t>
            </w:r>
          </w:p>
          <w:p w14:paraId="78711247">
            <w:pPr>
              <w:pStyle w:val="2"/>
              <w:adjustRightInd w:val="0"/>
              <w:snapToGrid w:val="0"/>
              <w:spacing w:before="0" w:after="0" w:line="360" w:lineRule="auto"/>
              <w:rPr>
                <w:b w:val="0"/>
                <w:bCs w:val="0"/>
                <w:i w:val="0"/>
                <w:iCs w:val="0"/>
                <w:color w:val="auto"/>
                <w:sz w:val="21"/>
                <w:szCs w:val="21"/>
                <w:u w:val="single"/>
              </w:rPr>
            </w:pPr>
            <w:r>
              <w:rPr>
                <w:b w:val="0"/>
                <w:bCs w:val="0"/>
                <w:i w:val="0"/>
                <w:iCs w:val="0"/>
                <w:color w:val="auto"/>
                <w:sz w:val="21"/>
                <w:szCs w:val="21"/>
                <w:u w:val="single"/>
              </w:rPr>
              <w:t>2</w:t>
            </w:r>
            <w:r>
              <w:rPr>
                <w:rFonts w:hint="eastAsia"/>
                <w:b w:val="0"/>
                <w:bCs w:val="0"/>
                <w:i w:val="0"/>
                <w:iCs w:val="0"/>
                <w:color w:val="auto"/>
                <w:sz w:val="21"/>
                <w:szCs w:val="21"/>
                <w:u w:val="single"/>
              </w:rPr>
              <w:t>、排污口规范化管理</w:t>
            </w:r>
          </w:p>
          <w:p w14:paraId="1A1A904B">
            <w:pPr>
              <w:adjustRightInd w:val="0"/>
              <w:snapToGrid w:val="0"/>
              <w:spacing w:line="360" w:lineRule="auto"/>
              <w:ind w:firstLine="420" w:firstLineChars="200"/>
              <w:jc w:val="both"/>
              <w:rPr>
                <w:rFonts w:hint="eastAsia" w:ascii="Times New Roman" w:hAnsi="Times New Roman" w:eastAsia="宋体" w:cs="宋体"/>
                <w:i w:val="0"/>
                <w:iCs w:val="0"/>
                <w:color w:val="auto"/>
                <w:sz w:val="21"/>
                <w:szCs w:val="21"/>
                <w:u w:val="single"/>
                <w:lang w:val="en-US" w:eastAsia="zh-CN" w:bidi="ar-SA"/>
              </w:rPr>
            </w:pPr>
            <w:r>
              <w:rPr>
                <w:rFonts w:hint="eastAsia" w:ascii="Times New Roman" w:hAnsi="Times New Roman" w:eastAsia="宋体" w:cs="宋体"/>
                <w:i w:val="0"/>
                <w:iCs w:val="0"/>
                <w:color w:val="auto"/>
                <w:sz w:val="21"/>
                <w:szCs w:val="21"/>
                <w:u w:val="single"/>
                <w:lang w:val="zh-CN" w:eastAsia="zh-CN" w:bidi="ar-SA"/>
              </w:rPr>
              <w:t>根据国家环境保护总局《关于开展排放口规范化整治工作的通知》（环发</w:t>
            </w:r>
            <w:r>
              <w:rPr>
                <w:rFonts w:hint="eastAsia" w:cs="宋体"/>
                <w:i w:val="0"/>
                <w:iCs w:val="0"/>
                <w:color w:val="auto"/>
                <w:sz w:val="21"/>
                <w:szCs w:val="21"/>
                <w:u w:val="single"/>
                <w:lang w:val="zh-CN" w:eastAsia="zh-CN" w:bidi="ar-SA"/>
              </w:rPr>
              <w:t>〔1999〕24号</w:t>
            </w:r>
            <w:r>
              <w:rPr>
                <w:rFonts w:hint="eastAsia" w:ascii="Times New Roman" w:hAnsi="Times New Roman" w:eastAsia="宋体" w:cs="宋体"/>
                <w:i w:val="0"/>
                <w:iCs w:val="0"/>
                <w:color w:val="auto"/>
                <w:sz w:val="21"/>
                <w:szCs w:val="21"/>
                <w:u w:val="single"/>
                <w:lang w:val="zh-CN" w:eastAsia="zh-CN" w:bidi="ar-SA"/>
              </w:rPr>
              <w:t>）和《排放口规范化整治技术要求（试行）》（环监</w:t>
            </w:r>
            <w:r>
              <w:rPr>
                <w:rFonts w:hint="eastAsia" w:cs="宋体"/>
                <w:i w:val="0"/>
                <w:iCs w:val="0"/>
                <w:color w:val="auto"/>
                <w:sz w:val="21"/>
                <w:szCs w:val="21"/>
                <w:u w:val="single"/>
                <w:lang w:val="zh-CN" w:eastAsia="zh-CN" w:bidi="ar-SA"/>
              </w:rPr>
              <w:t>〔1996〕470号</w:t>
            </w:r>
            <w:r>
              <w:rPr>
                <w:rFonts w:hint="eastAsia" w:ascii="Times New Roman" w:hAnsi="Times New Roman" w:eastAsia="宋体" w:cs="宋体"/>
                <w:i w:val="0"/>
                <w:iCs w:val="0"/>
                <w:color w:val="auto"/>
                <w:sz w:val="21"/>
                <w:szCs w:val="21"/>
                <w:u w:val="single"/>
                <w:lang w:val="zh-CN" w:eastAsia="zh-CN" w:bidi="ar-SA"/>
              </w:rPr>
              <w:t>）和《固定污染源废气监测点位设置技术规范》等规定的要求，一切新建、改扩建、改建的排污单位以及限期治理的排污单位必须在建设污染治理设施的同时，建设规范化排放口。因此，建设项目产生的各类污染物排放口必</w:t>
            </w:r>
            <w:r>
              <w:rPr>
                <w:rFonts w:hint="eastAsia" w:ascii="Times New Roman" w:hAnsi="Times New Roman" w:eastAsia="宋体" w:cs="宋体"/>
                <w:i w:val="0"/>
                <w:iCs w:val="0"/>
                <w:color w:val="auto"/>
                <w:sz w:val="21"/>
                <w:szCs w:val="21"/>
                <w:u w:val="single"/>
                <w:lang w:val="en-US" w:eastAsia="zh-CN" w:bidi="ar-SA"/>
              </w:rPr>
              <w:t>须规范化，而且规范化工作的完成必须与污染治理设施同步。</w:t>
            </w:r>
          </w:p>
          <w:p w14:paraId="4425EB8F">
            <w:pPr>
              <w:adjustRightInd w:val="0"/>
              <w:snapToGrid w:val="0"/>
              <w:spacing w:line="360" w:lineRule="auto"/>
              <w:ind w:firstLine="420" w:firstLineChars="200"/>
              <w:jc w:val="both"/>
              <w:rPr>
                <w:rFonts w:hint="eastAsia" w:ascii="Times New Roman" w:hAnsi="Times New Roman" w:eastAsia="宋体" w:cs="宋体"/>
                <w:i w:val="0"/>
                <w:iCs w:val="0"/>
                <w:color w:val="auto"/>
                <w:sz w:val="21"/>
                <w:szCs w:val="21"/>
                <w:u w:val="single"/>
                <w:lang w:val="en-US" w:eastAsia="zh-CN" w:bidi="ar-SA"/>
              </w:rPr>
            </w:pPr>
            <w:r>
              <w:rPr>
                <w:rFonts w:hint="eastAsia" w:ascii="Times New Roman" w:hAnsi="Times New Roman" w:eastAsia="宋体" w:cs="宋体"/>
                <w:i w:val="0"/>
                <w:iCs w:val="0"/>
                <w:color w:val="auto"/>
                <w:sz w:val="21"/>
                <w:szCs w:val="21"/>
                <w:u w:val="single"/>
                <w:lang w:val="en-US" w:eastAsia="zh-CN" w:bidi="ar-SA"/>
              </w:rPr>
              <w:t>项目废气污染源排气筒应按照“排污口”要求进行设置，并设置便于采样、监测的采样口或采样平台；在排气筒附近醒目处设置环保标志牌。</w:t>
            </w:r>
          </w:p>
          <w:p w14:paraId="777EC440">
            <w:pPr>
              <w:adjustRightInd w:val="0"/>
              <w:snapToGrid w:val="0"/>
              <w:spacing w:line="360" w:lineRule="auto"/>
              <w:ind w:firstLine="420" w:firstLineChars="200"/>
              <w:jc w:val="both"/>
              <w:rPr>
                <w:rFonts w:hint="eastAsia" w:ascii="Times New Roman" w:hAnsi="Times New Roman" w:eastAsia="宋体" w:cs="宋体"/>
                <w:i w:val="0"/>
                <w:iCs w:val="0"/>
                <w:color w:val="auto"/>
                <w:sz w:val="21"/>
                <w:szCs w:val="21"/>
                <w:u w:val="single"/>
                <w:lang w:val="en-US" w:eastAsia="zh-CN" w:bidi="ar-SA"/>
              </w:rPr>
            </w:pPr>
            <w:r>
              <w:rPr>
                <w:rFonts w:hint="eastAsia" w:ascii="Times New Roman" w:hAnsi="Times New Roman" w:eastAsia="宋体" w:cs="宋体"/>
                <w:i w:val="0"/>
                <w:iCs w:val="0"/>
                <w:color w:val="auto"/>
                <w:sz w:val="21"/>
                <w:szCs w:val="21"/>
                <w:u w:val="single"/>
                <w:lang w:val="en-US" w:eastAsia="zh-CN" w:bidi="ar-SA"/>
              </w:rPr>
              <w:t>主要固定噪声源附近应设置环境保护图形标志牌。</w:t>
            </w:r>
          </w:p>
          <w:p w14:paraId="08483476">
            <w:pPr>
              <w:adjustRightInd w:val="0"/>
              <w:snapToGrid w:val="0"/>
              <w:spacing w:line="360" w:lineRule="auto"/>
              <w:ind w:firstLine="420" w:firstLineChars="200"/>
              <w:jc w:val="both"/>
              <w:rPr>
                <w:rFonts w:hint="eastAsia" w:ascii="Times New Roman" w:hAnsi="Times New Roman" w:eastAsia="宋体" w:cs="宋体"/>
                <w:i w:val="0"/>
                <w:iCs w:val="0"/>
                <w:color w:val="auto"/>
                <w:sz w:val="21"/>
                <w:szCs w:val="21"/>
                <w:u w:val="single"/>
                <w:lang w:val="en-US" w:eastAsia="zh-CN" w:bidi="ar-SA"/>
              </w:rPr>
            </w:pPr>
            <w:r>
              <w:rPr>
                <w:rFonts w:hint="eastAsia" w:ascii="Times New Roman" w:hAnsi="Times New Roman" w:eastAsia="宋体" w:cs="宋体"/>
                <w:i w:val="0"/>
                <w:iCs w:val="0"/>
                <w:color w:val="auto"/>
                <w:sz w:val="21"/>
                <w:szCs w:val="21"/>
                <w:u w:val="single"/>
                <w:lang w:val="en-US" w:eastAsia="zh-CN" w:bidi="ar-SA"/>
              </w:rPr>
              <w:t>项目产生的一般固废综合利用。固体废物在厂内暂存期间要设置专门的储存设施或堆放场所、运输通道。存放场地需采取防扬散、防流失措施，并应在存放场地设置环保标志牌。</w:t>
            </w:r>
          </w:p>
          <w:p w14:paraId="6FB85084">
            <w:pPr>
              <w:adjustRightInd w:val="0"/>
              <w:snapToGrid w:val="0"/>
              <w:spacing w:line="360" w:lineRule="auto"/>
              <w:ind w:firstLine="420" w:firstLineChars="200"/>
              <w:jc w:val="both"/>
              <w:rPr>
                <w:rFonts w:hint="eastAsia" w:ascii="Times New Roman" w:hAnsi="Times New Roman" w:eastAsia="宋体" w:cs="宋体"/>
                <w:i w:val="0"/>
                <w:iCs w:val="0"/>
                <w:color w:val="auto"/>
                <w:sz w:val="21"/>
                <w:szCs w:val="21"/>
                <w:u w:val="single"/>
                <w:lang w:val="en-US" w:eastAsia="zh-CN" w:bidi="ar-SA"/>
              </w:rPr>
            </w:pPr>
            <w:r>
              <w:rPr>
                <w:rFonts w:hint="eastAsia" w:ascii="Times New Roman" w:hAnsi="Times New Roman" w:eastAsia="宋体" w:cs="宋体"/>
                <w:i w:val="0"/>
                <w:iCs w:val="0"/>
                <w:color w:val="auto"/>
                <w:sz w:val="21"/>
                <w:szCs w:val="21"/>
                <w:u w:val="single"/>
                <w:lang w:val="en-US" w:eastAsia="zh-CN" w:bidi="ar-SA"/>
              </w:rPr>
              <w:t>建设单位应将有关排污口的情况如：排污口的性质、编号、排污口的位置；主要排放的污染物种类、数量、浓度、排放规律、排放去向；污染治理设施的运行情况等进行建档管理，并报送环保主管部门备案。</w:t>
            </w:r>
          </w:p>
          <w:p w14:paraId="1AC88633">
            <w:pPr>
              <w:pStyle w:val="2"/>
              <w:adjustRightInd w:val="0"/>
              <w:snapToGrid w:val="0"/>
              <w:spacing w:before="0" w:after="0" w:line="360" w:lineRule="auto"/>
              <w:rPr>
                <w:b w:val="0"/>
                <w:bCs w:val="0"/>
                <w:i w:val="0"/>
                <w:iCs w:val="0"/>
                <w:color w:val="auto"/>
                <w:sz w:val="21"/>
                <w:szCs w:val="21"/>
                <w:u w:val="single"/>
              </w:rPr>
            </w:pPr>
            <w:r>
              <w:rPr>
                <w:b w:val="0"/>
                <w:bCs w:val="0"/>
                <w:i w:val="0"/>
                <w:iCs w:val="0"/>
                <w:color w:val="auto"/>
                <w:sz w:val="21"/>
                <w:szCs w:val="21"/>
                <w:u w:val="single"/>
              </w:rPr>
              <w:t>3、</w:t>
            </w:r>
            <w:r>
              <w:rPr>
                <w:rFonts w:ascii="宋体" w:hAnsi="宋体"/>
                <w:b w:val="0"/>
                <w:bCs w:val="0"/>
                <w:i w:val="0"/>
                <w:iCs w:val="0"/>
                <w:color w:val="auto"/>
                <w:sz w:val="21"/>
                <w:szCs w:val="21"/>
                <w:u w:val="single"/>
              </w:rPr>
              <w:t>“三同时”</w:t>
            </w:r>
            <w:r>
              <w:rPr>
                <w:b w:val="0"/>
                <w:bCs w:val="0"/>
                <w:i w:val="0"/>
                <w:iCs w:val="0"/>
                <w:color w:val="auto"/>
                <w:sz w:val="21"/>
                <w:szCs w:val="21"/>
                <w:u w:val="single"/>
              </w:rPr>
              <w:t>自主验收</w:t>
            </w:r>
          </w:p>
          <w:p w14:paraId="6880B31D">
            <w:pPr>
              <w:pStyle w:val="85"/>
              <w:ind w:firstLine="360"/>
              <w:rPr>
                <w:i w:val="0"/>
                <w:iCs w:val="0"/>
                <w:color w:val="auto"/>
                <w:sz w:val="21"/>
                <w:szCs w:val="21"/>
                <w:u w:val="single"/>
              </w:rPr>
            </w:pPr>
            <w:r>
              <w:rPr>
                <w:i w:val="0"/>
                <w:iCs w:val="0"/>
                <w:color w:val="auto"/>
                <w:sz w:val="21"/>
                <w:szCs w:val="21"/>
                <w:u w:val="single"/>
              </w:rPr>
              <w:t>根据《关于规范建设单位自主开展建设项目竣工环境保护验收的通知》（环办环评函</w:t>
            </w:r>
            <w:r>
              <w:rPr>
                <w:rFonts w:hint="eastAsia"/>
                <w:i w:val="0"/>
                <w:iCs w:val="0"/>
                <w:color w:val="auto"/>
                <w:sz w:val="21"/>
                <w:szCs w:val="21"/>
                <w:u w:val="single"/>
              </w:rPr>
              <w:t>〔2017〕1235号</w:t>
            </w:r>
            <w:r>
              <w:rPr>
                <w:i w:val="0"/>
                <w:iCs w:val="0"/>
                <w:color w:val="auto"/>
                <w:sz w:val="21"/>
                <w:szCs w:val="21"/>
                <w:u w:val="single"/>
              </w:rPr>
              <w:t>）和《建设项目环境保护管理条例》（2017年10月1日起实施），建设单位应自主验收，根据报告提出的措施内容尽快完善厂区内各项环保设施的建设，就环保治理设施落实情况如实编制竣工环境保护验收报告，并组织成立验收工作组。验收工作组由建设单位、设计单位、施工单位、环境影响报告书（表）编制机构、验收报告编制机构等单位代表和专业技术专家组成。</w:t>
            </w:r>
          </w:p>
          <w:p w14:paraId="1515496B">
            <w:pPr>
              <w:pStyle w:val="85"/>
              <w:ind w:firstLine="360"/>
              <w:rPr>
                <w:i w:val="0"/>
                <w:iCs w:val="0"/>
                <w:color w:val="auto"/>
                <w:sz w:val="21"/>
                <w:szCs w:val="21"/>
                <w:u w:val="single"/>
              </w:rPr>
            </w:pPr>
            <w:r>
              <w:rPr>
                <w:i w:val="0"/>
                <w:iCs w:val="0"/>
                <w:color w:val="auto"/>
                <w:sz w:val="21"/>
                <w:szCs w:val="21"/>
                <w:u w:val="single"/>
              </w:rPr>
              <w:t>验收工作组应当严格依照国家有关法律法规、建设项目竣工环境保护验收技术规范、建设项目环境影响报告表和审批决定等要求对建设项目配套建设的环境保护设施进行验收，形成验收意见。验收意见应当包括工程建设基本情况，工程变更情况，环境保护设施落实情况，环境保护设施调试效果和工程建设对环境的影响，验收存在的主要问题，验收结论和后续要求。验收工作组现场检查可以参照《关于印发建设项目竣工环境保护验收现场检查及审查要点的通知》（环办〔2015〕113号）执行。</w:t>
            </w:r>
          </w:p>
          <w:p w14:paraId="62360066">
            <w:pPr>
              <w:pStyle w:val="85"/>
              <w:ind w:firstLine="360"/>
              <w:rPr>
                <w:rFonts w:cs="Times New Roman"/>
                <w:i w:val="0"/>
                <w:iCs w:val="0"/>
                <w:color w:val="auto"/>
                <w:sz w:val="21"/>
                <w:szCs w:val="21"/>
                <w:u w:val="single"/>
              </w:rPr>
            </w:pPr>
            <w:r>
              <w:rPr>
                <w:i w:val="0"/>
                <w:iCs w:val="0"/>
                <w:color w:val="auto"/>
                <w:sz w:val="21"/>
                <w:szCs w:val="21"/>
                <w:u w:val="single"/>
              </w:rPr>
              <w:t>建设单位应当对验收工作组提出的问题进行整改，合格后方可出具验收合格的意见。建设项目配套建设的环境保护设施经验收合格后，其主体工程才可以投入生产或者使用。</w:t>
            </w:r>
          </w:p>
          <w:p w14:paraId="7E0412FE">
            <w:pPr>
              <w:pStyle w:val="2"/>
              <w:adjustRightInd w:val="0"/>
              <w:snapToGrid w:val="0"/>
              <w:spacing w:before="0" w:after="0" w:line="360" w:lineRule="auto"/>
              <w:rPr>
                <w:b w:val="0"/>
                <w:bCs w:val="0"/>
                <w:i w:val="0"/>
                <w:iCs w:val="0"/>
                <w:color w:val="auto"/>
                <w:sz w:val="21"/>
                <w:szCs w:val="21"/>
                <w:u w:val="single"/>
              </w:rPr>
            </w:pPr>
            <w:r>
              <w:rPr>
                <w:b w:val="0"/>
                <w:bCs w:val="0"/>
                <w:i w:val="0"/>
                <w:iCs w:val="0"/>
                <w:color w:val="auto"/>
                <w:sz w:val="21"/>
                <w:szCs w:val="21"/>
                <w:u w:val="single"/>
              </w:rPr>
              <w:t>4、</w:t>
            </w:r>
            <w:r>
              <w:rPr>
                <w:rFonts w:hint="eastAsia"/>
                <w:b w:val="0"/>
                <w:bCs w:val="0"/>
                <w:i w:val="0"/>
                <w:iCs w:val="0"/>
                <w:color w:val="auto"/>
                <w:sz w:val="21"/>
                <w:szCs w:val="21"/>
                <w:u w:val="single"/>
              </w:rPr>
              <w:t>环境管理</w:t>
            </w:r>
          </w:p>
          <w:p w14:paraId="0F3259BC">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为贯彻执行国家环境保护的有关规定，确保企业实施可持续发展的长远战略，协调好项目投产后的生产管理和环境管理，本环评报告对环境管理与环境监测制度提出建议。为切实做好建设项目投产后的环境管理、环境监测等工作，建议成立安全环保部门，并设立专兼职环境管理人员，配置专兼职环境管</w:t>
            </w:r>
            <w:r>
              <w:rPr>
                <w:rFonts w:hint="eastAsia" w:ascii="宋体" w:cs="宋体"/>
                <w:i w:val="0"/>
                <w:iCs w:val="0"/>
                <w:color w:val="auto"/>
                <w:sz w:val="21"/>
                <w:szCs w:val="21"/>
                <w:u w:val="single"/>
                <w:lang w:eastAsia="zh-CN"/>
              </w:rPr>
              <w:t>理人</w:t>
            </w:r>
            <w:r>
              <w:rPr>
                <w:rFonts w:hint="eastAsia" w:ascii="宋体" w:cs="宋体"/>
                <w:i w:val="0"/>
                <w:iCs w:val="0"/>
                <w:color w:val="auto"/>
                <w:sz w:val="21"/>
                <w:szCs w:val="21"/>
                <w:u w:val="single"/>
              </w:rPr>
              <w:t>员。</w:t>
            </w:r>
          </w:p>
          <w:p w14:paraId="42EC9D82">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（1）环境管理机构的主要职责</w:t>
            </w:r>
          </w:p>
          <w:p w14:paraId="0E0A9AD0">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贯彻执行国家和地方颁布的环境保护法规、政策和环境保护标准，协助厂领导确定厂环境保护方针、目标。</w:t>
            </w:r>
          </w:p>
          <w:p w14:paraId="034790C6">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制订厂环境保护管理规章、制度和实施办法，并经常监督检查各单位执行情况；组织制定厂环境保护规划和年度计划，并组织或监督实施。</w:t>
            </w:r>
          </w:p>
          <w:p w14:paraId="462F91BA">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负责厂环境监测管理工作，制定环境监测计划，并组织实施；掌握厂“三废”排放状况，建立污染源排污监测档案和台账，按规定向地方环保部门汇报排污情况以及企业年度排污申报登记，并为解决重大环境问题和综合治理决策提供依据。</w:t>
            </w:r>
          </w:p>
          <w:p w14:paraId="6B6D3A53">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监督检查环境保护设施的运行情况，并建立运行档案。</w:t>
            </w:r>
          </w:p>
          <w:p w14:paraId="132ADCC6">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制定切实可行的各类污染物排放控制指标、环境保护设施运行效果和污染防治措施落实效果考核指标、“三废”综合利用指标等环保责任指标，层层落实并定期组织考核。</w:t>
            </w:r>
          </w:p>
          <w:p w14:paraId="2527A62E">
            <w:pPr>
              <w:autoSpaceDE w:val="0"/>
              <w:autoSpaceDN w:val="0"/>
              <w:adjustRightInd w:val="0"/>
              <w:snapToGrid w:val="0"/>
              <w:spacing w:line="360" w:lineRule="auto"/>
              <w:jc w:val="left"/>
              <w:rPr>
                <w:rFonts w:hint="eastAsia" w:ascii="宋体" w:eastAsia="宋体" w:cs="宋体"/>
                <w:i w:val="0"/>
                <w:iCs w:val="0"/>
                <w:color w:val="auto"/>
                <w:sz w:val="21"/>
                <w:szCs w:val="21"/>
                <w:u w:val="single"/>
                <w:lang w:val="en-US" w:eastAsia="zh-CN"/>
              </w:rPr>
            </w:pPr>
            <w:r>
              <w:rPr>
                <w:rFonts w:hint="eastAsia" w:ascii="宋体" w:cs="宋体"/>
                <w:i w:val="0"/>
                <w:iCs w:val="0"/>
                <w:color w:val="auto"/>
                <w:sz w:val="21"/>
                <w:szCs w:val="21"/>
                <w:u w:val="single"/>
              </w:rPr>
              <w:t>制定预防突发性污染事件防范措施和应急处理方案。一旦发生事故，协助有关部门及时组织环境监测、事故原因调查分析和处理工作，并应认真总结经验教训，及时上报有关结果。</w:t>
            </w:r>
          </w:p>
          <w:p w14:paraId="17EF4D84">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组织开展厂污染治理工作和“三废”综合利用的环保科研、技术攻关工作，积极推广污染防治先进技术和经验；组织开展有关环境保护的宣传教育、培训工作。</w:t>
            </w:r>
          </w:p>
          <w:p w14:paraId="79B8D57D">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i w:val="0"/>
                <w:iCs w:val="0"/>
                <w:color w:val="auto"/>
                <w:sz w:val="21"/>
                <w:szCs w:val="21"/>
                <w:u w:val="single"/>
              </w:rPr>
              <w:t>（2）</w:t>
            </w:r>
            <w:r>
              <w:rPr>
                <w:rFonts w:hint="eastAsia" w:ascii="宋体" w:cs="宋体"/>
                <w:i w:val="0"/>
                <w:iCs w:val="0"/>
                <w:color w:val="auto"/>
                <w:sz w:val="21"/>
                <w:szCs w:val="21"/>
                <w:u w:val="single"/>
              </w:rPr>
              <w:t>环境监测工作职责及主要任务</w:t>
            </w:r>
          </w:p>
          <w:p w14:paraId="621BC5E5">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环境监测是环境保护的基础和耳目，是掌握环境质量和了解其变化动态的重要手段。为保护厂区和厂区周边环境，促进企业环境管理的科学化及企业可持续发展，建设单位应重视和加强环境监测工作。参照有关规定，本次环评对企业环境监测的工作职责及主要任务建议如下：</w:t>
            </w:r>
          </w:p>
          <w:p w14:paraId="1274A65F">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严格按照国家有关环境质量标准、污染物排放标准、环境监测技术规范和环境监测分析方法规定等要求，建立环境监测管理制度和环境监测质量保证体系，确保监测数据真实可靠。保证及时、准确和规范地提供监测数据，为企业环境管理服务，为解决企业重大环境问题提供依据。</w:t>
            </w:r>
          </w:p>
          <w:p w14:paraId="073995BC">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按照环境监测计划和安全环保处的要求，定期对污染源的污染物治理设施运行状况进行监测，定期或不定期对厂区或厂区周边环境空气、噪声等环境要素中的常规污染物和环境影响因素进行监测，了解、掌握厂区内和厂区周边环境质量状况及工厂在生产过程中排放污染物对环境影响造成的实际水平。</w:t>
            </w:r>
          </w:p>
          <w:p w14:paraId="304174D7">
            <w:pPr>
              <w:autoSpaceDE w:val="0"/>
              <w:autoSpaceDN w:val="0"/>
              <w:adjustRightInd w:val="0"/>
              <w:snapToGrid w:val="0"/>
              <w:spacing w:line="360" w:lineRule="auto"/>
              <w:ind w:firstLine="420" w:firstLineChars="200"/>
              <w:jc w:val="left"/>
              <w:rPr>
                <w:rFonts w:ascii="宋体" w:cs="宋体"/>
                <w:i w:val="0"/>
                <w:iCs w:val="0"/>
                <w:color w:val="auto"/>
                <w:sz w:val="21"/>
                <w:szCs w:val="21"/>
                <w:u w:val="single"/>
              </w:rPr>
            </w:pPr>
            <w:r>
              <w:rPr>
                <w:rFonts w:hint="eastAsia" w:ascii="宋体" w:cs="宋体"/>
                <w:i w:val="0"/>
                <w:iCs w:val="0"/>
                <w:color w:val="auto"/>
                <w:sz w:val="21"/>
                <w:szCs w:val="21"/>
                <w:u w:val="single"/>
              </w:rPr>
              <w:t>及时汇总环境监测数据，定期对环境监测数据进行综合分析，掌握污染物排放状况及变化趋势，及时将结果反馈给生产管理部门、环境管理部门。定期编制和向企业环境主管部门上报监测日报、月报、季报和年报。</w:t>
            </w:r>
          </w:p>
          <w:p w14:paraId="78AC8505">
            <w:pPr>
              <w:adjustRightInd w:val="0"/>
              <w:snapToGrid w:val="0"/>
              <w:spacing w:line="360" w:lineRule="auto"/>
              <w:ind w:firstLine="420" w:firstLineChars="200"/>
              <w:rPr>
                <w:i w:val="0"/>
                <w:iCs w:val="0"/>
                <w:color w:val="auto"/>
                <w:sz w:val="18"/>
                <w:szCs w:val="18"/>
                <w:u w:val="single"/>
              </w:rPr>
            </w:pPr>
            <w:r>
              <w:rPr>
                <w:rFonts w:hint="eastAsia" w:ascii="宋体" w:cs="宋体"/>
                <w:i w:val="0"/>
                <w:iCs w:val="0"/>
                <w:color w:val="auto"/>
                <w:sz w:val="21"/>
                <w:szCs w:val="21"/>
                <w:u w:val="single"/>
              </w:rPr>
              <w:t>建立应急环境监测方案，健全应急环境监测手段，及时对企业突发性污染事件进行监测，并将应急环境监测结果和污染事件善后处理情况及时上报企业环境保护主管部门。</w:t>
            </w:r>
          </w:p>
        </w:tc>
      </w:tr>
    </w:tbl>
    <w:p w14:paraId="46D62426">
      <w:pPr>
        <w:pStyle w:val="25"/>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9"/>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CBBA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9" w:hRule="atLeast"/>
          <w:jc w:val="center"/>
        </w:trPr>
        <w:tc>
          <w:tcPr>
            <w:tcW w:w="8865" w:type="dxa"/>
          </w:tcPr>
          <w:p w14:paraId="0EFC215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i w:val="0"/>
                <w:iCs w:val="0"/>
                <w:color w:val="auto"/>
                <w:u w:val="none"/>
              </w:rPr>
            </w:pPr>
            <w:r>
              <w:rPr>
                <w:i w:val="0"/>
                <w:iCs w:val="0"/>
                <w:color w:val="auto"/>
                <w:u w:val="none"/>
              </w:rPr>
              <w:t>本项目属于</w:t>
            </w:r>
            <w:r>
              <w:rPr>
                <w:rFonts w:hint="eastAsia"/>
                <w:i w:val="0"/>
                <w:iCs w:val="0"/>
                <w:color w:val="auto"/>
                <w:u w:val="none"/>
                <w:lang w:val="en-US" w:eastAsia="zh-CN"/>
              </w:rPr>
              <w:t>建设单位租用现有闲置厂房，新增设备进行再生腐殖土生产，</w:t>
            </w:r>
            <w:r>
              <w:rPr>
                <w:rFonts w:hAnsi="宋体"/>
                <w:i w:val="0"/>
                <w:iCs w:val="0"/>
                <w:color w:val="auto"/>
                <w:u w:val="none"/>
              </w:rPr>
              <w:t>项目建设符合国家和地方的相关产业政策，选</w:t>
            </w:r>
            <w:r>
              <w:rPr>
                <w:rFonts w:ascii="宋体" w:hAnsi="宋体"/>
                <w:i w:val="0"/>
                <w:iCs w:val="0"/>
                <w:color w:val="auto"/>
                <w:u w:val="none"/>
              </w:rPr>
              <w:t>址符合</w:t>
            </w:r>
            <w:r>
              <w:rPr>
                <w:rFonts w:hint="eastAsia" w:ascii="宋体" w:hAnsi="宋体"/>
                <w:i w:val="0"/>
                <w:iCs w:val="0"/>
                <w:color w:val="auto"/>
                <w:u w:val="none"/>
                <w:lang w:val="en-US" w:eastAsia="zh-CN"/>
              </w:rPr>
              <w:t>生态环境分区管控</w:t>
            </w:r>
            <w:r>
              <w:rPr>
                <w:rFonts w:hAnsi="宋体"/>
                <w:i w:val="0"/>
                <w:iCs w:val="0"/>
                <w:color w:val="auto"/>
                <w:u w:val="none"/>
              </w:rPr>
              <w:t>，所采用的污染防治措施合理可行，可确保污染物稳定达标排放；项目污染物的排放量符合控制要求，处理达标后的各项污染物对周围环境的影响较小，不会改变当地的环境功能区划，项目的环境风险较小且可以接受。在落实本报告表提出的各项污染防治措施、严格</w:t>
            </w:r>
            <w:r>
              <w:rPr>
                <w:rFonts w:ascii="宋体" w:hAnsi="宋体"/>
                <w:i w:val="0"/>
                <w:iCs w:val="0"/>
                <w:color w:val="auto"/>
                <w:u w:val="none"/>
              </w:rPr>
              <w:t>执行“三同时”制度</w:t>
            </w:r>
            <w:r>
              <w:rPr>
                <w:rFonts w:hAnsi="宋体"/>
                <w:i w:val="0"/>
                <w:iCs w:val="0"/>
                <w:color w:val="auto"/>
                <w:u w:val="none"/>
              </w:rPr>
              <w:t>的情况下，从环保角度分析，项目在拟建地的建设具备环境可行性。</w:t>
            </w:r>
          </w:p>
          <w:p w14:paraId="122FED46">
            <w:pPr>
              <w:pStyle w:val="85"/>
              <w:ind w:firstLine="420"/>
              <w:rPr>
                <w:i w:val="0"/>
                <w:iCs w:val="0"/>
                <w:color w:val="auto"/>
                <w:u w:val="none"/>
              </w:rPr>
            </w:pPr>
            <w:r>
              <w:rPr>
                <w:i w:val="0"/>
                <w:iCs w:val="0"/>
                <w:color w:val="auto"/>
                <w:u w:val="none"/>
              </w:rPr>
              <w:t>综上所述，从环境保护的角度分析，本项目建设可行。</w:t>
            </w:r>
          </w:p>
          <w:p w14:paraId="2D23F51C">
            <w:pPr>
              <w:snapToGrid w:val="0"/>
              <w:spacing w:line="360" w:lineRule="auto"/>
              <w:ind w:firstLine="480" w:firstLineChars="200"/>
              <w:rPr>
                <w:rFonts w:ascii="宋体" w:cs="宋体"/>
                <w:color w:val="auto"/>
                <w:sz w:val="24"/>
              </w:rPr>
            </w:pPr>
          </w:p>
        </w:tc>
      </w:tr>
    </w:tbl>
    <w:p w14:paraId="012F374E">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9AFDF86">
      <w:pPr>
        <w:pStyle w:val="25"/>
        <w:adjustRightInd w:val="0"/>
        <w:snapToGrid w:val="0"/>
        <w:spacing w:before="0" w:beforeAutospacing="0" w:after="0" w:afterAutospacing="0" w:line="552" w:lineRule="auto"/>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21"/>
        <w:gridCol w:w="1597"/>
        <w:gridCol w:w="1276"/>
        <w:gridCol w:w="1701"/>
        <w:gridCol w:w="1559"/>
        <w:gridCol w:w="1761"/>
        <w:gridCol w:w="1645"/>
        <w:gridCol w:w="1140"/>
      </w:tblGrid>
      <w:tr w14:paraId="01DD9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tcBorders>
              <w:bottom w:val="single" w:color="auto" w:sz="4" w:space="0"/>
              <w:tl2br w:val="single" w:color="auto" w:sz="4" w:space="0"/>
            </w:tcBorders>
            <w:tcMar>
              <w:left w:w="28" w:type="dxa"/>
              <w:right w:w="28" w:type="dxa"/>
            </w:tcMar>
            <w:vAlign w:val="center"/>
          </w:tcPr>
          <w:p w14:paraId="63161CCA">
            <w:pPr>
              <w:pStyle w:val="38"/>
              <w:spacing w:beforeLines="0" w:afterLines="0"/>
              <w:ind w:firstLine="336"/>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 xml:space="preserve"> 项目</w:t>
            </w:r>
          </w:p>
          <w:p w14:paraId="3DCD6153">
            <w:pPr>
              <w:pStyle w:val="38"/>
              <w:spacing w:beforeLines="0" w:afterLines="0"/>
              <w:jc w:val="both"/>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分类</w:t>
            </w:r>
          </w:p>
        </w:tc>
        <w:tc>
          <w:tcPr>
            <w:tcW w:w="1521" w:type="dxa"/>
            <w:tcMar>
              <w:left w:w="28" w:type="dxa"/>
              <w:right w:w="28" w:type="dxa"/>
            </w:tcMar>
            <w:vAlign w:val="center"/>
          </w:tcPr>
          <w:p w14:paraId="27E8A053">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污染物名称</w:t>
            </w:r>
          </w:p>
        </w:tc>
        <w:tc>
          <w:tcPr>
            <w:tcW w:w="1597" w:type="dxa"/>
            <w:tcMar>
              <w:left w:w="28" w:type="dxa"/>
              <w:right w:w="28" w:type="dxa"/>
            </w:tcMar>
            <w:vAlign w:val="center"/>
          </w:tcPr>
          <w:p w14:paraId="1C437BA9">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现有工程</w:t>
            </w:r>
          </w:p>
          <w:p w14:paraId="4814FECE">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排放量（固体废物产生量）</w:t>
            </w:r>
            <w:r>
              <w:rPr>
                <w:rFonts w:ascii="Times New Roman" w:eastAsia="宋体"/>
                <w:snapToGrid w:val="0"/>
                <w:color w:val="auto"/>
                <w:spacing w:val="-6"/>
                <w:kern w:val="21"/>
                <w:sz w:val="18"/>
                <w:szCs w:val="18"/>
              </w:rPr>
              <w:fldChar w:fldCharType="begin"/>
            </w:r>
            <w:r>
              <w:rPr>
                <w:rFonts w:ascii="Times New Roman" w:eastAsia="宋体"/>
                <w:snapToGrid w:val="0"/>
                <w:color w:val="auto"/>
                <w:spacing w:val="-6"/>
                <w:kern w:val="21"/>
                <w:sz w:val="18"/>
                <w:szCs w:val="18"/>
              </w:rPr>
              <w:instrText xml:space="preserve"> = 1 \* GB3 \* MERGEFORMAT </w:instrText>
            </w:r>
            <w:r>
              <w:rPr>
                <w:rFonts w:ascii="Times New Roman" w:eastAsia="宋体"/>
                <w:snapToGrid w:val="0"/>
                <w:color w:val="auto"/>
                <w:spacing w:val="-6"/>
                <w:kern w:val="21"/>
                <w:sz w:val="18"/>
                <w:szCs w:val="18"/>
              </w:rPr>
              <w:fldChar w:fldCharType="separate"/>
            </w:r>
            <w:r>
              <w:rPr>
                <w:rFonts w:ascii="Times New Roman" w:eastAsia="宋体"/>
                <w:color w:val="auto"/>
                <w:kern w:val="2"/>
                <w:sz w:val="18"/>
                <w:szCs w:val="18"/>
              </w:rPr>
              <w:t>①</w:t>
            </w:r>
            <w:r>
              <w:rPr>
                <w:rFonts w:ascii="Times New Roman" w:eastAsia="宋体"/>
                <w:snapToGrid w:val="0"/>
                <w:color w:val="auto"/>
                <w:spacing w:val="-6"/>
                <w:kern w:val="21"/>
                <w:sz w:val="18"/>
                <w:szCs w:val="18"/>
              </w:rPr>
              <w:fldChar w:fldCharType="end"/>
            </w:r>
          </w:p>
        </w:tc>
        <w:tc>
          <w:tcPr>
            <w:tcW w:w="1276" w:type="dxa"/>
            <w:tcMar>
              <w:left w:w="28" w:type="dxa"/>
              <w:right w:w="28" w:type="dxa"/>
            </w:tcMar>
            <w:vAlign w:val="center"/>
          </w:tcPr>
          <w:p w14:paraId="3930124A">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现有工程</w:t>
            </w:r>
          </w:p>
          <w:p w14:paraId="0D9FDF86">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许可排放量</w:t>
            </w:r>
          </w:p>
          <w:p w14:paraId="539286B1">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fldChar w:fldCharType="begin"/>
            </w:r>
            <w:r>
              <w:rPr>
                <w:rFonts w:ascii="Times New Roman" w:eastAsia="宋体"/>
                <w:snapToGrid w:val="0"/>
                <w:color w:val="auto"/>
                <w:spacing w:val="-6"/>
                <w:kern w:val="21"/>
                <w:sz w:val="18"/>
                <w:szCs w:val="18"/>
              </w:rPr>
              <w:instrText xml:space="preserve"> = 2 \* GB3 \* MERGEFORMAT </w:instrText>
            </w:r>
            <w:r>
              <w:rPr>
                <w:rFonts w:ascii="Times New Roman" w:eastAsia="宋体"/>
                <w:snapToGrid w:val="0"/>
                <w:color w:val="auto"/>
                <w:spacing w:val="-6"/>
                <w:kern w:val="21"/>
                <w:sz w:val="18"/>
                <w:szCs w:val="18"/>
              </w:rPr>
              <w:fldChar w:fldCharType="separate"/>
            </w:r>
            <w:r>
              <w:rPr>
                <w:rFonts w:ascii="Times New Roman" w:eastAsia="宋体"/>
                <w:snapToGrid w:val="0"/>
                <w:color w:val="auto"/>
                <w:spacing w:val="-6"/>
                <w:kern w:val="21"/>
                <w:sz w:val="18"/>
                <w:szCs w:val="18"/>
              </w:rPr>
              <w:t>②</w:t>
            </w:r>
            <w:r>
              <w:rPr>
                <w:rFonts w:ascii="Times New Roman" w:eastAsia="宋体"/>
                <w:snapToGrid w:val="0"/>
                <w:color w:val="auto"/>
                <w:spacing w:val="-6"/>
                <w:kern w:val="21"/>
                <w:sz w:val="18"/>
                <w:szCs w:val="18"/>
              </w:rPr>
              <w:fldChar w:fldCharType="end"/>
            </w:r>
          </w:p>
        </w:tc>
        <w:tc>
          <w:tcPr>
            <w:tcW w:w="1701" w:type="dxa"/>
            <w:tcMar>
              <w:left w:w="28" w:type="dxa"/>
              <w:right w:w="28" w:type="dxa"/>
            </w:tcMar>
            <w:vAlign w:val="center"/>
          </w:tcPr>
          <w:p w14:paraId="7DF16468">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在建工程</w:t>
            </w:r>
          </w:p>
          <w:p w14:paraId="095FC709">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排放量（固体废物产生量）</w:t>
            </w:r>
            <w:r>
              <w:rPr>
                <w:rFonts w:ascii="Times New Roman" w:eastAsia="宋体"/>
                <w:snapToGrid w:val="0"/>
                <w:color w:val="auto"/>
                <w:spacing w:val="-6"/>
                <w:kern w:val="21"/>
                <w:sz w:val="18"/>
                <w:szCs w:val="18"/>
              </w:rPr>
              <w:fldChar w:fldCharType="begin"/>
            </w:r>
            <w:r>
              <w:rPr>
                <w:rFonts w:ascii="Times New Roman" w:eastAsia="宋体"/>
                <w:snapToGrid w:val="0"/>
                <w:color w:val="auto"/>
                <w:spacing w:val="-6"/>
                <w:kern w:val="21"/>
                <w:sz w:val="18"/>
                <w:szCs w:val="18"/>
              </w:rPr>
              <w:instrText xml:space="preserve"> = 3 \* GB3 \* MERGEFORMAT </w:instrText>
            </w:r>
            <w:r>
              <w:rPr>
                <w:rFonts w:ascii="Times New Roman" w:eastAsia="宋体"/>
                <w:snapToGrid w:val="0"/>
                <w:color w:val="auto"/>
                <w:spacing w:val="-6"/>
                <w:kern w:val="21"/>
                <w:sz w:val="18"/>
                <w:szCs w:val="18"/>
              </w:rPr>
              <w:fldChar w:fldCharType="separate"/>
            </w:r>
            <w:r>
              <w:rPr>
                <w:rFonts w:ascii="Times New Roman" w:eastAsia="宋体"/>
                <w:color w:val="auto"/>
                <w:kern w:val="2"/>
                <w:sz w:val="18"/>
                <w:szCs w:val="18"/>
              </w:rPr>
              <w:t>③</w:t>
            </w:r>
            <w:r>
              <w:rPr>
                <w:rFonts w:ascii="Times New Roman" w:eastAsia="宋体"/>
                <w:snapToGrid w:val="0"/>
                <w:color w:val="auto"/>
                <w:spacing w:val="-6"/>
                <w:kern w:val="21"/>
                <w:sz w:val="18"/>
                <w:szCs w:val="18"/>
              </w:rPr>
              <w:fldChar w:fldCharType="end"/>
            </w:r>
          </w:p>
        </w:tc>
        <w:tc>
          <w:tcPr>
            <w:tcW w:w="1559" w:type="dxa"/>
            <w:tcMar>
              <w:left w:w="28" w:type="dxa"/>
              <w:right w:w="28" w:type="dxa"/>
            </w:tcMar>
            <w:vAlign w:val="center"/>
          </w:tcPr>
          <w:p w14:paraId="7218C3CF">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本项目</w:t>
            </w:r>
          </w:p>
          <w:p w14:paraId="2096CF8E">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排放量（固体废物产生量）</w:t>
            </w:r>
            <w:r>
              <w:rPr>
                <w:rFonts w:ascii="Times New Roman" w:eastAsia="宋体"/>
                <w:snapToGrid w:val="0"/>
                <w:color w:val="auto"/>
                <w:spacing w:val="-6"/>
                <w:kern w:val="21"/>
                <w:sz w:val="18"/>
                <w:szCs w:val="18"/>
              </w:rPr>
              <w:fldChar w:fldCharType="begin"/>
            </w:r>
            <w:r>
              <w:rPr>
                <w:rFonts w:ascii="Times New Roman" w:eastAsia="宋体"/>
                <w:snapToGrid w:val="0"/>
                <w:color w:val="auto"/>
                <w:spacing w:val="-6"/>
                <w:kern w:val="21"/>
                <w:sz w:val="18"/>
                <w:szCs w:val="18"/>
              </w:rPr>
              <w:instrText xml:space="preserve"> = 4 \* GB3 \* MERGEFORMAT </w:instrText>
            </w:r>
            <w:r>
              <w:rPr>
                <w:rFonts w:ascii="Times New Roman" w:eastAsia="宋体"/>
                <w:snapToGrid w:val="0"/>
                <w:color w:val="auto"/>
                <w:spacing w:val="-6"/>
                <w:kern w:val="21"/>
                <w:sz w:val="18"/>
                <w:szCs w:val="18"/>
              </w:rPr>
              <w:fldChar w:fldCharType="separate"/>
            </w:r>
            <w:r>
              <w:rPr>
                <w:rFonts w:ascii="Times New Roman" w:eastAsia="宋体"/>
                <w:color w:val="auto"/>
                <w:kern w:val="2"/>
                <w:sz w:val="18"/>
                <w:szCs w:val="18"/>
              </w:rPr>
              <w:t>④</w:t>
            </w:r>
            <w:r>
              <w:rPr>
                <w:rFonts w:ascii="Times New Roman" w:eastAsia="宋体"/>
                <w:snapToGrid w:val="0"/>
                <w:color w:val="auto"/>
                <w:spacing w:val="-6"/>
                <w:kern w:val="21"/>
                <w:sz w:val="18"/>
                <w:szCs w:val="18"/>
              </w:rPr>
              <w:fldChar w:fldCharType="end"/>
            </w:r>
          </w:p>
        </w:tc>
        <w:tc>
          <w:tcPr>
            <w:tcW w:w="1761" w:type="dxa"/>
            <w:tcMar>
              <w:left w:w="28" w:type="dxa"/>
              <w:right w:w="28" w:type="dxa"/>
            </w:tcMar>
            <w:vAlign w:val="center"/>
          </w:tcPr>
          <w:p w14:paraId="254A91D1">
            <w:pPr>
              <w:pStyle w:val="38"/>
              <w:spacing w:beforeLines="0" w:afterLines="0"/>
              <w:rPr>
                <w:rFonts w:ascii="Times New Roman" w:eastAsia="宋体"/>
                <w:snapToGrid w:val="0"/>
                <w:color w:val="auto"/>
                <w:spacing w:val="-16"/>
                <w:kern w:val="21"/>
                <w:sz w:val="18"/>
                <w:szCs w:val="18"/>
              </w:rPr>
            </w:pPr>
            <w:r>
              <w:rPr>
                <w:rFonts w:ascii="Times New Roman" w:eastAsia="宋体"/>
                <w:snapToGrid w:val="0"/>
                <w:color w:val="auto"/>
                <w:spacing w:val="-16"/>
                <w:kern w:val="21"/>
                <w:sz w:val="18"/>
                <w:szCs w:val="18"/>
              </w:rPr>
              <w:t>以新带老削减量</w:t>
            </w:r>
          </w:p>
          <w:p w14:paraId="6A08747C">
            <w:pPr>
              <w:pStyle w:val="38"/>
              <w:spacing w:beforeLines="0" w:afterLines="0"/>
              <w:rPr>
                <w:rFonts w:ascii="Times New Roman" w:eastAsia="宋体"/>
                <w:snapToGrid w:val="0"/>
                <w:color w:val="auto"/>
                <w:spacing w:val="-16"/>
                <w:kern w:val="21"/>
                <w:sz w:val="18"/>
                <w:szCs w:val="18"/>
              </w:rPr>
            </w:pPr>
            <w:r>
              <w:rPr>
                <w:rFonts w:ascii="Times New Roman" w:eastAsia="宋体"/>
                <w:snapToGrid w:val="0"/>
                <w:color w:val="auto"/>
                <w:spacing w:val="-16"/>
                <w:kern w:val="21"/>
                <w:sz w:val="18"/>
                <w:szCs w:val="18"/>
              </w:rPr>
              <w:t>（新建项目不填）</w:t>
            </w:r>
            <w:r>
              <w:rPr>
                <w:rFonts w:ascii="Times New Roman" w:eastAsia="宋体"/>
                <w:snapToGrid w:val="0"/>
                <w:color w:val="auto"/>
                <w:spacing w:val="-16"/>
                <w:kern w:val="21"/>
                <w:sz w:val="18"/>
                <w:szCs w:val="18"/>
              </w:rPr>
              <w:fldChar w:fldCharType="begin"/>
            </w:r>
            <w:r>
              <w:rPr>
                <w:rFonts w:ascii="Times New Roman" w:eastAsia="宋体"/>
                <w:snapToGrid w:val="0"/>
                <w:color w:val="auto"/>
                <w:spacing w:val="-16"/>
                <w:kern w:val="21"/>
                <w:sz w:val="18"/>
                <w:szCs w:val="18"/>
              </w:rPr>
              <w:instrText xml:space="preserve"> = 5 \* GB3 \* MERGEFORMAT </w:instrText>
            </w:r>
            <w:r>
              <w:rPr>
                <w:rFonts w:ascii="Times New Roman" w:eastAsia="宋体"/>
                <w:snapToGrid w:val="0"/>
                <w:color w:val="auto"/>
                <w:spacing w:val="-16"/>
                <w:kern w:val="21"/>
                <w:sz w:val="18"/>
                <w:szCs w:val="18"/>
              </w:rPr>
              <w:fldChar w:fldCharType="separate"/>
            </w:r>
            <w:r>
              <w:rPr>
                <w:rFonts w:ascii="Times New Roman" w:eastAsia="宋体"/>
                <w:color w:val="auto"/>
                <w:kern w:val="2"/>
                <w:sz w:val="18"/>
                <w:szCs w:val="18"/>
              </w:rPr>
              <w:t>⑤</w:t>
            </w:r>
            <w:r>
              <w:rPr>
                <w:rFonts w:ascii="Times New Roman" w:eastAsia="宋体"/>
                <w:snapToGrid w:val="0"/>
                <w:color w:val="auto"/>
                <w:spacing w:val="-16"/>
                <w:kern w:val="21"/>
                <w:sz w:val="18"/>
                <w:szCs w:val="18"/>
              </w:rPr>
              <w:fldChar w:fldCharType="end"/>
            </w:r>
          </w:p>
        </w:tc>
        <w:tc>
          <w:tcPr>
            <w:tcW w:w="1645" w:type="dxa"/>
            <w:tcMar>
              <w:left w:w="28" w:type="dxa"/>
              <w:right w:w="28" w:type="dxa"/>
            </w:tcMar>
            <w:vAlign w:val="center"/>
          </w:tcPr>
          <w:p w14:paraId="1FF6412A">
            <w:pPr>
              <w:pStyle w:val="38"/>
              <w:spacing w:beforeLines="0" w:afterLines="0"/>
              <w:rPr>
                <w:rFonts w:ascii="Times New Roman" w:eastAsia="宋体"/>
                <w:snapToGrid w:val="0"/>
                <w:color w:val="auto"/>
                <w:spacing w:val="-16"/>
                <w:kern w:val="21"/>
                <w:sz w:val="18"/>
                <w:szCs w:val="18"/>
              </w:rPr>
            </w:pPr>
            <w:r>
              <w:rPr>
                <w:rFonts w:ascii="Times New Roman" w:eastAsia="宋体"/>
                <w:snapToGrid w:val="0"/>
                <w:color w:val="auto"/>
                <w:spacing w:val="-16"/>
                <w:kern w:val="21"/>
                <w:sz w:val="18"/>
                <w:szCs w:val="18"/>
              </w:rPr>
              <w:t>本项目建成后</w:t>
            </w:r>
          </w:p>
          <w:p w14:paraId="4E81A9C8">
            <w:pPr>
              <w:pStyle w:val="38"/>
              <w:spacing w:beforeLines="0" w:afterLines="0"/>
              <w:rPr>
                <w:rFonts w:ascii="Times New Roman" w:eastAsia="宋体"/>
                <w:snapToGrid w:val="0"/>
                <w:color w:val="auto"/>
                <w:spacing w:val="-16"/>
                <w:kern w:val="21"/>
                <w:sz w:val="18"/>
                <w:szCs w:val="18"/>
              </w:rPr>
            </w:pPr>
            <w:r>
              <w:rPr>
                <w:rFonts w:ascii="Times New Roman" w:eastAsia="宋体"/>
                <w:snapToGrid w:val="0"/>
                <w:color w:val="auto"/>
                <w:spacing w:val="-16"/>
                <w:kern w:val="21"/>
                <w:sz w:val="18"/>
                <w:szCs w:val="18"/>
              </w:rPr>
              <w:t>全厂排放量（固体废物产生量）</w:t>
            </w:r>
            <w:r>
              <w:rPr>
                <w:rFonts w:ascii="Times New Roman" w:eastAsia="宋体"/>
                <w:snapToGrid w:val="0"/>
                <w:color w:val="auto"/>
                <w:spacing w:val="-16"/>
                <w:kern w:val="21"/>
                <w:sz w:val="18"/>
                <w:szCs w:val="18"/>
              </w:rPr>
              <w:fldChar w:fldCharType="begin"/>
            </w:r>
            <w:r>
              <w:rPr>
                <w:rFonts w:ascii="Times New Roman" w:eastAsia="宋体"/>
                <w:snapToGrid w:val="0"/>
                <w:color w:val="auto"/>
                <w:spacing w:val="-16"/>
                <w:kern w:val="21"/>
                <w:sz w:val="18"/>
                <w:szCs w:val="18"/>
              </w:rPr>
              <w:instrText xml:space="preserve"> = 6 \* GB3 \* MERGEFORMAT </w:instrText>
            </w:r>
            <w:r>
              <w:rPr>
                <w:rFonts w:ascii="Times New Roman" w:eastAsia="宋体"/>
                <w:snapToGrid w:val="0"/>
                <w:color w:val="auto"/>
                <w:spacing w:val="-16"/>
                <w:kern w:val="21"/>
                <w:sz w:val="18"/>
                <w:szCs w:val="18"/>
              </w:rPr>
              <w:fldChar w:fldCharType="separate"/>
            </w:r>
            <w:r>
              <w:rPr>
                <w:rFonts w:ascii="Times New Roman" w:eastAsia="宋体"/>
                <w:color w:val="auto"/>
                <w:kern w:val="2"/>
                <w:sz w:val="18"/>
                <w:szCs w:val="18"/>
              </w:rPr>
              <w:t>⑥</w:t>
            </w:r>
            <w:r>
              <w:rPr>
                <w:rFonts w:ascii="Times New Roman" w:eastAsia="宋体"/>
                <w:snapToGrid w:val="0"/>
                <w:color w:val="auto"/>
                <w:spacing w:val="-16"/>
                <w:kern w:val="21"/>
                <w:sz w:val="18"/>
                <w:szCs w:val="18"/>
              </w:rPr>
              <w:fldChar w:fldCharType="end"/>
            </w:r>
          </w:p>
        </w:tc>
        <w:tc>
          <w:tcPr>
            <w:tcW w:w="1140" w:type="dxa"/>
            <w:tcMar>
              <w:left w:w="28" w:type="dxa"/>
              <w:right w:w="28" w:type="dxa"/>
            </w:tcMar>
            <w:vAlign w:val="center"/>
          </w:tcPr>
          <w:p w14:paraId="054D9839">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t>变化量</w:t>
            </w:r>
          </w:p>
          <w:p w14:paraId="6DFBB4E8">
            <w:pPr>
              <w:pStyle w:val="38"/>
              <w:spacing w:beforeLines="0" w:afterLines="0"/>
              <w:rPr>
                <w:rFonts w:ascii="Times New Roman" w:eastAsia="宋体"/>
                <w:snapToGrid w:val="0"/>
                <w:color w:val="auto"/>
                <w:spacing w:val="-6"/>
                <w:kern w:val="21"/>
                <w:sz w:val="18"/>
                <w:szCs w:val="18"/>
              </w:rPr>
            </w:pPr>
            <w:r>
              <w:rPr>
                <w:rFonts w:ascii="Times New Roman" w:eastAsia="宋体"/>
                <w:snapToGrid w:val="0"/>
                <w:color w:val="auto"/>
                <w:spacing w:val="-6"/>
                <w:kern w:val="21"/>
                <w:sz w:val="18"/>
                <w:szCs w:val="18"/>
              </w:rPr>
              <w:fldChar w:fldCharType="begin"/>
            </w:r>
            <w:r>
              <w:rPr>
                <w:rFonts w:ascii="Times New Roman" w:eastAsia="宋体"/>
                <w:snapToGrid w:val="0"/>
                <w:color w:val="auto"/>
                <w:spacing w:val="-6"/>
                <w:kern w:val="21"/>
                <w:sz w:val="18"/>
                <w:szCs w:val="18"/>
              </w:rPr>
              <w:instrText xml:space="preserve"> = 7 \* GB3 \* MERGEFORMAT </w:instrText>
            </w:r>
            <w:r>
              <w:rPr>
                <w:rFonts w:ascii="Times New Roman" w:eastAsia="宋体"/>
                <w:snapToGrid w:val="0"/>
                <w:color w:val="auto"/>
                <w:spacing w:val="-6"/>
                <w:kern w:val="21"/>
                <w:sz w:val="18"/>
                <w:szCs w:val="18"/>
              </w:rPr>
              <w:fldChar w:fldCharType="separate"/>
            </w:r>
            <w:r>
              <w:rPr>
                <w:rFonts w:ascii="Times New Roman" w:eastAsia="宋体"/>
                <w:color w:val="auto"/>
                <w:kern w:val="2"/>
                <w:sz w:val="18"/>
                <w:szCs w:val="18"/>
              </w:rPr>
              <w:t>⑦</w:t>
            </w:r>
            <w:r>
              <w:rPr>
                <w:rFonts w:ascii="Times New Roman" w:eastAsia="宋体"/>
                <w:snapToGrid w:val="0"/>
                <w:color w:val="auto"/>
                <w:spacing w:val="-6"/>
                <w:kern w:val="21"/>
                <w:sz w:val="18"/>
                <w:szCs w:val="18"/>
              </w:rPr>
              <w:fldChar w:fldCharType="end"/>
            </w:r>
          </w:p>
        </w:tc>
      </w:tr>
      <w:tr w14:paraId="1F3D3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14:paraId="692C834F">
            <w:pPr>
              <w:pStyle w:val="38"/>
              <w:spacing w:before="24" w:after="24"/>
              <w:rPr>
                <w:rFonts w:ascii="Times New Roman" w:eastAsia="宋体"/>
                <w:snapToGrid w:val="0"/>
                <w:color w:val="auto"/>
                <w:kern w:val="21"/>
                <w:sz w:val="18"/>
                <w:szCs w:val="18"/>
              </w:rPr>
            </w:pPr>
            <w:r>
              <w:rPr>
                <w:rFonts w:ascii="Times New Roman" w:eastAsia="宋体"/>
                <w:snapToGrid w:val="0"/>
                <w:color w:val="auto"/>
                <w:kern w:val="21"/>
                <w:sz w:val="18"/>
                <w:szCs w:val="18"/>
              </w:rPr>
              <w:t>废气</w:t>
            </w:r>
          </w:p>
        </w:tc>
        <w:tc>
          <w:tcPr>
            <w:tcW w:w="1521" w:type="dxa"/>
            <w:shd w:val="clear" w:color="auto" w:fill="auto"/>
            <w:vAlign w:val="center"/>
          </w:tcPr>
          <w:p w14:paraId="612FB501">
            <w:pPr>
              <w:pStyle w:val="38"/>
              <w:spacing w:beforeLines="0" w:afterLines="0"/>
              <w:rPr>
                <w:rFonts w:hint="default" w:ascii="Times New Roman" w:hAnsi="Times New Roman" w:eastAsia="宋体" w:cs="Times New Roman"/>
                <w:bCs/>
                <w:snapToGrid w:val="0"/>
                <w:color w:val="auto"/>
                <w:kern w:val="21"/>
                <w:sz w:val="18"/>
                <w:szCs w:val="18"/>
                <w:lang w:val="en-US" w:eastAsia="zh-CN" w:bidi="ar-SA"/>
              </w:rPr>
            </w:pPr>
            <w:r>
              <w:rPr>
                <w:rFonts w:hint="eastAsia" w:ascii="Times New Roman" w:eastAsia="宋体" w:cs="Times New Roman"/>
                <w:bCs/>
                <w:snapToGrid w:val="0"/>
                <w:color w:val="auto"/>
                <w:kern w:val="21"/>
                <w:sz w:val="18"/>
                <w:szCs w:val="18"/>
                <w:lang w:val="en-US" w:eastAsia="zh-CN" w:bidi="ar-SA"/>
              </w:rPr>
              <w:t>氨</w:t>
            </w:r>
          </w:p>
        </w:tc>
        <w:tc>
          <w:tcPr>
            <w:tcW w:w="1597" w:type="dxa"/>
            <w:shd w:val="clear" w:color="auto" w:fill="auto"/>
            <w:vAlign w:val="center"/>
          </w:tcPr>
          <w:p w14:paraId="2CB15A6F">
            <w:pPr>
              <w:pStyle w:val="38"/>
              <w:spacing w:beforeLines="0" w:afterLines="0"/>
              <w:rPr>
                <w:rFonts w:hint="default" w:ascii="Times New Roman" w:hAnsi="Times New Roman" w:eastAsia="宋体" w:cs="Times New Roman"/>
                <w:bCs/>
                <w:snapToGrid w:val="0"/>
                <w:color w:val="auto"/>
                <w:kern w:val="21"/>
                <w:sz w:val="18"/>
                <w:szCs w:val="18"/>
                <w:highlight w:val="none"/>
                <w:lang w:val="en-US" w:eastAsia="zh-CN" w:bidi="ar-SA"/>
              </w:rPr>
            </w:pPr>
            <w:r>
              <w:rPr>
                <w:rFonts w:hint="eastAsia" w:ascii="Times New Roman" w:eastAsia="宋体" w:cs="Times New Roman"/>
                <w:bCs/>
                <w:snapToGrid w:val="0"/>
                <w:color w:val="auto"/>
                <w:kern w:val="21"/>
                <w:sz w:val="18"/>
                <w:szCs w:val="18"/>
                <w:highlight w:val="none"/>
                <w:lang w:val="en-US" w:eastAsia="zh-CN" w:bidi="ar-SA"/>
              </w:rPr>
              <w:t>/</w:t>
            </w:r>
          </w:p>
        </w:tc>
        <w:tc>
          <w:tcPr>
            <w:tcW w:w="1276" w:type="dxa"/>
            <w:shd w:val="clear" w:color="auto" w:fill="auto"/>
            <w:vAlign w:val="center"/>
          </w:tcPr>
          <w:p w14:paraId="5E4D9CF3">
            <w:pPr>
              <w:pStyle w:val="38"/>
              <w:spacing w:beforeLines="0" w:afterLines="0"/>
              <w:rPr>
                <w:rFonts w:hint="default" w:ascii="Times New Roman" w:hAnsi="Times New Roman" w:eastAsia="宋体" w:cs="Times New Roman"/>
                <w:bCs/>
                <w:snapToGrid w:val="0"/>
                <w:color w:val="auto"/>
                <w:kern w:val="21"/>
                <w:sz w:val="18"/>
                <w:szCs w:val="18"/>
                <w:highlight w:val="none"/>
                <w:lang w:val="en-US" w:eastAsia="zh-CN" w:bidi="ar-SA"/>
              </w:rPr>
            </w:pPr>
            <w:r>
              <w:rPr>
                <w:rFonts w:hint="eastAsia" w:ascii="Times New Roman" w:eastAsia="宋体" w:cs="Times New Roman"/>
                <w:bCs/>
                <w:snapToGrid w:val="0"/>
                <w:color w:val="auto"/>
                <w:kern w:val="21"/>
                <w:sz w:val="18"/>
                <w:szCs w:val="18"/>
                <w:highlight w:val="none"/>
                <w:lang w:val="en-US" w:eastAsia="zh-CN" w:bidi="ar-SA"/>
              </w:rPr>
              <w:t>/</w:t>
            </w:r>
          </w:p>
        </w:tc>
        <w:tc>
          <w:tcPr>
            <w:tcW w:w="1701" w:type="dxa"/>
            <w:shd w:val="clear" w:color="auto" w:fill="auto"/>
            <w:vAlign w:val="center"/>
          </w:tcPr>
          <w:p w14:paraId="0EF1F8D2">
            <w:pPr>
              <w:pStyle w:val="38"/>
              <w:spacing w:beforeLines="0" w:afterLines="0"/>
              <w:rPr>
                <w:rFonts w:hint="default" w:ascii="Times New Roman" w:hAnsi="Times New Roman" w:eastAsia="宋体" w:cs="Times New Roman"/>
                <w:bCs/>
                <w:snapToGrid w:val="0"/>
                <w:color w:val="auto"/>
                <w:kern w:val="21"/>
                <w:sz w:val="18"/>
                <w:szCs w:val="18"/>
                <w:highlight w:val="none"/>
                <w:lang w:val="en-US" w:eastAsia="zh-CN" w:bidi="ar-SA"/>
              </w:rPr>
            </w:pPr>
            <w:r>
              <w:rPr>
                <w:rFonts w:hint="eastAsia" w:ascii="Times New Roman" w:eastAsia="宋体" w:cs="Times New Roman"/>
                <w:bCs/>
                <w:snapToGrid w:val="0"/>
                <w:color w:val="auto"/>
                <w:kern w:val="21"/>
                <w:sz w:val="18"/>
                <w:szCs w:val="18"/>
                <w:highlight w:val="none"/>
                <w:lang w:val="en-US" w:eastAsia="zh-CN" w:bidi="ar-SA"/>
              </w:rPr>
              <w:t>/</w:t>
            </w:r>
          </w:p>
        </w:tc>
        <w:tc>
          <w:tcPr>
            <w:tcW w:w="1559" w:type="dxa"/>
            <w:shd w:val="clear" w:color="auto" w:fill="auto"/>
            <w:vAlign w:val="center"/>
          </w:tcPr>
          <w:p w14:paraId="6CBF1623">
            <w:pPr>
              <w:widowControl/>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bidi="ar-SA"/>
              </w:rPr>
              <w:t>3.78kg/a</w:t>
            </w:r>
          </w:p>
        </w:tc>
        <w:tc>
          <w:tcPr>
            <w:tcW w:w="1761" w:type="dxa"/>
            <w:shd w:val="clear" w:color="auto" w:fill="auto"/>
            <w:vAlign w:val="center"/>
          </w:tcPr>
          <w:p w14:paraId="3EFFCA45">
            <w:pPr>
              <w:pStyle w:val="38"/>
              <w:spacing w:beforeLines="0" w:afterLines="0"/>
              <w:rPr>
                <w:rFonts w:hint="default" w:ascii="Times New Roman" w:hAnsi="Times New Roman" w:eastAsia="宋体" w:cs="Times New Roman"/>
                <w:bCs/>
                <w:snapToGrid w:val="0"/>
                <w:color w:val="auto"/>
                <w:kern w:val="21"/>
                <w:sz w:val="18"/>
                <w:szCs w:val="18"/>
                <w:lang w:val="en-US" w:eastAsia="zh-CN" w:bidi="ar-SA"/>
              </w:rPr>
            </w:pPr>
            <w:r>
              <w:rPr>
                <w:rFonts w:hint="eastAsia" w:ascii="Times New Roman" w:eastAsia="宋体" w:cs="Times New Roman"/>
                <w:bCs/>
                <w:snapToGrid w:val="0"/>
                <w:color w:val="auto"/>
                <w:kern w:val="21"/>
                <w:sz w:val="18"/>
                <w:szCs w:val="18"/>
                <w:lang w:val="en-US" w:eastAsia="zh-CN" w:bidi="ar-SA"/>
              </w:rPr>
              <w:t>/</w:t>
            </w:r>
          </w:p>
        </w:tc>
        <w:tc>
          <w:tcPr>
            <w:tcW w:w="1645" w:type="dxa"/>
            <w:shd w:val="clear" w:color="auto" w:fill="auto"/>
            <w:vAlign w:val="center"/>
          </w:tcPr>
          <w:p w14:paraId="39CB5074">
            <w:pPr>
              <w:widowControl/>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bidi="ar-SA"/>
              </w:rPr>
              <w:t>3.78kg/a</w:t>
            </w:r>
          </w:p>
        </w:tc>
        <w:tc>
          <w:tcPr>
            <w:tcW w:w="1140" w:type="dxa"/>
            <w:shd w:val="clear" w:color="auto" w:fill="auto"/>
            <w:vAlign w:val="center"/>
          </w:tcPr>
          <w:p w14:paraId="36760725">
            <w:pPr>
              <w:widowControl/>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bidi="ar-SA"/>
              </w:rPr>
              <w:t>+3.78kg/a</w:t>
            </w:r>
          </w:p>
        </w:tc>
      </w:tr>
      <w:tr w14:paraId="247C5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732824D6">
            <w:pPr>
              <w:pStyle w:val="38"/>
              <w:spacing w:before="24" w:after="24"/>
              <w:rPr>
                <w:rFonts w:ascii="Times New Roman" w:eastAsia="宋体"/>
                <w:snapToGrid w:val="0"/>
                <w:color w:val="auto"/>
                <w:kern w:val="21"/>
                <w:sz w:val="18"/>
                <w:szCs w:val="18"/>
              </w:rPr>
            </w:pPr>
          </w:p>
        </w:tc>
        <w:tc>
          <w:tcPr>
            <w:tcW w:w="1521" w:type="dxa"/>
            <w:shd w:val="clear" w:color="auto" w:fill="auto"/>
            <w:vAlign w:val="center"/>
          </w:tcPr>
          <w:p w14:paraId="4786813B">
            <w:pPr>
              <w:pStyle w:val="38"/>
              <w:spacing w:beforeLines="0" w:afterLines="0"/>
              <w:rPr>
                <w:rFonts w:hint="default" w:ascii="Times New Roman" w:eastAsia="宋体" w:cs="Times New Roman"/>
                <w:bCs/>
                <w:snapToGrid w:val="0"/>
                <w:color w:val="auto"/>
                <w:kern w:val="21"/>
                <w:sz w:val="18"/>
                <w:szCs w:val="18"/>
                <w:lang w:val="en-US" w:eastAsia="zh-CN" w:bidi="ar-SA"/>
              </w:rPr>
            </w:pPr>
            <w:r>
              <w:rPr>
                <w:rFonts w:hint="eastAsia" w:ascii="Times New Roman" w:eastAsia="宋体" w:cs="Times New Roman"/>
                <w:bCs/>
                <w:snapToGrid w:val="0"/>
                <w:color w:val="auto"/>
                <w:kern w:val="21"/>
                <w:sz w:val="18"/>
                <w:szCs w:val="18"/>
                <w:lang w:val="en-US" w:eastAsia="zh-CN" w:bidi="ar-SA"/>
              </w:rPr>
              <w:t>硫化氢</w:t>
            </w:r>
          </w:p>
        </w:tc>
        <w:tc>
          <w:tcPr>
            <w:tcW w:w="1597" w:type="dxa"/>
            <w:shd w:val="clear" w:color="auto" w:fill="auto"/>
            <w:vAlign w:val="center"/>
          </w:tcPr>
          <w:p w14:paraId="35821106">
            <w:pPr>
              <w:pStyle w:val="38"/>
              <w:spacing w:beforeLines="0" w:afterLines="0"/>
              <w:rPr>
                <w:rFonts w:hint="eastAsia" w:ascii="Times New Roman" w:eastAsia="宋体" w:cs="Times New Roman"/>
                <w:bCs/>
                <w:snapToGrid w:val="0"/>
                <w:color w:val="auto"/>
                <w:kern w:val="21"/>
                <w:sz w:val="18"/>
                <w:szCs w:val="18"/>
                <w:highlight w:val="none"/>
                <w:lang w:val="en-US" w:eastAsia="zh-CN" w:bidi="ar-SA"/>
              </w:rPr>
            </w:pPr>
          </w:p>
        </w:tc>
        <w:tc>
          <w:tcPr>
            <w:tcW w:w="1276" w:type="dxa"/>
            <w:shd w:val="clear" w:color="auto" w:fill="auto"/>
            <w:vAlign w:val="center"/>
          </w:tcPr>
          <w:p w14:paraId="1A267AC3">
            <w:pPr>
              <w:pStyle w:val="38"/>
              <w:spacing w:beforeLines="0" w:afterLines="0"/>
              <w:rPr>
                <w:rFonts w:hint="eastAsia" w:ascii="Times New Roman" w:eastAsia="宋体" w:cs="Times New Roman"/>
                <w:bCs/>
                <w:snapToGrid w:val="0"/>
                <w:color w:val="auto"/>
                <w:kern w:val="21"/>
                <w:sz w:val="18"/>
                <w:szCs w:val="18"/>
                <w:highlight w:val="none"/>
                <w:lang w:val="en-US" w:eastAsia="zh-CN" w:bidi="ar-SA"/>
              </w:rPr>
            </w:pPr>
          </w:p>
        </w:tc>
        <w:tc>
          <w:tcPr>
            <w:tcW w:w="1701" w:type="dxa"/>
            <w:shd w:val="clear" w:color="auto" w:fill="auto"/>
            <w:vAlign w:val="center"/>
          </w:tcPr>
          <w:p w14:paraId="17F2A80A">
            <w:pPr>
              <w:pStyle w:val="38"/>
              <w:spacing w:beforeLines="0" w:afterLines="0"/>
              <w:rPr>
                <w:rFonts w:hint="eastAsia" w:ascii="Times New Roman" w:eastAsia="宋体" w:cs="Times New Roman"/>
                <w:bCs/>
                <w:snapToGrid w:val="0"/>
                <w:color w:val="auto"/>
                <w:kern w:val="21"/>
                <w:sz w:val="18"/>
                <w:szCs w:val="18"/>
                <w:highlight w:val="none"/>
                <w:lang w:val="en-US" w:eastAsia="zh-CN" w:bidi="ar-SA"/>
              </w:rPr>
            </w:pPr>
          </w:p>
        </w:tc>
        <w:tc>
          <w:tcPr>
            <w:tcW w:w="1559" w:type="dxa"/>
            <w:shd w:val="clear" w:color="auto" w:fill="auto"/>
            <w:vAlign w:val="center"/>
          </w:tcPr>
          <w:p w14:paraId="6DE5AE78">
            <w:pPr>
              <w:widowControl/>
              <w:jc w:val="center"/>
              <w:rPr>
                <w:rFonts w:hint="default"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bidi="ar-SA"/>
              </w:rPr>
              <w:t>0.6075kg/a</w:t>
            </w:r>
          </w:p>
        </w:tc>
        <w:tc>
          <w:tcPr>
            <w:tcW w:w="1761" w:type="dxa"/>
            <w:shd w:val="clear" w:color="auto" w:fill="auto"/>
            <w:vAlign w:val="center"/>
          </w:tcPr>
          <w:p w14:paraId="47BFB540">
            <w:pPr>
              <w:pStyle w:val="38"/>
              <w:spacing w:beforeLines="0" w:afterLines="0"/>
              <w:rPr>
                <w:rFonts w:hint="eastAsia" w:ascii="Times New Roman" w:eastAsia="宋体" w:cs="Times New Roman"/>
                <w:bCs/>
                <w:snapToGrid w:val="0"/>
                <w:color w:val="auto"/>
                <w:kern w:val="21"/>
                <w:sz w:val="18"/>
                <w:szCs w:val="18"/>
                <w:lang w:val="en-US" w:eastAsia="zh-CN" w:bidi="ar-SA"/>
              </w:rPr>
            </w:pPr>
          </w:p>
        </w:tc>
        <w:tc>
          <w:tcPr>
            <w:tcW w:w="1645" w:type="dxa"/>
            <w:shd w:val="clear" w:color="auto" w:fill="auto"/>
            <w:vAlign w:val="center"/>
          </w:tcPr>
          <w:p w14:paraId="094A21B7">
            <w:pPr>
              <w:widowControl/>
              <w:jc w:val="center"/>
              <w:rPr>
                <w:rFonts w:hint="eastAsia"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bidi="ar-SA"/>
              </w:rPr>
              <w:t>0.6075kg/a</w:t>
            </w:r>
          </w:p>
        </w:tc>
        <w:tc>
          <w:tcPr>
            <w:tcW w:w="1140" w:type="dxa"/>
            <w:shd w:val="clear" w:color="auto" w:fill="auto"/>
            <w:vAlign w:val="center"/>
          </w:tcPr>
          <w:p w14:paraId="0668DC77">
            <w:pPr>
              <w:widowControl/>
              <w:jc w:val="center"/>
              <w:rPr>
                <w:rFonts w:hint="eastAsia"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bidi="ar-SA"/>
              </w:rPr>
              <w:t>+0.6075kg/a</w:t>
            </w:r>
          </w:p>
        </w:tc>
      </w:tr>
      <w:tr w14:paraId="7E24C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14:paraId="5B9C919C">
            <w:pPr>
              <w:pStyle w:val="38"/>
              <w:spacing w:beforeLines="0" w:afterLines="0"/>
              <w:ind w:firstLine="360"/>
              <w:rPr>
                <w:rFonts w:ascii="Times New Roman" w:eastAsia="宋体"/>
                <w:snapToGrid w:val="0"/>
                <w:color w:val="auto"/>
                <w:kern w:val="21"/>
                <w:sz w:val="18"/>
                <w:szCs w:val="18"/>
              </w:rPr>
            </w:pPr>
          </w:p>
        </w:tc>
        <w:tc>
          <w:tcPr>
            <w:tcW w:w="1521" w:type="dxa"/>
            <w:vAlign w:val="center"/>
          </w:tcPr>
          <w:p w14:paraId="0844BE42">
            <w:pPr>
              <w:pStyle w:val="38"/>
              <w:spacing w:beforeLines="0" w:afterLines="0"/>
              <w:rPr>
                <w:rFonts w:ascii="Times New Roman" w:eastAsia="宋体"/>
                <w:snapToGrid w:val="0"/>
                <w:color w:val="auto"/>
                <w:kern w:val="21"/>
                <w:sz w:val="18"/>
                <w:szCs w:val="18"/>
              </w:rPr>
            </w:pPr>
            <w:r>
              <w:rPr>
                <w:rFonts w:hint="eastAsia" w:ascii="Times New Roman" w:eastAsia="宋体"/>
                <w:snapToGrid w:val="0"/>
                <w:color w:val="auto"/>
                <w:kern w:val="21"/>
                <w:sz w:val="18"/>
                <w:szCs w:val="18"/>
              </w:rPr>
              <w:t>颗粒物</w:t>
            </w:r>
          </w:p>
        </w:tc>
        <w:tc>
          <w:tcPr>
            <w:tcW w:w="1597" w:type="dxa"/>
            <w:vAlign w:val="center"/>
          </w:tcPr>
          <w:p w14:paraId="4A1D89ED">
            <w:pPr>
              <w:pStyle w:val="38"/>
              <w:spacing w:beforeLines="0" w:afterLines="0"/>
              <w:rPr>
                <w:rFonts w:hint="eastAsia" w:ascii="Times New Roman" w:eastAsia="宋体"/>
                <w:snapToGrid w:val="0"/>
                <w:color w:val="auto"/>
                <w:kern w:val="21"/>
                <w:sz w:val="18"/>
                <w:szCs w:val="18"/>
                <w:highlight w:val="none"/>
                <w:lang w:val="en-US" w:eastAsia="zh-CN"/>
              </w:rPr>
            </w:pPr>
            <w:r>
              <w:rPr>
                <w:rFonts w:hint="eastAsia" w:ascii="Times New Roman" w:eastAsia="宋体"/>
                <w:snapToGrid w:val="0"/>
                <w:color w:val="auto"/>
                <w:kern w:val="21"/>
                <w:sz w:val="18"/>
                <w:szCs w:val="18"/>
                <w:highlight w:val="none"/>
                <w:lang w:val="en-US" w:eastAsia="zh-CN"/>
              </w:rPr>
              <w:t>/</w:t>
            </w:r>
          </w:p>
        </w:tc>
        <w:tc>
          <w:tcPr>
            <w:tcW w:w="1276" w:type="dxa"/>
            <w:vAlign w:val="center"/>
          </w:tcPr>
          <w:p w14:paraId="6C7BA86F">
            <w:pPr>
              <w:pStyle w:val="38"/>
              <w:spacing w:beforeLines="0" w:afterLines="0"/>
              <w:rPr>
                <w:rFonts w:hint="eastAsia" w:ascii="Times New Roman" w:eastAsia="宋体"/>
                <w:snapToGrid w:val="0"/>
                <w:color w:val="auto"/>
                <w:kern w:val="21"/>
                <w:sz w:val="18"/>
                <w:szCs w:val="18"/>
                <w:highlight w:val="none"/>
                <w:lang w:val="en-US" w:eastAsia="zh-CN"/>
              </w:rPr>
            </w:pPr>
            <w:r>
              <w:rPr>
                <w:rFonts w:hint="eastAsia" w:ascii="Times New Roman" w:eastAsia="宋体"/>
                <w:snapToGrid w:val="0"/>
                <w:color w:val="auto"/>
                <w:kern w:val="21"/>
                <w:sz w:val="18"/>
                <w:szCs w:val="18"/>
                <w:highlight w:val="none"/>
                <w:lang w:val="en-US" w:eastAsia="zh-CN"/>
              </w:rPr>
              <w:t>/</w:t>
            </w:r>
          </w:p>
        </w:tc>
        <w:tc>
          <w:tcPr>
            <w:tcW w:w="1701" w:type="dxa"/>
            <w:vAlign w:val="center"/>
          </w:tcPr>
          <w:p w14:paraId="351900BD">
            <w:pPr>
              <w:pStyle w:val="38"/>
              <w:spacing w:beforeLines="0" w:afterLines="0"/>
              <w:rPr>
                <w:rFonts w:hint="eastAsia" w:ascii="Times New Roman" w:eastAsia="宋体"/>
                <w:snapToGrid w:val="0"/>
                <w:color w:val="auto"/>
                <w:kern w:val="21"/>
                <w:sz w:val="18"/>
                <w:szCs w:val="18"/>
                <w:highlight w:val="none"/>
                <w:lang w:val="en-US" w:eastAsia="zh-CN"/>
              </w:rPr>
            </w:pPr>
            <w:r>
              <w:rPr>
                <w:rFonts w:hint="eastAsia" w:ascii="Times New Roman" w:eastAsia="宋体"/>
                <w:snapToGrid w:val="0"/>
                <w:color w:val="auto"/>
                <w:kern w:val="21"/>
                <w:sz w:val="18"/>
                <w:szCs w:val="18"/>
                <w:highlight w:val="none"/>
                <w:lang w:val="en-US" w:eastAsia="zh-CN"/>
              </w:rPr>
              <w:t>/</w:t>
            </w:r>
          </w:p>
        </w:tc>
        <w:tc>
          <w:tcPr>
            <w:tcW w:w="1559" w:type="dxa"/>
            <w:vAlign w:val="center"/>
          </w:tcPr>
          <w:p w14:paraId="370CDED1">
            <w:pPr>
              <w:widowControl/>
              <w:jc w:val="center"/>
              <w:rPr>
                <w:rFonts w:hint="default" w:eastAsia="宋体"/>
                <w:snapToGrid w:val="0"/>
                <w:color w:val="auto"/>
                <w:kern w:val="21"/>
                <w:sz w:val="18"/>
                <w:szCs w:val="18"/>
                <w:highlight w:val="none"/>
                <w:lang w:val="en-US" w:eastAsia="zh-CN"/>
              </w:rPr>
            </w:pPr>
            <w:r>
              <w:rPr>
                <w:rFonts w:hint="eastAsia"/>
                <w:snapToGrid w:val="0"/>
                <w:color w:val="auto"/>
                <w:kern w:val="21"/>
                <w:sz w:val="18"/>
                <w:szCs w:val="18"/>
                <w:highlight w:val="none"/>
                <w:lang w:val="en-US" w:eastAsia="zh-CN"/>
              </w:rPr>
              <w:t>1.2555</w:t>
            </w:r>
          </w:p>
        </w:tc>
        <w:tc>
          <w:tcPr>
            <w:tcW w:w="1761" w:type="dxa"/>
            <w:vAlign w:val="center"/>
          </w:tcPr>
          <w:p w14:paraId="10DE8C6B">
            <w:pPr>
              <w:pStyle w:val="38"/>
              <w:spacing w:beforeLines="0" w:afterLines="0"/>
              <w:rPr>
                <w:rFonts w:hint="default"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645" w:type="dxa"/>
            <w:shd w:val="clear" w:color="auto" w:fill="auto"/>
            <w:vAlign w:val="center"/>
          </w:tcPr>
          <w:p w14:paraId="15EE1E91">
            <w:pPr>
              <w:widowControl/>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snapToGrid w:val="0"/>
                <w:color w:val="auto"/>
                <w:kern w:val="21"/>
                <w:sz w:val="18"/>
                <w:szCs w:val="18"/>
                <w:highlight w:val="none"/>
                <w:lang w:val="en-US" w:eastAsia="zh-CN"/>
              </w:rPr>
              <w:t>1.2555</w:t>
            </w:r>
          </w:p>
        </w:tc>
        <w:tc>
          <w:tcPr>
            <w:tcW w:w="1140" w:type="dxa"/>
            <w:shd w:val="clear" w:color="auto" w:fill="auto"/>
            <w:vAlign w:val="center"/>
          </w:tcPr>
          <w:p w14:paraId="1C46F45D">
            <w:pPr>
              <w:widowControl/>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snapToGrid w:val="0"/>
                <w:color w:val="auto"/>
                <w:kern w:val="21"/>
                <w:sz w:val="18"/>
                <w:szCs w:val="18"/>
                <w:highlight w:val="none"/>
                <w:lang w:val="en-US" w:eastAsia="zh-CN"/>
              </w:rPr>
              <w:t>+1.2555</w:t>
            </w:r>
          </w:p>
        </w:tc>
      </w:tr>
      <w:tr w14:paraId="5421C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588" w:type="dxa"/>
            <w:vAlign w:val="center"/>
          </w:tcPr>
          <w:p w14:paraId="18FDDEE8">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废水</w:t>
            </w:r>
          </w:p>
        </w:tc>
        <w:tc>
          <w:tcPr>
            <w:tcW w:w="1521" w:type="dxa"/>
            <w:vAlign w:val="center"/>
          </w:tcPr>
          <w:p w14:paraId="569A908E">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w:t>
            </w:r>
          </w:p>
        </w:tc>
        <w:tc>
          <w:tcPr>
            <w:tcW w:w="1597" w:type="dxa"/>
            <w:shd w:val="clear" w:color="auto" w:fill="auto"/>
            <w:vAlign w:val="center"/>
          </w:tcPr>
          <w:p w14:paraId="391B3639">
            <w:pPr>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color w:val="auto"/>
                <w:sz w:val="18"/>
                <w:szCs w:val="18"/>
                <w:highlight w:val="none"/>
                <w:lang w:val="en-US" w:eastAsia="zh-CN"/>
              </w:rPr>
              <w:t>/</w:t>
            </w:r>
          </w:p>
        </w:tc>
        <w:tc>
          <w:tcPr>
            <w:tcW w:w="1276" w:type="dxa"/>
            <w:vAlign w:val="center"/>
          </w:tcPr>
          <w:p w14:paraId="61AEDB77">
            <w:pPr>
              <w:pStyle w:val="38"/>
              <w:spacing w:beforeLines="0" w:afterLines="0"/>
              <w:rPr>
                <w:rFonts w:ascii="Times New Roman" w:eastAsia="宋体"/>
                <w:snapToGrid w:val="0"/>
                <w:color w:val="auto"/>
                <w:kern w:val="21"/>
                <w:sz w:val="18"/>
                <w:szCs w:val="18"/>
                <w:highlight w:val="none"/>
              </w:rPr>
            </w:pPr>
            <w:r>
              <w:rPr>
                <w:rFonts w:ascii="Times New Roman" w:eastAsia="宋体"/>
                <w:snapToGrid w:val="0"/>
                <w:color w:val="auto"/>
                <w:kern w:val="21"/>
                <w:sz w:val="18"/>
                <w:szCs w:val="18"/>
                <w:highlight w:val="none"/>
              </w:rPr>
              <w:t>/</w:t>
            </w:r>
          </w:p>
        </w:tc>
        <w:tc>
          <w:tcPr>
            <w:tcW w:w="1701" w:type="dxa"/>
            <w:vAlign w:val="center"/>
          </w:tcPr>
          <w:p w14:paraId="6C731B7C">
            <w:pPr>
              <w:pStyle w:val="38"/>
              <w:spacing w:beforeLines="0" w:afterLines="0"/>
              <w:rPr>
                <w:rFonts w:ascii="Times New Roman" w:eastAsia="宋体"/>
                <w:snapToGrid w:val="0"/>
                <w:color w:val="auto"/>
                <w:kern w:val="21"/>
                <w:sz w:val="18"/>
                <w:szCs w:val="18"/>
                <w:highlight w:val="none"/>
              </w:rPr>
            </w:pPr>
            <w:r>
              <w:rPr>
                <w:rFonts w:ascii="Times New Roman" w:eastAsia="宋体"/>
                <w:snapToGrid w:val="0"/>
                <w:color w:val="auto"/>
                <w:kern w:val="21"/>
                <w:sz w:val="18"/>
                <w:szCs w:val="18"/>
                <w:highlight w:val="none"/>
              </w:rPr>
              <w:t>/</w:t>
            </w:r>
          </w:p>
        </w:tc>
        <w:tc>
          <w:tcPr>
            <w:tcW w:w="1559" w:type="dxa"/>
            <w:shd w:val="clear" w:color="auto" w:fill="auto"/>
            <w:vAlign w:val="center"/>
          </w:tcPr>
          <w:p w14:paraId="1A311211">
            <w:pPr>
              <w:widowControl/>
              <w:jc w:val="center"/>
              <w:rPr>
                <w:rFonts w:hint="default" w:eastAsia="宋体"/>
                <w:snapToGrid w:val="0"/>
                <w:color w:val="auto"/>
                <w:kern w:val="21"/>
                <w:sz w:val="18"/>
                <w:szCs w:val="18"/>
                <w:highlight w:val="none"/>
                <w:lang w:val="en-US" w:eastAsia="zh-CN"/>
              </w:rPr>
            </w:pPr>
            <w:r>
              <w:rPr>
                <w:rFonts w:hint="eastAsia"/>
                <w:snapToGrid w:val="0"/>
                <w:color w:val="auto"/>
                <w:kern w:val="21"/>
                <w:sz w:val="18"/>
                <w:szCs w:val="18"/>
                <w:highlight w:val="none"/>
                <w:lang w:val="en-US" w:eastAsia="zh-CN"/>
              </w:rPr>
              <w:t>/</w:t>
            </w:r>
          </w:p>
        </w:tc>
        <w:tc>
          <w:tcPr>
            <w:tcW w:w="1761" w:type="dxa"/>
            <w:vAlign w:val="center"/>
          </w:tcPr>
          <w:p w14:paraId="73032B74">
            <w:pPr>
              <w:jc w:val="center"/>
              <w:rPr>
                <w:snapToGrid w:val="0"/>
                <w:color w:val="auto"/>
                <w:kern w:val="21"/>
                <w:sz w:val="18"/>
                <w:szCs w:val="18"/>
              </w:rPr>
            </w:pPr>
            <w:r>
              <w:rPr>
                <w:snapToGrid w:val="0"/>
                <w:color w:val="auto"/>
                <w:kern w:val="21"/>
                <w:sz w:val="18"/>
                <w:szCs w:val="18"/>
              </w:rPr>
              <w:t>/</w:t>
            </w:r>
          </w:p>
        </w:tc>
        <w:tc>
          <w:tcPr>
            <w:tcW w:w="1645" w:type="dxa"/>
            <w:shd w:val="clear" w:color="auto" w:fill="auto"/>
            <w:vAlign w:val="center"/>
          </w:tcPr>
          <w:p w14:paraId="3DCED3CE">
            <w:pPr>
              <w:widowControl/>
              <w:jc w:val="center"/>
              <w:rPr>
                <w:rFonts w:hint="eastAsia" w:ascii="Times New Roman" w:hAnsi="Times New Roman" w:eastAsia="宋体" w:cs="Times New Roman"/>
                <w:snapToGrid w:val="0"/>
                <w:color w:val="auto"/>
                <w:kern w:val="21"/>
                <w:sz w:val="18"/>
                <w:szCs w:val="18"/>
                <w:highlight w:val="none"/>
                <w:lang w:val="en-US" w:eastAsia="zh-CN" w:bidi="ar-SA"/>
              </w:rPr>
            </w:pPr>
            <w:r>
              <w:rPr>
                <w:rFonts w:hint="eastAsia"/>
                <w:snapToGrid w:val="0"/>
                <w:color w:val="auto"/>
                <w:kern w:val="21"/>
                <w:sz w:val="18"/>
                <w:szCs w:val="18"/>
                <w:highlight w:val="none"/>
                <w:lang w:val="en-US" w:eastAsia="zh-CN"/>
              </w:rPr>
              <w:t>/</w:t>
            </w:r>
          </w:p>
        </w:tc>
        <w:tc>
          <w:tcPr>
            <w:tcW w:w="1140" w:type="dxa"/>
            <w:shd w:val="clear" w:color="auto" w:fill="auto"/>
            <w:vAlign w:val="center"/>
          </w:tcPr>
          <w:p w14:paraId="40DCD74E">
            <w:pPr>
              <w:widowControl/>
              <w:jc w:val="center"/>
              <w:rPr>
                <w:rFonts w:hint="eastAsia" w:ascii="Times New Roman" w:hAnsi="Times New Roman" w:eastAsia="宋体" w:cs="Times New Roman"/>
                <w:snapToGrid w:val="0"/>
                <w:color w:val="auto"/>
                <w:kern w:val="21"/>
                <w:sz w:val="18"/>
                <w:szCs w:val="18"/>
                <w:highlight w:val="none"/>
                <w:lang w:val="en-US" w:eastAsia="zh-CN" w:bidi="ar-SA"/>
              </w:rPr>
            </w:pPr>
            <w:r>
              <w:rPr>
                <w:rFonts w:hint="eastAsia"/>
                <w:snapToGrid w:val="0"/>
                <w:color w:val="auto"/>
                <w:kern w:val="21"/>
                <w:sz w:val="18"/>
                <w:szCs w:val="18"/>
                <w:highlight w:val="none"/>
                <w:lang w:val="en-US" w:eastAsia="zh-CN"/>
              </w:rPr>
              <w:t>/</w:t>
            </w:r>
          </w:p>
        </w:tc>
      </w:tr>
      <w:tr w14:paraId="46DAA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14:paraId="155DFB34">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一般工业</w:t>
            </w:r>
          </w:p>
          <w:p w14:paraId="25DE719C">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固体废物</w:t>
            </w:r>
          </w:p>
        </w:tc>
        <w:tc>
          <w:tcPr>
            <w:tcW w:w="1521" w:type="dxa"/>
            <w:vAlign w:val="center"/>
          </w:tcPr>
          <w:p w14:paraId="0A831429">
            <w:pPr>
              <w:adjustRightInd w:val="0"/>
              <w:snapToGrid w:val="0"/>
              <w:jc w:val="center"/>
              <w:rPr>
                <w:rFonts w:hint="default" w:eastAsia="宋体"/>
                <w:bCs/>
                <w:color w:val="auto"/>
                <w:sz w:val="18"/>
                <w:szCs w:val="18"/>
                <w:lang w:val="en-US" w:eastAsia="zh-CN"/>
              </w:rPr>
            </w:pPr>
            <w:r>
              <w:rPr>
                <w:rFonts w:hint="eastAsia" w:ascii="Times New Roman" w:hAnsi="Times New Roman" w:eastAsia="宋体"/>
                <w:color w:val="auto"/>
                <w:sz w:val="18"/>
                <w:szCs w:val="18"/>
                <w:u w:val="none"/>
                <w:vertAlign w:val="baseline"/>
                <w:lang w:val="en-US" w:eastAsia="zh-CN"/>
              </w:rPr>
              <w:t>生活垃圾</w:t>
            </w:r>
          </w:p>
        </w:tc>
        <w:tc>
          <w:tcPr>
            <w:tcW w:w="1597" w:type="dxa"/>
            <w:shd w:val="clear" w:color="auto" w:fill="auto"/>
            <w:vAlign w:val="center"/>
          </w:tcPr>
          <w:p w14:paraId="5B3461D1">
            <w:pPr>
              <w:pStyle w:val="38"/>
              <w:spacing w:beforeLines="0" w:afterLines="0"/>
              <w:rPr>
                <w:rFonts w:ascii="Times New Roman" w:hAnsi="Times New Roman" w:eastAsia="宋体" w:cs="Times New Roman"/>
                <w:bCs/>
                <w:snapToGrid w:val="0"/>
                <w:color w:val="auto"/>
                <w:kern w:val="21"/>
                <w:sz w:val="18"/>
                <w:szCs w:val="18"/>
                <w:lang w:val="en-US" w:eastAsia="zh-CN" w:bidi="ar-SA"/>
              </w:rPr>
            </w:pPr>
            <w:r>
              <w:rPr>
                <w:rFonts w:ascii="Times New Roman" w:eastAsia="宋体"/>
                <w:snapToGrid w:val="0"/>
                <w:color w:val="auto"/>
                <w:kern w:val="21"/>
                <w:sz w:val="18"/>
                <w:szCs w:val="18"/>
              </w:rPr>
              <w:t>/</w:t>
            </w:r>
          </w:p>
        </w:tc>
        <w:tc>
          <w:tcPr>
            <w:tcW w:w="1276" w:type="dxa"/>
            <w:vAlign w:val="center"/>
          </w:tcPr>
          <w:p w14:paraId="32B14A29">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w:t>
            </w:r>
          </w:p>
        </w:tc>
        <w:tc>
          <w:tcPr>
            <w:tcW w:w="1701" w:type="dxa"/>
            <w:vAlign w:val="center"/>
          </w:tcPr>
          <w:p w14:paraId="737CF9A2">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w:t>
            </w:r>
          </w:p>
        </w:tc>
        <w:tc>
          <w:tcPr>
            <w:tcW w:w="1559" w:type="dxa"/>
            <w:vAlign w:val="center"/>
          </w:tcPr>
          <w:p w14:paraId="752A747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color w:val="auto"/>
                <w:sz w:val="18"/>
                <w:szCs w:val="18"/>
                <w:u w:val="none"/>
                <w:lang w:val="en-US" w:eastAsia="zh-CN"/>
              </w:rPr>
            </w:pPr>
            <w:r>
              <w:rPr>
                <w:rFonts w:hint="eastAsia"/>
                <w:bCs/>
                <w:color w:val="auto"/>
                <w:sz w:val="18"/>
                <w:szCs w:val="18"/>
                <w:u w:val="none"/>
                <w:lang w:val="en-US" w:eastAsia="zh-CN"/>
              </w:rPr>
              <w:t>0.5</w:t>
            </w:r>
          </w:p>
        </w:tc>
        <w:tc>
          <w:tcPr>
            <w:tcW w:w="1761" w:type="dxa"/>
            <w:vAlign w:val="center"/>
          </w:tcPr>
          <w:p w14:paraId="274C4F96">
            <w:pPr>
              <w:adjustRightInd w:val="0"/>
              <w:snapToGrid w:val="0"/>
              <w:jc w:val="center"/>
              <w:rPr>
                <w:bCs/>
                <w:color w:val="auto"/>
                <w:sz w:val="18"/>
                <w:szCs w:val="18"/>
                <w:u w:val="none"/>
              </w:rPr>
            </w:pPr>
            <w:r>
              <w:rPr>
                <w:snapToGrid w:val="0"/>
                <w:color w:val="auto"/>
                <w:kern w:val="21"/>
                <w:sz w:val="18"/>
                <w:szCs w:val="18"/>
                <w:u w:val="none"/>
              </w:rPr>
              <w:t>/</w:t>
            </w:r>
          </w:p>
        </w:tc>
        <w:tc>
          <w:tcPr>
            <w:tcW w:w="1645" w:type="dxa"/>
            <w:shd w:val="clear" w:color="auto" w:fill="auto"/>
            <w:vAlign w:val="center"/>
          </w:tcPr>
          <w:p w14:paraId="4D72AB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u w:val="none"/>
                <w:lang w:val="en-US" w:eastAsia="zh-CN" w:bidi="ar-SA"/>
              </w:rPr>
            </w:pPr>
            <w:r>
              <w:rPr>
                <w:rFonts w:hint="eastAsia"/>
                <w:bCs/>
                <w:color w:val="auto"/>
                <w:sz w:val="18"/>
                <w:szCs w:val="18"/>
                <w:u w:val="none"/>
                <w:lang w:val="en-US" w:eastAsia="zh-CN"/>
              </w:rPr>
              <w:t>0.5</w:t>
            </w:r>
          </w:p>
        </w:tc>
        <w:tc>
          <w:tcPr>
            <w:tcW w:w="1140" w:type="dxa"/>
            <w:shd w:val="clear" w:color="auto" w:fill="auto"/>
            <w:vAlign w:val="center"/>
          </w:tcPr>
          <w:p w14:paraId="7A6B46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u w:val="none"/>
                <w:lang w:val="en-US" w:eastAsia="zh-CN" w:bidi="ar-SA"/>
              </w:rPr>
            </w:pPr>
            <w:r>
              <w:rPr>
                <w:rFonts w:hint="eastAsia"/>
                <w:bCs/>
                <w:color w:val="auto"/>
                <w:sz w:val="18"/>
                <w:szCs w:val="18"/>
                <w:u w:val="none"/>
                <w:lang w:val="en-US" w:eastAsia="zh-CN"/>
              </w:rPr>
              <w:t>+0.5</w:t>
            </w:r>
          </w:p>
        </w:tc>
      </w:tr>
      <w:tr w14:paraId="6642E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588" w:type="dxa"/>
            <w:vMerge w:val="continue"/>
            <w:tcBorders/>
            <w:vAlign w:val="center"/>
          </w:tcPr>
          <w:p w14:paraId="075404E5">
            <w:pPr>
              <w:pStyle w:val="38"/>
              <w:spacing w:beforeLines="0" w:afterLines="0"/>
              <w:ind w:firstLine="360"/>
              <w:rPr>
                <w:rFonts w:ascii="Times New Roman" w:eastAsia="宋体"/>
                <w:snapToGrid w:val="0"/>
                <w:color w:val="auto"/>
                <w:kern w:val="21"/>
                <w:sz w:val="18"/>
                <w:szCs w:val="18"/>
              </w:rPr>
            </w:pPr>
          </w:p>
        </w:tc>
        <w:tc>
          <w:tcPr>
            <w:tcW w:w="1521" w:type="dxa"/>
            <w:vAlign w:val="center"/>
          </w:tcPr>
          <w:p w14:paraId="54CC6BC1">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废包装物</w:t>
            </w:r>
          </w:p>
        </w:tc>
        <w:tc>
          <w:tcPr>
            <w:tcW w:w="1597" w:type="dxa"/>
            <w:shd w:val="clear" w:color="auto" w:fill="auto"/>
            <w:vAlign w:val="center"/>
          </w:tcPr>
          <w:p w14:paraId="6946A1FF">
            <w:pPr>
              <w:pStyle w:val="38"/>
              <w:spacing w:beforeLines="0" w:afterLines="0"/>
              <w:rPr>
                <w:rFonts w:ascii="Times New Roman" w:hAnsi="Times New Roman" w:eastAsia="宋体" w:cs="Times New Roman"/>
                <w:bCs/>
                <w:snapToGrid w:val="0"/>
                <w:color w:val="auto"/>
                <w:kern w:val="21"/>
                <w:sz w:val="18"/>
                <w:szCs w:val="18"/>
                <w:lang w:val="en-US" w:eastAsia="zh-CN" w:bidi="ar-SA"/>
              </w:rPr>
            </w:pPr>
            <w:r>
              <w:rPr>
                <w:rFonts w:ascii="Times New Roman" w:eastAsia="宋体"/>
                <w:snapToGrid w:val="0"/>
                <w:color w:val="auto"/>
                <w:kern w:val="21"/>
                <w:sz w:val="18"/>
                <w:szCs w:val="18"/>
              </w:rPr>
              <w:t>/</w:t>
            </w:r>
          </w:p>
        </w:tc>
        <w:tc>
          <w:tcPr>
            <w:tcW w:w="1276" w:type="dxa"/>
            <w:vAlign w:val="center"/>
          </w:tcPr>
          <w:p w14:paraId="7DF80D13">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w:t>
            </w:r>
          </w:p>
        </w:tc>
        <w:tc>
          <w:tcPr>
            <w:tcW w:w="1701" w:type="dxa"/>
            <w:vAlign w:val="center"/>
          </w:tcPr>
          <w:p w14:paraId="750B621B">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w:t>
            </w:r>
          </w:p>
        </w:tc>
        <w:tc>
          <w:tcPr>
            <w:tcW w:w="1559" w:type="dxa"/>
            <w:vAlign w:val="center"/>
          </w:tcPr>
          <w:p w14:paraId="5342899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color w:val="auto"/>
                <w:sz w:val="18"/>
                <w:szCs w:val="18"/>
                <w:u w:val="none"/>
                <w:lang w:val="en-US" w:eastAsia="zh-CN"/>
              </w:rPr>
            </w:pPr>
            <w:r>
              <w:rPr>
                <w:rFonts w:hint="eastAsia"/>
                <w:bCs/>
                <w:color w:val="auto"/>
                <w:sz w:val="18"/>
                <w:szCs w:val="18"/>
                <w:u w:val="none"/>
                <w:lang w:val="en-US" w:eastAsia="zh-CN"/>
              </w:rPr>
              <w:t>0.5</w:t>
            </w:r>
          </w:p>
        </w:tc>
        <w:tc>
          <w:tcPr>
            <w:tcW w:w="1761" w:type="dxa"/>
            <w:vAlign w:val="center"/>
          </w:tcPr>
          <w:p w14:paraId="3A0CE9FD">
            <w:pPr>
              <w:adjustRightInd w:val="0"/>
              <w:snapToGrid w:val="0"/>
              <w:jc w:val="center"/>
              <w:rPr>
                <w:bCs/>
                <w:color w:val="auto"/>
                <w:sz w:val="18"/>
                <w:szCs w:val="18"/>
                <w:u w:val="none"/>
              </w:rPr>
            </w:pPr>
            <w:r>
              <w:rPr>
                <w:bCs/>
                <w:color w:val="auto"/>
                <w:sz w:val="18"/>
                <w:szCs w:val="18"/>
                <w:u w:val="none"/>
              </w:rPr>
              <w:t>/</w:t>
            </w:r>
          </w:p>
        </w:tc>
        <w:tc>
          <w:tcPr>
            <w:tcW w:w="1645" w:type="dxa"/>
            <w:shd w:val="clear" w:color="auto" w:fill="auto"/>
            <w:vAlign w:val="center"/>
          </w:tcPr>
          <w:p w14:paraId="7A5423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u w:val="none"/>
                <w:lang w:val="en-US" w:eastAsia="zh-CN" w:bidi="ar-SA"/>
              </w:rPr>
            </w:pPr>
            <w:r>
              <w:rPr>
                <w:rFonts w:hint="eastAsia"/>
                <w:bCs/>
                <w:color w:val="auto"/>
                <w:sz w:val="18"/>
                <w:szCs w:val="18"/>
                <w:u w:val="none"/>
                <w:lang w:val="en-US" w:eastAsia="zh-CN"/>
              </w:rPr>
              <w:t>0.5</w:t>
            </w:r>
          </w:p>
        </w:tc>
        <w:tc>
          <w:tcPr>
            <w:tcW w:w="1140" w:type="dxa"/>
            <w:shd w:val="clear" w:color="auto" w:fill="auto"/>
            <w:vAlign w:val="center"/>
          </w:tcPr>
          <w:p w14:paraId="3D63F0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u w:val="none"/>
                <w:lang w:val="en-US" w:eastAsia="zh-CN" w:bidi="ar-SA"/>
              </w:rPr>
            </w:pPr>
            <w:r>
              <w:rPr>
                <w:rFonts w:hint="eastAsia"/>
                <w:bCs/>
                <w:color w:val="auto"/>
                <w:sz w:val="18"/>
                <w:szCs w:val="18"/>
                <w:u w:val="none"/>
                <w:lang w:val="en-US" w:eastAsia="zh-CN"/>
              </w:rPr>
              <w:t>+0.5</w:t>
            </w:r>
          </w:p>
        </w:tc>
      </w:tr>
      <w:tr w14:paraId="2DE6A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588" w:type="dxa"/>
            <w:vMerge w:val="continue"/>
            <w:tcBorders/>
            <w:vAlign w:val="center"/>
          </w:tcPr>
          <w:p w14:paraId="189DA2E2">
            <w:pPr>
              <w:pStyle w:val="38"/>
              <w:spacing w:beforeLines="0" w:afterLines="0"/>
              <w:ind w:firstLine="360"/>
              <w:rPr>
                <w:rFonts w:ascii="Times New Roman" w:eastAsia="宋体"/>
                <w:snapToGrid w:val="0"/>
                <w:color w:val="auto"/>
                <w:kern w:val="21"/>
                <w:sz w:val="18"/>
                <w:szCs w:val="18"/>
              </w:rPr>
            </w:pPr>
          </w:p>
        </w:tc>
        <w:tc>
          <w:tcPr>
            <w:tcW w:w="1521" w:type="dxa"/>
            <w:vAlign w:val="center"/>
          </w:tcPr>
          <w:p w14:paraId="597A49E6">
            <w:pPr>
              <w:adjustRightInd w:val="0"/>
              <w:snapToGrid w:val="0"/>
              <w:jc w:val="center"/>
              <w:rPr>
                <w:rFonts w:hint="default"/>
                <w:bCs/>
                <w:color w:val="auto"/>
                <w:sz w:val="18"/>
                <w:szCs w:val="18"/>
                <w:lang w:val="en-US" w:eastAsia="zh-CN"/>
              </w:rPr>
            </w:pPr>
            <w:r>
              <w:rPr>
                <w:rFonts w:hint="eastAsia"/>
                <w:bCs/>
                <w:color w:val="auto"/>
                <w:sz w:val="18"/>
                <w:szCs w:val="18"/>
                <w:lang w:val="en-US" w:eastAsia="zh-CN"/>
              </w:rPr>
              <w:t>废布袋</w:t>
            </w:r>
          </w:p>
        </w:tc>
        <w:tc>
          <w:tcPr>
            <w:tcW w:w="1597" w:type="dxa"/>
            <w:shd w:val="clear" w:color="auto" w:fill="auto"/>
            <w:vAlign w:val="center"/>
          </w:tcPr>
          <w:p w14:paraId="691DAADE">
            <w:pPr>
              <w:pStyle w:val="38"/>
              <w:spacing w:beforeLines="0" w:afterLines="0"/>
              <w:rPr>
                <w:rFonts w:hint="eastAsia"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276" w:type="dxa"/>
            <w:vAlign w:val="center"/>
          </w:tcPr>
          <w:p w14:paraId="5CD74C3A">
            <w:pPr>
              <w:pStyle w:val="38"/>
              <w:spacing w:beforeLines="0" w:afterLines="0"/>
              <w:rPr>
                <w:rFonts w:hint="eastAsia"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701" w:type="dxa"/>
            <w:vAlign w:val="center"/>
          </w:tcPr>
          <w:p w14:paraId="72A0D318">
            <w:pPr>
              <w:pStyle w:val="38"/>
              <w:spacing w:beforeLines="0" w:afterLines="0"/>
              <w:rPr>
                <w:rFonts w:hint="eastAsia"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559" w:type="dxa"/>
            <w:vAlign w:val="center"/>
          </w:tcPr>
          <w:p w14:paraId="035F7AA2">
            <w:pPr>
              <w:keepNext w:val="0"/>
              <w:keepLines w:val="0"/>
              <w:pageBreakBefore w:val="0"/>
              <w:widowControl w:val="0"/>
              <w:kinsoku/>
              <w:wordWrap/>
              <w:overflowPunct/>
              <w:topLinePunct w:val="0"/>
              <w:autoSpaceDE/>
              <w:autoSpaceDN/>
              <w:bidi w:val="0"/>
              <w:adjustRightInd/>
              <w:snapToGrid/>
              <w:jc w:val="center"/>
              <w:textAlignment w:val="auto"/>
              <w:rPr>
                <w:rFonts w:hint="default"/>
                <w:bCs/>
                <w:color w:val="auto"/>
                <w:sz w:val="18"/>
                <w:szCs w:val="18"/>
                <w:u w:val="none"/>
                <w:lang w:val="en-US" w:eastAsia="zh-CN"/>
              </w:rPr>
            </w:pPr>
            <w:r>
              <w:rPr>
                <w:rFonts w:hint="eastAsia"/>
                <w:bCs/>
                <w:color w:val="auto"/>
                <w:sz w:val="18"/>
                <w:szCs w:val="18"/>
                <w:u w:val="none"/>
                <w:lang w:val="en-US" w:eastAsia="zh-CN"/>
              </w:rPr>
              <w:t>0.03</w:t>
            </w:r>
          </w:p>
        </w:tc>
        <w:tc>
          <w:tcPr>
            <w:tcW w:w="1761" w:type="dxa"/>
            <w:vAlign w:val="center"/>
          </w:tcPr>
          <w:p w14:paraId="4444BD7E">
            <w:pPr>
              <w:adjustRightInd w:val="0"/>
              <w:snapToGrid w:val="0"/>
              <w:jc w:val="center"/>
              <w:rPr>
                <w:rFonts w:hint="eastAsia" w:eastAsia="宋体"/>
                <w:bCs/>
                <w:color w:val="auto"/>
                <w:sz w:val="18"/>
                <w:szCs w:val="18"/>
                <w:u w:val="none"/>
                <w:lang w:val="en-US" w:eastAsia="zh-CN"/>
              </w:rPr>
            </w:pPr>
            <w:r>
              <w:rPr>
                <w:rFonts w:hint="eastAsia"/>
                <w:bCs/>
                <w:color w:val="auto"/>
                <w:sz w:val="18"/>
                <w:szCs w:val="18"/>
                <w:u w:val="none"/>
                <w:lang w:val="en-US" w:eastAsia="zh-CN"/>
              </w:rPr>
              <w:t>/</w:t>
            </w:r>
          </w:p>
        </w:tc>
        <w:tc>
          <w:tcPr>
            <w:tcW w:w="1645" w:type="dxa"/>
            <w:shd w:val="clear" w:color="auto" w:fill="auto"/>
            <w:vAlign w:val="center"/>
          </w:tcPr>
          <w:p w14:paraId="6513B131">
            <w:pPr>
              <w:keepNext w:val="0"/>
              <w:keepLines w:val="0"/>
              <w:pageBreakBefore w:val="0"/>
              <w:widowControl w:val="0"/>
              <w:kinsoku/>
              <w:wordWrap/>
              <w:overflowPunct/>
              <w:topLinePunct w:val="0"/>
              <w:autoSpaceDE/>
              <w:autoSpaceDN/>
              <w:bidi w:val="0"/>
              <w:adjustRightInd/>
              <w:snapToGrid/>
              <w:jc w:val="center"/>
              <w:textAlignment w:val="auto"/>
              <w:rPr>
                <w:rFonts w:hint="eastAsia"/>
                <w:bCs/>
                <w:color w:val="auto"/>
                <w:sz w:val="18"/>
                <w:szCs w:val="18"/>
                <w:u w:val="none"/>
                <w:lang w:val="en-US" w:eastAsia="zh-CN"/>
              </w:rPr>
            </w:pPr>
            <w:r>
              <w:rPr>
                <w:rFonts w:hint="eastAsia"/>
                <w:bCs/>
                <w:color w:val="auto"/>
                <w:sz w:val="18"/>
                <w:szCs w:val="18"/>
                <w:u w:val="none"/>
                <w:lang w:val="en-US" w:eastAsia="zh-CN"/>
              </w:rPr>
              <w:t>0.03</w:t>
            </w:r>
          </w:p>
        </w:tc>
        <w:tc>
          <w:tcPr>
            <w:tcW w:w="1140" w:type="dxa"/>
            <w:shd w:val="clear" w:color="auto" w:fill="auto"/>
            <w:vAlign w:val="center"/>
          </w:tcPr>
          <w:p w14:paraId="00CC3CF9">
            <w:pPr>
              <w:keepNext w:val="0"/>
              <w:keepLines w:val="0"/>
              <w:pageBreakBefore w:val="0"/>
              <w:widowControl w:val="0"/>
              <w:kinsoku/>
              <w:wordWrap/>
              <w:overflowPunct/>
              <w:topLinePunct w:val="0"/>
              <w:autoSpaceDE/>
              <w:autoSpaceDN/>
              <w:bidi w:val="0"/>
              <w:adjustRightInd/>
              <w:snapToGrid/>
              <w:jc w:val="center"/>
              <w:textAlignment w:val="auto"/>
              <w:rPr>
                <w:rFonts w:hint="eastAsia"/>
                <w:bCs/>
                <w:color w:val="auto"/>
                <w:sz w:val="18"/>
                <w:szCs w:val="18"/>
                <w:u w:val="none"/>
                <w:lang w:val="en-US" w:eastAsia="zh-CN"/>
              </w:rPr>
            </w:pPr>
            <w:r>
              <w:rPr>
                <w:rFonts w:hint="eastAsia"/>
                <w:bCs/>
                <w:color w:val="auto"/>
                <w:sz w:val="18"/>
                <w:szCs w:val="18"/>
                <w:u w:val="none"/>
                <w:lang w:val="en-US" w:eastAsia="zh-CN"/>
              </w:rPr>
              <w:t>+0.03</w:t>
            </w:r>
          </w:p>
        </w:tc>
      </w:tr>
      <w:tr w14:paraId="3351F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Align w:val="center"/>
          </w:tcPr>
          <w:p w14:paraId="1E60DBA9">
            <w:pPr>
              <w:pStyle w:val="38"/>
              <w:spacing w:beforeLines="0" w:afterLines="0"/>
              <w:rPr>
                <w:rFonts w:ascii="Times New Roman" w:eastAsia="宋体"/>
                <w:snapToGrid w:val="0"/>
                <w:color w:val="auto"/>
                <w:kern w:val="21"/>
                <w:sz w:val="18"/>
                <w:szCs w:val="18"/>
              </w:rPr>
            </w:pPr>
            <w:r>
              <w:rPr>
                <w:rFonts w:ascii="Times New Roman" w:eastAsia="宋体"/>
                <w:snapToGrid w:val="0"/>
                <w:color w:val="auto"/>
                <w:kern w:val="21"/>
                <w:sz w:val="18"/>
                <w:szCs w:val="18"/>
              </w:rPr>
              <w:t>危险废物</w:t>
            </w:r>
          </w:p>
        </w:tc>
        <w:tc>
          <w:tcPr>
            <w:tcW w:w="1521" w:type="dxa"/>
            <w:vAlign w:val="center"/>
          </w:tcPr>
          <w:p w14:paraId="02D91E9F">
            <w:pPr>
              <w:pStyle w:val="38"/>
              <w:spacing w:beforeLines="0" w:afterLines="0"/>
              <w:rPr>
                <w:rFonts w:hint="default"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597" w:type="dxa"/>
            <w:vAlign w:val="center"/>
          </w:tcPr>
          <w:p w14:paraId="68553301">
            <w:pPr>
              <w:pStyle w:val="38"/>
              <w:spacing w:beforeLines="0" w:afterLines="0"/>
              <w:rPr>
                <w:rFonts w:hint="default"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276" w:type="dxa"/>
            <w:shd w:val="clear" w:color="auto" w:fill="auto"/>
            <w:vAlign w:val="center"/>
          </w:tcPr>
          <w:p w14:paraId="6AB2F767">
            <w:pPr>
              <w:pStyle w:val="38"/>
              <w:spacing w:beforeLines="0" w:afterLines="0"/>
              <w:rPr>
                <w:rFonts w:hint="eastAsia" w:ascii="Times New Roman" w:hAnsi="Times New Roman" w:eastAsia="宋体" w:cs="Times New Roman"/>
                <w:bCs/>
                <w:snapToGrid w:val="0"/>
                <w:color w:val="auto"/>
                <w:kern w:val="21"/>
                <w:sz w:val="18"/>
                <w:szCs w:val="18"/>
                <w:lang w:val="en-US" w:eastAsia="zh-CN" w:bidi="ar-SA"/>
              </w:rPr>
            </w:pPr>
            <w:r>
              <w:rPr>
                <w:rFonts w:hint="eastAsia" w:ascii="Times New Roman" w:eastAsia="宋体"/>
                <w:snapToGrid w:val="0"/>
                <w:color w:val="auto"/>
                <w:kern w:val="21"/>
                <w:sz w:val="18"/>
                <w:szCs w:val="18"/>
                <w:lang w:val="en-US" w:eastAsia="zh-CN"/>
              </w:rPr>
              <w:t>/</w:t>
            </w:r>
          </w:p>
        </w:tc>
        <w:tc>
          <w:tcPr>
            <w:tcW w:w="1701" w:type="dxa"/>
            <w:shd w:val="clear" w:color="auto" w:fill="auto"/>
            <w:vAlign w:val="center"/>
          </w:tcPr>
          <w:p w14:paraId="19B858EC">
            <w:pPr>
              <w:pStyle w:val="38"/>
              <w:spacing w:beforeLines="0" w:afterLines="0"/>
              <w:rPr>
                <w:rFonts w:hint="eastAsia" w:ascii="Times New Roman" w:hAnsi="Times New Roman" w:eastAsia="宋体" w:cs="Times New Roman"/>
                <w:bCs/>
                <w:snapToGrid w:val="0"/>
                <w:color w:val="auto"/>
                <w:kern w:val="21"/>
                <w:sz w:val="18"/>
                <w:szCs w:val="18"/>
                <w:lang w:val="en-US" w:eastAsia="zh-CN" w:bidi="ar-SA"/>
              </w:rPr>
            </w:pPr>
            <w:r>
              <w:rPr>
                <w:rFonts w:hint="eastAsia" w:ascii="Times New Roman" w:eastAsia="宋体"/>
                <w:snapToGrid w:val="0"/>
                <w:color w:val="auto"/>
                <w:kern w:val="21"/>
                <w:sz w:val="18"/>
                <w:szCs w:val="18"/>
                <w:lang w:val="en-US" w:eastAsia="zh-CN"/>
              </w:rPr>
              <w:t>/</w:t>
            </w:r>
          </w:p>
        </w:tc>
        <w:tc>
          <w:tcPr>
            <w:tcW w:w="1559" w:type="dxa"/>
            <w:vAlign w:val="center"/>
          </w:tcPr>
          <w:p w14:paraId="5CDCCA2C">
            <w:pPr>
              <w:pStyle w:val="38"/>
              <w:spacing w:beforeLines="0" w:afterLines="0"/>
              <w:rPr>
                <w:rFonts w:hint="default" w:ascii="Times New Roman" w:eastAsia="宋体"/>
                <w:snapToGrid w:val="0"/>
                <w:color w:val="auto"/>
                <w:kern w:val="21"/>
                <w:sz w:val="18"/>
                <w:szCs w:val="18"/>
                <w:lang w:val="en-US" w:eastAsia="zh-CN"/>
              </w:rPr>
            </w:pPr>
            <w:r>
              <w:rPr>
                <w:rFonts w:hint="eastAsia" w:ascii="Times New Roman" w:eastAsia="宋体"/>
                <w:snapToGrid w:val="0"/>
                <w:color w:val="auto"/>
                <w:kern w:val="21"/>
                <w:sz w:val="18"/>
                <w:szCs w:val="18"/>
                <w:lang w:val="en-US" w:eastAsia="zh-CN"/>
              </w:rPr>
              <w:t>/</w:t>
            </w:r>
          </w:p>
        </w:tc>
        <w:tc>
          <w:tcPr>
            <w:tcW w:w="1761" w:type="dxa"/>
            <w:shd w:val="clear" w:color="auto" w:fill="auto"/>
            <w:vAlign w:val="center"/>
          </w:tcPr>
          <w:p w14:paraId="4600A2CF">
            <w:pPr>
              <w:pStyle w:val="38"/>
              <w:spacing w:beforeLines="0" w:afterLines="0"/>
              <w:rPr>
                <w:rFonts w:hint="eastAsia" w:ascii="Times New Roman" w:hAnsi="Times New Roman" w:eastAsia="宋体" w:cs="Times New Roman"/>
                <w:bCs/>
                <w:snapToGrid w:val="0"/>
                <w:color w:val="auto"/>
                <w:kern w:val="21"/>
                <w:sz w:val="18"/>
                <w:szCs w:val="18"/>
                <w:lang w:val="en-US" w:eastAsia="zh-CN" w:bidi="ar-SA"/>
              </w:rPr>
            </w:pPr>
            <w:r>
              <w:rPr>
                <w:rFonts w:hint="eastAsia" w:ascii="Times New Roman" w:eastAsia="宋体"/>
                <w:snapToGrid w:val="0"/>
                <w:color w:val="auto"/>
                <w:kern w:val="21"/>
                <w:sz w:val="18"/>
                <w:szCs w:val="18"/>
                <w:lang w:val="en-US" w:eastAsia="zh-CN"/>
              </w:rPr>
              <w:t>/</w:t>
            </w:r>
          </w:p>
        </w:tc>
        <w:tc>
          <w:tcPr>
            <w:tcW w:w="1645" w:type="dxa"/>
            <w:shd w:val="clear" w:color="auto" w:fill="auto"/>
            <w:vAlign w:val="center"/>
          </w:tcPr>
          <w:p w14:paraId="4CCA923C">
            <w:pPr>
              <w:pStyle w:val="38"/>
              <w:spacing w:beforeLines="0" w:afterLines="0"/>
              <w:rPr>
                <w:rFonts w:hint="default" w:ascii="Times New Roman" w:hAnsi="Times New Roman" w:eastAsia="宋体" w:cs="Times New Roman"/>
                <w:bCs/>
                <w:snapToGrid w:val="0"/>
                <w:color w:val="auto"/>
                <w:kern w:val="21"/>
                <w:sz w:val="18"/>
                <w:szCs w:val="18"/>
                <w:lang w:val="en-US" w:eastAsia="zh-CN" w:bidi="ar-SA"/>
              </w:rPr>
            </w:pPr>
            <w:r>
              <w:rPr>
                <w:rFonts w:hint="eastAsia" w:ascii="Times New Roman" w:eastAsia="宋体" w:cs="Times New Roman"/>
                <w:bCs/>
                <w:snapToGrid w:val="0"/>
                <w:color w:val="auto"/>
                <w:kern w:val="21"/>
                <w:sz w:val="18"/>
                <w:szCs w:val="18"/>
                <w:lang w:val="en-US" w:eastAsia="zh-CN" w:bidi="ar-SA"/>
              </w:rPr>
              <w:t>/</w:t>
            </w:r>
          </w:p>
        </w:tc>
        <w:tc>
          <w:tcPr>
            <w:tcW w:w="1140" w:type="dxa"/>
            <w:shd w:val="clear" w:color="auto" w:fill="auto"/>
            <w:vAlign w:val="center"/>
          </w:tcPr>
          <w:p w14:paraId="27C63030">
            <w:pPr>
              <w:pStyle w:val="38"/>
              <w:spacing w:beforeLines="0" w:afterLines="0"/>
              <w:rPr>
                <w:rFonts w:hint="default" w:ascii="Times New Roman" w:hAnsi="Times New Roman" w:eastAsia="宋体" w:cs="Times New Roman"/>
                <w:bCs/>
                <w:snapToGrid w:val="0"/>
                <w:color w:val="auto"/>
                <w:kern w:val="21"/>
                <w:sz w:val="18"/>
                <w:szCs w:val="18"/>
                <w:lang w:val="en-US" w:eastAsia="zh-CN" w:bidi="ar-SA"/>
              </w:rPr>
            </w:pPr>
            <w:r>
              <w:rPr>
                <w:rFonts w:hint="eastAsia" w:ascii="Times New Roman" w:eastAsia="宋体" w:cs="Times New Roman"/>
                <w:bCs/>
                <w:snapToGrid w:val="0"/>
                <w:color w:val="auto"/>
                <w:kern w:val="21"/>
                <w:sz w:val="18"/>
                <w:szCs w:val="18"/>
                <w:lang w:val="en-US" w:eastAsia="zh-CN" w:bidi="ar-SA"/>
              </w:rPr>
              <w:t>/</w:t>
            </w:r>
          </w:p>
        </w:tc>
      </w:tr>
    </w:tbl>
    <w:p w14:paraId="209F3ED7">
      <w:pPr>
        <w:pStyle w:val="38"/>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47AF1299">
      <w:pPr>
        <w:rPr>
          <w:color w:val="auto"/>
        </w:rPr>
      </w:pPr>
    </w:p>
    <w:p w14:paraId="7630B1C4">
      <w:pPr>
        <w:pStyle w:val="25"/>
        <w:adjustRightInd w:val="0"/>
        <w:snapToGrid w:val="0"/>
        <w:spacing w:before="648" w:beforeLines="270" w:beforeAutospacing="0" w:after="648" w:afterLines="270" w:afterAutospacing="0"/>
        <w:jc w:val="center"/>
        <w:outlineLvl w:val="0"/>
        <w:rPr>
          <w:color w:val="auto"/>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45F502-BB6E-42CC-93CF-7ACF6A0FF7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D1DE5C8-55CC-455D-973A-56DF5A06F46B}"/>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embedRegular r:id="rId3" w:fontKey="{A9B2094A-D7B6-456B-93A8-E322184446AF}"/>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方正楷体_GBK">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4" w:fontKey="{250486F7-3B0E-4C5B-80DA-A1356EC1E515}"/>
  </w:font>
  <w:font w:name="华文仿宋">
    <w:panose1 w:val="02010600040101010101"/>
    <w:charset w:val="86"/>
    <w:family w:val="auto"/>
    <w:pitch w:val="default"/>
    <w:sig w:usb0="00000287" w:usb1="080F0000" w:usb2="00000000" w:usb3="00000000" w:csb0="0004009F" w:csb1="DFD70000"/>
    <w:embedRegular r:id="rId5" w:fontKey="{6006E1F8-C857-45DA-8D41-9AFA1107D06B}"/>
  </w:font>
  <w:font w:name="Wingdings 2">
    <w:panose1 w:val="05020102010507070707"/>
    <w:charset w:val="02"/>
    <w:family w:val="roman"/>
    <w:pitch w:val="default"/>
    <w:sig w:usb0="00000000" w:usb1="00000000" w:usb2="00000000" w:usb3="00000000" w:csb0="80000000" w:csb1="00000000"/>
    <w:embedRegular r:id="rId6" w:fontKey="{CA047609-7265-4706-B02B-EAE47918879D}"/>
  </w:font>
  <w:font w:name="方正仿宋_GB18030">
    <w:panose1 w:val="02000000000000000000"/>
    <w:charset w:val="86"/>
    <w:family w:val="auto"/>
    <w:pitch w:val="default"/>
    <w:sig w:usb0="00000001" w:usb1="08000000" w:usb2="00000000" w:usb3="00000000" w:csb0="00040000" w:csb1="00000000"/>
    <w:embedRegular r:id="rId7" w:fontKey="{FF937E5D-30BC-4E60-8581-CED7B2B7BA4E}"/>
  </w:font>
  <w:font w:name="方正小标宋_GBK">
    <w:altName w:val="微软雅黑"/>
    <w:panose1 w:val="00000000000000000000"/>
    <w:charset w:val="86"/>
    <w:family w:val="script"/>
    <w:pitch w:val="default"/>
    <w:sig w:usb0="00000000" w:usb1="00000000" w:usb2="00000010" w:usb3="00000000" w:csb0="00040000" w:csb1="00000000"/>
    <w:embedRegular r:id="rId8" w:fontKey="{F587BF1D-12A9-4C20-92ED-35361D6ED42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64DC">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52A8C">
    <w:pPr>
      <w:pStyle w:val="19"/>
      <w:framePr w:wrap="around" w:vAnchor="text" w:hAnchor="margin" w:xAlign="center" w:y="1"/>
      <w:rPr>
        <w:rStyle w:val="33"/>
      </w:rPr>
    </w:pPr>
    <w:r>
      <w:fldChar w:fldCharType="begin"/>
    </w:r>
    <w:r>
      <w:rPr>
        <w:rStyle w:val="33"/>
      </w:rPr>
      <w:instrText xml:space="preserve">PAGE  </w:instrText>
    </w:r>
    <w:r>
      <w:fldChar w:fldCharType="separate"/>
    </w:r>
    <w:r>
      <w:rPr>
        <w:rStyle w:val="33"/>
      </w:rPr>
      <w:t>3</w:t>
    </w:r>
    <w:r>
      <w:fldChar w:fldCharType="end"/>
    </w:r>
  </w:p>
  <w:p w14:paraId="45824A0E">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BCE0C">
    <w:pPr>
      <w:pStyle w:val="19"/>
      <w:framePr w:wrap="around" w:vAnchor="text" w:hAnchor="page" w:x="5462" w:y="-148"/>
      <w:jc w:val="center"/>
      <w:rPr>
        <w:rStyle w:val="33"/>
        <w:szCs w:val="18"/>
      </w:rPr>
    </w:pPr>
    <w:r>
      <w:rPr>
        <w:rStyle w:val="33"/>
        <w:szCs w:val="18"/>
      </w:rPr>
      <w:fldChar w:fldCharType="begin"/>
    </w:r>
    <w:r>
      <w:rPr>
        <w:rStyle w:val="33"/>
        <w:szCs w:val="18"/>
      </w:rPr>
      <w:instrText xml:space="preserve">PAGE  </w:instrText>
    </w:r>
    <w:r>
      <w:rPr>
        <w:rStyle w:val="33"/>
        <w:szCs w:val="18"/>
      </w:rPr>
      <w:fldChar w:fldCharType="separate"/>
    </w:r>
    <w:r>
      <w:rPr>
        <w:rStyle w:val="33"/>
        <w:szCs w:val="18"/>
      </w:rPr>
      <w:t>46</w:t>
    </w:r>
    <w:r>
      <w:rPr>
        <w:rStyle w:val="33"/>
        <w:szCs w:val="18"/>
      </w:rPr>
      <w:fldChar w:fldCharType="end"/>
    </w:r>
  </w:p>
  <w:p w14:paraId="21E624E6">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5902">
    <w:pPr>
      <w:pStyle w:val="19"/>
      <w:framePr w:wrap="around" w:vAnchor="text" w:hAnchor="page" w:x="7800" w:y="-94"/>
      <w:rPr>
        <w:rStyle w:val="33"/>
        <w:rFonts w:hint="default" w:ascii="Times New Roman" w:hAnsi="Times New Roman" w:cs="Times New Roman"/>
        <w:sz w:val="28"/>
        <w:szCs w:val="28"/>
      </w:rPr>
    </w:pPr>
    <w:r>
      <w:rPr>
        <w:rStyle w:val="33"/>
        <w:rFonts w:hint="default" w:ascii="Times New Roman" w:hAnsi="Times New Roman" w:cs="Times New Roman"/>
        <w:sz w:val="21"/>
        <w:szCs w:val="21"/>
      </w:rPr>
      <w:fldChar w:fldCharType="begin"/>
    </w:r>
    <w:r>
      <w:rPr>
        <w:rStyle w:val="33"/>
        <w:rFonts w:hint="default" w:ascii="Times New Roman" w:hAnsi="Times New Roman" w:cs="Times New Roman"/>
        <w:sz w:val="21"/>
        <w:szCs w:val="21"/>
      </w:rPr>
      <w:instrText xml:space="preserve">PAGE  </w:instrText>
    </w:r>
    <w:r>
      <w:rPr>
        <w:rStyle w:val="33"/>
        <w:rFonts w:hint="default" w:ascii="Times New Roman" w:hAnsi="Times New Roman" w:cs="Times New Roman"/>
        <w:sz w:val="21"/>
        <w:szCs w:val="21"/>
      </w:rPr>
      <w:fldChar w:fldCharType="separate"/>
    </w:r>
    <w:r>
      <w:rPr>
        <w:rStyle w:val="33"/>
        <w:rFonts w:hint="default" w:ascii="Times New Roman" w:hAnsi="Times New Roman" w:cs="Times New Roman"/>
        <w:sz w:val="21"/>
        <w:szCs w:val="21"/>
      </w:rPr>
      <w:t>47</w:t>
    </w:r>
    <w:r>
      <w:rPr>
        <w:rStyle w:val="33"/>
        <w:rFonts w:hint="default" w:ascii="Times New Roman" w:hAnsi="Times New Roman" w:cs="Times New Roman"/>
        <w:sz w:val="21"/>
        <w:szCs w:val="21"/>
      </w:rPr>
      <w:fldChar w:fldCharType="end"/>
    </w:r>
  </w:p>
  <w:p w14:paraId="739C31B7">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35628B"/>
    <w:multiLevelType w:val="singleLevel"/>
    <w:tmpl w:val="9A35628B"/>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AA6AB0E9"/>
    <w:multiLevelType w:val="singleLevel"/>
    <w:tmpl w:val="AA6AB0E9"/>
    <w:lvl w:ilvl="0" w:tentative="0">
      <w:start w:val="1"/>
      <w:numFmt w:val="decimal"/>
      <w:suff w:val="space"/>
      <w:lvlText w:val="%1."/>
      <w:lvlJc w:val="left"/>
    </w:lvl>
  </w:abstractNum>
  <w:abstractNum w:abstractNumId="2">
    <w:nsid w:val="463B1207"/>
    <w:multiLevelType w:val="multilevel"/>
    <w:tmpl w:val="463B1207"/>
    <w:lvl w:ilvl="0" w:tentative="0">
      <w:start w:val="1"/>
      <w:numFmt w:val="decimal"/>
      <w:isLgl/>
      <w:lvlText w:val="%1"/>
      <w:lvlJc w:val="left"/>
      <w:pPr>
        <w:tabs>
          <w:tab w:val="left" w:pos="425"/>
        </w:tabs>
        <w:ind w:left="680" w:hanging="680"/>
      </w:pPr>
      <w:rPr>
        <w:rFonts w:hint="eastAsia" w:cs="Times New Roman"/>
      </w:rPr>
    </w:lvl>
    <w:lvl w:ilvl="1" w:tentative="0">
      <w:start w:val="1"/>
      <w:numFmt w:val="decimal"/>
      <w:lvlText w:val="%1.%2"/>
      <w:lvlJc w:val="left"/>
      <w:pPr>
        <w:tabs>
          <w:tab w:val="left" w:pos="425"/>
        </w:tabs>
        <w:ind w:left="1361" w:hanging="1361"/>
      </w:pPr>
      <w:rPr>
        <w:rFonts w:hint="default" w:ascii="Times New Roman" w:hAnsi="Times New Roman" w:eastAsia="宋体" w:cs="Times New Roman"/>
      </w:rPr>
    </w:lvl>
    <w:lvl w:ilvl="2" w:tentative="0">
      <w:start w:val="1"/>
      <w:numFmt w:val="decimal"/>
      <w:pStyle w:val="113"/>
      <w:lvlText w:val="%1.%2.%3"/>
      <w:lvlJc w:val="left"/>
      <w:pPr>
        <w:tabs>
          <w:tab w:val="left" w:pos="1418"/>
        </w:tabs>
        <w:ind w:left="2694" w:hanging="1985"/>
      </w:pPr>
      <w:rPr>
        <w:rFonts w:hint="eastAsia" w:ascii="宋体" w:hAnsi="宋体" w:eastAsia="宋体" w:cs="Times New Roman"/>
        <w:b/>
      </w:rPr>
    </w:lvl>
    <w:lvl w:ilvl="3" w:tentative="0">
      <w:start w:val="1"/>
      <w:numFmt w:val="decimal"/>
      <w:lvlText w:val="%1.%2.%3.%4"/>
      <w:lvlJc w:val="left"/>
      <w:pPr>
        <w:tabs>
          <w:tab w:val="left" w:pos="851"/>
        </w:tabs>
        <w:ind w:left="2552" w:hanging="2552"/>
      </w:pPr>
      <w:rPr>
        <w:rFonts w:hint="eastAsia" w:cs="Times New Roman"/>
      </w:rPr>
    </w:lvl>
    <w:lvl w:ilvl="4" w:tentative="0">
      <w:start w:val="1"/>
      <w:numFmt w:val="decimal"/>
      <w:lvlRestart w:val="0"/>
      <w:lvlText w:val="表%1-%5"/>
      <w:lvlJc w:val="left"/>
      <w:pPr>
        <w:tabs>
          <w:tab w:val="left" w:pos="4423"/>
        </w:tabs>
        <w:ind w:left="4678" w:hanging="992"/>
      </w:pPr>
      <w:rPr>
        <w:rFonts w:hint="eastAsia" w:cs="Times New Roman"/>
      </w:rPr>
    </w:lvl>
    <w:lvl w:ilvl="5" w:tentative="0">
      <w:start w:val="1"/>
      <w:numFmt w:val="decimal"/>
      <w:lvlRestart w:val="0"/>
      <w:lvlText w:val="图%1-%6"/>
      <w:lvlJc w:val="left"/>
      <w:pPr>
        <w:tabs>
          <w:tab w:val="left" w:pos="3617"/>
        </w:tabs>
        <w:ind w:left="4014" w:hanging="1134"/>
      </w:pPr>
      <w:rPr>
        <w:rFonts w:cs="Times New Roman"/>
        <w:b w:val="0"/>
        <w:bCs w:val="0"/>
        <w:i w:val="0"/>
        <w:iCs w:val="0"/>
        <w:caps w:val="0"/>
        <w:smallCaps w:val="0"/>
        <w:strike w:val="0"/>
        <w:dstrike w:val="0"/>
        <w:spacing w:val="0"/>
        <w:position w:val="0"/>
        <w:u w:val="none"/>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3">
    <w:nsid w:val="6D2887F6"/>
    <w:multiLevelType w:val="singleLevel"/>
    <w:tmpl w:val="6D2887F6"/>
    <w:lvl w:ilvl="0" w:tentative="0">
      <w:start w:val="3"/>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lYjVhMjYxMzE5ZDU4MDA0OWYzM2RlZTY4ZGFkMjkifQ=="/>
  </w:docVars>
  <w:rsids>
    <w:rsidRoot w:val="57A10D54"/>
    <w:rsid w:val="00000C56"/>
    <w:rsid w:val="00001D49"/>
    <w:rsid w:val="00002851"/>
    <w:rsid w:val="000035A3"/>
    <w:rsid w:val="0000788F"/>
    <w:rsid w:val="00012F85"/>
    <w:rsid w:val="00016386"/>
    <w:rsid w:val="00017253"/>
    <w:rsid w:val="000176AC"/>
    <w:rsid w:val="00020672"/>
    <w:rsid w:val="0002458A"/>
    <w:rsid w:val="000258A3"/>
    <w:rsid w:val="000273C8"/>
    <w:rsid w:val="000308C1"/>
    <w:rsid w:val="0004443A"/>
    <w:rsid w:val="00047A4A"/>
    <w:rsid w:val="00054FDD"/>
    <w:rsid w:val="00064D5A"/>
    <w:rsid w:val="00066022"/>
    <w:rsid w:val="00076EC6"/>
    <w:rsid w:val="00077597"/>
    <w:rsid w:val="00090304"/>
    <w:rsid w:val="00090A70"/>
    <w:rsid w:val="000A08A1"/>
    <w:rsid w:val="000A571C"/>
    <w:rsid w:val="000B0E4B"/>
    <w:rsid w:val="000B1CDD"/>
    <w:rsid w:val="000B709D"/>
    <w:rsid w:val="000B76F7"/>
    <w:rsid w:val="000C4194"/>
    <w:rsid w:val="000C61D6"/>
    <w:rsid w:val="000C6667"/>
    <w:rsid w:val="000D0453"/>
    <w:rsid w:val="000E31A2"/>
    <w:rsid w:val="000E6BC5"/>
    <w:rsid w:val="000F0FC4"/>
    <w:rsid w:val="000F253D"/>
    <w:rsid w:val="000F26D7"/>
    <w:rsid w:val="001117C1"/>
    <w:rsid w:val="00115EAD"/>
    <w:rsid w:val="00117549"/>
    <w:rsid w:val="0012284F"/>
    <w:rsid w:val="00125C64"/>
    <w:rsid w:val="001279C4"/>
    <w:rsid w:val="00127C72"/>
    <w:rsid w:val="001316B4"/>
    <w:rsid w:val="00150126"/>
    <w:rsid w:val="00152AA8"/>
    <w:rsid w:val="00152B53"/>
    <w:rsid w:val="0015482F"/>
    <w:rsid w:val="0015525A"/>
    <w:rsid w:val="001628FB"/>
    <w:rsid w:val="00167923"/>
    <w:rsid w:val="00171C28"/>
    <w:rsid w:val="00171FE9"/>
    <w:rsid w:val="00173898"/>
    <w:rsid w:val="001778B7"/>
    <w:rsid w:val="00180B3F"/>
    <w:rsid w:val="00181F9F"/>
    <w:rsid w:val="00182989"/>
    <w:rsid w:val="00182DC4"/>
    <w:rsid w:val="0018464C"/>
    <w:rsid w:val="0019100F"/>
    <w:rsid w:val="00191479"/>
    <w:rsid w:val="001921D9"/>
    <w:rsid w:val="00192990"/>
    <w:rsid w:val="001934E5"/>
    <w:rsid w:val="00195DF6"/>
    <w:rsid w:val="001A0290"/>
    <w:rsid w:val="001C5283"/>
    <w:rsid w:val="001C5547"/>
    <w:rsid w:val="001C791F"/>
    <w:rsid w:val="001C7FA3"/>
    <w:rsid w:val="001D6EEE"/>
    <w:rsid w:val="001F1975"/>
    <w:rsid w:val="001F35E1"/>
    <w:rsid w:val="001F5645"/>
    <w:rsid w:val="001F5E0F"/>
    <w:rsid w:val="001F69B3"/>
    <w:rsid w:val="00200BB2"/>
    <w:rsid w:val="00200C93"/>
    <w:rsid w:val="0020546E"/>
    <w:rsid w:val="002169AF"/>
    <w:rsid w:val="00221196"/>
    <w:rsid w:val="00227511"/>
    <w:rsid w:val="00236D19"/>
    <w:rsid w:val="00246EE5"/>
    <w:rsid w:val="002514C4"/>
    <w:rsid w:val="002535AC"/>
    <w:rsid w:val="00256FA6"/>
    <w:rsid w:val="00260DE5"/>
    <w:rsid w:val="00263EF5"/>
    <w:rsid w:val="002736F4"/>
    <w:rsid w:val="002757B6"/>
    <w:rsid w:val="00277A34"/>
    <w:rsid w:val="00277F34"/>
    <w:rsid w:val="002808AA"/>
    <w:rsid w:val="0028147C"/>
    <w:rsid w:val="00283B13"/>
    <w:rsid w:val="00284E4C"/>
    <w:rsid w:val="002866FC"/>
    <w:rsid w:val="00286E3C"/>
    <w:rsid w:val="00290B60"/>
    <w:rsid w:val="002930E1"/>
    <w:rsid w:val="00297F70"/>
    <w:rsid w:val="002A24F3"/>
    <w:rsid w:val="002A2917"/>
    <w:rsid w:val="002A778B"/>
    <w:rsid w:val="002B61B6"/>
    <w:rsid w:val="002C066F"/>
    <w:rsid w:val="002C34BA"/>
    <w:rsid w:val="002C3884"/>
    <w:rsid w:val="002D18BF"/>
    <w:rsid w:val="002D1F20"/>
    <w:rsid w:val="002D3050"/>
    <w:rsid w:val="002D5919"/>
    <w:rsid w:val="002E08CE"/>
    <w:rsid w:val="002E3557"/>
    <w:rsid w:val="002E3C7D"/>
    <w:rsid w:val="002E3DE6"/>
    <w:rsid w:val="002E66DD"/>
    <w:rsid w:val="002F3DD2"/>
    <w:rsid w:val="002F4E7D"/>
    <w:rsid w:val="002F60C1"/>
    <w:rsid w:val="00300821"/>
    <w:rsid w:val="00301DF9"/>
    <w:rsid w:val="00303769"/>
    <w:rsid w:val="0030428C"/>
    <w:rsid w:val="00304C2E"/>
    <w:rsid w:val="0030528B"/>
    <w:rsid w:val="0030752B"/>
    <w:rsid w:val="003147A5"/>
    <w:rsid w:val="00316E42"/>
    <w:rsid w:val="003207E0"/>
    <w:rsid w:val="00321CEF"/>
    <w:rsid w:val="00331EC9"/>
    <w:rsid w:val="00337FA8"/>
    <w:rsid w:val="00340303"/>
    <w:rsid w:val="00351D2F"/>
    <w:rsid w:val="0036013A"/>
    <w:rsid w:val="00361751"/>
    <w:rsid w:val="00362A24"/>
    <w:rsid w:val="003667BC"/>
    <w:rsid w:val="0037269C"/>
    <w:rsid w:val="003733A6"/>
    <w:rsid w:val="00374E59"/>
    <w:rsid w:val="00381BDB"/>
    <w:rsid w:val="00387D86"/>
    <w:rsid w:val="003919C0"/>
    <w:rsid w:val="0039428E"/>
    <w:rsid w:val="003A2FF4"/>
    <w:rsid w:val="003A39B9"/>
    <w:rsid w:val="003B1D72"/>
    <w:rsid w:val="003B5767"/>
    <w:rsid w:val="003B74F5"/>
    <w:rsid w:val="003C104A"/>
    <w:rsid w:val="003C6340"/>
    <w:rsid w:val="003D10D6"/>
    <w:rsid w:val="003D2294"/>
    <w:rsid w:val="003D7AB6"/>
    <w:rsid w:val="003E2FA5"/>
    <w:rsid w:val="003F5BE5"/>
    <w:rsid w:val="003F6F0E"/>
    <w:rsid w:val="0040677B"/>
    <w:rsid w:val="00407E07"/>
    <w:rsid w:val="00411DF8"/>
    <w:rsid w:val="00412CE8"/>
    <w:rsid w:val="00414175"/>
    <w:rsid w:val="00420BA3"/>
    <w:rsid w:val="00423810"/>
    <w:rsid w:val="00423A00"/>
    <w:rsid w:val="00431559"/>
    <w:rsid w:val="00432E9F"/>
    <w:rsid w:val="00446925"/>
    <w:rsid w:val="00456D0D"/>
    <w:rsid w:val="00464B77"/>
    <w:rsid w:val="00466DD7"/>
    <w:rsid w:val="00471D6F"/>
    <w:rsid w:val="004772D3"/>
    <w:rsid w:val="0048180B"/>
    <w:rsid w:val="004823A0"/>
    <w:rsid w:val="004847E9"/>
    <w:rsid w:val="00484DAC"/>
    <w:rsid w:val="0048659C"/>
    <w:rsid w:val="00492309"/>
    <w:rsid w:val="004936D1"/>
    <w:rsid w:val="004956C6"/>
    <w:rsid w:val="0049657C"/>
    <w:rsid w:val="004A4872"/>
    <w:rsid w:val="004A4BE3"/>
    <w:rsid w:val="004B445C"/>
    <w:rsid w:val="004B5805"/>
    <w:rsid w:val="004C4C0B"/>
    <w:rsid w:val="004C57BF"/>
    <w:rsid w:val="004C5FF0"/>
    <w:rsid w:val="004C7AFE"/>
    <w:rsid w:val="004D1DC8"/>
    <w:rsid w:val="004D7DB6"/>
    <w:rsid w:val="004E7EE6"/>
    <w:rsid w:val="004F3830"/>
    <w:rsid w:val="004F3CA9"/>
    <w:rsid w:val="0050150C"/>
    <w:rsid w:val="00502111"/>
    <w:rsid w:val="00504487"/>
    <w:rsid w:val="005048FD"/>
    <w:rsid w:val="00506CAD"/>
    <w:rsid w:val="00510D8B"/>
    <w:rsid w:val="00520E2C"/>
    <w:rsid w:val="0052302C"/>
    <w:rsid w:val="005270A0"/>
    <w:rsid w:val="00527CC1"/>
    <w:rsid w:val="00533EB8"/>
    <w:rsid w:val="0053594F"/>
    <w:rsid w:val="005415A4"/>
    <w:rsid w:val="005433D3"/>
    <w:rsid w:val="00544913"/>
    <w:rsid w:val="00545E25"/>
    <w:rsid w:val="0055147A"/>
    <w:rsid w:val="00553C44"/>
    <w:rsid w:val="0055443A"/>
    <w:rsid w:val="0055622F"/>
    <w:rsid w:val="005628A1"/>
    <w:rsid w:val="005639F6"/>
    <w:rsid w:val="00565DE7"/>
    <w:rsid w:val="00566771"/>
    <w:rsid w:val="00566B68"/>
    <w:rsid w:val="00575674"/>
    <w:rsid w:val="00577AAE"/>
    <w:rsid w:val="00577CD5"/>
    <w:rsid w:val="0058008B"/>
    <w:rsid w:val="00580501"/>
    <w:rsid w:val="00586140"/>
    <w:rsid w:val="00590D74"/>
    <w:rsid w:val="00590F89"/>
    <w:rsid w:val="00591459"/>
    <w:rsid w:val="005952A0"/>
    <w:rsid w:val="005977A9"/>
    <w:rsid w:val="005A5041"/>
    <w:rsid w:val="005B0228"/>
    <w:rsid w:val="005B292F"/>
    <w:rsid w:val="005B4104"/>
    <w:rsid w:val="005B4654"/>
    <w:rsid w:val="005B50E1"/>
    <w:rsid w:val="005B7E83"/>
    <w:rsid w:val="005C233C"/>
    <w:rsid w:val="005C48A1"/>
    <w:rsid w:val="005C6837"/>
    <w:rsid w:val="005E0CFA"/>
    <w:rsid w:val="005E22EF"/>
    <w:rsid w:val="005E25EE"/>
    <w:rsid w:val="005F186E"/>
    <w:rsid w:val="005F3F5F"/>
    <w:rsid w:val="005F55D7"/>
    <w:rsid w:val="005F6A07"/>
    <w:rsid w:val="00600E24"/>
    <w:rsid w:val="00601E72"/>
    <w:rsid w:val="00605890"/>
    <w:rsid w:val="00605D59"/>
    <w:rsid w:val="00610151"/>
    <w:rsid w:val="0061112B"/>
    <w:rsid w:val="00612215"/>
    <w:rsid w:val="006140F3"/>
    <w:rsid w:val="00621C65"/>
    <w:rsid w:val="00623792"/>
    <w:rsid w:val="00625B5D"/>
    <w:rsid w:val="00626A7D"/>
    <w:rsid w:val="00631573"/>
    <w:rsid w:val="00637098"/>
    <w:rsid w:val="00637ED3"/>
    <w:rsid w:val="00640653"/>
    <w:rsid w:val="006467A8"/>
    <w:rsid w:val="0065225F"/>
    <w:rsid w:val="00654A26"/>
    <w:rsid w:val="00656973"/>
    <w:rsid w:val="00657855"/>
    <w:rsid w:val="00662493"/>
    <w:rsid w:val="0067068A"/>
    <w:rsid w:val="00672D17"/>
    <w:rsid w:val="00676A17"/>
    <w:rsid w:val="00686022"/>
    <w:rsid w:val="0068668B"/>
    <w:rsid w:val="006961FD"/>
    <w:rsid w:val="00697703"/>
    <w:rsid w:val="006B02D4"/>
    <w:rsid w:val="006B39FC"/>
    <w:rsid w:val="006B57F8"/>
    <w:rsid w:val="006C1AAF"/>
    <w:rsid w:val="006C4579"/>
    <w:rsid w:val="006D4458"/>
    <w:rsid w:val="006D7504"/>
    <w:rsid w:val="006E0EE3"/>
    <w:rsid w:val="006F0907"/>
    <w:rsid w:val="006F2990"/>
    <w:rsid w:val="006F2A91"/>
    <w:rsid w:val="006F4FBF"/>
    <w:rsid w:val="006F58B0"/>
    <w:rsid w:val="00701D7F"/>
    <w:rsid w:val="007023D9"/>
    <w:rsid w:val="00703F4C"/>
    <w:rsid w:val="00710029"/>
    <w:rsid w:val="007120CB"/>
    <w:rsid w:val="00712E55"/>
    <w:rsid w:val="00713803"/>
    <w:rsid w:val="007247B1"/>
    <w:rsid w:val="007252B9"/>
    <w:rsid w:val="007269DD"/>
    <w:rsid w:val="00734251"/>
    <w:rsid w:val="00743690"/>
    <w:rsid w:val="00744F9F"/>
    <w:rsid w:val="00746AEC"/>
    <w:rsid w:val="007506DC"/>
    <w:rsid w:val="00753611"/>
    <w:rsid w:val="00753EC0"/>
    <w:rsid w:val="00755B04"/>
    <w:rsid w:val="00757982"/>
    <w:rsid w:val="007623AF"/>
    <w:rsid w:val="007624EF"/>
    <w:rsid w:val="00771999"/>
    <w:rsid w:val="0077628C"/>
    <w:rsid w:val="00780BDD"/>
    <w:rsid w:val="00781439"/>
    <w:rsid w:val="007824F5"/>
    <w:rsid w:val="00783F2F"/>
    <w:rsid w:val="0079168B"/>
    <w:rsid w:val="007A03A4"/>
    <w:rsid w:val="007B17B5"/>
    <w:rsid w:val="007B6880"/>
    <w:rsid w:val="007B7D48"/>
    <w:rsid w:val="007C22CE"/>
    <w:rsid w:val="007C270C"/>
    <w:rsid w:val="007C4685"/>
    <w:rsid w:val="007C63E2"/>
    <w:rsid w:val="007C7D8A"/>
    <w:rsid w:val="007D167E"/>
    <w:rsid w:val="007D262B"/>
    <w:rsid w:val="007D2C40"/>
    <w:rsid w:val="007D5A5E"/>
    <w:rsid w:val="007E0E5C"/>
    <w:rsid w:val="007E1EF4"/>
    <w:rsid w:val="007E4A78"/>
    <w:rsid w:val="007F0A1D"/>
    <w:rsid w:val="007F0D74"/>
    <w:rsid w:val="007F1968"/>
    <w:rsid w:val="007F2311"/>
    <w:rsid w:val="007F674E"/>
    <w:rsid w:val="007F7205"/>
    <w:rsid w:val="008049E0"/>
    <w:rsid w:val="008101AE"/>
    <w:rsid w:val="008114CE"/>
    <w:rsid w:val="00813BFE"/>
    <w:rsid w:val="008156AE"/>
    <w:rsid w:val="00817D14"/>
    <w:rsid w:val="0082203D"/>
    <w:rsid w:val="00825C46"/>
    <w:rsid w:val="00836FCD"/>
    <w:rsid w:val="00841E09"/>
    <w:rsid w:val="00842EB3"/>
    <w:rsid w:val="00844768"/>
    <w:rsid w:val="00845721"/>
    <w:rsid w:val="008523B7"/>
    <w:rsid w:val="00852EC3"/>
    <w:rsid w:val="00857F94"/>
    <w:rsid w:val="00860823"/>
    <w:rsid w:val="00861804"/>
    <w:rsid w:val="00862967"/>
    <w:rsid w:val="008638F4"/>
    <w:rsid w:val="0086713A"/>
    <w:rsid w:val="008735C3"/>
    <w:rsid w:val="00881FD3"/>
    <w:rsid w:val="00883331"/>
    <w:rsid w:val="008848B6"/>
    <w:rsid w:val="00892B9D"/>
    <w:rsid w:val="00894850"/>
    <w:rsid w:val="0089634B"/>
    <w:rsid w:val="00897B53"/>
    <w:rsid w:val="008A0C25"/>
    <w:rsid w:val="008A4E18"/>
    <w:rsid w:val="008A53EA"/>
    <w:rsid w:val="008A67B9"/>
    <w:rsid w:val="008A72A4"/>
    <w:rsid w:val="008B1861"/>
    <w:rsid w:val="008B4869"/>
    <w:rsid w:val="008B781A"/>
    <w:rsid w:val="008C0A0A"/>
    <w:rsid w:val="008C3DEC"/>
    <w:rsid w:val="008C5441"/>
    <w:rsid w:val="008C63BF"/>
    <w:rsid w:val="008C6B6E"/>
    <w:rsid w:val="008D1D2D"/>
    <w:rsid w:val="008D59D3"/>
    <w:rsid w:val="008D6D27"/>
    <w:rsid w:val="008D6E4D"/>
    <w:rsid w:val="008D77D7"/>
    <w:rsid w:val="008E26D5"/>
    <w:rsid w:val="008E36B9"/>
    <w:rsid w:val="008E3B76"/>
    <w:rsid w:val="008E3CFA"/>
    <w:rsid w:val="008E5968"/>
    <w:rsid w:val="008E6CE8"/>
    <w:rsid w:val="008E6EEB"/>
    <w:rsid w:val="008F11ED"/>
    <w:rsid w:val="00902EAD"/>
    <w:rsid w:val="00903969"/>
    <w:rsid w:val="0090398C"/>
    <w:rsid w:val="0090659E"/>
    <w:rsid w:val="009073D2"/>
    <w:rsid w:val="00907AEF"/>
    <w:rsid w:val="00913ED9"/>
    <w:rsid w:val="00921F0B"/>
    <w:rsid w:val="00925FE6"/>
    <w:rsid w:val="00927F95"/>
    <w:rsid w:val="00933780"/>
    <w:rsid w:val="00933E93"/>
    <w:rsid w:val="00947146"/>
    <w:rsid w:val="00950804"/>
    <w:rsid w:val="009520AB"/>
    <w:rsid w:val="00953300"/>
    <w:rsid w:val="0095353A"/>
    <w:rsid w:val="00953619"/>
    <w:rsid w:val="00965050"/>
    <w:rsid w:val="00966443"/>
    <w:rsid w:val="00973A07"/>
    <w:rsid w:val="009744EC"/>
    <w:rsid w:val="009770D6"/>
    <w:rsid w:val="00982EEF"/>
    <w:rsid w:val="00983909"/>
    <w:rsid w:val="009866DA"/>
    <w:rsid w:val="009901AF"/>
    <w:rsid w:val="00991448"/>
    <w:rsid w:val="009947B9"/>
    <w:rsid w:val="0099489F"/>
    <w:rsid w:val="009A09F3"/>
    <w:rsid w:val="009B0192"/>
    <w:rsid w:val="009B2AF1"/>
    <w:rsid w:val="009C20D4"/>
    <w:rsid w:val="009C79A6"/>
    <w:rsid w:val="009C7E46"/>
    <w:rsid w:val="009D382F"/>
    <w:rsid w:val="009E12C6"/>
    <w:rsid w:val="009E67F3"/>
    <w:rsid w:val="009F562D"/>
    <w:rsid w:val="009F5EAC"/>
    <w:rsid w:val="00A02D94"/>
    <w:rsid w:val="00A05AA4"/>
    <w:rsid w:val="00A066F2"/>
    <w:rsid w:val="00A24771"/>
    <w:rsid w:val="00A26DF4"/>
    <w:rsid w:val="00A3167A"/>
    <w:rsid w:val="00A5230B"/>
    <w:rsid w:val="00A544D7"/>
    <w:rsid w:val="00A558D7"/>
    <w:rsid w:val="00A65DE5"/>
    <w:rsid w:val="00A66061"/>
    <w:rsid w:val="00A66F2C"/>
    <w:rsid w:val="00A705DA"/>
    <w:rsid w:val="00A716AE"/>
    <w:rsid w:val="00A73A3B"/>
    <w:rsid w:val="00A7408C"/>
    <w:rsid w:val="00A74D3F"/>
    <w:rsid w:val="00A764FE"/>
    <w:rsid w:val="00A779E9"/>
    <w:rsid w:val="00A77A08"/>
    <w:rsid w:val="00A80BA2"/>
    <w:rsid w:val="00A80CF1"/>
    <w:rsid w:val="00A81496"/>
    <w:rsid w:val="00A816BE"/>
    <w:rsid w:val="00A8183A"/>
    <w:rsid w:val="00A84F29"/>
    <w:rsid w:val="00A925B4"/>
    <w:rsid w:val="00A93616"/>
    <w:rsid w:val="00A9502E"/>
    <w:rsid w:val="00A969DD"/>
    <w:rsid w:val="00A9762C"/>
    <w:rsid w:val="00AB2676"/>
    <w:rsid w:val="00AB29A2"/>
    <w:rsid w:val="00AB657F"/>
    <w:rsid w:val="00AC409F"/>
    <w:rsid w:val="00AC4B01"/>
    <w:rsid w:val="00AC5E2F"/>
    <w:rsid w:val="00AD040B"/>
    <w:rsid w:val="00AD1F37"/>
    <w:rsid w:val="00AD2E91"/>
    <w:rsid w:val="00AD4340"/>
    <w:rsid w:val="00AD4828"/>
    <w:rsid w:val="00AD57D5"/>
    <w:rsid w:val="00AD5F4F"/>
    <w:rsid w:val="00AD6393"/>
    <w:rsid w:val="00AD6F83"/>
    <w:rsid w:val="00AD7E93"/>
    <w:rsid w:val="00AE0FD6"/>
    <w:rsid w:val="00AE1E16"/>
    <w:rsid w:val="00AE2551"/>
    <w:rsid w:val="00B0507A"/>
    <w:rsid w:val="00B11332"/>
    <w:rsid w:val="00B14865"/>
    <w:rsid w:val="00B1522A"/>
    <w:rsid w:val="00B1683C"/>
    <w:rsid w:val="00B21351"/>
    <w:rsid w:val="00B22125"/>
    <w:rsid w:val="00B23EF3"/>
    <w:rsid w:val="00B27793"/>
    <w:rsid w:val="00B31B0E"/>
    <w:rsid w:val="00B31C49"/>
    <w:rsid w:val="00B320AD"/>
    <w:rsid w:val="00B320D3"/>
    <w:rsid w:val="00B33781"/>
    <w:rsid w:val="00B40444"/>
    <w:rsid w:val="00B416C7"/>
    <w:rsid w:val="00B42810"/>
    <w:rsid w:val="00B42840"/>
    <w:rsid w:val="00B42BC5"/>
    <w:rsid w:val="00B4443B"/>
    <w:rsid w:val="00B47E77"/>
    <w:rsid w:val="00B65E2F"/>
    <w:rsid w:val="00B67415"/>
    <w:rsid w:val="00B67481"/>
    <w:rsid w:val="00B67583"/>
    <w:rsid w:val="00B72148"/>
    <w:rsid w:val="00B755AE"/>
    <w:rsid w:val="00B8583E"/>
    <w:rsid w:val="00B872A8"/>
    <w:rsid w:val="00B94BC7"/>
    <w:rsid w:val="00BB2539"/>
    <w:rsid w:val="00BB6CB1"/>
    <w:rsid w:val="00BC13F2"/>
    <w:rsid w:val="00BC74F8"/>
    <w:rsid w:val="00BD04E9"/>
    <w:rsid w:val="00BD0C5C"/>
    <w:rsid w:val="00BD5580"/>
    <w:rsid w:val="00BE4F53"/>
    <w:rsid w:val="00BE5609"/>
    <w:rsid w:val="00BE6A8F"/>
    <w:rsid w:val="00BF5546"/>
    <w:rsid w:val="00C02B43"/>
    <w:rsid w:val="00C0580A"/>
    <w:rsid w:val="00C06CB4"/>
    <w:rsid w:val="00C31707"/>
    <w:rsid w:val="00C31969"/>
    <w:rsid w:val="00C42121"/>
    <w:rsid w:val="00C4408A"/>
    <w:rsid w:val="00C519C5"/>
    <w:rsid w:val="00C57EDD"/>
    <w:rsid w:val="00C60981"/>
    <w:rsid w:val="00C64D92"/>
    <w:rsid w:val="00C734C8"/>
    <w:rsid w:val="00C749B6"/>
    <w:rsid w:val="00C77263"/>
    <w:rsid w:val="00C81546"/>
    <w:rsid w:val="00C82932"/>
    <w:rsid w:val="00C8403D"/>
    <w:rsid w:val="00C85789"/>
    <w:rsid w:val="00C92EBE"/>
    <w:rsid w:val="00CA321A"/>
    <w:rsid w:val="00CA537A"/>
    <w:rsid w:val="00CA5FBC"/>
    <w:rsid w:val="00CA7D5B"/>
    <w:rsid w:val="00CB38A1"/>
    <w:rsid w:val="00CB3AE8"/>
    <w:rsid w:val="00CB3C57"/>
    <w:rsid w:val="00CB3FCF"/>
    <w:rsid w:val="00CB49F8"/>
    <w:rsid w:val="00CD2A55"/>
    <w:rsid w:val="00CD4446"/>
    <w:rsid w:val="00CD546A"/>
    <w:rsid w:val="00CD609B"/>
    <w:rsid w:val="00CD6346"/>
    <w:rsid w:val="00CD6AF7"/>
    <w:rsid w:val="00CE10AE"/>
    <w:rsid w:val="00CE5F19"/>
    <w:rsid w:val="00CE78AC"/>
    <w:rsid w:val="00CF4C5A"/>
    <w:rsid w:val="00D009CC"/>
    <w:rsid w:val="00D017EB"/>
    <w:rsid w:val="00D12DF4"/>
    <w:rsid w:val="00D17960"/>
    <w:rsid w:val="00D17A8A"/>
    <w:rsid w:val="00D17E66"/>
    <w:rsid w:val="00D20061"/>
    <w:rsid w:val="00D201F3"/>
    <w:rsid w:val="00D20526"/>
    <w:rsid w:val="00D20A80"/>
    <w:rsid w:val="00D21806"/>
    <w:rsid w:val="00D223BC"/>
    <w:rsid w:val="00D223CB"/>
    <w:rsid w:val="00D26851"/>
    <w:rsid w:val="00D274DA"/>
    <w:rsid w:val="00D32E66"/>
    <w:rsid w:val="00D36A8E"/>
    <w:rsid w:val="00D44186"/>
    <w:rsid w:val="00D4431F"/>
    <w:rsid w:val="00D4736E"/>
    <w:rsid w:val="00D50D0E"/>
    <w:rsid w:val="00D5165F"/>
    <w:rsid w:val="00D54E70"/>
    <w:rsid w:val="00D62477"/>
    <w:rsid w:val="00D62E03"/>
    <w:rsid w:val="00D656CA"/>
    <w:rsid w:val="00D66DA9"/>
    <w:rsid w:val="00D70D06"/>
    <w:rsid w:val="00D72465"/>
    <w:rsid w:val="00D7347B"/>
    <w:rsid w:val="00D76271"/>
    <w:rsid w:val="00D81A90"/>
    <w:rsid w:val="00D84768"/>
    <w:rsid w:val="00D87EF0"/>
    <w:rsid w:val="00D94FF3"/>
    <w:rsid w:val="00DA2735"/>
    <w:rsid w:val="00DA6CE4"/>
    <w:rsid w:val="00DB0263"/>
    <w:rsid w:val="00DB3492"/>
    <w:rsid w:val="00DB593B"/>
    <w:rsid w:val="00DB5DAF"/>
    <w:rsid w:val="00DB6A09"/>
    <w:rsid w:val="00DC2D38"/>
    <w:rsid w:val="00DC3B00"/>
    <w:rsid w:val="00DC59A6"/>
    <w:rsid w:val="00DD2112"/>
    <w:rsid w:val="00DD2113"/>
    <w:rsid w:val="00DF3637"/>
    <w:rsid w:val="00E01F8A"/>
    <w:rsid w:val="00E02157"/>
    <w:rsid w:val="00E044EA"/>
    <w:rsid w:val="00E048F3"/>
    <w:rsid w:val="00E04CB2"/>
    <w:rsid w:val="00E120D0"/>
    <w:rsid w:val="00E14529"/>
    <w:rsid w:val="00E14A5C"/>
    <w:rsid w:val="00E14BB7"/>
    <w:rsid w:val="00E16049"/>
    <w:rsid w:val="00E24EBD"/>
    <w:rsid w:val="00E256F5"/>
    <w:rsid w:val="00E370D8"/>
    <w:rsid w:val="00E43841"/>
    <w:rsid w:val="00E466BD"/>
    <w:rsid w:val="00E50BBF"/>
    <w:rsid w:val="00E52068"/>
    <w:rsid w:val="00E54E85"/>
    <w:rsid w:val="00E619FE"/>
    <w:rsid w:val="00E62C17"/>
    <w:rsid w:val="00E639EA"/>
    <w:rsid w:val="00E648A1"/>
    <w:rsid w:val="00E6782C"/>
    <w:rsid w:val="00E702DF"/>
    <w:rsid w:val="00E73978"/>
    <w:rsid w:val="00E7422A"/>
    <w:rsid w:val="00E76531"/>
    <w:rsid w:val="00E835DA"/>
    <w:rsid w:val="00E96918"/>
    <w:rsid w:val="00EA5430"/>
    <w:rsid w:val="00EA63B0"/>
    <w:rsid w:val="00EB169B"/>
    <w:rsid w:val="00EB19DB"/>
    <w:rsid w:val="00EB311F"/>
    <w:rsid w:val="00EB3CD9"/>
    <w:rsid w:val="00EB3DD2"/>
    <w:rsid w:val="00EB524E"/>
    <w:rsid w:val="00EB5BDA"/>
    <w:rsid w:val="00EB6AD1"/>
    <w:rsid w:val="00EB7BCF"/>
    <w:rsid w:val="00EB7CF7"/>
    <w:rsid w:val="00EC06AD"/>
    <w:rsid w:val="00EC37FA"/>
    <w:rsid w:val="00EC4A39"/>
    <w:rsid w:val="00ED1F2A"/>
    <w:rsid w:val="00ED23E7"/>
    <w:rsid w:val="00ED5C37"/>
    <w:rsid w:val="00ED723B"/>
    <w:rsid w:val="00EE0EE8"/>
    <w:rsid w:val="00EE7905"/>
    <w:rsid w:val="00EF06A9"/>
    <w:rsid w:val="00EF0AB1"/>
    <w:rsid w:val="00EF27BA"/>
    <w:rsid w:val="00EF4647"/>
    <w:rsid w:val="00EF5835"/>
    <w:rsid w:val="00EF72DE"/>
    <w:rsid w:val="00F0211B"/>
    <w:rsid w:val="00F13889"/>
    <w:rsid w:val="00F17F56"/>
    <w:rsid w:val="00F22230"/>
    <w:rsid w:val="00F232F9"/>
    <w:rsid w:val="00F324AC"/>
    <w:rsid w:val="00F3666A"/>
    <w:rsid w:val="00F401A9"/>
    <w:rsid w:val="00F40C17"/>
    <w:rsid w:val="00F42703"/>
    <w:rsid w:val="00F514FB"/>
    <w:rsid w:val="00F62668"/>
    <w:rsid w:val="00F626E6"/>
    <w:rsid w:val="00F72513"/>
    <w:rsid w:val="00F77CD8"/>
    <w:rsid w:val="00F80DBA"/>
    <w:rsid w:val="00F81A15"/>
    <w:rsid w:val="00F846F8"/>
    <w:rsid w:val="00F84DF9"/>
    <w:rsid w:val="00F866AE"/>
    <w:rsid w:val="00F953B7"/>
    <w:rsid w:val="00FA46B1"/>
    <w:rsid w:val="00FB5BF5"/>
    <w:rsid w:val="00FB5E18"/>
    <w:rsid w:val="00FB6E74"/>
    <w:rsid w:val="00FC6497"/>
    <w:rsid w:val="00FD0B9A"/>
    <w:rsid w:val="00FD7819"/>
    <w:rsid w:val="00FD7827"/>
    <w:rsid w:val="00FD7FE0"/>
    <w:rsid w:val="00FE3F15"/>
    <w:rsid w:val="00FE4729"/>
    <w:rsid w:val="00FE4870"/>
    <w:rsid w:val="00FE7796"/>
    <w:rsid w:val="00FE7939"/>
    <w:rsid w:val="00FF26F8"/>
    <w:rsid w:val="00FF37FE"/>
    <w:rsid w:val="00FF797A"/>
    <w:rsid w:val="00FF7E63"/>
    <w:rsid w:val="010B280F"/>
    <w:rsid w:val="01261A8C"/>
    <w:rsid w:val="013546E3"/>
    <w:rsid w:val="01AC4168"/>
    <w:rsid w:val="01ED0168"/>
    <w:rsid w:val="01FD129B"/>
    <w:rsid w:val="0200793B"/>
    <w:rsid w:val="021D1813"/>
    <w:rsid w:val="02A90759"/>
    <w:rsid w:val="032457F6"/>
    <w:rsid w:val="032533A2"/>
    <w:rsid w:val="03577A2F"/>
    <w:rsid w:val="03A23D55"/>
    <w:rsid w:val="03C84489"/>
    <w:rsid w:val="03F55C93"/>
    <w:rsid w:val="04293179"/>
    <w:rsid w:val="043B42EE"/>
    <w:rsid w:val="047F6997"/>
    <w:rsid w:val="04DF6C00"/>
    <w:rsid w:val="04E64752"/>
    <w:rsid w:val="04E71576"/>
    <w:rsid w:val="05093DA4"/>
    <w:rsid w:val="055B3806"/>
    <w:rsid w:val="058815BD"/>
    <w:rsid w:val="05EA04F9"/>
    <w:rsid w:val="05EA356B"/>
    <w:rsid w:val="05EA4B8A"/>
    <w:rsid w:val="060B44DD"/>
    <w:rsid w:val="063976EA"/>
    <w:rsid w:val="063A330A"/>
    <w:rsid w:val="06832AD6"/>
    <w:rsid w:val="06955242"/>
    <w:rsid w:val="069B25CB"/>
    <w:rsid w:val="069E458D"/>
    <w:rsid w:val="06C07574"/>
    <w:rsid w:val="06C07699"/>
    <w:rsid w:val="07331710"/>
    <w:rsid w:val="073A3072"/>
    <w:rsid w:val="073D137D"/>
    <w:rsid w:val="074D717F"/>
    <w:rsid w:val="07911761"/>
    <w:rsid w:val="07AA2823"/>
    <w:rsid w:val="07B434F4"/>
    <w:rsid w:val="07C03DF5"/>
    <w:rsid w:val="07DA6087"/>
    <w:rsid w:val="080473AD"/>
    <w:rsid w:val="081303C8"/>
    <w:rsid w:val="08251EAA"/>
    <w:rsid w:val="08252C61"/>
    <w:rsid w:val="082919B9"/>
    <w:rsid w:val="084560A8"/>
    <w:rsid w:val="08464B67"/>
    <w:rsid w:val="08493E5F"/>
    <w:rsid w:val="084F1053"/>
    <w:rsid w:val="0876113C"/>
    <w:rsid w:val="088D1DF0"/>
    <w:rsid w:val="089B4912"/>
    <w:rsid w:val="08AC0146"/>
    <w:rsid w:val="08C2621B"/>
    <w:rsid w:val="08F5630F"/>
    <w:rsid w:val="08F84539"/>
    <w:rsid w:val="09373735"/>
    <w:rsid w:val="09675321"/>
    <w:rsid w:val="09703C99"/>
    <w:rsid w:val="099A5708"/>
    <w:rsid w:val="09B23C11"/>
    <w:rsid w:val="09C743DD"/>
    <w:rsid w:val="0A154562"/>
    <w:rsid w:val="0A3A07BE"/>
    <w:rsid w:val="0A7B1AD2"/>
    <w:rsid w:val="0A8A57FE"/>
    <w:rsid w:val="0AB256B5"/>
    <w:rsid w:val="0AE75B3C"/>
    <w:rsid w:val="0AFD0DB0"/>
    <w:rsid w:val="0B335CF7"/>
    <w:rsid w:val="0B3E19BB"/>
    <w:rsid w:val="0B532FDC"/>
    <w:rsid w:val="0C177D5B"/>
    <w:rsid w:val="0C4274CE"/>
    <w:rsid w:val="0C590374"/>
    <w:rsid w:val="0C8124DD"/>
    <w:rsid w:val="0CD81BE1"/>
    <w:rsid w:val="0CFF06F7"/>
    <w:rsid w:val="0D0346E5"/>
    <w:rsid w:val="0D192846"/>
    <w:rsid w:val="0D260843"/>
    <w:rsid w:val="0D330BC5"/>
    <w:rsid w:val="0D41646F"/>
    <w:rsid w:val="0D4E5772"/>
    <w:rsid w:val="0D5C4EF6"/>
    <w:rsid w:val="0D7868C1"/>
    <w:rsid w:val="0D7B4BA8"/>
    <w:rsid w:val="0D881D7B"/>
    <w:rsid w:val="0D921D8F"/>
    <w:rsid w:val="0D951880"/>
    <w:rsid w:val="0DB8400B"/>
    <w:rsid w:val="0DB8556E"/>
    <w:rsid w:val="0DB87F25"/>
    <w:rsid w:val="0DD2733A"/>
    <w:rsid w:val="0E3355FA"/>
    <w:rsid w:val="0E3C088A"/>
    <w:rsid w:val="0E5D662D"/>
    <w:rsid w:val="0EF92712"/>
    <w:rsid w:val="0F1462F9"/>
    <w:rsid w:val="0F1E3796"/>
    <w:rsid w:val="0F224D75"/>
    <w:rsid w:val="0FBF4773"/>
    <w:rsid w:val="10205A6E"/>
    <w:rsid w:val="10412E47"/>
    <w:rsid w:val="106708BD"/>
    <w:rsid w:val="108732D3"/>
    <w:rsid w:val="109A07AC"/>
    <w:rsid w:val="10D725B0"/>
    <w:rsid w:val="10F12A07"/>
    <w:rsid w:val="110A1986"/>
    <w:rsid w:val="11107C6D"/>
    <w:rsid w:val="111D4DCA"/>
    <w:rsid w:val="112B7416"/>
    <w:rsid w:val="119D6F55"/>
    <w:rsid w:val="119E5E91"/>
    <w:rsid w:val="11BA35E4"/>
    <w:rsid w:val="11EA01B5"/>
    <w:rsid w:val="122D5A63"/>
    <w:rsid w:val="1239627B"/>
    <w:rsid w:val="127054CF"/>
    <w:rsid w:val="128535EC"/>
    <w:rsid w:val="12A47DB5"/>
    <w:rsid w:val="12C97C22"/>
    <w:rsid w:val="12E02220"/>
    <w:rsid w:val="12EF594B"/>
    <w:rsid w:val="12F138C8"/>
    <w:rsid w:val="13040929"/>
    <w:rsid w:val="13132B73"/>
    <w:rsid w:val="131A6A04"/>
    <w:rsid w:val="131B18B2"/>
    <w:rsid w:val="131F63E5"/>
    <w:rsid w:val="134A459D"/>
    <w:rsid w:val="136B256C"/>
    <w:rsid w:val="138621D9"/>
    <w:rsid w:val="138A2693"/>
    <w:rsid w:val="138A30C9"/>
    <w:rsid w:val="139144DC"/>
    <w:rsid w:val="13B9080D"/>
    <w:rsid w:val="13C74AF8"/>
    <w:rsid w:val="13D21B6E"/>
    <w:rsid w:val="13E2715B"/>
    <w:rsid w:val="13F82B68"/>
    <w:rsid w:val="142020F7"/>
    <w:rsid w:val="14290E05"/>
    <w:rsid w:val="1433345C"/>
    <w:rsid w:val="146D0A47"/>
    <w:rsid w:val="149F62FB"/>
    <w:rsid w:val="14A07620"/>
    <w:rsid w:val="14B571A5"/>
    <w:rsid w:val="14E4057C"/>
    <w:rsid w:val="14E804E7"/>
    <w:rsid w:val="154D73B5"/>
    <w:rsid w:val="155153AF"/>
    <w:rsid w:val="15536982"/>
    <w:rsid w:val="158C021A"/>
    <w:rsid w:val="15A81825"/>
    <w:rsid w:val="15C92400"/>
    <w:rsid w:val="165006DF"/>
    <w:rsid w:val="16735934"/>
    <w:rsid w:val="16C6020B"/>
    <w:rsid w:val="16EF1057"/>
    <w:rsid w:val="1720040C"/>
    <w:rsid w:val="172B2476"/>
    <w:rsid w:val="17323114"/>
    <w:rsid w:val="173941ED"/>
    <w:rsid w:val="174F2A9F"/>
    <w:rsid w:val="178607D4"/>
    <w:rsid w:val="179256D8"/>
    <w:rsid w:val="17A0376A"/>
    <w:rsid w:val="17E12A33"/>
    <w:rsid w:val="17F63233"/>
    <w:rsid w:val="18221FC9"/>
    <w:rsid w:val="18301906"/>
    <w:rsid w:val="187277FA"/>
    <w:rsid w:val="18871549"/>
    <w:rsid w:val="18C24DAB"/>
    <w:rsid w:val="18CC0832"/>
    <w:rsid w:val="18FF5448"/>
    <w:rsid w:val="19011919"/>
    <w:rsid w:val="1916335E"/>
    <w:rsid w:val="192A0C6F"/>
    <w:rsid w:val="1931161A"/>
    <w:rsid w:val="19372A43"/>
    <w:rsid w:val="197D7D98"/>
    <w:rsid w:val="19E5059D"/>
    <w:rsid w:val="19EA71F3"/>
    <w:rsid w:val="1A090D71"/>
    <w:rsid w:val="1A0F643C"/>
    <w:rsid w:val="1A4A39F2"/>
    <w:rsid w:val="1AB27F30"/>
    <w:rsid w:val="1B582F76"/>
    <w:rsid w:val="1B5957A5"/>
    <w:rsid w:val="1B5F4AAF"/>
    <w:rsid w:val="1BA23AE5"/>
    <w:rsid w:val="1BC31D98"/>
    <w:rsid w:val="1BC709D8"/>
    <w:rsid w:val="1BD81F9A"/>
    <w:rsid w:val="1C214BCB"/>
    <w:rsid w:val="1C283753"/>
    <w:rsid w:val="1C4E77C9"/>
    <w:rsid w:val="1C560BCE"/>
    <w:rsid w:val="1C5F3784"/>
    <w:rsid w:val="1C9802C0"/>
    <w:rsid w:val="1CB745E8"/>
    <w:rsid w:val="1CD556E0"/>
    <w:rsid w:val="1D1339CD"/>
    <w:rsid w:val="1D393DAD"/>
    <w:rsid w:val="1D456AFB"/>
    <w:rsid w:val="1D620733"/>
    <w:rsid w:val="1D6C3651"/>
    <w:rsid w:val="1D803E3B"/>
    <w:rsid w:val="1DD83EF8"/>
    <w:rsid w:val="1DE67A2A"/>
    <w:rsid w:val="1DFE24CB"/>
    <w:rsid w:val="1E0F11DA"/>
    <w:rsid w:val="1E276524"/>
    <w:rsid w:val="1E7828DC"/>
    <w:rsid w:val="1E810B88"/>
    <w:rsid w:val="1E892D3B"/>
    <w:rsid w:val="1EBA2D31"/>
    <w:rsid w:val="1ECC4BCA"/>
    <w:rsid w:val="1EDA07E2"/>
    <w:rsid w:val="1F1F05CB"/>
    <w:rsid w:val="1F443106"/>
    <w:rsid w:val="1F5410F6"/>
    <w:rsid w:val="1F571FF6"/>
    <w:rsid w:val="1F5F06B9"/>
    <w:rsid w:val="1F6E105A"/>
    <w:rsid w:val="1FB12B7B"/>
    <w:rsid w:val="1FC7302D"/>
    <w:rsid w:val="1FE312CB"/>
    <w:rsid w:val="1FEB224B"/>
    <w:rsid w:val="1FFC7B69"/>
    <w:rsid w:val="204078B6"/>
    <w:rsid w:val="2091307A"/>
    <w:rsid w:val="20A13AD8"/>
    <w:rsid w:val="20BA3FC7"/>
    <w:rsid w:val="20C62121"/>
    <w:rsid w:val="21352A31"/>
    <w:rsid w:val="213E5246"/>
    <w:rsid w:val="217413A5"/>
    <w:rsid w:val="21CD53F4"/>
    <w:rsid w:val="220B1C34"/>
    <w:rsid w:val="221A7024"/>
    <w:rsid w:val="22484CBB"/>
    <w:rsid w:val="225A1712"/>
    <w:rsid w:val="226118D9"/>
    <w:rsid w:val="22770B7C"/>
    <w:rsid w:val="22822497"/>
    <w:rsid w:val="22962C24"/>
    <w:rsid w:val="22A01E36"/>
    <w:rsid w:val="22D402FC"/>
    <w:rsid w:val="23291736"/>
    <w:rsid w:val="233C4F28"/>
    <w:rsid w:val="234C4337"/>
    <w:rsid w:val="23853ECE"/>
    <w:rsid w:val="23E33803"/>
    <w:rsid w:val="24151E4A"/>
    <w:rsid w:val="241F14A6"/>
    <w:rsid w:val="24541E73"/>
    <w:rsid w:val="24545B99"/>
    <w:rsid w:val="245A0742"/>
    <w:rsid w:val="24654D6D"/>
    <w:rsid w:val="24713D83"/>
    <w:rsid w:val="248B316C"/>
    <w:rsid w:val="24940E9E"/>
    <w:rsid w:val="24C04FDC"/>
    <w:rsid w:val="24F15196"/>
    <w:rsid w:val="25014B48"/>
    <w:rsid w:val="25040928"/>
    <w:rsid w:val="25190492"/>
    <w:rsid w:val="25553977"/>
    <w:rsid w:val="25582489"/>
    <w:rsid w:val="256E0263"/>
    <w:rsid w:val="25867FD4"/>
    <w:rsid w:val="258D5E48"/>
    <w:rsid w:val="25913E43"/>
    <w:rsid w:val="25DC3148"/>
    <w:rsid w:val="25F06C08"/>
    <w:rsid w:val="26143832"/>
    <w:rsid w:val="265E2776"/>
    <w:rsid w:val="26A821CC"/>
    <w:rsid w:val="273E03CD"/>
    <w:rsid w:val="275C758B"/>
    <w:rsid w:val="27A962EF"/>
    <w:rsid w:val="27EF0F2E"/>
    <w:rsid w:val="281C3B25"/>
    <w:rsid w:val="286640ED"/>
    <w:rsid w:val="28873370"/>
    <w:rsid w:val="28AA222B"/>
    <w:rsid w:val="28CC6E29"/>
    <w:rsid w:val="28E33CFA"/>
    <w:rsid w:val="28E436A9"/>
    <w:rsid w:val="28E8158D"/>
    <w:rsid w:val="28F33BD2"/>
    <w:rsid w:val="28F941DA"/>
    <w:rsid w:val="293D563B"/>
    <w:rsid w:val="29421067"/>
    <w:rsid w:val="29736E12"/>
    <w:rsid w:val="29945C1B"/>
    <w:rsid w:val="29B06B09"/>
    <w:rsid w:val="2A0A6BB0"/>
    <w:rsid w:val="2A1060BE"/>
    <w:rsid w:val="2A564F86"/>
    <w:rsid w:val="2ADC66A6"/>
    <w:rsid w:val="2B1B5E11"/>
    <w:rsid w:val="2B1C6CE5"/>
    <w:rsid w:val="2B3925EE"/>
    <w:rsid w:val="2B575281"/>
    <w:rsid w:val="2B5D3585"/>
    <w:rsid w:val="2B6022A9"/>
    <w:rsid w:val="2BB704E5"/>
    <w:rsid w:val="2C00131E"/>
    <w:rsid w:val="2C5B55EB"/>
    <w:rsid w:val="2CAE5655"/>
    <w:rsid w:val="2CB06434"/>
    <w:rsid w:val="2CB44A2F"/>
    <w:rsid w:val="2D143853"/>
    <w:rsid w:val="2D2D34D0"/>
    <w:rsid w:val="2D302A81"/>
    <w:rsid w:val="2D306A77"/>
    <w:rsid w:val="2D4367AA"/>
    <w:rsid w:val="2D972CA6"/>
    <w:rsid w:val="2DA76D39"/>
    <w:rsid w:val="2DCF0DA2"/>
    <w:rsid w:val="2DFD265D"/>
    <w:rsid w:val="2E01276E"/>
    <w:rsid w:val="2E083E2E"/>
    <w:rsid w:val="2E1C47B8"/>
    <w:rsid w:val="2E3020C2"/>
    <w:rsid w:val="2E33681F"/>
    <w:rsid w:val="2E695DDB"/>
    <w:rsid w:val="2E741224"/>
    <w:rsid w:val="2E905A1F"/>
    <w:rsid w:val="2EF51AB7"/>
    <w:rsid w:val="2EFC5DBA"/>
    <w:rsid w:val="2F141D90"/>
    <w:rsid w:val="2F2E4E74"/>
    <w:rsid w:val="2F7C5FA4"/>
    <w:rsid w:val="2F8621E7"/>
    <w:rsid w:val="2F923A19"/>
    <w:rsid w:val="2FA9561C"/>
    <w:rsid w:val="30354AD0"/>
    <w:rsid w:val="304E20CD"/>
    <w:rsid w:val="30A371B5"/>
    <w:rsid w:val="30DB314C"/>
    <w:rsid w:val="30F640B5"/>
    <w:rsid w:val="31295AE8"/>
    <w:rsid w:val="3148766A"/>
    <w:rsid w:val="316945B9"/>
    <w:rsid w:val="31A6555A"/>
    <w:rsid w:val="31D71652"/>
    <w:rsid w:val="320F75A3"/>
    <w:rsid w:val="321E1594"/>
    <w:rsid w:val="326C67A7"/>
    <w:rsid w:val="327D62BB"/>
    <w:rsid w:val="329B393D"/>
    <w:rsid w:val="32C55627"/>
    <w:rsid w:val="32F00BB7"/>
    <w:rsid w:val="32F44DC6"/>
    <w:rsid w:val="33840144"/>
    <w:rsid w:val="33B537F7"/>
    <w:rsid w:val="33CC35CD"/>
    <w:rsid w:val="340A6274"/>
    <w:rsid w:val="340E597F"/>
    <w:rsid w:val="341B234C"/>
    <w:rsid w:val="344A447E"/>
    <w:rsid w:val="35067FF6"/>
    <w:rsid w:val="351A06B3"/>
    <w:rsid w:val="353F30B2"/>
    <w:rsid w:val="35686B23"/>
    <w:rsid w:val="35B25859"/>
    <w:rsid w:val="35E238E6"/>
    <w:rsid w:val="3640198B"/>
    <w:rsid w:val="36940077"/>
    <w:rsid w:val="369578B7"/>
    <w:rsid w:val="36CA3EBD"/>
    <w:rsid w:val="36D9126B"/>
    <w:rsid w:val="36DD4AFB"/>
    <w:rsid w:val="36EA26A6"/>
    <w:rsid w:val="3712524A"/>
    <w:rsid w:val="37135440"/>
    <w:rsid w:val="3716427E"/>
    <w:rsid w:val="37180CA8"/>
    <w:rsid w:val="371C32B0"/>
    <w:rsid w:val="374233B8"/>
    <w:rsid w:val="37D03BCB"/>
    <w:rsid w:val="37D079F6"/>
    <w:rsid w:val="37E320A2"/>
    <w:rsid w:val="37EB517D"/>
    <w:rsid w:val="380134EA"/>
    <w:rsid w:val="38562516"/>
    <w:rsid w:val="38607DE7"/>
    <w:rsid w:val="38C64ED7"/>
    <w:rsid w:val="39146644"/>
    <w:rsid w:val="3922196A"/>
    <w:rsid w:val="394A0EC1"/>
    <w:rsid w:val="395C3445"/>
    <w:rsid w:val="39822EBF"/>
    <w:rsid w:val="398443D3"/>
    <w:rsid w:val="399A1E48"/>
    <w:rsid w:val="39CB4CA6"/>
    <w:rsid w:val="39E902C9"/>
    <w:rsid w:val="39F4183F"/>
    <w:rsid w:val="3A165FCA"/>
    <w:rsid w:val="3A542DF7"/>
    <w:rsid w:val="3A545BF6"/>
    <w:rsid w:val="3A575052"/>
    <w:rsid w:val="3A584BAB"/>
    <w:rsid w:val="3A6E245F"/>
    <w:rsid w:val="3A813EFC"/>
    <w:rsid w:val="3AA87613"/>
    <w:rsid w:val="3AEC08EB"/>
    <w:rsid w:val="3B0F526C"/>
    <w:rsid w:val="3B1B0128"/>
    <w:rsid w:val="3B332C25"/>
    <w:rsid w:val="3B5937DA"/>
    <w:rsid w:val="3B603468"/>
    <w:rsid w:val="3B7E5D79"/>
    <w:rsid w:val="3B8149E8"/>
    <w:rsid w:val="3B8E0DD5"/>
    <w:rsid w:val="3BB24E04"/>
    <w:rsid w:val="3BCE582B"/>
    <w:rsid w:val="3BD31948"/>
    <w:rsid w:val="3BF9568C"/>
    <w:rsid w:val="3BFD703D"/>
    <w:rsid w:val="3C445311"/>
    <w:rsid w:val="3C4E2A76"/>
    <w:rsid w:val="3C5A477A"/>
    <w:rsid w:val="3C5C1231"/>
    <w:rsid w:val="3C731C15"/>
    <w:rsid w:val="3CB90837"/>
    <w:rsid w:val="3CCA1CFE"/>
    <w:rsid w:val="3CE77152"/>
    <w:rsid w:val="3D830794"/>
    <w:rsid w:val="3DD32A71"/>
    <w:rsid w:val="3DF365D6"/>
    <w:rsid w:val="3E1955E8"/>
    <w:rsid w:val="3E371A14"/>
    <w:rsid w:val="3E52684D"/>
    <w:rsid w:val="3E8F04BB"/>
    <w:rsid w:val="3EB62B31"/>
    <w:rsid w:val="3EED5EEA"/>
    <w:rsid w:val="3F3F4778"/>
    <w:rsid w:val="3F8E13F7"/>
    <w:rsid w:val="3F9B7FBE"/>
    <w:rsid w:val="3FD04679"/>
    <w:rsid w:val="400343DA"/>
    <w:rsid w:val="401753E8"/>
    <w:rsid w:val="402A2F17"/>
    <w:rsid w:val="40330901"/>
    <w:rsid w:val="404158CF"/>
    <w:rsid w:val="405C0BE6"/>
    <w:rsid w:val="40857CD0"/>
    <w:rsid w:val="408A7819"/>
    <w:rsid w:val="40E76208"/>
    <w:rsid w:val="40F51503"/>
    <w:rsid w:val="40F71FD6"/>
    <w:rsid w:val="417122BD"/>
    <w:rsid w:val="41753122"/>
    <w:rsid w:val="417C10D6"/>
    <w:rsid w:val="41AB0CC4"/>
    <w:rsid w:val="41EF3871"/>
    <w:rsid w:val="42017A44"/>
    <w:rsid w:val="4223152A"/>
    <w:rsid w:val="42372B92"/>
    <w:rsid w:val="42634412"/>
    <w:rsid w:val="42823479"/>
    <w:rsid w:val="429C5D7A"/>
    <w:rsid w:val="42A85CB2"/>
    <w:rsid w:val="42B2629D"/>
    <w:rsid w:val="42E640F8"/>
    <w:rsid w:val="43011B6E"/>
    <w:rsid w:val="43060E2D"/>
    <w:rsid w:val="43243D20"/>
    <w:rsid w:val="433B01F8"/>
    <w:rsid w:val="43467C31"/>
    <w:rsid w:val="43576363"/>
    <w:rsid w:val="43641B3C"/>
    <w:rsid w:val="436A04F5"/>
    <w:rsid w:val="439C056B"/>
    <w:rsid w:val="439F01AB"/>
    <w:rsid w:val="43B058CD"/>
    <w:rsid w:val="43B6162D"/>
    <w:rsid w:val="43C875B2"/>
    <w:rsid w:val="43DB205E"/>
    <w:rsid w:val="44245BEB"/>
    <w:rsid w:val="442C568E"/>
    <w:rsid w:val="4439400C"/>
    <w:rsid w:val="444F60D1"/>
    <w:rsid w:val="44517D5F"/>
    <w:rsid w:val="448F5EE9"/>
    <w:rsid w:val="45152F2E"/>
    <w:rsid w:val="454D10D3"/>
    <w:rsid w:val="45667082"/>
    <w:rsid w:val="45A831F7"/>
    <w:rsid w:val="45BA334A"/>
    <w:rsid w:val="45DE130F"/>
    <w:rsid w:val="45DF6C52"/>
    <w:rsid w:val="45F71A09"/>
    <w:rsid w:val="462F1C6A"/>
    <w:rsid w:val="463E1227"/>
    <w:rsid w:val="46625A9C"/>
    <w:rsid w:val="471825FE"/>
    <w:rsid w:val="4761339C"/>
    <w:rsid w:val="476A10AC"/>
    <w:rsid w:val="476F0038"/>
    <w:rsid w:val="47A11E2A"/>
    <w:rsid w:val="47BC3BB7"/>
    <w:rsid w:val="47BE292F"/>
    <w:rsid w:val="47CE35B6"/>
    <w:rsid w:val="47E63185"/>
    <w:rsid w:val="47F57989"/>
    <w:rsid w:val="48010F99"/>
    <w:rsid w:val="48045DAD"/>
    <w:rsid w:val="485A0F31"/>
    <w:rsid w:val="48A560A8"/>
    <w:rsid w:val="48A71486"/>
    <w:rsid w:val="48D80F37"/>
    <w:rsid w:val="490C66E5"/>
    <w:rsid w:val="49155047"/>
    <w:rsid w:val="49305B5C"/>
    <w:rsid w:val="49423962"/>
    <w:rsid w:val="49463453"/>
    <w:rsid w:val="49675354"/>
    <w:rsid w:val="498E15A8"/>
    <w:rsid w:val="49E760C4"/>
    <w:rsid w:val="49E862B8"/>
    <w:rsid w:val="4A245E96"/>
    <w:rsid w:val="4A6A36ED"/>
    <w:rsid w:val="4A7638C4"/>
    <w:rsid w:val="4A791EC3"/>
    <w:rsid w:val="4AC102B3"/>
    <w:rsid w:val="4AD54C2D"/>
    <w:rsid w:val="4AE06EAE"/>
    <w:rsid w:val="4B5918AB"/>
    <w:rsid w:val="4B5F0A2C"/>
    <w:rsid w:val="4B844BCA"/>
    <w:rsid w:val="4B8E474B"/>
    <w:rsid w:val="4B96450B"/>
    <w:rsid w:val="4BB74194"/>
    <w:rsid w:val="4BF00212"/>
    <w:rsid w:val="4BF37045"/>
    <w:rsid w:val="4C25217C"/>
    <w:rsid w:val="4C2C4B82"/>
    <w:rsid w:val="4C9D5A7F"/>
    <w:rsid w:val="4D1D44CA"/>
    <w:rsid w:val="4D9E34D3"/>
    <w:rsid w:val="4DA1357C"/>
    <w:rsid w:val="4DC16DD5"/>
    <w:rsid w:val="4DC40DEA"/>
    <w:rsid w:val="4DD54212"/>
    <w:rsid w:val="4DF53699"/>
    <w:rsid w:val="4E135294"/>
    <w:rsid w:val="4E323FA5"/>
    <w:rsid w:val="4E381AFA"/>
    <w:rsid w:val="4E3A4E06"/>
    <w:rsid w:val="4F0170F3"/>
    <w:rsid w:val="4F5C0741"/>
    <w:rsid w:val="4F943124"/>
    <w:rsid w:val="4FA71FD9"/>
    <w:rsid w:val="4FE236DD"/>
    <w:rsid w:val="500707B0"/>
    <w:rsid w:val="500855AF"/>
    <w:rsid w:val="50185A7A"/>
    <w:rsid w:val="502D2C76"/>
    <w:rsid w:val="50485D02"/>
    <w:rsid w:val="50601F61"/>
    <w:rsid w:val="50906146"/>
    <w:rsid w:val="5093170B"/>
    <w:rsid w:val="50A30B5D"/>
    <w:rsid w:val="50A64302"/>
    <w:rsid w:val="50C26EDF"/>
    <w:rsid w:val="50D41344"/>
    <w:rsid w:val="50FA39A9"/>
    <w:rsid w:val="51166CC6"/>
    <w:rsid w:val="512C1E84"/>
    <w:rsid w:val="51426BF5"/>
    <w:rsid w:val="514774AD"/>
    <w:rsid w:val="515C3A4F"/>
    <w:rsid w:val="516F6BD3"/>
    <w:rsid w:val="51812ED3"/>
    <w:rsid w:val="51B90893"/>
    <w:rsid w:val="51D75590"/>
    <w:rsid w:val="523924E1"/>
    <w:rsid w:val="525766D1"/>
    <w:rsid w:val="52742E1D"/>
    <w:rsid w:val="52766E94"/>
    <w:rsid w:val="52CB54CC"/>
    <w:rsid w:val="52DA30A5"/>
    <w:rsid w:val="52E83286"/>
    <w:rsid w:val="52FE67E5"/>
    <w:rsid w:val="53040EC3"/>
    <w:rsid w:val="530C5A74"/>
    <w:rsid w:val="531830CB"/>
    <w:rsid w:val="531E1D33"/>
    <w:rsid w:val="5345477B"/>
    <w:rsid w:val="534F3015"/>
    <w:rsid w:val="538E27F3"/>
    <w:rsid w:val="53A63921"/>
    <w:rsid w:val="53B27ADE"/>
    <w:rsid w:val="53B76A5D"/>
    <w:rsid w:val="541A7584"/>
    <w:rsid w:val="543A3BB4"/>
    <w:rsid w:val="545F2FF8"/>
    <w:rsid w:val="549A6186"/>
    <w:rsid w:val="54B0376E"/>
    <w:rsid w:val="54E346CA"/>
    <w:rsid w:val="54FA66BC"/>
    <w:rsid w:val="550245FF"/>
    <w:rsid w:val="5524045E"/>
    <w:rsid w:val="55705313"/>
    <w:rsid w:val="55797A50"/>
    <w:rsid w:val="55A03EEB"/>
    <w:rsid w:val="55AA12B8"/>
    <w:rsid w:val="55B640B8"/>
    <w:rsid w:val="55C36571"/>
    <w:rsid w:val="55CB3288"/>
    <w:rsid w:val="56371A62"/>
    <w:rsid w:val="56491A6A"/>
    <w:rsid w:val="564B4130"/>
    <w:rsid w:val="565019E7"/>
    <w:rsid w:val="565F3AEE"/>
    <w:rsid w:val="56834B4E"/>
    <w:rsid w:val="56A6554F"/>
    <w:rsid w:val="570235A6"/>
    <w:rsid w:val="5724744F"/>
    <w:rsid w:val="57251C69"/>
    <w:rsid w:val="575256B8"/>
    <w:rsid w:val="576A48C7"/>
    <w:rsid w:val="57A10D54"/>
    <w:rsid w:val="57EA40D9"/>
    <w:rsid w:val="58020E8D"/>
    <w:rsid w:val="582F1180"/>
    <w:rsid w:val="584B0E16"/>
    <w:rsid w:val="58520B65"/>
    <w:rsid w:val="587B479B"/>
    <w:rsid w:val="588A23F9"/>
    <w:rsid w:val="58A2566F"/>
    <w:rsid w:val="58B94C27"/>
    <w:rsid w:val="58C039E1"/>
    <w:rsid w:val="58C43F49"/>
    <w:rsid w:val="58DD68BA"/>
    <w:rsid w:val="59517E89"/>
    <w:rsid w:val="5963595B"/>
    <w:rsid w:val="598C4A22"/>
    <w:rsid w:val="59931CB1"/>
    <w:rsid w:val="59CF0A32"/>
    <w:rsid w:val="59FF7F0A"/>
    <w:rsid w:val="5A2B3FA4"/>
    <w:rsid w:val="5A445E82"/>
    <w:rsid w:val="5A536BD9"/>
    <w:rsid w:val="5A861568"/>
    <w:rsid w:val="5AAE65CC"/>
    <w:rsid w:val="5AD0222B"/>
    <w:rsid w:val="5AD65B2E"/>
    <w:rsid w:val="5ADB6F9B"/>
    <w:rsid w:val="5ADE22A8"/>
    <w:rsid w:val="5AF745AD"/>
    <w:rsid w:val="5AFC1BC3"/>
    <w:rsid w:val="5B0A1C1C"/>
    <w:rsid w:val="5B3B7F3D"/>
    <w:rsid w:val="5B422E2E"/>
    <w:rsid w:val="5B5F2152"/>
    <w:rsid w:val="5B7E65F2"/>
    <w:rsid w:val="5B875BFF"/>
    <w:rsid w:val="5BA46CE2"/>
    <w:rsid w:val="5BA74225"/>
    <w:rsid w:val="5BB66216"/>
    <w:rsid w:val="5C0D184A"/>
    <w:rsid w:val="5C31457A"/>
    <w:rsid w:val="5C427AAA"/>
    <w:rsid w:val="5C4915A7"/>
    <w:rsid w:val="5C6043D4"/>
    <w:rsid w:val="5C63011B"/>
    <w:rsid w:val="5C674B14"/>
    <w:rsid w:val="5C7747AB"/>
    <w:rsid w:val="5C910060"/>
    <w:rsid w:val="5CB87D6C"/>
    <w:rsid w:val="5CDF4F79"/>
    <w:rsid w:val="5CF321ED"/>
    <w:rsid w:val="5D8B3F32"/>
    <w:rsid w:val="5DA235EE"/>
    <w:rsid w:val="5DCC6F53"/>
    <w:rsid w:val="5DEF7A9B"/>
    <w:rsid w:val="5E0019CA"/>
    <w:rsid w:val="5E024885"/>
    <w:rsid w:val="5E0E058B"/>
    <w:rsid w:val="5E2E29DB"/>
    <w:rsid w:val="5E390074"/>
    <w:rsid w:val="5E535CBB"/>
    <w:rsid w:val="5EB558FD"/>
    <w:rsid w:val="5EBD3D5F"/>
    <w:rsid w:val="5EE2473F"/>
    <w:rsid w:val="5EE412EC"/>
    <w:rsid w:val="5EF306F8"/>
    <w:rsid w:val="5F1119B5"/>
    <w:rsid w:val="5F185629"/>
    <w:rsid w:val="5F2B6F1B"/>
    <w:rsid w:val="5F3545E4"/>
    <w:rsid w:val="5F593A88"/>
    <w:rsid w:val="5FA308B8"/>
    <w:rsid w:val="5FAD2C1F"/>
    <w:rsid w:val="5FAE7285"/>
    <w:rsid w:val="5FBB1776"/>
    <w:rsid w:val="5FDA624B"/>
    <w:rsid w:val="5FF46F87"/>
    <w:rsid w:val="5FF52A4D"/>
    <w:rsid w:val="5FF72AE6"/>
    <w:rsid w:val="6031334D"/>
    <w:rsid w:val="60473A0E"/>
    <w:rsid w:val="605D6865"/>
    <w:rsid w:val="60A65C6C"/>
    <w:rsid w:val="60AD4A13"/>
    <w:rsid w:val="60BA7C23"/>
    <w:rsid w:val="61117511"/>
    <w:rsid w:val="612510E2"/>
    <w:rsid w:val="61301734"/>
    <w:rsid w:val="61AD3C17"/>
    <w:rsid w:val="61F93300"/>
    <w:rsid w:val="62032BD6"/>
    <w:rsid w:val="6206638D"/>
    <w:rsid w:val="624101BC"/>
    <w:rsid w:val="62EB414C"/>
    <w:rsid w:val="63015E4A"/>
    <w:rsid w:val="630F4550"/>
    <w:rsid w:val="63275E72"/>
    <w:rsid w:val="63443525"/>
    <w:rsid w:val="63512D5C"/>
    <w:rsid w:val="63520F1A"/>
    <w:rsid w:val="63846072"/>
    <w:rsid w:val="639A6785"/>
    <w:rsid w:val="63A116D7"/>
    <w:rsid w:val="63D80CF3"/>
    <w:rsid w:val="63E51C39"/>
    <w:rsid w:val="63FA1AC3"/>
    <w:rsid w:val="63FF0FCC"/>
    <w:rsid w:val="63FF5F9A"/>
    <w:rsid w:val="64130BB8"/>
    <w:rsid w:val="64191A38"/>
    <w:rsid w:val="64300880"/>
    <w:rsid w:val="64350D5F"/>
    <w:rsid w:val="644373F5"/>
    <w:rsid w:val="645D1035"/>
    <w:rsid w:val="64747D3B"/>
    <w:rsid w:val="64F72C41"/>
    <w:rsid w:val="65046244"/>
    <w:rsid w:val="65046CE4"/>
    <w:rsid w:val="65270184"/>
    <w:rsid w:val="65385EEE"/>
    <w:rsid w:val="653A5C61"/>
    <w:rsid w:val="65463461"/>
    <w:rsid w:val="65471DFE"/>
    <w:rsid w:val="6548610D"/>
    <w:rsid w:val="65622F6B"/>
    <w:rsid w:val="656657E9"/>
    <w:rsid w:val="658F18E4"/>
    <w:rsid w:val="65A55F38"/>
    <w:rsid w:val="65AE1E15"/>
    <w:rsid w:val="65B95490"/>
    <w:rsid w:val="65C60144"/>
    <w:rsid w:val="65E9368C"/>
    <w:rsid w:val="65F56899"/>
    <w:rsid w:val="65F918CA"/>
    <w:rsid w:val="661F76A7"/>
    <w:rsid w:val="66561C9D"/>
    <w:rsid w:val="6661364B"/>
    <w:rsid w:val="667170C6"/>
    <w:rsid w:val="668533B4"/>
    <w:rsid w:val="668630B5"/>
    <w:rsid w:val="66C622FB"/>
    <w:rsid w:val="66D97CF6"/>
    <w:rsid w:val="66DC300A"/>
    <w:rsid w:val="66E229F3"/>
    <w:rsid w:val="66E2573B"/>
    <w:rsid w:val="66FF6CC3"/>
    <w:rsid w:val="67027927"/>
    <w:rsid w:val="671D35ED"/>
    <w:rsid w:val="67346850"/>
    <w:rsid w:val="673C49EB"/>
    <w:rsid w:val="6795159E"/>
    <w:rsid w:val="67C1041C"/>
    <w:rsid w:val="67E71172"/>
    <w:rsid w:val="68072739"/>
    <w:rsid w:val="68195C01"/>
    <w:rsid w:val="681A5D7E"/>
    <w:rsid w:val="68652ADA"/>
    <w:rsid w:val="688D300E"/>
    <w:rsid w:val="688F051A"/>
    <w:rsid w:val="689A2A1B"/>
    <w:rsid w:val="68AA0EB0"/>
    <w:rsid w:val="68B30B87"/>
    <w:rsid w:val="68CB427A"/>
    <w:rsid w:val="68CB4BA8"/>
    <w:rsid w:val="68E93DF6"/>
    <w:rsid w:val="69366BE8"/>
    <w:rsid w:val="69372A25"/>
    <w:rsid w:val="6944175B"/>
    <w:rsid w:val="697D6A88"/>
    <w:rsid w:val="698B1703"/>
    <w:rsid w:val="69AC6EAA"/>
    <w:rsid w:val="6A2D7FEB"/>
    <w:rsid w:val="6A507835"/>
    <w:rsid w:val="6A690733"/>
    <w:rsid w:val="6A713A4F"/>
    <w:rsid w:val="6A755A31"/>
    <w:rsid w:val="6A850EB8"/>
    <w:rsid w:val="6A9165FD"/>
    <w:rsid w:val="6A9A4F55"/>
    <w:rsid w:val="6AC65D4A"/>
    <w:rsid w:val="6B3F68D0"/>
    <w:rsid w:val="6B5E41D4"/>
    <w:rsid w:val="6B8407C1"/>
    <w:rsid w:val="6BB87D88"/>
    <w:rsid w:val="6BE446D9"/>
    <w:rsid w:val="6C197A9F"/>
    <w:rsid w:val="6C1C0B02"/>
    <w:rsid w:val="6C691DB1"/>
    <w:rsid w:val="6C6A0E2B"/>
    <w:rsid w:val="6C922D47"/>
    <w:rsid w:val="6CB5212B"/>
    <w:rsid w:val="6CD72490"/>
    <w:rsid w:val="6CF54C3D"/>
    <w:rsid w:val="6CFB10D7"/>
    <w:rsid w:val="6CFC13C2"/>
    <w:rsid w:val="6D003795"/>
    <w:rsid w:val="6D176D30"/>
    <w:rsid w:val="6D2E6EDC"/>
    <w:rsid w:val="6D4A4A10"/>
    <w:rsid w:val="6D604F49"/>
    <w:rsid w:val="6D67242F"/>
    <w:rsid w:val="6DF23C48"/>
    <w:rsid w:val="6DFF5AD0"/>
    <w:rsid w:val="6E2426B1"/>
    <w:rsid w:val="6E2A3B27"/>
    <w:rsid w:val="6E3B3B2D"/>
    <w:rsid w:val="6E72115D"/>
    <w:rsid w:val="6EAD64C8"/>
    <w:rsid w:val="6EFB7594"/>
    <w:rsid w:val="6F3E078C"/>
    <w:rsid w:val="6F535138"/>
    <w:rsid w:val="6F90109E"/>
    <w:rsid w:val="6F932713"/>
    <w:rsid w:val="6F9E082E"/>
    <w:rsid w:val="6FC143D8"/>
    <w:rsid w:val="6FF9271D"/>
    <w:rsid w:val="701C6DDB"/>
    <w:rsid w:val="704030B4"/>
    <w:rsid w:val="7046417E"/>
    <w:rsid w:val="70633118"/>
    <w:rsid w:val="70853FB1"/>
    <w:rsid w:val="70C9694B"/>
    <w:rsid w:val="70D733EF"/>
    <w:rsid w:val="710D37AE"/>
    <w:rsid w:val="713142F7"/>
    <w:rsid w:val="71990572"/>
    <w:rsid w:val="71A566B9"/>
    <w:rsid w:val="71A843CF"/>
    <w:rsid w:val="71B50DB3"/>
    <w:rsid w:val="71BA76B3"/>
    <w:rsid w:val="71CD1430"/>
    <w:rsid w:val="720F7FD6"/>
    <w:rsid w:val="72314676"/>
    <w:rsid w:val="72402885"/>
    <w:rsid w:val="72874010"/>
    <w:rsid w:val="72A057C0"/>
    <w:rsid w:val="72B6328C"/>
    <w:rsid w:val="72BA096E"/>
    <w:rsid w:val="72E66081"/>
    <w:rsid w:val="72E826C1"/>
    <w:rsid w:val="7308721C"/>
    <w:rsid w:val="734737A0"/>
    <w:rsid w:val="735139B5"/>
    <w:rsid w:val="736B1B84"/>
    <w:rsid w:val="73775A47"/>
    <w:rsid w:val="73785733"/>
    <w:rsid w:val="73922C6D"/>
    <w:rsid w:val="73B9057D"/>
    <w:rsid w:val="73C57755"/>
    <w:rsid w:val="73CD3073"/>
    <w:rsid w:val="73D44AB9"/>
    <w:rsid w:val="73DC09ED"/>
    <w:rsid w:val="740F0761"/>
    <w:rsid w:val="7421338A"/>
    <w:rsid w:val="74242CF0"/>
    <w:rsid w:val="74387CB8"/>
    <w:rsid w:val="745148D6"/>
    <w:rsid w:val="748F14BA"/>
    <w:rsid w:val="74AA3DA5"/>
    <w:rsid w:val="74C95E39"/>
    <w:rsid w:val="74D66F31"/>
    <w:rsid w:val="74DE3871"/>
    <w:rsid w:val="74E163CB"/>
    <w:rsid w:val="74E92D60"/>
    <w:rsid w:val="750B717B"/>
    <w:rsid w:val="750C7C81"/>
    <w:rsid w:val="753D30AC"/>
    <w:rsid w:val="755E4E03"/>
    <w:rsid w:val="75A84614"/>
    <w:rsid w:val="75D40DAB"/>
    <w:rsid w:val="75E90DCA"/>
    <w:rsid w:val="75EF0278"/>
    <w:rsid w:val="76034C5E"/>
    <w:rsid w:val="761C7166"/>
    <w:rsid w:val="769767EC"/>
    <w:rsid w:val="769B7129"/>
    <w:rsid w:val="76F20B73"/>
    <w:rsid w:val="7709593C"/>
    <w:rsid w:val="770F6259"/>
    <w:rsid w:val="77295CFD"/>
    <w:rsid w:val="77C35AEB"/>
    <w:rsid w:val="7838441E"/>
    <w:rsid w:val="78491575"/>
    <w:rsid w:val="786A41B8"/>
    <w:rsid w:val="786E4FA0"/>
    <w:rsid w:val="78915348"/>
    <w:rsid w:val="78CD41C6"/>
    <w:rsid w:val="78E04DBC"/>
    <w:rsid w:val="78EE1536"/>
    <w:rsid w:val="7979203A"/>
    <w:rsid w:val="79A408EB"/>
    <w:rsid w:val="79B65BBA"/>
    <w:rsid w:val="79D60F5E"/>
    <w:rsid w:val="7A7E219D"/>
    <w:rsid w:val="7A831494"/>
    <w:rsid w:val="7A8521C3"/>
    <w:rsid w:val="7AAD27EC"/>
    <w:rsid w:val="7AB415BE"/>
    <w:rsid w:val="7AC1313C"/>
    <w:rsid w:val="7AD576B7"/>
    <w:rsid w:val="7ADB379E"/>
    <w:rsid w:val="7B165CA6"/>
    <w:rsid w:val="7B687891"/>
    <w:rsid w:val="7B8C4A0B"/>
    <w:rsid w:val="7BA23C3C"/>
    <w:rsid w:val="7BAF0005"/>
    <w:rsid w:val="7BF17F9E"/>
    <w:rsid w:val="7C376AA7"/>
    <w:rsid w:val="7C3C5E6C"/>
    <w:rsid w:val="7C4F2043"/>
    <w:rsid w:val="7C66738C"/>
    <w:rsid w:val="7C686C61"/>
    <w:rsid w:val="7C6A22AC"/>
    <w:rsid w:val="7C6B5BCF"/>
    <w:rsid w:val="7CAC1243"/>
    <w:rsid w:val="7D5E4F5A"/>
    <w:rsid w:val="7D646186"/>
    <w:rsid w:val="7D6A4C5A"/>
    <w:rsid w:val="7D7D7765"/>
    <w:rsid w:val="7D8C697F"/>
    <w:rsid w:val="7DF9199E"/>
    <w:rsid w:val="7E002742"/>
    <w:rsid w:val="7E0B7949"/>
    <w:rsid w:val="7E583373"/>
    <w:rsid w:val="7E5E0451"/>
    <w:rsid w:val="7E84532A"/>
    <w:rsid w:val="7E9C52E7"/>
    <w:rsid w:val="7EB20F13"/>
    <w:rsid w:val="7EB631C9"/>
    <w:rsid w:val="7EB94FF2"/>
    <w:rsid w:val="7F1926DB"/>
    <w:rsid w:val="7F204F00"/>
    <w:rsid w:val="7F390D88"/>
    <w:rsid w:val="7F454D56"/>
    <w:rsid w:val="7F66023A"/>
    <w:rsid w:val="7F7F574F"/>
    <w:rsid w:val="7FA534D3"/>
    <w:rsid w:val="7FBD4E9C"/>
    <w:rsid w:val="7FC91D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name="Body Text First Indent"/>
    <w:lsdException w:qFormat="1" w:uiPriority="99" w:semiHidden="0" w:name="Body Text First Indent 2"/>
    <w:lsdException w:qFormat="1" w:unhideWhenUsed="0" w:uiPriority="0" w:semiHidden="0" w:name="Note Heading"/>
    <w:lsdException w:qFormat="1" w:uiPriority="99" w:semiHidden="0" w:name="Body Text 2"/>
    <w:lsdException w:uiPriority="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link w:val="89"/>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103"/>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2"/>
    <w:qFormat/>
    <w:uiPriority w:val="0"/>
    <w:pPr>
      <w:spacing w:line="360" w:lineRule="auto"/>
      <w:outlineLvl w:val="2"/>
    </w:pPr>
    <w:rPr>
      <w:b/>
      <w:bCs/>
      <w:kern w:val="2"/>
      <w:sz w:val="24"/>
      <w:szCs w:val="28"/>
    </w:rPr>
  </w:style>
  <w:style w:type="paragraph" w:styleId="5">
    <w:name w:val="heading 4"/>
    <w:basedOn w:val="1"/>
    <w:next w:val="1"/>
    <w:link w:val="63"/>
    <w:qFormat/>
    <w:uiPriority w:val="0"/>
    <w:pPr>
      <w:spacing w:line="360" w:lineRule="auto"/>
      <w:outlineLvl w:val="3"/>
    </w:pPr>
    <w:rPr>
      <w:rFonts w:eastAsia="Times New Roman"/>
      <w:b/>
      <w:bCs/>
      <w:kern w:val="2"/>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link w:val="52"/>
    <w:qFormat/>
    <w:uiPriority w:val="0"/>
    <w:pPr>
      <w:spacing w:line="360" w:lineRule="auto"/>
      <w:ind w:firstLine="200" w:firstLineChars="200"/>
      <w:jc w:val="center"/>
    </w:pPr>
    <w:rPr>
      <w:kern w:val="2"/>
      <w:szCs w:val="20"/>
    </w:rPr>
  </w:style>
  <w:style w:type="paragraph" w:styleId="7">
    <w:name w:val="Normal Indent"/>
    <w:basedOn w:val="1"/>
    <w:link w:val="64"/>
    <w:qFormat/>
    <w:uiPriority w:val="99"/>
    <w:pPr>
      <w:widowControl/>
      <w:ind w:firstLine="420"/>
      <w:jc w:val="left"/>
    </w:pPr>
    <w:rPr>
      <w:sz w:val="20"/>
      <w:szCs w:val="20"/>
    </w:rPr>
  </w:style>
  <w:style w:type="paragraph" w:styleId="8">
    <w:name w:val="annotation text"/>
    <w:basedOn w:val="1"/>
    <w:link w:val="105"/>
    <w:qFormat/>
    <w:uiPriority w:val="0"/>
    <w:pPr>
      <w:jc w:val="left"/>
    </w:pPr>
    <w:rPr>
      <w:kern w:val="2"/>
      <w:szCs w:val="24"/>
    </w:rPr>
  </w:style>
  <w:style w:type="paragraph" w:styleId="9">
    <w:name w:val="Body Text"/>
    <w:basedOn w:val="1"/>
    <w:next w:val="10"/>
    <w:link w:val="41"/>
    <w:qFormat/>
    <w:uiPriority w:val="1"/>
    <w:pPr>
      <w:autoSpaceDE w:val="0"/>
      <w:autoSpaceDN w:val="0"/>
      <w:jc w:val="left"/>
    </w:pPr>
    <w:rPr>
      <w:rFonts w:ascii="宋体" w:hAnsi="宋体" w:cs="宋体"/>
      <w:sz w:val="24"/>
      <w:szCs w:val="24"/>
    </w:rPr>
  </w:style>
  <w:style w:type="paragraph" w:customStyle="1" w:styleId="10">
    <w:name w:val="Normal (Web)1"/>
    <w:basedOn w:val="1"/>
    <w:next w:val="11"/>
    <w:qFormat/>
    <w:uiPriority w:val="0"/>
    <w:pPr>
      <w:widowControl/>
      <w:jc w:val="left"/>
    </w:pPr>
    <w:rPr>
      <w:rFonts w:ascii="宋体"/>
      <w:sz w:val="24"/>
    </w:rPr>
  </w:style>
  <w:style w:type="paragraph" w:customStyle="1" w:styleId="11">
    <w:name w:val="Date1"/>
    <w:basedOn w:val="1"/>
    <w:next w:val="1"/>
    <w:qFormat/>
    <w:uiPriority w:val="0"/>
    <w:pPr>
      <w:autoSpaceDE w:val="0"/>
      <w:autoSpaceDN w:val="0"/>
      <w:adjustRightInd w:val="0"/>
      <w:textAlignment w:val="baseline"/>
    </w:pPr>
    <w:rPr>
      <w:rFonts w:ascii="宋体"/>
      <w:spacing w:val="5"/>
      <w:sz w:val="24"/>
    </w:rPr>
  </w:style>
  <w:style w:type="paragraph" w:styleId="12">
    <w:name w:val="Body Text Indent"/>
    <w:basedOn w:val="1"/>
    <w:link w:val="53"/>
    <w:qFormat/>
    <w:uiPriority w:val="0"/>
    <w:pPr>
      <w:spacing w:after="120"/>
      <w:ind w:left="420" w:leftChars="200"/>
    </w:pPr>
  </w:style>
  <w:style w:type="paragraph" w:styleId="13">
    <w:name w:val="Block Text"/>
    <w:basedOn w:val="1"/>
    <w:qFormat/>
    <w:uiPriority w:val="0"/>
    <w:pPr>
      <w:spacing w:line="360" w:lineRule="exact"/>
      <w:ind w:left="113" w:right="113"/>
      <w:jc w:val="center"/>
    </w:pPr>
    <w:rPr>
      <w:rFonts w:ascii="宋体" w:hAnsi="宋体"/>
      <w:color w:val="000000"/>
      <w:kern w:val="2"/>
      <w:szCs w:val="24"/>
    </w:rPr>
  </w:style>
  <w:style w:type="paragraph" w:styleId="14">
    <w:name w:val="Plain Text"/>
    <w:basedOn w:val="1"/>
    <w:link w:val="68"/>
    <w:qFormat/>
    <w:uiPriority w:val="0"/>
    <w:rPr>
      <w:rFonts w:ascii="宋体" w:hAnsi="Courier New" w:cs="宋体"/>
      <w:kern w:val="2"/>
    </w:rPr>
  </w:style>
  <w:style w:type="paragraph" w:styleId="15">
    <w:name w:val="List Bullet 5"/>
    <w:basedOn w:val="1"/>
    <w:semiHidden/>
    <w:unhideWhenUsed/>
    <w:qFormat/>
    <w:uiPriority w:val="0"/>
    <w:pPr>
      <w:numPr>
        <w:ilvl w:val="0"/>
        <w:numId w:val="1"/>
      </w:numPr>
    </w:pPr>
  </w:style>
  <w:style w:type="paragraph" w:styleId="16">
    <w:name w:val="Date"/>
    <w:basedOn w:val="1"/>
    <w:next w:val="1"/>
    <w:qFormat/>
    <w:uiPriority w:val="0"/>
    <w:rPr>
      <w:rFonts w:eastAsia="楷体_GB2312"/>
      <w:sz w:val="32"/>
    </w:rPr>
  </w:style>
  <w:style w:type="paragraph" w:styleId="17">
    <w:name w:val="Body Text Indent 2"/>
    <w:basedOn w:val="1"/>
    <w:link w:val="69"/>
    <w:qFormat/>
    <w:uiPriority w:val="99"/>
    <w:pPr>
      <w:spacing w:after="120" w:line="480" w:lineRule="auto"/>
      <w:ind w:left="420" w:leftChars="200"/>
    </w:pPr>
    <w:rPr>
      <w:kern w:val="2"/>
    </w:rPr>
  </w:style>
  <w:style w:type="paragraph" w:styleId="18">
    <w:name w:val="Balloon Text"/>
    <w:basedOn w:val="1"/>
    <w:link w:val="51"/>
    <w:qFormat/>
    <w:uiPriority w:val="99"/>
    <w:rPr>
      <w:sz w:val="18"/>
      <w:szCs w:val="18"/>
    </w:rPr>
  </w:style>
  <w:style w:type="paragraph" w:styleId="19">
    <w:name w:val="footer"/>
    <w:basedOn w:val="1"/>
    <w:qFormat/>
    <w:uiPriority w:val="0"/>
    <w:pPr>
      <w:tabs>
        <w:tab w:val="center" w:pos="4153"/>
        <w:tab w:val="right" w:pos="8306"/>
      </w:tabs>
      <w:snapToGrid w:val="0"/>
      <w:jc w:val="left"/>
    </w:pPr>
    <w:rPr>
      <w:sz w:val="18"/>
      <w:szCs w:val="20"/>
    </w:rPr>
  </w:style>
  <w:style w:type="paragraph" w:styleId="20">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Body Text Indent 3"/>
    <w:basedOn w:val="1"/>
    <w:link w:val="78"/>
    <w:qFormat/>
    <w:uiPriority w:val="99"/>
    <w:pPr>
      <w:spacing w:after="120"/>
      <w:ind w:left="420" w:leftChars="200"/>
    </w:pPr>
    <w:rPr>
      <w:kern w:val="2"/>
      <w:sz w:val="16"/>
      <w:szCs w:val="16"/>
    </w:rPr>
  </w:style>
  <w:style w:type="paragraph" w:styleId="23">
    <w:name w:val="toc 2"/>
    <w:basedOn w:val="1"/>
    <w:next w:val="1"/>
    <w:qFormat/>
    <w:uiPriority w:val="0"/>
    <w:pPr>
      <w:spacing w:line="360" w:lineRule="auto"/>
      <w:ind w:left="420" w:leftChars="200"/>
    </w:pPr>
    <w:rPr>
      <w:sz w:val="24"/>
    </w:rPr>
  </w:style>
  <w:style w:type="paragraph" w:styleId="24">
    <w:name w:val="Body Text 2"/>
    <w:basedOn w:val="1"/>
    <w:unhideWhenUsed/>
    <w:qFormat/>
    <w:uiPriority w:val="99"/>
    <w:pPr>
      <w:spacing w:after="120" w:line="480" w:lineRule="auto"/>
    </w:pPr>
    <w:rPr>
      <w:kern w:val="32"/>
    </w:rPr>
  </w:style>
  <w:style w:type="paragraph" w:styleId="25">
    <w:name w:val="Normal (Web)"/>
    <w:basedOn w:val="1"/>
    <w:qFormat/>
    <w:uiPriority w:val="99"/>
    <w:pPr>
      <w:widowControl/>
      <w:spacing w:before="100" w:beforeAutospacing="1" w:after="100" w:afterAutospacing="1"/>
      <w:jc w:val="left"/>
    </w:pPr>
    <w:rPr>
      <w:rFonts w:ascii="宋体" w:hAnsi="宋体"/>
      <w:sz w:val="24"/>
      <w:szCs w:val="20"/>
    </w:rPr>
  </w:style>
  <w:style w:type="paragraph" w:styleId="26">
    <w:name w:val="annotation subject"/>
    <w:basedOn w:val="8"/>
    <w:next w:val="8"/>
    <w:link w:val="111"/>
    <w:semiHidden/>
    <w:unhideWhenUsed/>
    <w:qFormat/>
    <w:uiPriority w:val="0"/>
    <w:rPr>
      <w:b/>
      <w:bCs/>
      <w:kern w:val="0"/>
      <w:szCs w:val="21"/>
    </w:rPr>
  </w:style>
  <w:style w:type="paragraph" w:styleId="27">
    <w:name w:val="Body Text First Indent"/>
    <w:basedOn w:val="9"/>
    <w:next w:val="1"/>
    <w:link w:val="92"/>
    <w:semiHidden/>
    <w:unhideWhenUsed/>
    <w:qFormat/>
    <w:uiPriority w:val="0"/>
    <w:pPr>
      <w:autoSpaceDE/>
      <w:autoSpaceDN/>
      <w:spacing w:after="120"/>
      <w:ind w:firstLine="420" w:firstLineChars="100"/>
      <w:jc w:val="both"/>
    </w:pPr>
    <w:rPr>
      <w:rFonts w:ascii="Times New Roman" w:hAnsi="Times New Roman" w:cs="Times New Roman"/>
      <w:sz w:val="21"/>
      <w:szCs w:val="21"/>
    </w:rPr>
  </w:style>
  <w:style w:type="paragraph" w:styleId="28">
    <w:name w:val="Body Text First Indent 2"/>
    <w:basedOn w:val="1"/>
    <w:next w:val="1"/>
    <w:unhideWhenUsed/>
    <w:qFormat/>
    <w:uiPriority w:val="99"/>
    <w:pPr>
      <w:widowControl w:val="0"/>
      <w:ind w:firstLine="420" w:firstLineChars="200"/>
      <w:jc w:val="both"/>
    </w:pPr>
    <w:rPr>
      <w:rFonts w:ascii="Times New Roman" w:hAnsi="Times New Roman" w:eastAsia="宋体" w:cs="Times New Roman"/>
      <w:kern w:val="2"/>
      <w:sz w:val="24"/>
      <w:lang w:val="en-US" w:eastAsia="zh-CN" w:bidi="ar-SA"/>
    </w:rPr>
  </w:style>
  <w:style w:type="table" w:styleId="30">
    <w:name w:val="Table Grid"/>
    <w:basedOn w:val="2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Emphasis"/>
    <w:basedOn w:val="31"/>
    <w:qFormat/>
    <w:uiPriority w:val="20"/>
    <w:rPr>
      <w:i/>
      <w:iCs/>
    </w:rPr>
  </w:style>
  <w:style w:type="character" w:styleId="35">
    <w:name w:val="Hyperlink"/>
    <w:basedOn w:val="31"/>
    <w:unhideWhenUsed/>
    <w:qFormat/>
    <w:uiPriority w:val="99"/>
    <w:rPr>
      <w:color w:val="0000FF"/>
      <w:u w:val="single"/>
    </w:rPr>
  </w:style>
  <w:style w:type="character" w:styleId="36">
    <w:name w:val="annotation reference"/>
    <w:basedOn w:val="31"/>
    <w:semiHidden/>
    <w:unhideWhenUsed/>
    <w:qFormat/>
    <w:uiPriority w:val="0"/>
    <w:rPr>
      <w:sz w:val="21"/>
      <w:szCs w:val="21"/>
    </w:rPr>
  </w:style>
  <w:style w:type="paragraph" w:customStyle="1" w:styleId="37">
    <w:name w:val="样式 正文11 + 首行缩进:  2 字符"/>
    <w:basedOn w:val="1"/>
    <w:qFormat/>
    <w:uiPriority w:val="0"/>
    <w:pPr>
      <w:spacing w:line="500" w:lineRule="exact"/>
      <w:ind w:firstLine="560" w:firstLineChars="200"/>
    </w:pPr>
    <w:rPr>
      <w:rFonts w:ascii="宋体" w:hAnsi="宋体" w:cs="宋体"/>
      <w:color w:val="FF0000"/>
      <w:kern w:val="2"/>
      <w:sz w:val="28"/>
      <w:szCs w:val="28"/>
    </w:rPr>
  </w:style>
  <w:style w:type="paragraph" w:customStyle="1" w:styleId="38">
    <w:name w:val="表格"/>
    <w:basedOn w:val="39"/>
    <w:next w:val="1"/>
    <w:link w:val="84"/>
    <w:qFormat/>
    <w:uiPriority w:val="0"/>
    <w:pPr>
      <w:adjustRightInd w:val="0"/>
      <w:snapToGrid w:val="0"/>
      <w:spacing w:beforeLines="10" w:afterLines="10" w:line="259" w:lineRule="auto"/>
      <w:jc w:val="center"/>
    </w:pPr>
    <w:rPr>
      <w:rFonts w:ascii="宋体"/>
      <w:szCs w:val="20"/>
    </w:rPr>
  </w:style>
  <w:style w:type="paragraph" w:customStyle="1" w:styleId="39">
    <w:name w:val="表格格式"/>
    <w:basedOn w:val="1"/>
    <w:qFormat/>
    <w:uiPriority w:val="0"/>
    <w:pPr>
      <w:jc w:val="left"/>
    </w:pPr>
    <w:rPr>
      <w:rFonts w:ascii="仿宋" w:eastAsia="仿宋"/>
      <w:bCs/>
      <w:color w:val="000000"/>
    </w:rPr>
  </w:style>
  <w:style w:type="character" w:customStyle="1" w:styleId="40">
    <w:name w:val="页眉 Char"/>
    <w:basedOn w:val="31"/>
    <w:link w:val="20"/>
    <w:qFormat/>
    <w:uiPriority w:val="0"/>
    <w:rPr>
      <w:rFonts w:ascii="Times New Roman" w:hAnsi="Times New Roman" w:eastAsia="宋体" w:cs="Times New Roman"/>
      <w:sz w:val="18"/>
      <w:szCs w:val="18"/>
    </w:rPr>
  </w:style>
  <w:style w:type="character" w:customStyle="1" w:styleId="41">
    <w:name w:val="正文文本 Char"/>
    <w:basedOn w:val="31"/>
    <w:link w:val="9"/>
    <w:qFormat/>
    <w:uiPriority w:val="1"/>
    <w:rPr>
      <w:rFonts w:ascii="宋体" w:hAnsi="宋体" w:eastAsia="宋体" w:cs="宋体"/>
      <w:sz w:val="24"/>
      <w:szCs w:val="24"/>
    </w:rPr>
  </w:style>
  <w:style w:type="paragraph" w:customStyle="1" w:styleId="42">
    <w:name w:val="标题 31"/>
    <w:basedOn w:val="1"/>
    <w:qFormat/>
    <w:uiPriority w:val="1"/>
    <w:pPr>
      <w:autoSpaceDE w:val="0"/>
      <w:autoSpaceDN w:val="0"/>
      <w:ind w:left="1058"/>
      <w:jc w:val="left"/>
      <w:outlineLvl w:val="3"/>
    </w:pPr>
    <w:rPr>
      <w:rFonts w:ascii="宋体" w:hAnsi="宋体" w:cs="宋体"/>
      <w:b/>
      <w:bCs/>
      <w:sz w:val="24"/>
      <w:szCs w:val="24"/>
    </w:rPr>
  </w:style>
  <w:style w:type="paragraph" w:customStyle="1" w:styleId="43">
    <w:name w:val="Table Paragraph"/>
    <w:basedOn w:val="1"/>
    <w:qFormat/>
    <w:uiPriority w:val="1"/>
    <w:pPr>
      <w:autoSpaceDE w:val="0"/>
      <w:autoSpaceDN w:val="0"/>
      <w:jc w:val="left"/>
    </w:pPr>
    <w:rPr>
      <w:rFonts w:ascii="宋体" w:hAnsi="宋体" w:cs="宋体"/>
      <w:sz w:val="22"/>
      <w:szCs w:val="22"/>
    </w:rPr>
  </w:style>
  <w:style w:type="paragraph" w:customStyle="1" w:styleId="44">
    <w:name w:val="报告表正文样式1"/>
    <w:basedOn w:val="1"/>
    <w:link w:val="45"/>
    <w:qFormat/>
    <w:uiPriority w:val="0"/>
    <w:pPr>
      <w:spacing w:line="360" w:lineRule="auto"/>
      <w:ind w:firstLine="480" w:firstLineChars="200"/>
    </w:pPr>
    <w:rPr>
      <w:rFonts w:cs="宋体"/>
      <w:kern w:val="2"/>
      <w:sz w:val="24"/>
      <w:szCs w:val="20"/>
    </w:rPr>
  </w:style>
  <w:style w:type="character" w:customStyle="1" w:styleId="45">
    <w:name w:val="报告表正文样式1 Char Char"/>
    <w:link w:val="44"/>
    <w:qFormat/>
    <w:uiPriority w:val="0"/>
    <w:rPr>
      <w:rFonts w:ascii="Times New Roman" w:hAnsi="Times New Roman" w:eastAsia="宋体" w:cs="宋体"/>
      <w:kern w:val="2"/>
      <w:sz w:val="24"/>
    </w:rPr>
  </w:style>
  <w:style w:type="paragraph" w:customStyle="1" w:styleId="46">
    <w:name w:val="晓丹"/>
    <w:basedOn w:val="18"/>
    <w:link w:val="47"/>
    <w:qFormat/>
    <w:uiPriority w:val="99"/>
    <w:pPr>
      <w:adjustRightInd w:val="0"/>
      <w:snapToGrid w:val="0"/>
      <w:spacing w:line="360" w:lineRule="auto"/>
      <w:ind w:firstLine="200" w:firstLineChars="200"/>
      <w:textAlignment w:val="baseline"/>
    </w:pPr>
    <w:rPr>
      <w:rFonts w:ascii="宋体" w:hAnsiTheme="minorHAnsi" w:eastAsiaTheme="minorEastAsia" w:cstheme="minorBidi"/>
      <w:color w:val="000000"/>
      <w:spacing w:val="6"/>
      <w:sz w:val="24"/>
    </w:rPr>
  </w:style>
  <w:style w:type="character" w:customStyle="1" w:styleId="47">
    <w:name w:val="晓丹 Char"/>
    <w:link w:val="46"/>
    <w:qFormat/>
    <w:locked/>
    <w:uiPriority w:val="99"/>
    <w:rPr>
      <w:rFonts w:ascii="宋体" w:hAnsi="Times New Roman" w:eastAsia="宋体" w:cs="Times New Roman"/>
      <w:color w:val="000000"/>
      <w:spacing w:val="6"/>
      <w:sz w:val="24"/>
    </w:rPr>
  </w:style>
  <w:style w:type="paragraph" w:customStyle="1" w:styleId="48">
    <w:name w:val="环保表头"/>
    <w:basedOn w:val="1"/>
    <w:next w:val="9"/>
    <w:qFormat/>
    <w:uiPriority w:val="0"/>
    <w:pPr>
      <w:widowControl/>
      <w:spacing w:beforeLines="50" w:after="100" w:afterAutospacing="1"/>
      <w:jc w:val="center"/>
    </w:pPr>
    <w:rPr>
      <w:rFonts w:ascii="宋体" w:hAnsi="宋体" w:eastAsia="Times New Roman"/>
      <w:b/>
      <w:bCs/>
      <w:color w:val="FF0000"/>
    </w:rPr>
  </w:style>
  <w:style w:type="table" w:customStyle="1" w:styleId="49">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50">
    <w:name w:val="正文文本1"/>
    <w:basedOn w:val="1"/>
    <w:qFormat/>
    <w:uiPriority w:val="0"/>
    <w:pPr>
      <w:spacing w:line="500" w:lineRule="exact"/>
      <w:ind w:firstLine="200" w:firstLineChars="200"/>
    </w:pPr>
    <w:rPr>
      <w:rFonts w:ascii="宋体" w:hAnsi="宋体" w:cs="宋体"/>
      <w:kern w:val="2"/>
      <w:sz w:val="28"/>
      <w:szCs w:val="28"/>
    </w:rPr>
  </w:style>
  <w:style w:type="character" w:customStyle="1" w:styleId="51">
    <w:name w:val="批注框文本 Char"/>
    <w:basedOn w:val="31"/>
    <w:link w:val="18"/>
    <w:qFormat/>
    <w:uiPriority w:val="99"/>
    <w:rPr>
      <w:rFonts w:ascii="Times New Roman" w:hAnsi="Times New Roman" w:eastAsia="宋体" w:cs="Times New Roman"/>
      <w:sz w:val="18"/>
      <w:szCs w:val="18"/>
    </w:rPr>
  </w:style>
  <w:style w:type="character" w:customStyle="1" w:styleId="52">
    <w:name w:val="注释标题 Char"/>
    <w:basedOn w:val="31"/>
    <w:link w:val="6"/>
    <w:qFormat/>
    <w:uiPriority w:val="0"/>
    <w:rPr>
      <w:rFonts w:ascii="Times New Roman" w:hAnsi="Times New Roman" w:eastAsia="宋体" w:cs="Times New Roman"/>
      <w:kern w:val="2"/>
      <w:sz w:val="21"/>
    </w:rPr>
  </w:style>
  <w:style w:type="character" w:customStyle="1" w:styleId="53">
    <w:name w:val="正文文本缩进 Char"/>
    <w:basedOn w:val="31"/>
    <w:link w:val="12"/>
    <w:qFormat/>
    <w:uiPriority w:val="0"/>
    <w:rPr>
      <w:rFonts w:ascii="Times New Roman" w:hAnsi="Times New Roman" w:eastAsia="宋体" w:cs="Times New Roman"/>
      <w:sz w:val="21"/>
      <w:szCs w:val="21"/>
    </w:rPr>
  </w:style>
  <w:style w:type="character" w:customStyle="1" w:styleId="54">
    <w:name w:val="DM表中文字 Char"/>
    <w:link w:val="55"/>
    <w:qFormat/>
    <w:uiPriority w:val="5"/>
    <w:rPr>
      <w:b/>
      <w:sz w:val="21"/>
      <w:szCs w:val="22"/>
      <w:lang w:eastAsia="en-US"/>
    </w:rPr>
  </w:style>
  <w:style w:type="paragraph" w:customStyle="1" w:styleId="55">
    <w:name w:val="DM表中文字"/>
    <w:basedOn w:val="1"/>
    <w:link w:val="54"/>
    <w:qFormat/>
    <w:uiPriority w:val="5"/>
    <w:pPr>
      <w:spacing w:afterLines="30"/>
      <w:jc w:val="center"/>
    </w:pPr>
    <w:rPr>
      <w:rFonts w:asciiTheme="minorHAnsi" w:hAnsiTheme="minorHAnsi" w:eastAsiaTheme="minorEastAsia" w:cstheme="minorBidi"/>
      <w:b/>
      <w:szCs w:val="22"/>
      <w:lang w:eastAsia="en-US"/>
    </w:rPr>
  </w:style>
  <w:style w:type="character" w:customStyle="1" w:styleId="56">
    <w:name w:val="DM正文 Char"/>
    <w:link w:val="57"/>
    <w:qFormat/>
    <w:uiPriority w:val="3"/>
    <w:rPr>
      <w:sz w:val="24"/>
    </w:rPr>
  </w:style>
  <w:style w:type="paragraph" w:customStyle="1" w:styleId="57">
    <w:name w:val="DM正文"/>
    <w:basedOn w:val="1"/>
    <w:link w:val="56"/>
    <w:qFormat/>
    <w:uiPriority w:val="3"/>
    <w:pPr>
      <w:spacing w:line="360" w:lineRule="auto"/>
      <w:ind w:firstLine="200" w:firstLineChars="200"/>
    </w:pPr>
    <w:rPr>
      <w:rFonts w:asciiTheme="minorHAnsi" w:hAnsiTheme="minorHAnsi" w:eastAsiaTheme="minorEastAsia" w:cstheme="minorBidi"/>
      <w:sz w:val="24"/>
      <w:szCs w:val="20"/>
    </w:rPr>
  </w:style>
  <w:style w:type="character" w:customStyle="1" w:styleId="58">
    <w:name w:val="表格文字 Char"/>
    <w:link w:val="59"/>
    <w:qFormat/>
    <w:locked/>
    <w:uiPriority w:val="99"/>
    <w:rPr>
      <w:kern w:val="2"/>
      <w:sz w:val="21"/>
    </w:rPr>
  </w:style>
  <w:style w:type="paragraph" w:customStyle="1" w:styleId="59">
    <w:name w:val="表格文字"/>
    <w:basedOn w:val="1"/>
    <w:link w:val="58"/>
    <w:qFormat/>
    <w:uiPriority w:val="0"/>
    <w:pPr>
      <w:snapToGrid w:val="0"/>
      <w:jc w:val="center"/>
    </w:pPr>
    <w:rPr>
      <w:rFonts w:asciiTheme="minorHAnsi" w:hAnsiTheme="minorHAnsi" w:eastAsiaTheme="minorEastAsia" w:cstheme="minorBidi"/>
      <w:kern w:val="2"/>
      <w:szCs w:val="20"/>
    </w:rPr>
  </w:style>
  <w:style w:type="paragraph" w:styleId="60">
    <w:name w:val="List Paragraph"/>
    <w:basedOn w:val="1"/>
    <w:qFormat/>
    <w:uiPriority w:val="99"/>
    <w:pPr>
      <w:autoSpaceDE w:val="0"/>
      <w:autoSpaceDN w:val="0"/>
      <w:ind w:left="1539" w:hanging="482"/>
      <w:jc w:val="left"/>
    </w:pPr>
    <w:rPr>
      <w:rFonts w:ascii="宋体" w:hAnsi="宋体" w:cs="宋体"/>
      <w:sz w:val="22"/>
      <w:szCs w:val="22"/>
      <w:u w:val="single" w:color="000000"/>
    </w:rPr>
  </w:style>
  <w:style w:type="paragraph" w:customStyle="1" w:styleId="61">
    <w:name w:val="表头-"/>
    <w:basedOn w:val="1"/>
    <w:qFormat/>
    <w:uiPriority w:val="0"/>
    <w:pPr>
      <w:spacing w:line="360" w:lineRule="auto"/>
      <w:jc w:val="center"/>
    </w:pPr>
    <w:rPr>
      <w:rFonts w:eastAsia="黑体"/>
      <w:b/>
      <w:kern w:val="2"/>
      <w:szCs w:val="20"/>
    </w:rPr>
  </w:style>
  <w:style w:type="character" w:customStyle="1" w:styleId="62">
    <w:name w:val="标题 3 Char"/>
    <w:basedOn w:val="31"/>
    <w:link w:val="4"/>
    <w:qFormat/>
    <w:uiPriority w:val="0"/>
    <w:rPr>
      <w:rFonts w:ascii="Times New Roman" w:hAnsi="Times New Roman" w:eastAsia="宋体" w:cs="Times New Roman"/>
      <w:b/>
      <w:bCs/>
      <w:kern w:val="2"/>
      <w:sz w:val="24"/>
      <w:szCs w:val="28"/>
    </w:rPr>
  </w:style>
  <w:style w:type="character" w:customStyle="1" w:styleId="63">
    <w:name w:val="标题 4 Char"/>
    <w:basedOn w:val="31"/>
    <w:link w:val="5"/>
    <w:qFormat/>
    <w:uiPriority w:val="0"/>
    <w:rPr>
      <w:rFonts w:ascii="Times New Roman" w:hAnsi="Times New Roman" w:eastAsia="Times New Roman" w:cs="Times New Roman"/>
      <w:b/>
      <w:bCs/>
      <w:kern w:val="2"/>
      <w:sz w:val="24"/>
      <w:szCs w:val="24"/>
    </w:rPr>
  </w:style>
  <w:style w:type="character" w:customStyle="1" w:styleId="64">
    <w:name w:val="正文缩进 Char"/>
    <w:link w:val="7"/>
    <w:qFormat/>
    <w:locked/>
    <w:uiPriority w:val="0"/>
    <w:rPr>
      <w:rFonts w:ascii="Times New Roman" w:hAnsi="Times New Roman" w:eastAsia="宋体" w:cs="Times New Roman"/>
    </w:rPr>
  </w:style>
  <w:style w:type="character" w:customStyle="1" w:styleId="65">
    <w:name w:val="报告表正文 Char"/>
    <w:link w:val="66"/>
    <w:qFormat/>
    <w:locked/>
    <w:uiPriority w:val="0"/>
    <w:rPr>
      <w:rFonts w:ascii="宋体" w:hAnsi="Arial"/>
      <w:kern w:val="2"/>
      <w:sz w:val="24"/>
    </w:rPr>
  </w:style>
  <w:style w:type="paragraph" w:customStyle="1" w:styleId="66">
    <w:name w:val="报告表正文"/>
    <w:basedOn w:val="7"/>
    <w:link w:val="65"/>
    <w:qFormat/>
    <w:uiPriority w:val="0"/>
    <w:rPr>
      <w:rFonts w:ascii="宋体" w:hAnsi="Arial" w:eastAsiaTheme="minorEastAsia" w:cstheme="minorBidi"/>
      <w:kern w:val="2"/>
      <w:sz w:val="24"/>
    </w:rPr>
  </w:style>
  <w:style w:type="paragraph" w:customStyle="1" w:styleId="67">
    <w:name w:val="标题 32"/>
    <w:basedOn w:val="1"/>
    <w:qFormat/>
    <w:uiPriority w:val="1"/>
    <w:pPr>
      <w:autoSpaceDE w:val="0"/>
      <w:autoSpaceDN w:val="0"/>
      <w:ind w:left="2050" w:hanging="1130"/>
      <w:jc w:val="left"/>
      <w:outlineLvl w:val="3"/>
    </w:pPr>
    <w:rPr>
      <w:rFonts w:ascii="Microsoft JhengHei" w:hAnsi="Microsoft JhengHei" w:eastAsia="Microsoft JhengHei" w:cs="Microsoft JhengHei"/>
      <w:b/>
      <w:bCs/>
      <w:sz w:val="28"/>
      <w:szCs w:val="28"/>
      <w:lang w:val="zh-CN" w:bidi="zh-CN"/>
    </w:rPr>
  </w:style>
  <w:style w:type="character" w:customStyle="1" w:styleId="68">
    <w:name w:val="纯文本 Char"/>
    <w:basedOn w:val="31"/>
    <w:link w:val="14"/>
    <w:qFormat/>
    <w:uiPriority w:val="0"/>
    <w:rPr>
      <w:rFonts w:ascii="宋体" w:hAnsi="Courier New" w:eastAsia="宋体" w:cs="宋体"/>
      <w:kern w:val="2"/>
      <w:sz w:val="21"/>
      <w:szCs w:val="21"/>
    </w:rPr>
  </w:style>
  <w:style w:type="character" w:customStyle="1" w:styleId="69">
    <w:name w:val="正文文本缩进 2 Char"/>
    <w:basedOn w:val="31"/>
    <w:link w:val="17"/>
    <w:qFormat/>
    <w:uiPriority w:val="99"/>
    <w:rPr>
      <w:rFonts w:ascii="Times New Roman" w:hAnsi="Times New Roman" w:eastAsia="宋体" w:cs="Times New Roman"/>
      <w:kern w:val="2"/>
      <w:sz w:val="21"/>
      <w:szCs w:val="21"/>
    </w:rPr>
  </w:style>
  <w:style w:type="character" w:customStyle="1" w:styleId="70">
    <w:name w:val="博士论文正文 Char2"/>
    <w:link w:val="71"/>
    <w:qFormat/>
    <w:uiPriority w:val="0"/>
    <w:rPr>
      <w:kern w:val="2"/>
      <w:sz w:val="24"/>
      <w:szCs w:val="24"/>
    </w:rPr>
  </w:style>
  <w:style w:type="paragraph" w:customStyle="1" w:styleId="71">
    <w:name w:val="EIS_TEXT"/>
    <w:basedOn w:val="1"/>
    <w:link w:val="70"/>
    <w:qFormat/>
    <w:uiPriority w:val="0"/>
    <w:pPr>
      <w:adjustRightInd w:val="0"/>
      <w:snapToGrid w:val="0"/>
      <w:spacing w:beforeLines="20" w:afterLines="20" w:line="360" w:lineRule="auto"/>
      <w:ind w:firstLine="480" w:firstLineChars="200"/>
      <w:contextualSpacing/>
    </w:pPr>
    <w:rPr>
      <w:rFonts w:asciiTheme="minorHAnsi" w:hAnsiTheme="minorHAnsi" w:eastAsiaTheme="minorEastAsia" w:cstheme="minorBidi"/>
      <w:kern w:val="2"/>
      <w:sz w:val="24"/>
      <w:szCs w:val="24"/>
    </w:rPr>
  </w:style>
  <w:style w:type="character" w:customStyle="1" w:styleId="72">
    <w:name w:val="NormalCharacter"/>
    <w:qFormat/>
    <w:uiPriority w:val="0"/>
    <w:rPr>
      <w:sz w:val="21"/>
      <w:lang w:val="en-US" w:eastAsia="zh-CN" w:bidi="ar-SA"/>
    </w:rPr>
  </w:style>
  <w:style w:type="paragraph" w:customStyle="1" w:styleId="73">
    <w:name w:val="东宝正文"/>
    <w:basedOn w:val="1"/>
    <w:qFormat/>
    <w:uiPriority w:val="99"/>
    <w:pPr>
      <w:spacing w:line="360" w:lineRule="auto"/>
      <w:ind w:firstLine="420"/>
    </w:pPr>
    <w:rPr>
      <w:color w:val="000000"/>
      <w:sz w:val="24"/>
      <w:szCs w:val="24"/>
    </w:rPr>
  </w:style>
  <w:style w:type="paragraph" w:customStyle="1" w:styleId="74">
    <w:name w:val="表格（窄）"/>
    <w:basedOn w:val="1"/>
    <w:qFormat/>
    <w:uiPriority w:val="99"/>
    <w:pPr>
      <w:jc w:val="center"/>
    </w:pPr>
  </w:style>
  <w:style w:type="character" w:customStyle="1" w:styleId="75">
    <w:name w:val="韩笑表头 Char"/>
    <w:link w:val="76"/>
    <w:qFormat/>
    <w:locked/>
    <w:uiPriority w:val="99"/>
    <w:rPr>
      <w:b/>
      <w:kern w:val="2"/>
      <w:sz w:val="24"/>
    </w:rPr>
  </w:style>
  <w:style w:type="paragraph" w:customStyle="1" w:styleId="76">
    <w:name w:val="韩笑表头"/>
    <w:basedOn w:val="1"/>
    <w:link w:val="75"/>
    <w:qFormat/>
    <w:uiPriority w:val="99"/>
    <w:pPr>
      <w:jc w:val="center"/>
    </w:pPr>
    <w:rPr>
      <w:rFonts w:asciiTheme="minorHAnsi" w:hAnsiTheme="minorHAnsi" w:eastAsiaTheme="minorEastAsia" w:cstheme="minorBidi"/>
      <w:b/>
      <w:kern w:val="2"/>
      <w:sz w:val="24"/>
      <w:szCs w:val="20"/>
    </w:rPr>
  </w:style>
  <w:style w:type="paragraph" w:customStyle="1" w:styleId="77">
    <w:name w:val="文本文本文本"/>
    <w:basedOn w:val="1"/>
    <w:qFormat/>
    <w:uiPriority w:val="0"/>
    <w:pPr>
      <w:spacing w:line="360" w:lineRule="auto"/>
      <w:ind w:firstLine="480" w:firstLineChars="200"/>
    </w:pPr>
    <w:rPr>
      <w:rFonts w:ascii="宋体" w:hAnsi="宋体" w:cs="宋体"/>
      <w:kern w:val="2"/>
      <w:sz w:val="24"/>
      <w:szCs w:val="20"/>
    </w:rPr>
  </w:style>
  <w:style w:type="character" w:customStyle="1" w:styleId="78">
    <w:name w:val="正文文本缩进 3 Char"/>
    <w:basedOn w:val="31"/>
    <w:link w:val="22"/>
    <w:qFormat/>
    <w:uiPriority w:val="99"/>
    <w:rPr>
      <w:rFonts w:ascii="Times New Roman" w:hAnsi="Times New Roman" w:eastAsia="宋体" w:cs="Times New Roman"/>
      <w:kern w:val="2"/>
      <w:sz w:val="16"/>
      <w:szCs w:val="16"/>
    </w:rPr>
  </w:style>
  <w:style w:type="paragraph" w:customStyle="1" w:styleId="79">
    <w:name w:val="9"/>
    <w:basedOn w:val="1"/>
    <w:qFormat/>
    <w:uiPriority w:val="0"/>
    <w:pPr>
      <w:widowControl/>
      <w:spacing w:before="100" w:beforeAutospacing="1" w:after="100" w:afterAutospacing="1"/>
      <w:jc w:val="left"/>
    </w:pPr>
    <w:rPr>
      <w:rFonts w:ascii="宋体" w:hAnsi="宋体"/>
      <w:sz w:val="24"/>
      <w:szCs w:val="20"/>
    </w:rPr>
  </w:style>
  <w:style w:type="character" w:customStyle="1" w:styleId="80">
    <w:name w:val="博士论文标题3 Char1"/>
    <w:link w:val="81"/>
    <w:qFormat/>
    <w:uiPriority w:val="0"/>
    <w:rPr>
      <w:kern w:val="2"/>
      <w:sz w:val="28"/>
      <w:szCs w:val="24"/>
    </w:rPr>
  </w:style>
  <w:style w:type="paragraph" w:customStyle="1" w:styleId="81">
    <w:name w:val="EIS_TITLE_3"/>
    <w:basedOn w:val="1"/>
    <w:link w:val="80"/>
    <w:qFormat/>
    <w:uiPriority w:val="0"/>
    <w:pPr>
      <w:tabs>
        <w:tab w:val="left" w:pos="425"/>
      </w:tabs>
      <w:spacing w:beforeLines="20" w:afterLines="20" w:line="360" w:lineRule="auto"/>
      <w:outlineLvl w:val="2"/>
    </w:pPr>
    <w:rPr>
      <w:rFonts w:asciiTheme="minorHAnsi" w:hAnsiTheme="minorHAnsi" w:eastAsiaTheme="minorEastAsia" w:cstheme="minorBidi"/>
      <w:kern w:val="2"/>
      <w:sz w:val="28"/>
      <w:szCs w:val="24"/>
    </w:rPr>
  </w:style>
  <w:style w:type="character" w:customStyle="1" w:styleId="82">
    <w:name w:val="表头 Char"/>
    <w:link w:val="83"/>
    <w:qFormat/>
    <w:uiPriority w:val="0"/>
    <w:rPr>
      <w:b/>
      <w:szCs w:val="21"/>
    </w:rPr>
  </w:style>
  <w:style w:type="paragraph" w:customStyle="1" w:styleId="83">
    <w:name w:val="表头"/>
    <w:basedOn w:val="9"/>
    <w:next w:val="1"/>
    <w:link w:val="82"/>
    <w:qFormat/>
    <w:uiPriority w:val="0"/>
    <w:pPr>
      <w:tabs>
        <w:tab w:val="left" w:pos="420"/>
      </w:tabs>
      <w:adjustRightInd w:val="0"/>
      <w:snapToGrid w:val="0"/>
      <w:spacing w:line="360" w:lineRule="auto"/>
      <w:ind w:left="425" w:hanging="425"/>
      <w:jc w:val="center"/>
    </w:pPr>
    <w:rPr>
      <w:rFonts w:asciiTheme="minorHAnsi" w:hAnsiTheme="minorHAnsi" w:eastAsiaTheme="minorEastAsia" w:cstheme="minorBidi"/>
      <w:b/>
      <w:szCs w:val="21"/>
      <w:lang w:val="en-US" w:eastAsia="zh-CN" w:bidi="ar-SA"/>
    </w:rPr>
  </w:style>
  <w:style w:type="character" w:customStyle="1" w:styleId="84">
    <w:name w:val="表格 Char"/>
    <w:link w:val="38"/>
    <w:qFormat/>
    <w:locked/>
    <w:uiPriority w:val="0"/>
    <w:rPr>
      <w:rFonts w:ascii="宋体" w:hAnsi="Times New Roman" w:eastAsia="宋体" w:cs="Times New Roman"/>
      <w:sz w:val="21"/>
    </w:rPr>
  </w:style>
  <w:style w:type="paragraph" w:customStyle="1" w:styleId="85">
    <w:name w:val="报告正文"/>
    <w:qFormat/>
    <w:uiPriority w:val="0"/>
    <w:pPr>
      <w:autoSpaceDE w:val="0"/>
      <w:autoSpaceDN w:val="0"/>
      <w:adjustRightInd w:val="0"/>
      <w:snapToGrid w:val="0"/>
      <w:spacing w:line="360" w:lineRule="auto"/>
      <w:ind w:firstLine="720" w:firstLineChars="200"/>
    </w:pPr>
    <w:rPr>
      <w:rFonts w:ascii="Times New Roman" w:hAnsi="Times New Roman" w:eastAsia="宋体" w:cs="宋体"/>
      <w:sz w:val="21"/>
      <w:szCs w:val="21"/>
      <w:lang w:val="en-US" w:eastAsia="zh-CN" w:bidi="ar-SA"/>
    </w:rPr>
  </w:style>
  <w:style w:type="paragraph" w:customStyle="1" w:styleId="86">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7">
    <w:name w:val="15"/>
    <w:basedOn w:val="31"/>
    <w:qFormat/>
    <w:uiPriority w:val="0"/>
    <w:rPr>
      <w:rFonts w:hint="default" w:ascii="Times New Roman" w:hAnsi="Times New Roman" w:cs="Times New Roman"/>
    </w:rPr>
  </w:style>
  <w:style w:type="character" w:customStyle="1" w:styleId="88">
    <w:name w:val="标题 1 字符"/>
    <w:basedOn w:val="31"/>
    <w:qFormat/>
    <w:uiPriority w:val="0"/>
    <w:rPr>
      <w:rFonts w:ascii="Times New Roman" w:hAnsi="Times New Roman" w:eastAsia="宋体" w:cs="Times New Roman"/>
      <w:b/>
      <w:bCs/>
      <w:kern w:val="44"/>
      <w:sz w:val="44"/>
      <w:szCs w:val="44"/>
    </w:rPr>
  </w:style>
  <w:style w:type="character" w:customStyle="1" w:styleId="89">
    <w:name w:val="标题 1 Char"/>
    <w:link w:val="2"/>
    <w:qFormat/>
    <w:uiPriority w:val="0"/>
    <w:rPr>
      <w:rFonts w:ascii="Times New Roman" w:hAnsi="Times New Roman" w:eastAsia="宋体" w:cs="Times New Roman"/>
      <w:b/>
      <w:bCs/>
      <w:kern w:val="44"/>
      <w:sz w:val="44"/>
      <w:szCs w:val="44"/>
      <w:lang w:val="zh-CN" w:eastAsia="zh-CN"/>
    </w:rPr>
  </w:style>
  <w:style w:type="paragraph" w:customStyle="1" w:styleId="90">
    <w:name w:val="_Style 75"/>
    <w:basedOn w:val="9"/>
    <w:next w:val="27"/>
    <w:link w:val="91"/>
    <w:qFormat/>
    <w:uiPriority w:val="0"/>
    <w:pPr>
      <w:autoSpaceDE/>
      <w:autoSpaceDN/>
      <w:spacing w:after="120"/>
      <w:ind w:firstLine="420" w:firstLineChars="100"/>
      <w:jc w:val="both"/>
    </w:pPr>
    <w:rPr>
      <w:rFonts w:asciiTheme="minorHAnsi" w:hAnsiTheme="minorHAnsi" w:eastAsiaTheme="minorEastAsia" w:cstheme="minorBidi"/>
      <w:sz w:val="20"/>
      <w:szCs w:val="20"/>
    </w:rPr>
  </w:style>
  <w:style w:type="character" w:customStyle="1" w:styleId="91">
    <w:name w:val="正文首行缩进 Char"/>
    <w:link w:val="90"/>
    <w:qFormat/>
    <w:uiPriority w:val="0"/>
  </w:style>
  <w:style w:type="character" w:customStyle="1" w:styleId="92">
    <w:name w:val="正文首行缩进 Char1"/>
    <w:basedOn w:val="41"/>
    <w:link w:val="27"/>
    <w:semiHidden/>
    <w:qFormat/>
    <w:uiPriority w:val="0"/>
    <w:rPr>
      <w:rFonts w:ascii="Times New Roman" w:hAnsi="Times New Roman" w:eastAsia="宋体" w:cs="Times New Roman"/>
      <w:sz w:val="21"/>
      <w:szCs w:val="21"/>
    </w:rPr>
  </w:style>
  <w:style w:type="paragraph" w:customStyle="1" w:styleId="93">
    <w:name w:val="正文（我）"/>
    <w:basedOn w:val="1"/>
    <w:qFormat/>
    <w:uiPriority w:val="0"/>
    <w:pPr>
      <w:ind w:firstLine="200"/>
    </w:pPr>
    <w:rPr>
      <w:color w:val="000000"/>
      <w:kern w:val="1"/>
      <w:sz w:val="28"/>
      <w:szCs w:val="24"/>
      <w:lang w:val="zh-CN"/>
    </w:rPr>
  </w:style>
  <w:style w:type="paragraph" w:customStyle="1" w:styleId="94">
    <w:name w:val="正文_18"/>
    <w:basedOn w:val="1"/>
    <w:qFormat/>
    <w:uiPriority w:val="0"/>
    <w:rPr>
      <w:rFonts w:ascii="Calibri" w:hAnsi="Calibri"/>
      <w:szCs w:val="20"/>
    </w:rPr>
  </w:style>
  <w:style w:type="paragraph" w:customStyle="1" w:styleId="95">
    <w:name w:val="报告书正文"/>
    <w:basedOn w:val="27"/>
    <w:qFormat/>
    <w:uiPriority w:val="0"/>
    <w:pPr>
      <w:spacing w:line="360" w:lineRule="auto"/>
      <w:ind w:firstLine="480" w:firstLineChars="200"/>
    </w:pPr>
    <w:rPr>
      <w:sz w:val="24"/>
      <w:szCs w:val="24"/>
    </w:rPr>
  </w:style>
  <w:style w:type="paragraph" w:customStyle="1" w:styleId="96">
    <w:name w:val="Default"/>
    <w:basedOn w:val="97"/>
    <w:next w:val="98"/>
    <w:qFormat/>
    <w:uiPriority w:val="0"/>
    <w:pPr>
      <w:autoSpaceDE w:val="0"/>
      <w:autoSpaceDN w:val="0"/>
      <w:spacing w:line="360" w:lineRule="auto"/>
      <w:jc w:val="left"/>
    </w:pPr>
    <w:rPr>
      <w:rFonts w:hint="eastAsia"/>
      <w:color w:val="000000"/>
      <w:sz w:val="24"/>
    </w:rPr>
  </w:style>
  <w:style w:type="paragraph" w:customStyle="1" w:styleId="97">
    <w:name w:val="纯文本1"/>
    <w:basedOn w:val="1"/>
    <w:qFormat/>
    <w:uiPriority w:val="0"/>
    <w:pPr>
      <w:adjustRightInd w:val="0"/>
    </w:pPr>
    <w:rPr>
      <w:rFonts w:ascii="宋体" w:hAnsi="Courier New"/>
      <w:szCs w:val="20"/>
    </w:rPr>
  </w:style>
  <w:style w:type="paragraph" w:customStyle="1" w:styleId="9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99">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标题2"/>
    <w:basedOn w:val="1"/>
    <w:next w:val="1"/>
    <w:qFormat/>
    <w:uiPriority w:val="0"/>
    <w:pPr>
      <w:autoSpaceDE w:val="0"/>
      <w:autoSpaceDN w:val="0"/>
      <w:snapToGrid w:val="0"/>
      <w:spacing w:line="590" w:lineRule="atLeast"/>
      <w:jc w:val="center"/>
    </w:pPr>
    <w:rPr>
      <w:rFonts w:eastAsia="方正楷体_GBK"/>
      <w:snapToGrid w:val="0"/>
      <w:kern w:val="0"/>
      <w:sz w:val="32"/>
    </w:rPr>
  </w:style>
  <w:style w:type="character" w:customStyle="1" w:styleId="101">
    <w:name w:val="表格正文 Char"/>
    <w:link w:val="102"/>
    <w:qFormat/>
    <w:uiPriority w:val="0"/>
    <w:rPr>
      <w:sz w:val="21"/>
      <w:szCs w:val="21"/>
    </w:rPr>
  </w:style>
  <w:style w:type="paragraph" w:customStyle="1" w:styleId="102">
    <w:name w:val="表格正文"/>
    <w:link w:val="101"/>
    <w:qFormat/>
    <w:uiPriority w:val="0"/>
    <w:pPr>
      <w:adjustRightInd w:val="0"/>
      <w:snapToGrid w:val="0"/>
      <w:jc w:val="center"/>
    </w:pPr>
    <w:rPr>
      <w:rFonts w:ascii="Times New Roman" w:hAnsi="Times New Roman" w:eastAsia="宋体" w:cs="Times New Roman"/>
      <w:sz w:val="21"/>
      <w:szCs w:val="21"/>
      <w:lang w:val="en-US" w:eastAsia="zh-CN" w:bidi="ar-SA"/>
    </w:rPr>
  </w:style>
  <w:style w:type="character" w:customStyle="1" w:styleId="103">
    <w:name w:val="标题 2 Char"/>
    <w:basedOn w:val="31"/>
    <w:link w:val="3"/>
    <w:semiHidden/>
    <w:qFormat/>
    <w:uiPriority w:val="0"/>
    <w:rPr>
      <w:rFonts w:asciiTheme="majorHAnsi" w:hAnsiTheme="majorHAnsi" w:eastAsiaTheme="majorEastAsia" w:cstheme="majorBidi"/>
      <w:b/>
      <w:bCs/>
      <w:sz w:val="32"/>
      <w:szCs w:val="32"/>
    </w:rPr>
  </w:style>
  <w:style w:type="paragraph" w:customStyle="1" w:styleId="104">
    <w:name w:val="表格标题样式"/>
    <w:basedOn w:val="27"/>
    <w:qFormat/>
    <w:uiPriority w:val="0"/>
    <w:pPr>
      <w:spacing w:after="0" w:line="480" w:lineRule="exact"/>
      <w:ind w:firstLine="0"/>
      <w:jc w:val="center"/>
    </w:pPr>
    <w:rPr>
      <w:rFonts w:eastAsia="黑体"/>
      <w:color w:val="0070C0"/>
      <w:kern w:val="2"/>
      <w:sz w:val="24"/>
      <w:szCs w:val="24"/>
    </w:rPr>
  </w:style>
  <w:style w:type="character" w:customStyle="1" w:styleId="105">
    <w:name w:val="批注文字 Char"/>
    <w:basedOn w:val="31"/>
    <w:link w:val="8"/>
    <w:qFormat/>
    <w:uiPriority w:val="0"/>
    <w:rPr>
      <w:kern w:val="2"/>
      <w:sz w:val="21"/>
      <w:szCs w:val="24"/>
    </w:rPr>
  </w:style>
  <w:style w:type="table" w:customStyle="1" w:styleId="106">
    <w:name w:val="表格式2"/>
    <w:basedOn w:val="29"/>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表格式4"/>
    <w:basedOn w:val="29"/>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8">
    <w:name w:val="表格文本"/>
    <w:next w:val="1"/>
    <w:qFormat/>
    <w:uiPriority w:val="0"/>
    <w:pPr>
      <w:spacing w:before="100" w:beforeAutospacing="1" w:after="100" w:afterAutospacing="1"/>
      <w:jc w:val="center"/>
    </w:pPr>
    <w:rPr>
      <w:rFonts w:ascii="Times New Roman" w:hAnsi="Times New Roman" w:eastAsia="仿宋_GB2312" w:cs="Times New Roman"/>
      <w:kern w:val="2"/>
      <w:sz w:val="21"/>
      <w:szCs w:val="24"/>
      <w:lang w:val="en-US" w:eastAsia="zh-CN" w:bidi="ar-SA"/>
    </w:rPr>
  </w:style>
  <w:style w:type="paragraph" w:customStyle="1" w:styleId="109">
    <w:name w:val="表格名称"/>
    <w:basedOn w:val="1"/>
    <w:next w:val="1"/>
    <w:qFormat/>
    <w:uiPriority w:val="0"/>
    <w:pPr>
      <w:tabs>
        <w:tab w:val="left" w:pos="360"/>
      </w:tabs>
      <w:snapToGrid w:val="0"/>
      <w:ind w:left="992" w:hanging="360"/>
      <w:jc w:val="center"/>
    </w:pPr>
    <w:rPr>
      <w:b/>
      <w:sz w:val="24"/>
      <w:szCs w:val="24"/>
    </w:rPr>
  </w:style>
  <w:style w:type="paragraph" w:customStyle="1" w:styleId="110">
    <w:name w:val="博士论文正文"/>
    <w:basedOn w:val="1"/>
    <w:qFormat/>
    <w:uiPriority w:val="0"/>
    <w:pPr>
      <w:snapToGrid w:val="0"/>
      <w:spacing w:beforeLines="20" w:afterLines="20" w:line="360" w:lineRule="auto"/>
      <w:ind w:firstLine="200" w:firstLineChars="200"/>
    </w:pPr>
    <w:rPr>
      <w:sz w:val="24"/>
      <w:szCs w:val="24"/>
    </w:rPr>
  </w:style>
  <w:style w:type="character" w:customStyle="1" w:styleId="111">
    <w:name w:val="批注主题 Char"/>
    <w:basedOn w:val="105"/>
    <w:link w:val="26"/>
    <w:semiHidden/>
    <w:qFormat/>
    <w:uiPriority w:val="0"/>
    <w:rPr>
      <w:b/>
      <w:bCs/>
      <w:kern w:val="2"/>
      <w:sz w:val="21"/>
      <w:szCs w:val="21"/>
    </w:rPr>
  </w:style>
  <w:style w:type="character" w:customStyle="1" w:styleId="112">
    <w:name w:val="标题 3 Char Char Char"/>
    <w:qFormat/>
    <w:uiPriority w:val="0"/>
    <w:rPr>
      <w:rFonts w:ascii="宋体" w:hAnsi="宋体" w:cs="Arial"/>
      <w:sz w:val="24"/>
      <w:szCs w:val="32"/>
    </w:rPr>
  </w:style>
  <w:style w:type="paragraph" w:customStyle="1" w:styleId="113">
    <w:name w:val="三级标题3"/>
    <w:basedOn w:val="1"/>
    <w:qFormat/>
    <w:uiPriority w:val="0"/>
    <w:pPr>
      <w:numPr>
        <w:ilvl w:val="2"/>
        <w:numId w:val="2"/>
      </w:numPr>
      <w:spacing w:beforeLines="20" w:afterLines="20" w:line="360" w:lineRule="auto"/>
      <w:ind w:left="0" w:hanging="945" w:hangingChars="945"/>
      <w:outlineLvl w:val="2"/>
    </w:pPr>
    <w:rPr>
      <w:rFonts w:ascii="Times New Roman" w:hAnsi="Times New Roman"/>
      <w:b/>
      <w:sz w:val="24"/>
      <w:szCs w:val="24"/>
      <w:lang w:val="zh-CN"/>
    </w:rPr>
  </w:style>
  <w:style w:type="paragraph" w:customStyle="1" w:styleId="114">
    <w:name w:val="4"/>
    <w:basedOn w:val="14"/>
    <w:qFormat/>
    <w:uiPriority w:val="0"/>
    <w:pPr>
      <w:spacing w:line="360" w:lineRule="auto"/>
      <w:ind w:firstLine="480" w:firstLineChars="200"/>
    </w:pPr>
    <w:rPr>
      <w:rFonts w:cs="Times New Roman"/>
      <w:color w:val="000000"/>
      <w:sz w:val="24"/>
      <w:szCs w:val="20"/>
    </w:rPr>
  </w:style>
  <w:style w:type="paragraph" w:customStyle="1" w:styleId="115">
    <w:name w:val="！正文"/>
    <w:basedOn w:val="1"/>
    <w:qFormat/>
    <w:uiPriority w:val="0"/>
    <w:pPr>
      <w:widowControl/>
      <w:spacing w:line="360" w:lineRule="auto"/>
      <w:ind w:firstLine="480" w:firstLineChars="200"/>
      <w:jc w:val="left"/>
    </w:pPr>
    <w:rPr>
      <w:rFonts w:ascii="宋体" w:hAnsi="宋体" w:cs="宋体"/>
      <w:kern w:val="0"/>
      <w:sz w:val="24"/>
    </w:rPr>
  </w:style>
  <w:style w:type="paragraph" w:customStyle="1" w:styleId="116">
    <w:name w:val="0正文"/>
    <w:basedOn w:val="1"/>
    <w:qFormat/>
    <w:uiPriority w:val="0"/>
    <w:pPr>
      <w:spacing w:line="360" w:lineRule="auto"/>
      <w:ind w:firstLine="480" w:firstLineChars="200"/>
    </w:pPr>
    <w:rPr>
      <w:rFonts w:ascii="Calibri" w:hAnsi="Calibri"/>
      <w:sz w:val="24"/>
      <w:szCs w:val="22"/>
    </w:rPr>
  </w:style>
  <w:style w:type="paragraph" w:customStyle="1" w:styleId="117">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sz w:val="24"/>
    </w:rPr>
  </w:style>
  <w:style w:type="paragraph" w:customStyle="1" w:styleId="11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48</Pages>
  <Words>12358</Words>
  <Characters>13233</Characters>
  <Lines>292</Lines>
  <Paragraphs>82</Paragraphs>
  <TotalTime>9</TotalTime>
  <ScaleCrop>false</ScaleCrop>
  <LinksUpToDate>false</LinksUpToDate>
  <CharactersWithSpaces>13403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2023-07-14T00:25:00Z</dcterms:created>
  <dc:creator>kiksids</dc:creator>
  <cp:lastModifiedBy>小白</cp:lastModifiedBy>
  <dcterms:modified xsi:type="dcterms:W3CDTF">2026-01-27T02:48:55Z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C80471B5259E4D2C9393A9DAE4CFA28B</vt:lpwstr>
  </property>
  <property fmtid="{D5CDD505-2E9C-101B-9397-08002B2CF9AE}" pid="4" name="KSOTemplateDocerSaveRecord">
    <vt:lpwstr>eyJoZGlkIjoiZWNlYjVhMjYxMzE5ZDU4MDA0OWYzM2RlZTY4ZGFkMjkiLCJ1c2VySWQiOiI0NDUyNzY2MjYifQ==</vt:lpwstr>
  </property>
</Properties>
</file>