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742C">
      <w:pPr>
        <w:spacing w:line="360" w:lineRule="auto"/>
        <w:rPr>
          <w:rFonts w:asciiTheme="minorEastAsia" w:hAnsiTheme="minorEastAsia" w:eastAsiaTheme="minorEastAsia"/>
          <w:sz w:val="24"/>
          <w:szCs w:val="24"/>
        </w:rPr>
      </w:pPr>
      <w:bookmarkStart w:id="19" w:name="_GoBack"/>
      <w:bookmarkEnd w:id="19"/>
    </w:p>
    <w:p w14:paraId="65BA3BB9">
      <w:pPr>
        <w:spacing w:line="360" w:lineRule="auto"/>
        <w:rPr>
          <w:rFonts w:asciiTheme="minorEastAsia" w:hAnsiTheme="minorEastAsia" w:eastAsiaTheme="minorEastAsia"/>
          <w:sz w:val="24"/>
          <w:szCs w:val="24"/>
        </w:rPr>
      </w:pPr>
    </w:p>
    <w:p w14:paraId="1E9D61B6">
      <w:pPr>
        <w:spacing w:line="360" w:lineRule="auto"/>
        <w:rPr>
          <w:rFonts w:asciiTheme="minorEastAsia" w:hAnsiTheme="minorEastAsia" w:eastAsiaTheme="minorEastAsia"/>
          <w:sz w:val="24"/>
          <w:szCs w:val="24"/>
        </w:rPr>
      </w:pPr>
    </w:p>
    <w:p w14:paraId="6AD7F3D6">
      <w:pPr>
        <w:spacing w:line="360" w:lineRule="auto"/>
        <w:rPr>
          <w:rFonts w:asciiTheme="minorEastAsia" w:hAnsiTheme="minorEastAsia" w:eastAsiaTheme="minorEastAsia"/>
          <w:sz w:val="24"/>
          <w:szCs w:val="24"/>
        </w:rPr>
      </w:pPr>
    </w:p>
    <w:p w14:paraId="636A5A74">
      <w:pPr>
        <w:pStyle w:val="2"/>
        <w:keepLines w:val="0"/>
        <w:spacing w:before="0" w:after="0" w:line="240" w:lineRule="auto"/>
        <w:ind w:firstLine="352" w:firstLineChars="49"/>
        <w:jc w:val="center"/>
        <w:rPr>
          <w:rFonts w:asciiTheme="minorEastAsia" w:hAnsiTheme="minorEastAsia" w:eastAsiaTheme="minorEastAsia"/>
          <w:b w:val="0"/>
          <w:kern w:val="2"/>
          <w:sz w:val="72"/>
          <w:szCs w:val="72"/>
        </w:rPr>
      </w:pPr>
      <w:bookmarkStart w:id="0" w:name="_Toc189"/>
      <w:r>
        <w:rPr>
          <w:rFonts w:asciiTheme="minorEastAsia" w:hAnsiTheme="minorEastAsia" w:eastAsiaTheme="minorEastAsia"/>
          <w:b w:val="0"/>
          <w:kern w:val="2"/>
          <w:sz w:val="72"/>
          <w:szCs w:val="72"/>
        </w:rPr>
        <w:t>建设项目环境影响报告表</w:t>
      </w:r>
      <w:bookmarkEnd w:id="0"/>
    </w:p>
    <w:p w14:paraId="53DC6F60">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48"/>
          <w:szCs w:val="48"/>
        </w:rPr>
        <w:t>（污染影响类）</w:t>
      </w:r>
    </w:p>
    <w:p w14:paraId="52835B66">
      <w:pPr>
        <w:spacing w:line="360" w:lineRule="auto"/>
        <w:rPr>
          <w:rFonts w:asciiTheme="minorEastAsia" w:hAnsiTheme="minorEastAsia" w:eastAsiaTheme="minorEastAsia"/>
          <w:sz w:val="24"/>
          <w:szCs w:val="24"/>
        </w:rPr>
      </w:pPr>
    </w:p>
    <w:p w14:paraId="045D57DD">
      <w:pPr>
        <w:spacing w:line="360" w:lineRule="auto"/>
        <w:rPr>
          <w:rFonts w:asciiTheme="minorEastAsia" w:hAnsiTheme="minorEastAsia" w:eastAsiaTheme="minorEastAsia"/>
          <w:sz w:val="24"/>
          <w:szCs w:val="24"/>
        </w:rPr>
      </w:pPr>
    </w:p>
    <w:p w14:paraId="22A0C68A">
      <w:pPr>
        <w:spacing w:line="360" w:lineRule="auto"/>
        <w:rPr>
          <w:rFonts w:asciiTheme="minorEastAsia" w:hAnsiTheme="minorEastAsia" w:eastAsiaTheme="minorEastAsia"/>
          <w:sz w:val="24"/>
          <w:szCs w:val="24"/>
        </w:rPr>
      </w:pPr>
    </w:p>
    <w:p w14:paraId="24FAE5C8">
      <w:pPr>
        <w:spacing w:line="360" w:lineRule="auto"/>
        <w:rPr>
          <w:rFonts w:asciiTheme="minorEastAsia" w:hAnsiTheme="minorEastAsia" w:eastAsiaTheme="minorEastAsia"/>
          <w:sz w:val="24"/>
          <w:szCs w:val="24"/>
        </w:rPr>
      </w:pPr>
    </w:p>
    <w:p w14:paraId="1EBD3743">
      <w:pPr>
        <w:spacing w:line="360" w:lineRule="auto"/>
        <w:rPr>
          <w:rFonts w:asciiTheme="minorEastAsia" w:hAnsiTheme="minorEastAsia" w:eastAsiaTheme="minorEastAsia"/>
          <w:sz w:val="24"/>
          <w:szCs w:val="24"/>
        </w:rPr>
      </w:pPr>
    </w:p>
    <w:p w14:paraId="08F41982">
      <w:pPr>
        <w:spacing w:line="360" w:lineRule="auto"/>
        <w:rPr>
          <w:rFonts w:asciiTheme="minorEastAsia" w:hAnsiTheme="minorEastAsia" w:eastAsiaTheme="minorEastAsia"/>
          <w:sz w:val="24"/>
          <w:szCs w:val="24"/>
        </w:rPr>
      </w:pPr>
    </w:p>
    <w:p w14:paraId="0734E65E">
      <w:pPr>
        <w:spacing w:line="360" w:lineRule="auto"/>
        <w:rPr>
          <w:rFonts w:asciiTheme="minorEastAsia" w:hAnsiTheme="minorEastAsia" w:eastAsiaTheme="minorEastAsia"/>
          <w:sz w:val="24"/>
          <w:szCs w:val="24"/>
        </w:rPr>
      </w:pPr>
    </w:p>
    <w:p w14:paraId="5408ACA0">
      <w:pPr>
        <w:adjustRightInd w:val="0"/>
        <w:snapToGrid w:val="0"/>
        <w:spacing w:line="288" w:lineRule="auto"/>
        <w:jc w:val="left"/>
        <w:rPr>
          <w:rFonts w:asciiTheme="minorEastAsia" w:hAnsiTheme="minorEastAsia" w:eastAsiaTheme="minorEastAsia"/>
          <w:sz w:val="36"/>
          <w:szCs w:val="36"/>
        </w:rPr>
      </w:pPr>
      <w:r>
        <w:rPr>
          <w:rFonts w:asciiTheme="minorEastAsia" w:hAnsiTheme="minorEastAsia" w:eastAsiaTheme="minorEastAsia"/>
          <w:sz w:val="36"/>
          <w:szCs w:val="36"/>
        </w:rPr>
        <w:t xml:space="preserve">项目名称： 吉林省和马科技有限责任公司建设项目                                 </w:t>
      </w:r>
    </w:p>
    <w:p w14:paraId="2603DE0B">
      <w:pPr>
        <w:adjustRightInd w:val="0"/>
        <w:snapToGrid w:val="0"/>
        <w:spacing w:line="288" w:lineRule="auto"/>
        <w:jc w:val="left"/>
        <w:rPr>
          <w:rFonts w:asciiTheme="minorEastAsia" w:hAnsiTheme="minorEastAsia" w:eastAsiaTheme="minorEastAsia"/>
          <w:sz w:val="36"/>
          <w:szCs w:val="36"/>
        </w:rPr>
      </w:pPr>
      <w:r>
        <w:rPr>
          <w:rFonts w:asciiTheme="minorEastAsia" w:hAnsiTheme="minorEastAsia" w:eastAsiaTheme="minorEastAsia"/>
          <w:sz w:val="36"/>
          <w:szCs w:val="36"/>
        </w:rPr>
        <w:t xml:space="preserve">建设单位（盖章）：吉林省和马科技有限责任公司                                         </w:t>
      </w:r>
    </w:p>
    <w:p w14:paraId="5661B495">
      <w:pPr>
        <w:adjustRightInd w:val="0"/>
        <w:snapToGrid w:val="0"/>
        <w:spacing w:line="288" w:lineRule="auto"/>
        <w:rPr>
          <w:rFonts w:asciiTheme="minorEastAsia" w:hAnsiTheme="minorEastAsia" w:eastAsiaTheme="minorEastAsia"/>
          <w:sz w:val="36"/>
          <w:szCs w:val="36"/>
        </w:rPr>
      </w:pPr>
      <w:r>
        <w:rPr>
          <w:rFonts w:asciiTheme="minorEastAsia" w:hAnsiTheme="minorEastAsia" w:eastAsiaTheme="minorEastAsia"/>
          <w:sz w:val="36"/>
          <w:szCs w:val="36"/>
        </w:rPr>
        <w:t>编制日期： 二O二</w:t>
      </w:r>
      <w:r>
        <w:rPr>
          <w:rFonts w:hint="eastAsia" w:asciiTheme="minorEastAsia" w:hAnsiTheme="minorEastAsia" w:eastAsiaTheme="minorEastAsia"/>
          <w:sz w:val="36"/>
          <w:szCs w:val="36"/>
        </w:rPr>
        <w:t>六</w:t>
      </w:r>
      <w:r>
        <w:rPr>
          <w:rFonts w:asciiTheme="minorEastAsia" w:hAnsiTheme="minorEastAsia" w:eastAsiaTheme="minorEastAsia"/>
          <w:sz w:val="36"/>
          <w:szCs w:val="36"/>
        </w:rPr>
        <w:t>年</w:t>
      </w:r>
      <w:r>
        <w:rPr>
          <w:rFonts w:hint="eastAsia" w:asciiTheme="minorEastAsia" w:hAnsiTheme="minorEastAsia" w:eastAsiaTheme="minorEastAsia"/>
          <w:sz w:val="36"/>
          <w:szCs w:val="36"/>
        </w:rPr>
        <w:t>五</w:t>
      </w:r>
      <w:r>
        <w:rPr>
          <w:rFonts w:asciiTheme="minorEastAsia" w:hAnsiTheme="minorEastAsia" w:eastAsiaTheme="minorEastAsia"/>
          <w:sz w:val="36"/>
          <w:szCs w:val="36"/>
        </w:rPr>
        <w:t xml:space="preserve">月                      </w:t>
      </w:r>
    </w:p>
    <w:p w14:paraId="0CE54951">
      <w:pPr>
        <w:spacing w:line="360" w:lineRule="auto"/>
        <w:rPr>
          <w:rFonts w:asciiTheme="minorEastAsia" w:hAnsiTheme="minorEastAsia" w:eastAsiaTheme="minorEastAsia"/>
          <w:sz w:val="24"/>
          <w:szCs w:val="24"/>
        </w:rPr>
      </w:pPr>
    </w:p>
    <w:p w14:paraId="0594677B">
      <w:pPr>
        <w:spacing w:line="360" w:lineRule="auto"/>
        <w:rPr>
          <w:rFonts w:asciiTheme="minorEastAsia" w:hAnsiTheme="minorEastAsia" w:eastAsiaTheme="minorEastAsia"/>
          <w:sz w:val="24"/>
          <w:szCs w:val="24"/>
        </w:rPr>
      </w:pPr>
    </w:p>
    <w:p w14:paraId="5264EB37">
      <w:pPr>
        <w:spacing w:line="360" w:lineRule="auto"/>
        <w:rPr>
          <w:rFonts w:asciiTheme="minorEastAsia" w:hAnsiTheme="minorEastAsia" w:eastAsiaTheme="minorEastAsia"/>
          <w:sz w:val="24"/>
          <w:szCs w:val="24"/>
        </w:rPr>
      </w:pPr>
    </w:p>
    <w:p w14:paraId="198903DD">
      <w:pPr>
        <w:spacing w:line="360" w:lineRule="auto"/>
        <w:rPr>
          <w:rFonts w:asciiTheme="minorEastAsia" w:hAnsiTheme="minorEastAsia" w:eastAsiaTheme="minorEastAsia"/>
          <w:sz w:val="24"/>
          <w:szCs w:val="24"/>
        </w:rPr>
      </w:pPr>
    </w:p>
    <w:p w14:paraId="58C82578">
      <w:pPr>
        <w:spacing w:line="360" w:lineRule="auto"/>
        <w:rPr>
          <w:rFonts w:asciiTheme="minorEastAsia" w:hAnsiTheme="minorEastAsia" w:eastAsiaTheme="minorEastAsia"/>
          <w:sz w:val="24"/>
          <w:szCs w:val="24"/>
        </w:rPr>
      </w:pPr>
    </w:p>
    <w:p w14:paraId="07001FF7">
      <w:pPr>
        <w:spacing w:line="360" w:lineRule="auto"/>
        <w:jc w:val="center"/>
        <w:rPr>
          <w:rFonts w:asciiTheme="minorEastAsia" w:hAnsiTheme="minorEastAsia" w:eastAsiaTheme="minorEastAsia"/>
          <w:sz w:val="24"/>
          <w:szCs w:val="24"/>
        </w:rPr>
      </w:pPr>
      <w:bookmarkStart w:id="1" w:name="_Toc4870"/>
      <w:r>
        <w:rPr>
          <w:rFonts w:asciiTheme="minorEastAsia" w:hAnsiTheme="minorEastAsia" w:eastAsiaTheme="minorEastAsia"/>
          <w:sz w:val="36"/>
          <w:szCs w:val="36"/>
        </w:rPr>
        <w:t>中华人民共和国生态环境部制</w:t>
      </w:r>
      <w:bookmarkEnd w:id="1"/>
    </w:p>
    <w:p w14:paraId="462A5212">
      <w:pPr>
        <w:spacing w:line="360" w:lineRule="auto"/>
        <w:rPr>
          <w:rFonts w:asciiTheme="minorEastAsia" w:hAnsiTheme="minorEastAsia" w:eastAsiaTheme="minorEastAsia"/>
          <w:sz w:val="24"/>
          <w:szCs w:val="24"/>
        </w:rPr>
      </w:pPr>
    </w:p>
    <w:p w14:paraId="5B0D9794">
      <w:pPr>
        <w:pStyle w:val="2"/>
        <w:keepLines w:val="0"/>
        <w:spacing w:before="0" w:after="0" w:line="240" w:lineRule="auto"/>
        <w:ind w:firstLine="148" w:firstLineChars="49"/>
        <w:jc w:val="center"/>
        <w:rPr>
          <w:rFonts w:asciiTheme="minorEastAsia" w:hAnsiTheme="minorEastAsia" w:eastAsiaTheme="minorEastAsia"/>
          <w:snapToGrid w:val="0"/>
          <w:sz w:val="30"/>
          <w:szCs w:val="30"/>
        </w:rPr>
        <w:sectPr>
          <w:pgSz w:w="11906" w:h="16838"/>
          <w:pgMar w:top="1701" w:right="1701" w:bottom="1701" w:left="1701" w:header="851" w:footer="992" w:gutter="0"/>
          <w:cols w:space="425" w:num="1"/>
          <w:docGrid w:type="lines" w:linePitch="312" w:charSpace="0"/>
        </w:sectPr>
      </w:pPr>
    </w:p>
    <w:p w14:paraId="43177565">
      <w:pPr>
        <w:pStyle w:val="2"/>
        <w:keepLines w:val="0"/>
        <w:spacing w:before="0" w:after="0" w:line="240" w:lineRule="auto"/>
        <w:ind w:firstLine="148" w:firstLineChars="49"/>
        <w:jc w:val="center"/>
        <w:rPr>
          <w:rFonts w:asciiTheme="minorEastAsia" w:hAnsiTheme="minorEastAsia" w:eastAsiaTheme="minorEastAsia"/>
          <w:bCs w:val="0"/>
          <w:kern w:val="2"/>
          <w:sz w:val="30"/>
          <w:szCs w:val="20"/>
        </w:rPr>
      </w:pPr>
      <w:bookmarkStart w:id="2" w:name="_Toc18346"/>
      <w:r>
        <w:rPr>
          <w:rFonts w:asciiTheme="minorEastAsia" w:hAnsiTheme="minorEastAsia" w:eastAsiaTheme="minorEastAsia"/>
          <w:snapToGrid w:val="0"/>
          <w:sz w:val="30"/>
          <w:szCs w:val="30"/>
        </w:rPr>
        <w:t>一、建设项目基本情况</w:t>
      </w:r>
      <w:bookmarkEnd w:id="2"/>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1987"/>
        <w:gridCol w:w="1850"/>
        <w:gridCol w:w="2845"/>
      </w:tblGrid>
      <w:tr w14:paraId="492C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7" w:type="pct"/>
            <w:vAlign w:val="center"/>
          </w:tcPr>
          <w:p w14:paraId="38B6D44D">
            <w:pPr>
              <w:jc w:val="center"/>
              <w:rPr>
                <w:rFonts w:asciiTheme="minorEastAsia" w:hAnsiTheme="minorEastAsia" w:eastAsiaTheme="minorEastAsia"/>
                <w:sz w:val="24"/>
                <w:szCs w:val="24"/>
              </w:rPr>
            </w:pPr>
            <w:r>
              <w:rPr>
                <w:rFonts w:asciiTheme="minorEastAsia" w:hAnsiTheme="minorEastAsia" w:eastAsiaTheme="minorEastAsia"/>
                <w:sz w:val="24"/>
                <w:szCs w:val="24"/>
              </w:rPr>
              <w:t>建设项目名称</w:t>
            </w:r>
          </w:p>
        </w:tc>
        <w:tc>
          <w:tcPr>
            <w:tcW w:w="3832" w:type="pct"/>
            <w:gridSpan w:val="3"/>
            <w:vAlign w:val="center"/>
          </w:tcPr>
          <w:p w14:paraId="62E2652F">
            <w:pPr>
              <w:jc w:val="center"/>
              <w:rPr>
                <w:rFonts w:asciiTheme="minorEastAsia" w:hAnsiTheme="minorEastAsia" w:eastAsiaTheme="minorEastAsia"/>
                <w:sz w:val="24"/>
                <w:szCs w:val="24"/>
              </w:rPr>
            </w:pPr>
            <w:r>
              <w:rPr>
                <w:rFonts w:asciiTheme="minorEastAsia" w:hAnsiTheme="minorEastAsia" w:eastAsiaTheme="minorEastAsia"/>
                <w:sz w:val="24"/>
                <w:szCs w:val="24"/>
              </w:rPr>
              <w:t>吉林省和马科技有限责任公司建设项目</w:t>
            </w:r>
          </w:p>
        </w:tc>
      </w:tr>
      <w:tr w14:paraId="10FC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2B574997">
            <w:pPr>
              <w:jc w:val="center"/>
              <w:rPr>
                <w:rFonts w:asciiTheme="minorEastAsia" w:hAnsiTheme="minorEastAsia" w:eastAsiaTheme="minorEastAsia"/>
                <w:sz w:val="24"/>
                <w:szCs w:val="24"/>
              </w:rPr>
            </w:pPr>
            <w:r>
              <w:rPr>
                <w:rFonts w:asciiTheme="minorEastAsia" w:hAnsiTheme="minorEastAsia" w:eastAsiaTheme="minorEastAsia"/>
                <w:sz w:val="24"/>
                <w:szCs w:val="24"/>
              </w:rPr>
              <w:t>项目代码</w:t>
            </w:r>
          </w:p>
        </w:tc>
        <w:tc>
          <w:tcPr>
            <w:tcW w:w="3832" w:type="pct"/>
            <w:gridSpan w:val="3"/>
            <w:vAlign w:val="center"/>
          </w:tcPr>
          <w:p w14:paraId="5C4FE902">
            <w:pPr>
              <w:jc w:val="center"/>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7954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1D38FAEA">
            <w:pPr>
              <w:jc w:val="center"/>
              <w:rPr>
                <w:rFonts w:asciiTheme="minorEastAsia" w:hAnsiTheme="minorEastAsia" w:eastAsiaTheme="minorEastAsia"/>
                <w:sz w:val="24"/>
                <w:szCs w:val="24"/>
              </w:rPr>
            </w:pPr>
            <w:r>
              <w:rPr>
                <w:rFonts w:asciiTheme="minorEastAsia" w:hAnsiTheme="minorEastAsia" w:eastAsiaTheme="minorEastAsia"/>
                <w:sz w:val="24"/>
                <w:szCs w:val="24"/>
              </w:rPr>
              <w:t>建设单位联系人</w:t>
            </w:r>
          </w:p>
        </w:tc>
        <w:tc>
          <w:tcPr>
            <w:tcW w:w="1140" w:type="pct"/>
            <w:vAlign w:val="center"/>
          </w:tcPr>
          <w:p w14:paraId="09F6198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马建</w:t>
            </w:r>
          </w:p>
        </w:tc>
        <w:tc>
          <w:tcPr>
            <w:tcW w:w="1061" w:type="pct"/>
            <w:vAlign w:val="center"/>
          </w:tcPr>
          <w:p w14:paraId="531BF272">
            <w:pPr>
              <w:jc w:val="center"/>
              <w:rPr>
                <w:rFonts w:asciiTheme="minorEastAsia" w:hAnsiTheme="minorEastAsia" w:eastAsiaTheme="minorEastAsia"/>
                <w:sz w:val="24"/>
                <w:szCs w:val="24"/>
              </w:rPr>
            </w:pPr>
            <w:r>
              <w:rPr>
                <w:rFonts w:asciiTheme="minorEastAsia" w:hAnsiTheme="minorEastAsia" w:eastAsiaTheme="minorEastAsia"/>
                <w:sz w:val="24"/>
                <w:szCs w:val="24"/>
              </w:rPr>
              <w:t>联系方式</w:t>
            </w:r>
          </w:p>
        </w:tc>
        <w:tc>
          <w:tcPr>
            <w:tcW w:w="1630" w:type="pct"/>
            <w:vAlign w:val="center"/>
          </w:tcPr>
          <w:p w14:paraId="701F0BC6">
            <w:pPr>
              <w:jc w:val="center"/>
              <w:rPr>
                <w:rFonts w:asciiTheme="minorEastAsia" w:hAnsiTheme="minorEastAsia" w:eastAsiaTheme="minorEastAsia"/>
                <w:sz w:val="24"/>
                <w:szCs w:val="24"/>
              </w:rPr>
            </w:pPr>
            <w:r>
              <w:rPr>
                <w:rFonts w:asciiTheme="minorEastAsia" w:hAnsiTheme="minorEastAsia" w:eastAsiaTheme="minorEastAsia"/>
                <w:sz w:val="24"/>
                <w:szCs w:val="24"/>
              </w:rPr>
              <w:t>15500209999</w:t>
            </w:r>
          </w:p>
        </w:tc>
      </w:tr>
      <w:tr w14:paraId="461F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0398BACD">
            <w:pPr>
              <w:jc w:val="center"/>
              <w:rPr>
                <w:rFonts w:asciiTheme="minorEastAsia" w:hAnsiTheme="minorEastAsia" w:eastAsiaTheme="minorEastAsia"/>
                <w:sz w:val="24"/>
                <w:szCs w:val="24"/>
              </w:rPr>
            </w:pPr>
            <w:r>
              <w:rPr>
                <w:rFonts w:asciiTheme="minorEastAsia" w:hAnsiTheme="minorEastAsia" w:eastAsiaTheme="minorEastAsia"/>
                <w:sz w:val="24"/>
                <w:szCs w:val="24"/>
              </w:rPr>
              <w:t>建设地点</w:t>
            </w:r>
          </w:p>
        </w:tc>
        <w:tc>
          <w:tcPr>
            <w:tcW w:w="3832" w:type="pct"/>
            <w:gridSpan w:val="3"/>
            <w:vAlign w:val="center"/>
          </w:tcPr>
          <w:p w14:paraId="6A3FBE3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白山市浑江区胜利煤业厂区内</w:t>
            </w:r>
          </w:p>
        </w:tc>
      </w:tr>
      <w:tr w14:paraId="58D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36EDB826">
            <w:pPr>
              <w:jc w:val="center"/>
              <w:rPr>
                <w:rFonts w:asciiTheme="minorEastAsia" w:hAnsiTheme="minorEastAsia" w:eastAsiaTheme="minorEastAsia"/>
                <w:sz w:val="24"/>
                <w:szCs w:val="24"/>
              </w:rPr>
            </w:pPr>
            <w:r>
              <w:rPr>
                <w:rFonts w:asciiTheme="minorEastAsia" w:hAnsiTheme="minorEastAsia" w:eastAsiaTheme="minorEastAsia"/>
                <w:sz w:val="24"/>
                <w:szCs w:val="24"/>
              </w:rPr>
              <w:t>地理坐标</w:t>
            </w:r>
          </w:p>
        </w:tc>
        <w:tc>
          <w:tcPr>
            <w:tcW w:w="3832" w:type="pct"/>
            <w:gridSpan w:val="3"/>
            <w:vAlign w:val="center"/>
          </w:tcPr>
          <w:p w14:paraId="5FF96385">
            <w:pPr>
              <w:jc w:val="center"/>
              <w:rPr>
                <w:rFonts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6</w:t>
            </w:r>
            <w:r>
              <w:rPr>
                <w:rFonts w:asciiTheme="minorEastAsia" w:hAnsiTheme="minorEastAsia" w:eastAsiaTheme="minorEastAsia"/>
                <w:sz w:val="24"/>
                <w:szCs w:val="24"/>
              </w:rPr>
              <w:t>度</w:t>
            </w:r>
            <w:r>
              <w:rPr>
                <w:rFonts w:hint="eastAsia" w:asciiTheme="minorEastAsia" w:hAnsiTheme="minorEastAsia" w:eastAsiaTheme="minorEastAsia"/>
                <w:sz w:val="24"/>
                <w:szCs w:val="24"/>
              </w:rPr>
              <w:t>19</w:t>
            </w:r>
            <w:r>
              <w:rPr>
                <w:rFonts w:asciiTheme="minorEastAsia" w:hAnsiTheme="minorEastAsia" w:eastAsiaTheme="minorEastAsia"/>
                <w:sz w:val="24"/>
                <w:szCs w:val="24"/>
              </w:rPr>
              <w:t>分</w:t>
            </w:r>
            <w:r>
              <w:rPr>
                <w:rFonts w:hint="eastAsia" w:asciiTheme="minorEastAsia" w:hAnsiTheme="minorEastAsia" w:eastAsiaTheme="minorEastAsia"/>
                <w:sz w:val="24"/>
                <w:szCs w:val="24"/>
              </w:rPr>
              <w:t>53.072</w:t>
            </w:r>
            <w:r>
              <w:rPr>
                <w:rFonts w:asciiTheme="minorEastAsia" w:hAnsiTheme="minorEastAsia" w:eastAsiaTheme="minorEastAsia"/>
                <w:sz w:val="24"/>
                <w:szCs w:val="24"/>
              </w:rPr>
              <w:t>秒，4</w:t>
            </w:r>
            <w:r>
              <w:rPr>
                <w:rFonts w:hint="eastAsia" w:asciiTheme="minorEastAsia" w:hAnsiTheme="minorEastAsia" w:eastAsiaTheme="minorEastAsia"/>
                <w:sz w:val="24"/>
                <w:szCs w:val="24"/>
              </w:rPr>
              <w:t>1</w:t>
            </w:r>
            <w:r>
              <w:rPr>
                <w:rFonts w:asciiTheme="minorEastAsia" w:hAnsiTheme="minorEastAsia" w:eastAsiaTheme="minorEastAsia"/>
                <w:sz w:val="24"/>
                <w:szCs w:val="24"/>
              </w:rPr>
              <w:t>度</w:t>
            </w:r>
            <w:r>
              <w:rPr>
                <w:rFonts w:hint="eastAsia" w:asciiTheme="minorEastAsia" w:hAnsiTheme="minorEastAsia" w:eastAsiaTheme="minorEastAsia"/>
                <w:sz w:val="24"/>
                <w:szCs w:val="24"/>
              </w:rPr>
              <w:t>53</w:t>
            </w:r>
            <w:r>
              <w:rPr>
                <w:rFonts w:asciiTheme="minorEastAsia" w:hAnsiTheme="minorEastAsia" w:eastAsiaTheme="minorEastAsia"/>
                <w:sz w:val="24"/>
                <w:szCs w:val="24"/>
              </w:rPr>
              <w:t>分</w:t>
            </w:r>
            <w:r>
              <w:rPr>
                <w:rFonts w:hint="eastAsia" w:asciiTheme="minorEastAsia" w:hAnsiTheme="minorEastAsia" w:eastAsiaTheme="minorEastAsia"/>
                <w:sz w:val="24"/>
                <w:szCs w:val="24"/>
              </w:rPr>
              <w:t>27.128</w:t>
            </w:r>
            <w:r>
              <w:rPr>
                <w:rFonts w:asciiTheme="minorEastAsia" w:hAnsiTheme="minorEastAsia" w:eastAsiaTheme="minorEastAsia"/>
                <w:sz w:val="24"/>
                <w:szCs w:val="24"/>
              </w:rPr>
              <w:t>秒</w:t>
            </w:r>
          </w:p>
        </w:tc>
      </w:tr>
      <w:tr w14:paraId="147D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7E4DBAB6">
            <w:pPr>
              <w:jc w:val="center"/>
              <w:rPr>
                <w:rFonts w:asciiTheme="minorEastAsia" w:hAnsiTheme="minorEastAsia" w:eastAsiaTheme="minorEastAsia"/>
                <w:sz w:val="24"/>
                <w:szCs w:val="24"/>
              </w:rPr>
            </w:pPr>
            <w:r>
              <w:rPr>
                <w:rFonts w:asciiTheme="minorEastAsia" w:hAnsiTheme="minorEastAsia" w:eastAsiaTheme="minorEastAsia"/>
                <w:sz w:val="24"/>
                <w:szCs w:val="24"/>
              </w:rPr>
              <w:t>国民经济</w:t>
            </w:r>
          </w:p>
          <w:p w14:paraId="02AF3D04">
            <w:pPr>
              <w:jc w:val="center"/>
              <w:rPr>
                <w:rFonts w:asciiTheme="minorEastAsia" w:hAnsiTheme="minorEastAsia" w:eastAsiaTheme="minorEastAsia"/>
                <w:sz w:val="24"/>
                <w:szCs w:val="24"/>
              </w:rPr>
            </w:pPr>
            <w:r>
              <w:rPr>
                <w:rFonts w:asciiTheme="minorEastAsia" w:hAnsiTheme="minorEastAsia" w:eastAsiaTheme="minorEastAsia"/>
                <w:sz w:val="24"/>
                <w:szCs w:val="24"/>
              </w:rPr>
              <w:t>行业类别</w:t>
            </w:r>
          </w:p>
        </w:tc>
        <w:tc>
          <w:tcPr>
            <w:tcW w:w="1140" w:type="pct"/>
            <w:vAlign w:val="center"/>
          </w:tcPr>
          <w:p w14:paraId="0596FFD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C3032建筑用石加工</w:t>
            </w:r>
          </w:p>
        </w:tc>
        <w:tc>
          <w:tcPr>
            <w:tcW w:w="1061" w:type="pct"/>
            <w:vAlign w:val="center"/>
          </w:tcPr>
          <w:p w14:paraId="156F3EED">
            <w:pPr>
              <w:jc w:val="center"/>
              <w:rPr>
                <w:rFonts w:asciiTheme="minorEastAsia" w:hAnsiTheme="minorEastAsia" w:eastAsiaTheme="minorEastAsia"/>
                <w:sz w:val="24"/>
                <w:szCs w:val="24"/>
              </w:rPr>
            </w:pPr>
            <w:r>
              <w:rPr>
                <w:rFonts w:asciiTheme="minorEastAsia" w:hAnsiTheme="minorEastAsia" w:eastAsiaTheme="minorEastAsia"/>
                <w:sz w:val="24"/>
                <w:szCs w:val="24"/>
              </w:rPr>
              <w:t>建设项目</w:t>
            </w:r>
          </w:p>
          <w:p w14:paraId="32D6E2BB">
            <w:pPr>
              <w:jc w:val="center"/>
              <w:rPr>
                <w:rFonts w:asciiTheme="minorEastAsia" w:hAnsiTheme="minorEastAsia" w:eastAsiaTheme="minorEastAsia"/>
                <w:sz w:val="24"/>
                <w:szCs w:val="24"/>
              </w:rPr>
            </w:pPr>
            <w:r>
              <w:rPr>
                <w:rFonts w:asciiTheme="minorEastAsia" w:hAnsiTheme="minorEastAsia" w:eastAsiaTheme="minorEastAsia"/>
                <w:sz w:val="24"/>
                <w:szCs w:val="24"/>
              </w:rPr>
              <w:t>行业类别</w:t>
            </w:r>
          </w:p>
        </w:tc>
        <w:tc>
          <w:tcPr>
            <w:tcW w:w="1630" w:type="pct"/>
            <w:vAlign w:val="center"/>
          </w:tcPr>
          <w:p w14:paraId="4AD5F5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二十七、非金属矿物制品业 30  56砖瓦、石材等建筑材料制造 303  粘土砖瓦及建筑砌块制造；建筑用石加工；防水建筑材料制造；隔热、隔音材料制造；其他建筑材料制造（含干粉砂浆搅拌站）以上均不含利用石材板材切割、打磨、成型的</w:t>
            </w:r>
          </w:p>
        </w:tc>
      </w:tr>
      <w:tr w14:paraId="33DE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7" w:type="pct"/>
            <w:vAlign w:val="center"/>
          </w:tcPr>
          <w:p w14:paraId="4C92F3B7">
            <w:pPr>
              <w:jc w:val="center"/>
              <w:rPr>
                <w:rFonts w:asciiTheme="minorEastAsia" w:hAnsiTheme="minorEastAsia" w:eastAsiaTheme="minorEastAsia"/>
                <w:sz w:val="24"/>
                <w:szCs w:val="24"/>
              </w:rPr>
            </w:pPr>
            <w:r>
              <w:rPr>
                <w:rFonts w:asciiTheme="minorEastAsia" w:hAnsiTheme="minorEastAsia" w:eastAsiaTheme="minorEastAsia"/>
                <w:sz w:val="24"/>
                <w:szCs w:val="24"/>
              </w:rPr>
              <w:t>建设性质</w:t>
            </w:r>
          </w:p>
        </w:tc>
        <w:tc>
          <w:tcPr>
            <w:tcW w:w="1140" w:type="pct"/>
            <w:vAlign w:val="center"/>
          </w:tcPr>
          <w:p w14:paraId="0251C19D">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52"/>
            </w:r>
            <w:r>
              <w:rPr>
                <w:rFonts w:asciiTheme="minorEastAsia" w:hAnsiTheme="minorEastAsia" w:eastAsiaTheme="minorEastAsia"/>
                <w:sz w:val="24"/>
                <w:szCs w:val="24"/>
              </w:rPr>
              <w:t>新建（迁建）</w:t>
            </w:r>
          </w:p>
          <w:p w14:paraId="6A72FE40">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改建</w:t>
            </w:r>
          </w:p>
          <w:p w14:paraId="390025E9">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扩建</w:t>
            </w:r>
          </w:p>
          <w:p w14:paraId="3A8A661A">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技术改造</w:t>
            </w:r>
          </w:p>
        </w:tc>
        <w:tc>
          <w:tcPr>
            <w:tcW w:w="1061" w:type="pct"/>
            <w:vAlign w:val="center"/>
          </w:tcPr>
          <w:p w14:paraId="30AAA513">
            <w:pPr>
              <w:jc w:val="center"/>
              <w:rPr>
                <w:rFonts w:asciiTheme="minorEastAsia" w:hAnsiTheme="minorEastAsia" w:eastAsiaTheme="minorEastAsia"/>
                <w:sz w:val="24"/>
                <w:szCs w:val="24"/>
              </w:rPr>
            </w:pPr>
            <w:r>
              <w:rPr>
                <w:rFonts w:asciiTheme="minorEastAsia" w:hAnsiTheme="minorEastAsia" w:eastAsiaTheme="minorEastAsia"/>
                <w:sz w:val="24"/>
                <w:szCs w:val="24"/>
              </w:rPr>
              <w:t>建设项目</w:t>
            </w:r>
          </w:p>
          <w:p w14:paraId="315BEFA3">
            <w:pPr>
              <w:jc w:val="center"/>
              <w:rPr>
                <w:rFonts w:asciiTheme="minorEastAsia" w:hAnsiTheme="minorEastAsia" w:eastAsiaTheme="minorEastAsia"/>
                <w:sz w:val="24"/>
                <w:szCs w:val="24"/>
              </w:rPr>
            </w:pPr>
            <w:r>
              <w:rPr>
                <w:rFonts w:asciiTheme="minorEastAsia" w:hAnsiTheme="minorEastAsia" w:eastAsiaTheme="minorEastAsia"/>
                <w:sz w:val="24"/>
                <w:szCs w:val="24"/>
              </w:rPr>
              <w:t>申报情形</w:t>
            </w:r>
          </w:p>
        </w:tc>
        <w:tc>
          <w:tcPr>
            <w:tcW w:w="1630" w:type="pct"/>
            <w:vAlign w:val="center"/>
          </w:tcPr>
          <w:p w14:paraId="7977F8F2">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52"/>
            </w:r>
            <w:r>
              <w:rPr>
                <w:rFonts w:asciiTheme="minorEastAsia" w:hAnsiTheme="minorEastAsia" w:eastAsiaTheme="minorEastAsia"/>
                <w:sz w:val="24"/>
                <w:szCs w:val="24"/>
              </w:rPr>
              <w:t>首次申报项目</w:t>
            </w:r>
          </w:p>
          <w:p w14:paraId="68B62AF8">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不予批准后再次申报项目</w:t>
            </w:r>
          </w:p>
          <w:p w14:paraId="19CDD270">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超五年重新审核项目</w:t>
            </w:r>
          </w:p>
          <w:p w14:paraId="19E5816A">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重大变动重新报批项目</w:t>
            </w:r>
          </w:p>
        </w:tc>
      </w:tr>
      <w:tr w14:paraId="101E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5C931DB2">
            <w:pPr>
              <w:jc w:val="center"/>
              <w:rPr>
                <w:rFonts w:asciiTheme="minorEastAsia" w:hAnsiTheme="minorEastAsia" w:eastAsiaTheme="minorEastAsia"/>
                <w:sz w:val="24"/>
                <w:szCs w:val="24"/>
              </w:rPr>
            </w:pPr>
            <w:r>
              <w:rPr>
                <w:rFonts w:asciiTheme="minorEastAsia" w:hAnsiTheme="minorEastAsia" w:eastAsiaTheme="minorEastAsia"/>
                <w:sz w:val="24"/>
                <w:szCs w:val="24"/>
              </w:rPr>
              <w:t>项目审批（核准/</w:t>
            </w:r>
          </w:p>
          <w:p w14:paraId="2B021A7D">
            <w:pPr>
              <w:jc w:val="center"/>
              <w:rPr>
                <w:rFonts w:asciiTheme="minorEastAsia" w:hAnsiTheme="minorEastAsia" w:eastAsiaTheme="minorEastAsia"/>
                <w:sz w:val="24"/>
                <w:szCs w:val="24"/>
              </w:rPr>
            </w:pPr>
            <w:r>
              <w:rPr>
                <w:rFonts w:asciiTheme="minorEastAsia" w:hAnsiTheme="minorEastAsia" w:eastAsiaTheme="minorEastAsia"/>
                <w:sz w:val="24"/>
                <w:szCs w:val="24"/>
              </w:rPr>
              <w:t>备案）部门（选填）</w:t>
            </w:r>
          </w:p>
        </w:tc>
        <w:tc>
          <w:tcPr>
            <w:tcW w:w="1140" w:type="pct"/>
            <w:vAlign w:val="center"/>
          </w:tcPr>
          <w:p w14:paraId="5042D917">
            <w:pPr>
              <w:jc w:val="center"/>
              <w:rPr>
                <w:rFonts w:asciiTheme="minorEastAsia" w:hAnsiTheme="minorEastAsia" w:eastAsiaTheme="minorEastAsia"/>
                <w:sz w:val="24"/>
                <w:szCs w:val="24"/>
              </w:rPr>
            </w:pPr>
            <w:r>
              <w:rPr>
                <w:rFonts w:asciiTheme="minorEastAsia" w:hAnsiTheme="minorEastAsia" w:eastAsiaTheme="minorEastAsia"/>
                <w:sz w:val="24"/>
                <w:szCs w:val="24"/>
              </w:rPr>
              <w:t>无</w:t>
            </w:r>
          </w:p>
        </w:tc>
        <w:tc>
          <w:tcPr>
            <w:tcW w:w="1061" w:type="pct"/>
            <w:vAlign w:val="center"/>
          </w:tcPr>
          <w:p w14:paraId="42F0F1D8">
            <w:pPr>
              <w:jc w:val="center"/>
              <w:rPr>
                <w:rFonts w:asciiTheme="minorEastAsia" w:hAnsiTheme="minorEastAsia" w:eastAsiaTheme="minorEastAsia"/>
                <w:sz w:val="24"/>
                <w:szCs w:val="24"/>
              </w:rPr>
            </w:pPr>
            <w:r>
              <w:rPr>
                <w:rFonts w:asciiTheme="minorEastAsia" w:hAnsiTheme="minorEastAsia" w:eastAsiaTheme="minorEastAsia"/>
                <w:sz w:val="24"/>
                <w:szCs w:val="24"/>
              </w:rPr>
              <w:t>项目审批（核准/</w:t>
            </w:r>
          </w:p>
          <w:p w14:paraId="61827535">
            <w:pPr>
              <w:jc w:val="center"/>
              <w:rPr>
                <w:rFonts w:asciiTheme="minorEastAsia" w:hAnsiTheme="minorEastAsia" w:eastAsiaTheme="minorEastAsia"/>
                <w:sz w:val="24"/>
                <w:szCs w:val="24"/>
              </w:rPr>
            </w:pPr>
            <w:r>
              <w:rPr>
                <w:rFonts w:asciiTheme="minorEastAsia" w:hAnsiTheme="minorEastAsia" w:eastAsiaTheme="minorEastAsia"/>
                <w:sz w:val="24"/>
                <w:szCs w:val="24"/>
              </w:rPr>
              <w:t>备案）文号（选填）</w:t>
            </w:r>
          </w:p>
        </w:tc>
        <w:tc>
          <w:tcPr>
            <w:tcW w:w="1630" w:type="pct"/>
            <w:vAlign w:val="center"/>
          </w:tcPr>
          <w:p w14:paraId="3277BBC3">
            <w:pPr>
              <w:jc w:val="center"/>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27EF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7E625E00">
            <w:pPr>
              <w:jc w:val="center"/>
              <w:rPr>
                <w:rFonts w:asciiTheme="minorEastAsia" w:hAnsiTheme="minorEastAsia" w:eastAsiaTheme="minorEastAsia"/>
                <w:sz w:val="24"/>
                <w:szCs w:val="24"/>
              </w:rPr>
            </w:pPr>
            <w:r>
              <w:rPr>
                <w:rFonts w:asciiTheme="minorEastAsia" w:hAnsiTheme="minorEastAsia" w:eastAsiaTheme="minorEastAsia"/>
                <w:sz w:val="24"/>
                <w:szCs w:val="24"/>
              </w:rPr>
              <w:t>总投资（万元）</w:t>
            </w:r>
          </w:p>
        </w:tc>
        <w:tc>
          <w:tcPr>
            <w:tcW w:w="1140" w:type="pct"/>
            <w:vAlign w:val="center"/>
          </w:tcPr>
          <w:p w14:paraId="0D65420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w:t>
            </w:r>
          </w:p>
        </w:tc>
        <w:tc>
          <w:tcPr>
            <w:tcW w:w="1061" w:type="pct"/>
            <w:vAlign w:val="center"/>
          </w:tcPr>
          <w:p w14:paraId="33073609">
            <w:pPr>
              <w:jc w:val="center"/>
              <w:rPr>
                <w:rFonts w:asciiTheme="minorEastAsia" w:hAnsiTheme="minorEastAsia" w:eastAsiaTheme="minorEastAsia"/>
                <w:sz w:val="24"/>
                <w:szCs w:val="24"/>
              </w:rPr>
            </w:pPr>
            <w:r>
              <w:rPr>
                <w:rFonts w:asciiTheme="minorEastAsia" w:hAnsiTheme="minorEastAsia" w:eastAsiaTheme="minorEastAsia"/>
                <w:sz w:val="24"/>
                <w:szCs w:val="24"/>
              </w:rPr>
              <w:t>环保投资（万元）</w:t>
            </w:r>
          </w:p>
        </w:tc>
        <w:tc>
          <w:tcPr>
            <w:tcW w:w="1630" w:type="pct"/>
            <w:vAlign w:val="center"/>
          </w:tcPr>
          <w:p w14:paraId="42008D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18.5</w:t>
            </w:r>
          </w:p>
        </w:tc>
      </w:tr>
      <w:tr w14:paraId="444B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0DF40B2B">
            <w:pPr>
              <w:jc w:val="center"/>
              <w:rPr>
                <w:rFonts w:asciiTheme="minorEastAsia" w:hAnsiTheme="minorEastAsia" w:eastAsiaTheme="minorEastAsia"/>
                <w:sz w:val="24"/>
                <w:szCs w:val="24"/>
              </w:rPr>
            </w:pPr>
            <w:r>
              <w:rPr>
                <w:rFonts w:asciiTheme="minorEastAsia" w:hAnsiTheme="minorEastAsia" w:eastAsiaTheme="minorEastAsia"/>
                <w:sz w:val="24"/>
                <w:szCs w:val="24"/>
              </w:rPr>
              <w:t>环保投资占比（%）</w:t>
            </w:r>
          </w:p>
        </w:tc>
        <w:tc>
          <w:tcPr>
            <w:tcW w:w="1140" w:type="pct"/>
            <w:vAlign w:val="center"/>
          </w:tcPr>
          <w:p w14:paraId="485B866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0.37</w:t>
            </w:r>
          </w:p>
        </w:tc>
        <w:tc>
          <w:tcPr>
            <w:tcW w:w="1061" w:type="pct"/>
            <w:vAlign w:val="center"/>
          </w:tcPr>
          <w:p w14:paraId="5F3B418E">
            <w:pPr>
              <w:jc w:val="center"/>
              <w:rPr>
                <w:rFonts w:asciiTheme="minorEastAsia" w:hAnsiTheme="minorEastAsia" w:eastAsiaTheme="minorEastAsia"/>
                <w:sz w:val="24"/>
                <w:szCs w:val="24"/>
              </w:rPr>
            </w:pPr>
            <w:r>
              <w:rPr>
                <w:rFonts w:asciiTheme="minorEastAsia" w:hAnsiTheme="minorEastAsia" w:eastAsiaTheme="minorEastAsia"/>
                <w:sz w:val="24"/>
                <w:szCs w:val="24"/>
              </w:rPr>
              <w:t>施工工期</w:t>
            </w:r>
          </w:p>
        </w:tc>
        <w:tc>
          <w:tcPr>
            <w:tcW w:w="1630" w:type="pct"/>
            <w:vAlign w:val="center"/>
          </w:tcPr>
          <w:p w14:paraId="753927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14:paraId="4A2A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vAlign w:val="center"/>
          </w:tcPr>
          <w:p w14:paraId="47BCEA58">
            <w:pPr>
              <w:jc w:val="center"/>
              <w:rPr>
                <w:rFonts w:asciiTheme="minorEastAsia" w:hAnsiTheme="minorEastAsia" w:eastAsiaTheme="minorEastAsia"/>
                <w:sz w:val="24"/>
                <w:szCs w:val="24"/>
              </w:rPr>
            </w:pPr>
            <w:r>
              <w:rPr>
                <w:rFonts w:asciiTheme="minorEastAsia" w:hAnsiTheme="minorEastAsia" w:eastAsiaTheme="minorEastAsia"/>
                <w:sz w:val="24"/>
                <w:szCs w:val="24"/>
              </w:rPr>
              <w:t>是否开工建设</w:t>
            </w:r>
          </w:p>
        </w:tc>
        <w:tc>
          <w:tcPr>
            <w:tcW w:w="1140" w:type="pct"/>
            <w:vAlign w:val="center"/>
          </w:tcPr>
          <w:p w14:paraId="438B7B28">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52"/>
            </w:r>
            <w:r>
              <w:rPr>
                <w:rFonts w:asciiTheme="minorEastAsia" w:hAnsiTheme="minorEastAsia" w:eastAsiaTheme="minorEastAsia"/>
                <w:sz w:val="24"/>
                <w:szCs w:val="24"/>
              </w:rPr>
              <w:t>否</w:t>
            </w:r>
          </w:p>
          <w:p w14:paraId="6E5FF78F">
            <w:pPr>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sym w:font="Wingdings 2" w:char="00A3"/>
            </w:r>
            <w:r>
              <w:rPr>
                <w:rFonts w:asciiTheme="minorEastAsia" w:hAnsiTheme="minorEastAsia" w:eastAsiaTheme="minorEastAsia"/>
                <w:sz w:val="24"/>
                <w:szCs w:val="24"/>
              </w:rPr>
              <w:t xml:space="preserve">是：           </w:t>
            </w:r>
          </w:p>
        </w:tc>
        <w:tc>
          <w:tcPr>
            <w:tcW w:w="1061" w:type="pct"/>
            <w:vAlign w:val="center"/>
          </w:tcPr>
          <w:p w14:paraId="67719000">
            <w:pPr>
              <w:jc w:val="center"/>
              <w:rPr>
                <w:rFonts w:asciiTheme="minorEastAsia" w:hAnsiTheme="minorEastAsia" w:eastAsiaTheme="minorEastAsia"/>
                <w:sz w:val="24"/>
                <w:szCs w:val="24"/>
              </w:rPr>
            </w:pPr>
            <w:r>
              <w:rPr>
                <w:rFonts w:asciiTheme="minorEastAsia" w:hAnsiTheme="minorEastAsia" w:eastAsiaTheme="minorEastAsia"/>
                <w:sz w:val="24"/>
                <w:szCs w:val="24"/>
              </w:rPr>
              <w:t>用地（用海）</w:t>
            </w:r>
          </w:p>
          <w:p w14:paraId="71DE9025">
            <w:pPr>
              <w:jc w:val="center"/>
              <w:rPr>
                <w:rFonts w:asciiTheme="minorEastAsia" w:hAnsiTheme="minorEastAsia" w:eastAsiaTheme="minorEastAsia"/>
                <w:sz w:val="24"/>
                <w:szCs w:val="24"/>
              </w:rPr>
            </w:pPr>
            <w:r>
              <w:rPr>
                <w:rFonts w:asciiTheme="minorEastAsia" w:hAnsiTheme="minorEastAsia" w:eastAsiaTheme="minorEastAsia"/>
                <w:sz w:val="24"/>
                <w:szCs w:val="24"/>
              </w:rPr>
              <w:t>面积（m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tc>
        <w:tc>
          <w:tcPr>
            <w:tcW w:w="1630" w:type="pct"/>
            <w:vAlign w:val="center"/>
          </w:tcPr>
          <w:p w14:paraId="2EFC425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9400</w:t>
            </w:r>
          </w:p>
        </w:tc>
      </w:tr>
      <w:tr w14:paraId="02E7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vAlign w:val="center"/>
          </w:tcPr>
          <w:p w14:paraId="7606D60F">
            <w:pPr>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专项评价设置情况</w:t>
            </w:r>
          </w:p>
          <w:p w14:paraId="24392C9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026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000" w:type="pct"/>
            <w:gridSpan w:val="4"/>
            <w:vAlign w:val="center"/>
          </w:tcPr>
          <w:p w14:paraId="71373EF4">
            <w:pPr>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规划情况</w:t>
            </w:r>
          </w:p>
          <w:p w14:paraId="27BDC0E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白山市浑江区胜利煤业厂区内，选址属吉林浑江经济开发区（原白山浑江经济开发区于2022年12月经吉林省人民政府批准晋升为省级开发区，更名为吉林浑江经济开发区），但不在《白山浑江经济开发区控制性详细规划（2020-2030年）》的规划范围内，本次参考规划进行符合性分析</w:t>
            </w:r>
            <w:r>
              <w:rPr>
                <w:rFonts w:asciiTheme="minorEastAsia" w:hAnsiTheme="minorEastAsia" w:eastAsiaTheme="minorEastAsia"/>
                <w:sz w:val="24"/>
                <w:szCs w:val="24"/>
              </w:rPr>
              <w:t>。</w:t>
            </w:r>
          </w:p>
          <w:p w14:paraId="6EE18AC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规划名称：《白山浑江经济开发区控制性详细规划（2020-2030年）》</w:t>
            </w:r>
          </w:p>
          <w:p w14:paraId="3D5CB13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审批机关：无</w:t>
            </w:r>
          </w:p>
          <w:p w14:paraId="06E3B79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审批文件名称及文号：无</w:t>
            </w:r>
          </w:p>
        </w:tc>
      </w:tr>
      <w:tr w14:paraId="60F2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000" w:type="pct"/>
            <w:gridSpan w:val="4"/>
            <w:vAlign w:val="center"/>
          </w:tcPr>
          <w:p w14:paraId="17E678DE">
            <w:pPr>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规划环境影响评价情况</w:t>
            </w:r>
          </w:p>
          <w:p w14:paraId="28E1490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规划环境影响评价文件名称：《白山浑江经济开发区控制性详细规划（2020-2030年）环境影响报告书》</w:t>
            </w:r>
          </w:p>
          <w:p w14:paraId="4EE16CB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召集审查机关：吉林省生态环境厅</w:t>
            </w:r>
          </w:p>
          <w:p w14:paraId="4E3ADEC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审查文件名称及文号：吉林省生态环境厅关于对《白山浑江经济开发区控制性详细规划（2020-2030年）环境影响报告书》的审查意见（吉环环评字〔2021〕28号）</w:t>
            </w:r>
            <w:r>
              <w:rPr>
                <w:rFonts w:asciiTheme="minorEastAsia" w:hAnsiTheme="minorEastAsia" w:eastAsiaTheme="minorEastAsia"/>
                <w:sz w:val="24"/>
                <w:szCs w:val="24"/>
              </w:rPr>
              <w:t>。</w:t>
            </w:r>
          </w:p>
        </w:tc>
      </w:tr>
      <w:tr w14:paraId="2FCF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000" w:type="pct"/>
            <w:gridSpan w:val="4"/>
            <w:vAlign w:val="center"/>
          </w:tcPr>
          <w:p w14:paraId="55D78885">
            <w:pPr>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规划及规划环境影响评价符合性分析</w:t>
            </w:r>
          </w:p>
          <w:p w14:paraId="063AA8F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1、产业发展规划符合性</w:t>
            </w:r>
          </w:p>
          <w:p w14:paraId="6C1965A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白山浑江经济开发区控制性详细规划（2020-2030年）环境影响报告书》及其审查意见，本区域形成“一区四园”空间格局，“一区”是指白山市经济开发区，“四园”分别指金属镁新材料园区（发展方向为金属镁新材料制造产业向医药化工产业转型，包括:中成药、化学原料药及医药中间体研发生产等），新型建材产业园区（发展方行为建筑材料制造、水泥制品、废石、矿渣综合利用），物流产业示范园区（发展方向以餐饮物流为主），煤化工循环经济园区（发展方向为焦炭制造、洗煤、煤化工下游产品制造、煤制天然气、煤制油、煤制烯烃等）。</w:t>
            </w:r>
          </w:p>
          <w:p w14:paraId="4E350C8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截至目前本项目拟建区域暂无产业布局规划，目前规划正在编制中。</w:t>
            </w:r>
          </w:p>
          <w:p w14:paraId="4F26BCF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属于开发区规划范围内“金属镁新材料园区，新型建材产业园区，物流产业示范园区，煤化工循环经济园区”四个功能分区。项目属于“非金属矿物制品业”、“生态保护和环境治理业”，本项目位于吉林浑江经济开发区内，不位于已有控规范围内，但建设内容包含新型建材，与开发区产业方向一致。</w:t>
            </w:r>
          </w:p>
          <w:p w14:paraId="149F0E0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2、用地性质符合性</w:t>
            </w:r>
          </w:p>
          <w:p w14:paraId="1403D75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本项目用地性质为建设用地（采矿用地），根据《矿产资源法》规定，建筑用砂石土（包括碎石）属于矿产资源范畴，符合用地规划及布局要求。</w:t>
            </w:r>
          </w:p>
          <w:p w14:paraId="06CBF89A">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3、公用设施依托性</w:t>
            </w:r>
          </w:p>
          <w:p w14:paraId="184F251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（1）供水规划</w:t>
            </w:r>
          </w:p>
          <w:p w14:paraId="6F1D1EF5">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新型建材产业园区生产和生活用水依托白山市城市供水系统（上甸子水厂，设计供水规模5万m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/d，水源取自西北岔水库）供给；煤化工循环经济园区、物流产业示范园区生活用水依托白山市城市供水系统供给，生产用水取自浑江；金属镁新材料园区规划建设的净水厂近期供水规模为0.62万m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/d，尚未明确远期供水规模，水源取自湖上水库。</w:t>
            </w:r>
          </w:p>
          <w:p w14:paraId="0C98F03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开发区尚未实现集中供水。金属镁新材料园区规划建设的供水厂已建成，但配套的供水管网尚未建设，目前该园区 2 家企业生活用水采用自建的分散式地下水水井供给，1 家企业生产用水取自旱葱沟河。煤化工循环经济园区吉林省东圣焦化有限公司生活用水依托白山市城市供水系统供给，生产用水取自浑江。新型建材产业园供水管网尚未建设，3 家企业无生产用水需求，生活用水采用罐车拉运，水源取自开发区北侧约 1 公里处的山泉水。物流产业示范园供水管网尚未建设，目前无运行企业。开发区内村屯生活用水采用自建的分散式地下水水井供给。</w:t>
            </w:r>
          </w:p>
          <w:p w14:paraId="502AAD1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本项目位于吉林浑江经济开发区内，不位于已有控规范围内，项目生活即生产用水采用本项目自打深水井（项目投产前需办理取水许可证），满足本项目用水需求。</w:t>
            </w:r>
          </w:p>
          <w:p w14:paraId="6DA70D1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（2）排水规划</w:t>
            </w:r>
          </w:p>
          <w:p w14:paraId="526D91F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金属镁新材料园区生产废水和生活污水拟排入区内拟建的1 座污水处理设施（设计规模0.05万m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/d，远期扩建至0.1万m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/d）处理，出水水质常规因子满足《城镇污水处理厂污染物排放标准》中一级 A 标准要求，特征污染物出水水质满足《石油化学工业污染物排放标准》中直接排放标准要求后排入浑江。煤化工循环经济园区、物流产业示范园和新型建材产业园区经区外现有的白山市污水处理厂（处理能力为 7万m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/d，实际处理量为5万m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/d，远期拟扩建至11万m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/d）处理，出水水质常规因子满足《城镇污水处理厂污染物排放标准》一级A标准要求后排入浑江。</w:t>
            </w:r>
          </w:p>
          <w:p w14:paraId="59E5204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发区尚未实现集中排水，排水管网未建设，金属镁新材料园区规划建设的污水处理厂未建设。目前金属镁新材料园区和新型建材产业园区在产企业产生的废水主要为生活污水，均排入防渗旱厕，定期委托环卫部门清掏。煤化工循环经济园区吉林省东圣焦化有限公司产生的生产废水和生活污水经企业自建的污水处理站处理，出水水质满足《炼焦化学工业污染物排放标准》（GB 16171-2012）中间接排放标准后，全部回用于熄焦工序，不外排。区内村屯产生的生活污水未经处理直接散排。</w:t>
            </w:r>
          </w:p>
          <w:p w14:paraId="47D80AB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本项目位于吉林浑江经济开发区内，不位于已有控规范围内，项目生活污水排入防渗旱厕定期委托环卫部门清掏，淋溶水排入沉淀池，上清液用于厂区降尘。</w:t>
            </w:r>
          </w:p>
          <w:p w14:paraId="5A57DEF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（3）供热规划</w:t>
            </w:r>
          </w:p>
          <w:p w14:paraId="3A904BF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金属镁新材料园区内生产和生活用热由企业自建天然气锅炉供给；煤化工循环经济园区、物流产业示范园区和新型建材产业园区生产和生活用热依托区外现有的白山热电有限责任公司。</w:t>
            </w:r>
          </w:p>
          <w:p w14:paraId="179A75C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区内尚未实现集中供热。目前区内 6 家运行企业中白山市天安金属镁矿业有限公司生产用热依托企业自建的 3 套天然气燃烧系统供给，生活用热依托1台燃气锅炉供给；中石油吉林天然气管网有限责任公司生活用热（无生产用热）依托1 台燃气锅炉供给；吉林省东圣焦化有限公司生产用热依托3 台燃气锅炉供给，生活用热依托生产余热供给；吉林华美节能环保材料有限公司和白山市鹏祥物流有限公司生活用热（无生产用热）分别依托 1 台燃生物质锅炉供给；吉林华亿环保科技有限公司生产用热依托 1 台燃生物质热风炉供给，生活用热依托吉林华美节能环保材料有限公司燃生物质锅炉。开发区内村屯居民用热采用农村土灶。</w:t>
            </w:r>
          </w:p>
          <w:p w14:paraId="0613AF2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本项目位于吉林浑江经济开发区内，不位于已有控规范围内，项目生活采暖采用电取暖，生产不用热。</w:t>
            </w:r>
          </w:p>
          <w:p w14:paraId="796E707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（4）固体废物处理规划</w:t>
            </w:r>
          </w:p>
          <w:p w14:paraId="0D43999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生活垃圾集中收集，定期清运至白山市垃圾填埋场处理；一般工业固体综合利用或外售处理；危险废物委托有资质单位处理。</w:t>
            </w:r>
          </w:p>
          <w:p w14:paraId="4A6DF2F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本项目位于吉林浑江经济开发区内，不位于已有控规范围内，项目固体废物均有合理去向。</w:t>
            </w:r>
          </w:p>
          <w:p w14:paraId="3BB61CC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（5）环境风险</w:t>
            </w:r>
          </w:p>
          <w:p w14:paraId="6AB5CF0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位于吉林浑江经济开发区内，不位于已有控规范围内，目前项目所在区域未与开发区预案联动，本项目风险物质单一，风险物质量较少，待开发区规划及规划环评修编后，企业应与开发区建立风险联动体系。</w:t>
            </w:r>
          </w:p>
          <w:p w14:paraId="4D511ED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4、与省级开发区规划定位相符</w:t>
            </w:r>
          </w:p>
          <w:p w14:paraId="40F4F34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吉林浑江经济开发区是经吉林省人民政府批复设立的省级开发区，以“布局集中、产业集聚、用地集约”为发展原则，重点打造高新科技孵化、医药高新、生命健康、北国食药科技、包装循环经济等七大产业园区，构建以健康食品、医药制造、循环经济为核心的产业体系。本项目生产建筑用碎石、建筑用砂等建材产品，属于循环经济范畴，与开发区“包装循环经济产业园”的产业定位高度匹配。</w:t>
            </w:r>
            <w:r>
              <w:rPr>
                <w:rFonts w:hint="eastAsia" w:asciiTheme="minorEastAsia" w:hAnsiTheme="minorEastAsia" w:eastAsiaTheme="minorEastAsia"/>
                <w:sz w:val="24"/>
                <w:szCs w:val="24"/>
                <w:u w:val="single"/>
              </w:rPr>
              <w:t>白山浑江经济开发区管理委员会已出具证明文件，准入入区（详见附件）。</w:t>
            </w:r>
          </w:p>
          <w:p w14:paraId="7FFEF5F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5、与国土空间规划管控要求相符</w:t>
            </w:r>
          </w:p>
          <w:p w14:paraId="137F082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城镇开发边界衔接</w:t>
            </w:r>
            <w:r>
              <w:rPr>
                <w:rFonts w:hint="eastAsia" w:ascii="MS Mincho" w:hAnsi="MS Mincho" w:eastAsia="MS Mincho" w:cs="MS Mincho"/>
                <w:sz w:val="24"/>
                <w:szCs w:val="24"/>
              </w:rPr>
              <w:t>‌</w:t>
            </w:r>
            <w:r>
              <w:rPr>
                <w:rFonts w:hint="eastAsia" w:ascii="宋体" w:hAnsi="宋体" w:cs="宋体"/>
                <w:sz w:val="24"/>
                <w:szCs w:val="24"/>
              </w:rPr>
              <w:t>：项目地块已纳入白山市国土空间规划划定的城镇开发边界集中建设区，符合《吉林省人民政府关于同意浑江经济开发区晋升为省级开发区的批复》中“应纳入当地</w:t>
            </w:r>
            <w:r>
              <w:rPr>
                <w:rFonts w:hint="eastAsia" w:asciiTheme="minorEastAsia" w:hAnsiTheme="minorEastAsia" w:eastAsiaTheme="minorEastAsia"/>
                <w:sz w:val="24"/>
                <w:szCs w:val="24"/>
              </w:rPr>
              <w:t>国土空间规划划定的城镇开发边界集中建设区并严格执行”的要求，土地开发利用符合区域空间管控规则。</w:t>
            </w:r>
          </w:p>
          <w:p w14:paraId="095894C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用地集约节约</w:t>
            </w:r>
            <w:r>
              <w:rPr>
                <w:rFonts w:hint="eastAsia" w:ascii="MS Mincho" w:hAnsi="MS Mincho" w:eastAsia="MS Mincho" w:cs="MS Mincho"/>
                <w:sz w:val="24"/>
                <w:szCs w:val="24"/>
              </w:rPr>
              <w:t>‌</w:t>
            </w:r>
            <w:r>
              <w:rPr>
                <w:rFonts w:hint="eastAsia" w:ascii="宋体" w:hAnsi="宋体" w:cs="宋体"/>
                <w:sz w:val="24"/>
                <w:szCs w:val="24"/>
              </w:rPr>
              <w:t>：项目总占地面积</w:t>
            </w:r>
            <w:r>
              <w:rPr>
                <w:rFonts w:hint="eastAsia" w:asciiTheme="minorEastAsia" w:hAnsiTheme="minorEastAsia" w:eastAsiaTheme="minorEastAsia"/>
                <w:sz w:val="24"/>
                <w:szCs w:val="24"/>
              </w:rPr>
              <w:t>9400㎡，建筑布局紧凑，生产区、仓储区功能分区明确，通过工艺优化实现资源循环利用，符合开发区“用地集约”的发展原则，土地利用效率达到同行业先进水平。</w:t>
            </w:r>
          </w:p>
        </w:tc>
      </w:tr>
      <w:tr w14:paraId="4F6A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vAlign w:val="center"/>
          </w:tcPr>
          <w:p w14:paraId="5975FE70">
            <w:pPr>
              <w:spacing w:line="360" w:lineRule="auto"/>
              <w:jc w:val="left"/>
              <w:rPr>
                <w:rFonts w:asciiTheme="minorEastAsia" w:hAnsiTheme="minorEastAsia" w:eastAsiaTheme="minorEastAsia"/>
                <w:b/>
                <w:bCs/>
                <w:sz w:val="24"/>
                <w:szCs w:val="24"/>
              </w:rPr>
            </w:pPr>
            <w:bookmarkStart w:id="3" w:name="_Hlk56690880"/>
            <w:r>
              <w:rPr>
                <w:rFonts w:asciiTheme="minorEastAsia" w:hAnsiTheme="minorEastAsia" w:eastAsiaTheme="minorEastAsia"/>
                <w:b/>
                <w:bCs/>
                <w:sz w:val="24"/>
                <w:szCs w:val="24"/>
              </w:rPr>
              <w:t>其他符合性分析</w:t>
            </w:r>
            <w:bookmarkEnd w:id="3"/>
          </w:p>
          <w:p w14:paraId="05D89EE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1、产业政策符合性分析</w:t>
            </w:r>
          </w:p>
          <w:p w14:paraId="0FBA376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根据《产业结构调整指导目录》（2024年本），</w:t>
            </w:r>
            <w:r>
              <w:rPr>
                <w:rFonts w:hint="eastAsia" w:asciiTheme="minorEastAsia" w:hAnsiTheme="minorEastAsia" w:eastAsiaTheme="minorEastAsia"/>
                <w:sz w:val="24"/>
                <w:szCs w:val="24"/>
              </w:rPr>
              <w:t>本项目不属于鼓励类、限制类和淘汰类的范畴，可视为允许类建设项目，因此本项目的建设符合产业政策</w:t>
            </w:r>
            <w:r>
              <w:rPr>
                <w:rFonts w:asciiTheme="minorEastAsia" w:hAnsiTheme="minorEastAsia" w:eastAsiaTheme="minorEastAsia"/>
                <w:sz w:val="24"/>
                <w:szCs w:val="24"/>
              </w:rPr>
              <w:t>。</w:t>
            </w:r>
          </w:p>
          <w:p w14:paraId="28C1979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、项目与“</w:t>
            </w:r>
            <w:r>
              <w:rPr>
                <w:rFonts w:hint="eastAsia" w:asciiTheme="minorEastAsia" w:hAnsiTheme="minorEastAsia" w:eastAsiaTheme="minorEastAsia"/>
                <w:sz w:val="24"/>
                <w:szCs w:val="24"/>
              </w:rPr>
              <w:t>生态准入</w:t>
            </w:r>
            <w:r>
              <w:rPr>
                <w:rFonts w:asciiTheme="minorEastAsia" w:hAnsiTheme="minorEastAsia" w:eastAsiaTheme="minorEastAsia"/>
                <w:sz w:val="24"/>
                <w:szCs w:val="24"/>
              </w:rPr>
              <w:t>”符合性分析</w:t>
            </w:r>
          </w:p>
          <w:p w14:paraId="6D5072B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根据关于印发《吉林省生态环境准入清单》的函（吉环函【2024】158号）</w:t>
            </w:r>
            <w:r>
              <w:rPr>
                <w:rFonts w:hint="eastAsia" w:asciiTheme="minorEastAsia" w:hAnsiTheme="minorEastAsia" w:eastAsiaTheme="minorEastAsia"/>
                <w:sz w:val="24"/>
                <w:szCs w:val="24"/>
              </w:rPr>
              <w:t>，</w:t>
            </w: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生态准入</w:t>
            </w:r>
            <w:r>
              <w:rPr>
                <w:rFonts w:asciiTheme="minorEastAsia" w:hAnsiTheme="minorEastAsia" w:eastAsiaTheme="minorEastAsia"/>
                <w:sz w:val="24"/>
                <w:szCs w:val="24"/>
              </w:rPr>
              <w:t>”相符性分析详见表</w:t>
            </w:r>
            <w:r>
              <w:rPr>
                <w:rFonts w:hint="eastAsia" w:asciiTheme="minorEastAsia" w:hAnsiTheme="minorEastAsia" w:eastAsiaTheme="minorEastAsia"/>
                <w:sz w:val="24"/>
                <w:szCs w:val="24"/>
              </w:rPr>
              <w:t>1-1</w:t>
            </w:r>
            <w:r>
              <w:rPr>
                <w:rFonts w:asciiTheme="minorEastAsia" w:hAnsiTheme="minorEastAsia" w:eastAsiaTheme="minorEastAsia"/>
                <w:sz w:val="24"/>
                <w:szCs w:val="24"/>
              </w:rPr>
              <w:t>。</w:t>
            </w:r>
          </w:p>
          <w:p w14:paraId="1D2918A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项目与“</w:t>
            </w:r>
            <w:r>
              <w:rPr>
                <w:rFonts w:hint="eastAsia" w:asciiTheme="minorEastAsia" w:hAnsiTheme="minorEastAsia" w:eastAsiaTheme="minorEastAsia"/>
                <w:sz w:val="24"/>
                <w:szCs w:val="24"/>
              </w:rPr>
              <w:t>管控单元</w:t>
            </w:r>
            <w:r>
              <w:rPr>
                <w:rFonts w:asciiTheme="minorEastAsia" w:hAnsiTheme="minorEastAsia" w:eastAsiaTheme="minorEastAsia"/>
                <w:sz w:val="24"/>
                <w:szCs w:val="24"/>
              </w:rPr>
              <w:t>”符合性分析</w:t>
            </w:r>
          </w:p>
          <w:p w14:paraId="5455146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的选址位于白山市浑江区胜利煤业厂区内，已纳入重点管控单元（浑江区大气环境布局敏感重点管控区ZH22060220004）。根据《关于加强生态环境分区管控的若干措施》及吉林省生态环境分区管控的要求，项目选址合理性分析如下：</w:t>
            </w:r>
          </w:p>
          <w:p w14:paraId="4FB1DEC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（1）与生态环境分区管控要求的符合性</w:t>
            </w:r>
          </w:p>
          <w:p w14:paraId="38EF94DE">
            <w:pPr>
              <w:spacing w:line="360" w:lineRule="auto"/>
              <w:ind w:firstLine="480" w:firstLineChars="200"/>
              <w:jc w:val="left"/>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与生态环境分区管控要求的符合性详见表1-3。</w:t>
            </w:r>
          </w:p>
          <w:p w14:paraId="243578B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（2）环境相容性分析</w:t>
            </w:r>
          </w:p>
          <w:p w14:paraId="4BD1C66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周边环境敏感程度：根据现场调查，项目厂界500米范围内无自然保护区、风景名胜区、饮用水水源保护区、文化区等敏感保护目标，距离本项目最近敏感点为西侧75m处后山村村民。经查阅气象资料，白山市常年主导风向为西南风，上述敏感点位于本项目上风向，项目运营期间产生的废气、噪声经有效治理后，对周边敏感目标的影响可控。</w:t>
            </w:r>
          </w:p>
          <w:p w14:paraId="6498385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基础设施匹配性： 项目所在地交通便利，便于原料及产品的运输；供电由当地电网供给，有保障；生活污水排入防渗旱厕定期委托环卫部门清掏，淋溶水排入沉淀池，上清液用于厂区降尘，不直接排入外环境，与周边基础设施条件相适配。</w:t>
            </w:r>
          </w:p>
          <w:p w14:paraId="18F4936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4、与《建设项目环境影响评价分类管理名录》相符性</w:t>
            </w:r>
          </w:p>
          <w:p w14:paraId="727DC3D7">
            <w:pPr>
              <w:spacing w:line="360" w:lineRule="auto"/>
              <w:ind w:firstLine="480" w:firstLineChars="200"/>
              <w:jc w:val="left"/>
              <w:rPr>
                <w:rFonts w:asciiTheme="minorEastAsia" w:hAnsiTheme="minorEastAsia" w:eastAsiaTheme="minorEastAsia"/>
              </w:rPr>
            </w:pPr>
            <w:r>
              <w:rPr>
                <w:rFonts w:hint="eastAsia" w:asciiTheme="minorEastAsia" w:hAnsiTheme="minorEastAsia" w:eastAsiaTheme="minorEastAsia"/>
                <w:sz w:val="24"/>
                <w:szCs w:val="24"/>
              </w:rPr>
              <w:t>根据《建设项目环境影响评价分类管理名录》，本项目属“二十七、非金属矿物制品业 30  56砖瓦、石材等建筑材料制造 303  粘土砖瓦及建筑砌块制造；建筑用石加工；防水建筑材料制造；隔热、隔音材料制造；其他建筑材料制造（含干粉砂浆搅拌站）以上均不含利用石材板材切割、打磨、成型的”，应编制环境影响报告表。</w:t>
            </w:r>
          </w:p>
        </w:tc>
      </w:tr>
    </w:tbl>
    <w:p w14:paraId="6711FCEF">
      <w:pPr>
        <w:spacing w:line="360" w:lineRule="auto"/>
        <w:jc w:val="left"/>
        <w:rPr>
          <w:rFonts w:asciiTheme="minorEastAsia" w:hAnsiTheme="minorEastAsia" w:eastAsiaTheme="minorEastAsia"/>
        </w:rPr>
        <w:sectPr>
          <w:footerReference r:id="rId3" w:type="default"/>
          <w:pgSz w:w="11906" w:h="16838"/>
          <w:pgMar w:top="1701" w:right="1701" w:bottom="1701" w:left="1701" w:header="851" w:footer="992" w:gutter="0"/>
          <w:pgNumType w:start="1"/>
          <w:cols w:space="0" w:num="1"/>
          <w:docGrid w:type="lines" w:linePitch="312" w:charSpace="0"/>
        </w:sect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2"/>
      </w:tblGrid>
      <w:tr w14:paraId="021A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6" w:hRule="atLeast"/>
        </w:trPr>
        <w:tc>
          <w:tcPr>
            <w:tcW w:w="5000" w:type="pct"/>
          </w:tcPr>
          <w:p w14:paraId="0165B0DA">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1-1</w:t>
            </w:r>
            <w:r>
              <w:rPr>
                <w:rFonts w:asciiTheme="minorEastAsia" w:hAnsiTheme="minorEastAsia" w:eastAsiaTheme="minorEastAsia"/>
                <w:b/>
                <w:bCs/>
                <w:sz w:val="24"/>
                <w:szCs w:val="24"/>
              </w:rPr>
              <w:t xml:space="preserve">  本项目“生态准入”相符性分析一览表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06"/>
              <w:gridCol w:w="7798"/>
              <w:gridCol w:w="3704"/>
              <w:gridCol w:w="795"/>
            </w:tblGrid>
            <w:tr w14:paraId="48F0E9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gridSpan w:val="2"/>
                  <w:tcBorders>
                    <w:tl2br w:val="nil"/>
                    <w:tr2bl w:val="nil"/>
                  </w:tcBorders>
                  <w:shd w:val="clear" w:color="auto" w:fill="auto"/>
                  <w:vAlign w:val="center"/>
                </w:tcPr>
                <w:p w14:paraId="13BCD26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管控领域</w:t>
                  </w:r>
                </w:p>
              </w:tc>
              <w:tc>
                <w:tcPr>
                  <w:tcW w:w="2903" w:type="pct"/>
                  <w:tcBorders>
                    <w:tl2br w:val="nil"/>
                    <w:tr2bl w:val="nil"/>
                  </w:tcBorders>
                  <w:shd w:val="clear" w:color="auto" w:fill="auto"/>
                  <w:vAlign w:val="center"/>
                </w:tcPr>
                <w:p w14:paraId="53BFE30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管控要求</w:t>
                  </w:r>
                </w:p>
              </w:tc>
              <w:tc>
                <w:tcPr>
                  <w:tcW w:w="1379" w:type="pct"/>
                  <w:tcBorders>
                    <w:tl2br w:val="nil"/>
                    <w:tr2bl w:val="nil"/>
                  </w:tcBorders>
                  <w:shd w:val="clear" w:color="auto" w:fill="auto"/>
                  <w:vAlign w:val="center"/>
                </w:tcPr>
                <w:p w14:paraId="4BBBF1F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本项目情况</w:t>
                  </w:r>
                </w:p>
              </w:tc>
              <w:tc>
                <w:tcPr>
                  <w:tcW w:w="296" w:type="pct"/>
                  <w:tcBorders>
                    <w:tl2br w:val="nil"/>
                    <w:tr2bl w:val="nil"/>
                  </w:tcBorders>
                  <w:shd w:val="clear" w:color="auto" w:fill="auto"/>
                  <w:vAlign w:val="center"/>
                </w:tcPr>
                <w:p w14:paraId="1EBC2E5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符合性</w:t>
                  </w:r>
                </w:p>
              </w:tc>
            </w:tr>
            <w:tr w14:paraId="48E0C1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restart"/>
                  <w:tcBorders>
                    <w:tl2br w:val="nil"/>
                    <w:tr2bl w:val="nil"/>
                  </w:tcBorders>
                  <w:shd w:val="clear" w:color="auto" w:fill="auto"/>
                  <w:vAlign w:val="center"/>
                </w:tcPr>
                <w:p w14:paraId="577FF07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吉林省总体准入</w:t>
                  </w:r>
                </w:p>
              </w:tc>
              <w:tc>
                <w:tcPr>
                  <w:tcW w:w="263" w:type="pct"/>
                  <w:vMerge w:val="restart"/>
                  <w:tcBorders>
                    <w:tl2br w:val="nil"/>
                    <w:tr2bl w:val="nil"/>
                  </w:tcBorders>
                  <w:shd w:val="clear" w:color="auto" w:fill="auto"/>
                  <w:vAlign w:val="center"/>
                </w:tcPr>
                <w:p w14:paraId="3BD0CC1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空间布局约束</w:t>
                  </w:r>
                </w:p>
              </w:tc>
              <w:tc>
                <w:tcPr>
                  <w:tcW w:w="2903" w:type="pct"/>
                  <w:tcBorders>
                    <w:tl2br w:val="nil"/>
                    <w:tr2bl w:val="nil"/>
                  </w:tcBorders>
                  <w:shd w:val="clear" w:color="auto" w:fill="auto"/>
                  <w:vAlign w:val="center"/>
                </w:tcPr>
                <w:p w14:paraId="7F419C4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禁止新建、扩建《产业结构调整指导</w:t>
                  </w:r>
                  <w:r>
                    <w:rPr>
                      <w:rFonts w:hint="eastAsia" w:asciiTheme="minorEastAsia" w:hAnsiTheme="minorEastAsia" w:eastAsiaTheme="minorEastAsia"/>
                      <w:szCs w:val="21"/>
                    </w:rPr>
                    <w:t>目</w:t>
                  </w:r>
                  <w:r>
                    <w:rPr>
                      <w:rFonts w:asciiTheme="minorEastAsia" w:hAnsiTheme="minorEastAsia" w:eastAsiaTheme="minorEastAsia"/>
                      <w:szCs w:val="21"/>
                    </w:rPr>
                    <w:t>录》（现行）明确的淘汰类项目和引入《市场准入负面清单》（现行）禁止准入类事项，引入项目应符合园区规划、规划环境影响评价和区域产业准入负面清单要求。</w:t>
                  </w:r>
                </w:p>
                <w:p w14:paraId="317E7D33">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379" w:type="pct"/>
                  <w:tcBorders>
                    <w:tl2br w:val="nil"/>
                    <w:tr2bl w:val="nil"/>
                  </w:tcBorders>
                  <w:shd w:val="clear" w:color="auto" w:fill="auto"/>
                  <w:vAlign w:val="center"/>
                </w:tcPr>
                <w:p w14:paraId="6B37074A">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项目不属于《产业结构调整指导日录》（现行）明确的淘汰类项目和《市场准入负面清单》（现行）禁止准入类事项。本项目建址位于</w:t>
                  </w:r>
                  <w:r>
                    <w:rPr>
                      <w:rFonts w:hint="eastAsia" w:asciiTheme="minorEastAsia" w:hAnsiTheme="minorEastAsia" w:eastAsiaTheme="minorEastAsia"/>
                      <w:szCs w:val="21"/>
                    </w:rPr>
                    <w:t>白山市浑江区胜利煤业厂区内，位于吉林浑江经济开发区内，不位于已有控规范围内</w:t>
                  </w:r>
                  <w:r>
                    <w:rPr>
                      <w:rFonts w:asciiTheme="minorEastAsia" w:hAnsiTheme="minorEastAsia" w:eastAsiaTheme="minorEastAsia"/>
                      <w:szCs w:val="21"/>
                    </w:rPr>
                    <w:t>。</w:t>
                  </w:r>
                </w:p>
              </w:tc>
              <w:tc>
                <w:tcPr>
                  <w:tcW w:w="296" w:type="pct"/>
                  <w:tcBorders>
                    <w:tl2br w:val="nil"/>
                    <w:tr2bl w:val="nil"/>
                  </w:tcBorders>
                  <w:shd w:val="clear" w:color="auto" w:fill="auto"/>
                  <w:vAlign w:val="center"/>
                </w:tcPr>
                <w:p w14:paraId="06F4E4E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7E15AB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1DF248A9">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76A3BE9F">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591092A4">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2BA8A43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14:paraId="746B5655">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严控新建燃煤锅炉，县级以上城市建成区原则上不再新建每小时35蒸吨以下燃煤锅炉。</w:t>
                  </w:r>
                </w:p>
              </w:tc>
              <w:tc>
                <w:tcPr>
                  <w:tcW w:w="1379" w:type="pct"/>
                  <w:tcBorders>
                    <w:tl2br w:val="nil"/>
                    <w:tr2bl w:val="nil"/>
                  </w:tcBorders>
                  <w:shd w:val="clear" w:color="auto" w:fill="auto"/>
                  <w:vAlign w:val="center"/>
                </w:tcPr>
                <w:p w14:paraId="103EE8C5">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项目不属于“两高”行业项目，不属于高能耗、高物耗、高水耗和产能过剩、低水平重复建设项目，不属于危险化学品、重金属和其他具有重大环境风险建设项目。</w:t>
                  </w:r>
                </w:p>
                <w:p w14:paraId="0F11F404">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项目行业不属于钢铁、焦化、电解铝、水泥和平板玻璃等行业。</w:t>
                  </w:r>
                </w:p>
                <w:p w14:paraId="025EC6A6">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项目冬季采用电采暖，不消耗煤炭。</w:t>
                  </w:r>
                </w:p>
              </w:tc>
              <w:tc>
                <w:tcPr>
                  <w:tcW w:w="296" w:type="pct"/>
                  <w:tcBorders>
                    <w:tl2br w:val="nil"/>
                    <w:tr2bl w:val="nil"/>
                  </w:tcBorders>
                  <w:shd w:val="clear" w:color="auto" w:fill="auto"/>
                  <w:vAlign w:val="center"/>
                </w:tcPr>
                <w:p w14:paraId="05BF031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04CFE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429D91BF">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23A7557A">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1AA3452F">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重大项目原则上应布局在优化开发区和重点开发区，并符合国土空间总体规划。</w:t>
                  </w:r>
                </w:p>
                <w:p w14:paraId="550DA7AD">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化工石化、有色冶炼、制浆造纸等可能引发环境风险的项目，以及涉及石化、化工、工业涂装等重点行业高VOCs排放的建设项目，在符合国家产业政策和清洁生产水平要求、满足污染物排放标准以及污染物排放总量控制指标前提下，应当在依法设立、基础设施齐全并具备有效规划、规划环境影响评价的产业园区内布设。</w:t>
                  </w:r>
                </w:p>
                <w:p w14:paraId="183DAB89">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严格落实规划环评及其批复文件环境准入条件，空气质量未达标地区制定更严格的产业准入门槛。</w:t>
                  </w:r>
                </w:p>
              </w:tc>
              <w:tc>
                <w:tcPr>
                  <w:tcW w:w="1379" w:type="pct"/>
                  <w:tcBorders>
                    <w:tl2br w:val="nil"/>
                    <w:tr2bl w:val="nil"/>
                  </w:tcBorders>
                  <w:shd w:val="clear" w:color="auto" w:fill="auto"/>
                  <w:vAlign w:val="center"/>
                </w:tcPr>
                <w:p w14:paraId="1ADA957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项目不属于重大项目，不属于化工石化、有色冶炼、制浆造纸等可能引发环境风险的项目，不属于石化、化工、工业涂装等重点行业高VOCs排放的建设项目。</w:t>
                  </w:r>
                </w:p>
                <w:p w14:paraId="28F56CBC">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本项目建址位于</w:t>
                  </w:r>
                  <w:r>
                    <w:rPr>
                      <w:rFonts w:hint="eastAsia" w:asciiTheme="minorEastAsia" w:hAnsiTheme="minorEastAsia" w:eastAsiaTheme="minorEastAsia"/>
                      <w:szCs w:val="21"/>
                    </w:rPr>
                    <w:t>白山市浑江区胜利煤业厂区内，位于吉林浑江经济开发区内，不位于已有控规范围内</w:t>
                  </w:r>
                  <w:r>
                    <w:rPr>
                      <w:rFonts w:asciiTheme="minorEastAsia" w:hAnsiTheme="minorEastAsia" w:eastAsiaTheme="minorEastAsia"/>
                      <w:szCs w:val="21"/>
                    </w:rPr>
                    <w:t>，项目建址区域属于空气质量达标地区。</w:t>
                  </w:r>
                </w:p>
              </w:tc>
              <w:tc>
                <w:tcPr>
                  <w:tcW w:w="296" w:type="pct"/>
                  <w:tcBorders>
                    <w:tl2br w:val="nil"/>
                    <w:tr2bl w:val="nil"/>
                  </w:tcBorders>
                  <w:shd w:val="clear" w:color="auto" w:fill="auto"/>
                  <w:vAlign w:val="center"/>
                </w:tcPr>
                <w:p w14:paraId="5032EA3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69EF8D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49EEB2F4">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155B3FA3">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7F54F26E">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进一步优化全省化工产业布局，提高化工行业本质安全和绿色发展水平，引领化工园区从规范化发展到高质量发展、促进化工产业转型升级。</w:t>
                  </w:r>
                </w:p>
              </w:tc>
              <w:tc>
                <w:tcPr>
                  <w:tcW w:w="1379" w:type="pct"/>
                  <w:tcBorders>
                    <w:tl2br w:val="nil"/>
                    <w:tr2bl w:val="nil"/>
                  </w:tcBorders>
                  <w:shd w:val="clear" w:color="auto" w:fill="auto"/>
                  <w:vAlign w:val="center"/>
                </w:tcPr>
                <w:p w14:paraId="33E8105A">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w:t>
                  </w:r>
                  <w:r>
                    <w:rPr>
                      <w:rFonts w:hint="eastAsia" w:asciiTheme="minorEastAsia" w:hAnsiTheme="minorEastAsia" w:eastAsiaTheme="minorEastAsia"/>
                      <w:szCs w:val="21"/>
                    </w:rPr>
                    <w:t>建址</w:t>
                  </w:r>
                  <w:r>
                    <w:rPr>
                      <w:rFonts w:asciiTheme="minorEastAsia" w:hAnsiTheme="minorEastAsia" w:eastAsiaTheme="minorEastAsia"/>
                      <w:szCs w:val="21"/>
                    </w:rPr>
                    <w:t>不属于化工园区。</w:t>
                  </w:r>
                </w:p>
              </w:tc>
              <w:tc>
                <w:tcPr>
                  <w:tcW w:w="296" w:type="pct"/>
                  <w:tcBorders>
                    <w:tl2br w:val="nil"/>
                    <w:tr2bl w:val="nil"/>
                  </w:tcBorders>
                  <w:shd w:val="clear" w:color="auto" w:fill="auto"/>
                  <w:vAlign w:val="center"/>
                </w:tcPr>
                <w:p w14:paraId="6D62DE4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47A35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07C95B7B">
                  <w:pPr>
                    <w:adjustRightInd w:val="0"/>
                    <w:snapToGrid w:val="0"/>
                    <w:jc w:val="center"/>
                    <w:rPr>
                      <w:rFonts w:asciiTheme="minorEastAsia" w:hAnsiTheme="minorEastAsia" w:eastAsiaTheme="minorEastAsia"/>
                      <w:szCs w:val="21"/>
                    </w:rPr>
                  </w:pPr>
                </w:p>
              </w:tc>
              <w:tc>
                <w:tcPr>
                  <w:tcW w:w="263" w:type="pct"/>
                  <w:vMerge w:val="restart"/>
                  <w:tcBorders>
                    <w:tl2br w:val="nil"/>
                    <w:tr2bl w:val="nil"/>
                  </w:tcBorders>
                  <w:shd w:val="clear" w:color="auto" w:fill="auto"/>
                  <w:vAlign w:val="center"/>
                </w:tcPr>
                <w:p w14:paraId="609DD7D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w:t>
                  </w:r>
                </w:p>
                <w:p w14:paraId="3A4BF20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排放管控</w:t>
                  </w:r>
                </w:p>
              </w:tc>
              <w:tc>
                <w:tcPr>
                  <w:tcW w:w="2903" w:type="pct"/>
                  <w:tcBorders>
                    <w:tl2br w:val="nil"/>
                    <w:tr2bl w:val="nil"/>
                  </w:tcBorders>
                  <w:shd w:val="clear" w:color="auto" w:fill="auto"/>
                  <w:vAlign w:val="center"/>
                </w:tcPr>
                <w:p w14:paraId="11DA668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379" w:type="pct"/>
                  <w:tcBorders>
                    <w:tl2br w:val="nil"/>
                    <w:tr2bl w:val="nil"/>
                  </w:tcBorders>
                  <w:shd w:val="clear" w:color="auto" w:fill="auto"/>
                  <w:vAlign w:val="center"/>
                </w:tcPr>
                <w:p w14:paraId="5A4571B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项目不属于重点行业建设项目，不属于涉VOCs建设项目。</w:t>
                  </w:r>
                </w:p>
              </w:tc>
              <w:tc>
                <w:tcPr>
                  <w:tcW w:w="296" w:type="pct"/>
                  <w:tcBorders>
                    <w:tl2br w:val="nil"/>
                    <w:tr2bl w:val="nil"/>
                  </w:tcBorders>
                  <w:shd w:val="clear" w:color="auto" w:fill="auto"/>
                  <w:vAlign w:val="center"/>
                </w:tcPr>
                <w:p w14:paraId="2ADEB6C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12305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456B6A77">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3D0B96B5">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33E808AC">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空气质量未达标地区新建项目涉及的二氧化硫、氮氧化物、颗粒物、挥发性有机物（VOCs）排放全面执行大气污染物特别排放限值。</w:t>
                  </w:r>
                </w:p>
              </w:tc>
              <w:tc>
                <w:tcPr>
                  <w:tcW w:w="1379" w:type="pct"/>
                  <w:tcBorders>
                    <w:tl2br w:val="nil"/>
                    <w:tr2bl w:val="nil"/>
                  </w:tcBorders>
                  <w:shd w:val="clear" w:color="auto" w:fill="auto"/>
                  <w:vAlign w:val="center"/>
                </w:tcPr>
                <w:p w14:paraId="58CF762C">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项目所在区域为环境空气质量达标区。</w:t>
                  </w:r>
                </w:p>
              </w:tc>
              <w:tc>
                <w:tcPr>
                  <w:tcW w:w="296" w:type="pct"/>
                  <w:tcBorders>
                    <w:tl2br w:val="nil"/>
                    <w:tr2bl w:val="nil"/>
                  </w:tcBorders>
                  <w:shd w:val="clear" w:color="auto" w:fill="auto"/>
                  <w:vAlign w:val="center"/>
                </w:tcPr>
                <w:p w14:paraId="50947AF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0BA35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2B9402F7">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5FF06CFF">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308B60B8">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推行秸秆全量化处置，持续推进秸秆肥料化、饲料化、能源化、基料化和原料化，逐步形成秸秆综合利用的长效机制。</w:t>
                  </w:r>
                </w:p>
              </w:tc>
              <w:tc>
                <w:tcPr>
                  <w:tcW w:w="1379" w:type="pct"/>
                  <w:tcBorders>
                    <w:tl2br w:val="nil"/>
                    <w:tr2bl w:val="nil"/>
                  </w:tcBorders>
                  <w:shd w:val="clear" w:color="auto" w:fill="auto"/>
                  <w:vAlign w:val="center"/>
                </w:tcPr>
                <w:p w14:paraId="57A45C7A">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本项目</w:t>
                  </w:r>
                  <w:r>
                    <w:rPr>
                      <w:rFonts w:asciiTheme="minorEastAsia" w:hAnsiTheme="minorEastAsia" w:eastAsiaTheme="minorEastAsia"/>
                      <w:szCs w:val="21"/>
                    </w:rPr>
                    <w:t>不涉及。</w:t>
                  </w:r>
                </w:p>
              </w:tc>
              <w:tc>
                <w:tcPr>
                  <w:tcW w:w="296" w:type="pct"/>
                  <w:tcBorders>
                    <w:tl2br w:val="nil"/>
                    <w:tr2bl w:val="nil"/>
                  </w:tcBorders>
                  <w:shd w:val="clear" w:color="auto" w:fill="auto"/>
                  <w:vAlign w:val="center"/>
                </w:tcPr>
                <w:p w14:paraId="3F82B0D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4002D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54DC6DDC">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3BEDD89D">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3B5BCA2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推动城镇污水处理厂扩容工程和提标改造。超负荷、满负荷运行的污水处理厂要及时实施扩容，出水排入超标水域的污水处理厂要因地制宜提高出水标准。</w:t>
                  </w:r>
                </w:p>
              </w:tc>
              <w:tc>
                <w:tcPr>
                  <w:tcW w:w="1379" w:type="pct"/>
                  <w:tcBorders>
                    <w:tl2br w:val="nil"/>
                    <w:tr2bl w:val="nil"/>
                  </w:tcBorders>
                  <w:shd w:val="clear" w:color="auto" w:fill="auto"/>
                  <w:vAlign w:val="center"/>
                </w:tcPr>
                <w:p w14:paraId="443808E3">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项目不属于城镇污水处理厂。</w:t>
                  </w:r>
                </w:p>
              </w:tc>
              <w:tc>
                <w:tcPr>
                  <w:tcW w:w="296" w:type="pct"/>
                  <w:tcBorders>
                    <w:tl2br w:val="nil"/>
                    <w:tr2bl w:val="nil"/>
                  </w:tcBorders>
                  <w:shd w:val="clear" w:color="auto" w:fill="auto"/>
                  <w:vAlign w:val="center"/>
                </w:tcPr>
                <w:p w14:paraId="0EEF349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038CA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376E73B2">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11ED0ACD">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598BE17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规模化畜禽养殖场（小区）应当保证畜禽粪污无害化处理和资源化利用设施的正常运转。</w:t>
                  </w:r>
                </w:p>
              </w:tc>
              <w:tc>
                <w:tcPr>
                  <w:tcW w:w="1379" w:type="pct"/>
                  <w:tcBorders>
                    <w:tl2br w:val="nil"/>
                    <w:tr2bl w:val="nil"/>
                  </w:tcBorders>
                  <w:shd w:val="clear" w:color="auto" w:fill="auto"/>
                  <w:vAlign w:val="center"/>
                </w:tcPr>
                <w:p w14:paraId="5200AE0D">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项目不涉及畜禽养殖。</w:t>
                  </w:r>
                </w:p>
              </w:tc>
              <w:tc>
                <w:tcPr>
                  <w:tcW w:w="296" w:type="pct"/>
                  <w:tcBorders>
                    <w:tl2br w:val="nil"/>
                    <w:tr2bl w:val="nil"/>
                  </w:tcBorders>
                  <w:shd w:val="clear" w:color="auto" w:fill="auto"/>
                  <w:vAlign w:val="center"/>
                </w:tcPr>
                <w:p w14:paraId="5D4E71B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0134A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094E8BAE">
                  <w:pPr>
                    <w:adjustRightInd w:val="0"/>
                    <w:snapToGrid w:val="0"/>
                    <w:jc w:val="center"/>
                    <w:rPr>
                      <w:rFonts w:asciiTheme="minorEastAsia" w:hAnsiTheme="minorEastAsia" w:eastAsiaTheme="minorEastAsia"/>
                      <w:szCs w:val="21"/>
                    </w:rPr>
                  </w:pPr>
                </w:p>
              </w:tc>
              <w:tc>
                <w:tcPr>
                  <w:tcW w:w="263" w:type="pct"/>
                  <w:vMerge w:val="restart"/>
                  <w:tcBorders>
                    <w:tl2br w:val="nil"/>
                    <w:tr2bl w:val="nil"/>
                  </w:tcBorders>
                  <w:shd w:val="clear" w:color="auto" w:fill="auto"/>
                  <w:vAlign w:val="center"/>
                </w:tcPr>
                <w:p w14:paraId="32F2CB1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环境风险防控</w:t>
                  </w:r>
                </w:p>
              </w:tc>
              <w:tc>
                <w:tcPr>
                  <w:tcW w:w="2903" w:type="pct"/>
                  <w:tcBorders>
                    <w:tl2br w:val="nil"/>
                    <w:tr2bl w:val="nil"/>
                  </w:tcBorders>
                  <w:shd w:val="clear" w:color="auto" w:fill="auto"/>
                  <w:vAlign w:val="center"/>
                </w:tcPr>
                <w:p w14:paraId="491A93D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到2025年，城镇人口密集区现有不符合防护距离要求的危险化学品生产企业应就地改造达标、搬迁进入规范化工园区或关闭退出，企业安全和环境风险大幅降低。</w:t>
                  </w:r>
                </w:p>
              </w:tc>
              <w:tc>
                <w:tcPr>
                  <w:tcW w:w="1379" w:type="pct"/>
                  <w:tcBorders>
                    <w:tl2br w:val="nil"/>
                    <w:tr2bl w:val="nil"/>
                  </w:tcBorders>
                  <w:shd w:val="clear" w:color="auto" w:fill="auto"/>
                  <w:vAlign w:val="center"/>
                </w:tcPr>
                <w:p w14:paraId="0FA54E0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项目不属于危险化学品生产企业。</w:t>
                  </w:r>
                </w:p>
              </w:tc>
              <w:tc>
                <w:tcPr>
                  <w:tcW w:w="296" w:type="pct"/>
                  <w:tcBorders>
                    <w:tl2br w:val="nil"/>
                    <w:tr2bl w:val="nil"/>
                  </w:tcBorders>
                  <w:shd w:val="clear" w:color="auto" w:fill="auto"/>
                  <w:vAlign w:val="center"/>
                </w:tcPr>
                <w:p w14:paraId="1255B5E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5E4D2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3C6F33DD">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0EFF4687">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1EFB34EF">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巩固城市饮用水水源保护与治理成果，加强饮用水水源地规范化建设，完善风险防控与应急能力建设和相关管理措施，保证饮用水水源水质达标和水源安全。</w:t>
                  </w:r>
                </w:p>
              </w:tc>
              <w:tc>
                <w:tcPr>
                  <w:tcW w:w="1379" w:type="pct"/>
                  <w:tcBorders>
                    <w:tl2br w:val="nil"/>
                    <w:tr2bl w:val="nil"/>
                  </w:tcBorders>
                  <w:shd w:val="clear" w:color="auto" w:fill="auto"/>
                  <w:vAlign w:val="center"/>
                </w:tcPr>
                <w:p w14:paraId="63573692">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项目不涉及饮用水水源地。</w:t>
                  </w:r>
                </w:p>
              </w:tc>
              <w:tc>
                <w:tcPr>
                  <w:tcW w:w="296" w:type="pct"/>
                  <w:tcBorders>
                    <w:tl2br w:val="nil"/>
                    <w:tr2bl w:val="nil"/>
                  </w:tcBorders>
                  <w:shd w:val="clear" w:color="auto" w:fill="auto"/>
                  <w:vAlign w:val="center"/>
                </w:tcPr>
                <w:p w14:paraId="5FDC2D10">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3A5D5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1F8F95A8">
                  <w:pPr>
                    <w:adjustRightInd w:val="0"/>
                    <w:snapToGrid w:val="0"/>
                    <w:jc w:val="center"/>
                    <w:rPr>
                      <w:rFonts w:asciiTheme="minorEastAsia" w:hAnsiTheme="minorEastAsia" w:eastAsiaTheme="minorEastAsia"/>
                      <w:szCs w:val="21"/>
                    </w:rPr>
                  </w:pPr>
                </w:p>
              </w:tc>
              <w:tc>
                <w:tcPr>
                  <w:tcW w:w="263" w:type="pct"/>
                  <w:vMerge w:val="restart"/>
                  <w:tcBorders>
                    <w:tl2br w:val="nil"/>
                    <w:tr2bl w:val="nil"/>
                  </w:tcBorders>
                  <w:shd w:val="clear" w:color="auto" w:fill="auto"/>
                  <w:vAlign w:val="center"/>
                </w:tcPr>
                <w:p w14:paraId="0915584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资源利用要求</w:t>
                  </w:r>
                </w:p>
              </w:tc>
              <w:tc>
                <w:tcPr>
                  <w:tcW w:w="2903" w:type="pct"/>
                  <w:tcBorders>
                    <w:tl2br w:val="nil"/>
                    <w:tr2bl w:val="nil"/>
                  </w:tcBorders>
                  <w:shd w:val="clear" w:color="auto" w:fill="auto"/>
                  <w:vAlign w:val="center"/>
                </w:tcPr>
                <w:p w14:paraId="2B723315">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379" w:type="pct"/>
                  <w:tcBorders>
                    <w:tl2br w:val="nil"/>
                    <w:tr2bl w:val="nil"/>
                  </w:tcBorders>
                  <w:shd w:val="clear" w:color="auto" w:fill="auto"/>
                  <w:vAlign w:val="center"/>
                </w:tcPr>
                <w:p w14:paraId="52E65B4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本项目建址位于</w:t>
                  </w:r>
                  <w:r>
                    <w:rPr>
                      <w:rFonts w:hint="eastAsia" w:asciiTheme="minorEastAsia" w:hAnsiTheme="minorEastAsia" w:eastAsiaTheme="minorEastAsia"/>
                      <w:szCs w:val="21"/>
                    </w:rPr>
                    <w:t>白山市浑江区胜利煤业厂区内，位于吉林浑江经济开发区内，不位于已有控规范围内</w:t>
                  </w:r>
                  <w:r>
                    <w:rPr>
                      <w:rFonts w:asciiTheme="minorEastAsia" w:hAnsiTheme="minorEastAsia" w:eastAsiaTheme="minorEastAsia"/>
                      <w:szCs w:val="21"/>
                    </w:rPr>
                    <w:t>，不属于火电、钢铁、造纸、化工、粮食深加工等重点行业。不属于钢铁、火电、纺织印染、造纸、石油石化、化工、制革等高耗水企业。</w:t>
                  </w:r>
                </w:p>
              </w:tc>
              <w:tc>
                <w:tcPr>
                  <w:tcW w:w="296" w:type="pct"/>
                  <w:tcBorders>
                    <w:tl2br w:val="nil"/>
                    <w:tr2bl w:val="nil"/>
                  </w:tcBorders>
                  <w:shd w:val="clear" w:color="auto" w:fill="auto"/>
                  <w:vAlign w:val="center"/>
                </w:tcPr>
                <w:p w14:paraId="0431E7B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10DB7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57A6CEB3">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1CC188F9">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322A4402">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按照《中华人民共和国黑土地保护法》《吉林省黑土地保护条例》实施黑土地保护，加大黑土区水土流失治理力度，发展保护性耕作，促进黑土地可持续发展。</w:t>
                  </w:r>
                </w:p>
              </w:tc>
              <w:tc>
                <w:tcPr>
                  <w:tcW w:w="1379" w:type="pct"/>
                  <w:tcBorders>
                    <w:tl2br w:val="nil"/>
                    <w:tr2bl w:val="nil"/>
                  </w:tcBorders>
                  <w:shd w:val="clear" w:color="auto" w:fill="auto"/>
                  <w:vAlign w:val="center"/>
                </w:tcPr>
                <w:p w14:paraId="76D71907">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项目不占用黑土地。</w:t>
                  </w:r>
                </w:p>
              </w:tc>
              <w:tc>
                <w:tcPr>
                  <w:tcW w:w="296" w:type="pct"/>
                  <w:tcBorders>
                    <w:tl2br w:val="nil"/>
                    <w:tr2bl w:val="nil"/>
                  </w:tcBorders>
                  <w:shd w:val="clear" w:color="auto" w:fill="auto"/>
                  <w:vAlign w:val="center"/>
                </w:tcPr>
                <w:p w14:paraId="48B700D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37234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6F4E5BE1">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1BB687FF">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31834034">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严格控制煤炭消费。制定煤炭消费总量控制目标，规范实行煤炭消费控制目标管理和减量（等量）替代管理。</w:t>
                  </w:r>
                </w:p>
              </w:tc>
              <w:tc>
                <w:tcPr>
                  <w:tcW w:w="1379" w:type="pct"/>
                  <w:tcBorders>
                    <w:tl2br w:val="nil"/>
                    <w:tr2bl w:val="nil"/>
                  </w:tcBorders>
                  <w:shd w:val="clear" w:color="auto" w:fill="auto"/>
                  <w:vAlign w:val="center"/>
                </w:tcPr>
                <w:p w14:paraId="7C88FCE6">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本项目不涉及使用煤炭。</w:t>
                  </w:r>
                </w:p>
              </w:tc>
              <w:tc>
                <w:tcPr>
                  <w:tcW w:w="296" w:type="pct"/>
                  <w:tcBorders>
                    <w:tl2br w:val="nil"/>
                    <w:tr2bl w:val="nil"/>
                  </w:tcBorders>
                  <w:shd w:val="clear" w:color="auto" w:fill="auto"/>
                  <w:vAlign w:val="center"/>
                </w:tcPr>
                <w:p w14:paraId="11557A5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66723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00A07168">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7540C8B8">
                  <w:pPr>
                    <w:adjustRightInd w:val="0"/>
                    <w:snapToGrid w:val="0"/>
                    <w:jc w:val="center"/>
                    <w:rPr>
                      <w:rFonts w:asciiTheme="minorEastAsia" w:hAnsiTheme="minorEastAsia" w:eastAsiaTheme="minorEastAsia"/>
                      <w:szCs w:val="21"/>
                    </w:rPr>
                  </w:pPr>
                </w:p>
              </w:tc>
              <w:tc>
                <w:tcPr>
                  <w:tcW w:w="2903" w:type="pct"/>
                  <w:tcBorders>
                    <w:tl2br w:val="nil"/>
                    <w:tr2bl w:val="nil"/>
                  </w:tcBorders>
                  <w:shd w:val="clear" w:color="auto" w:fill="auto"/>
                  <w:vAlign w:val="center"/>
                </w:tcPr>
                <w:p w14:paraId="11E8E000">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高污染燃料禁燃区内，禁止销售、燃用高污染燃料；禁止新建、扩建燃用高污染燃料的设施。</w:t>
                  </w:r>
                </w:p>
              </w:tc>
              <w:tc>
                <w:tcPr>
                  <w:tcW w:w="1379" w:type="pct"/>
                  <w:tcBorders>
                    <w:tl2br w:val="nil"/>
                    <w:tr2bl w:val="nil"/>
                  </w:tcBorders>
                  <w:shd w:val="clear" w:color="auto" w:fill="auto"/>
                  <w:vAlign w:val="center"/>
                </w:tcPr>
                <w:p w14:paraId="0B6CFBA1">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项目不涉及销售、燃用高污染燃料，不涉及新建、扩建燃用高污染燃料的设施。</w:t>
                  </w:r>
                </w:p>
              </w:tc>
              <w:tc>
                <w:tcPr>
                  <w:tcW w:w="296" w:type="pct"/>
                  <w:tcBorders>
                    <w:tl2br w:val="nil"/>
                    <w:tr2bl w:val="nil"/>
                  </w:tcBorders>
                  <w:shd w:val="clear" w:color="auto" w:fill="auto"/>
                  <w:vAlign w:val="center"/>
                </w:tcPr>
                <w:p w14:paraId="7FD1C0F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bl>
          <w:p w14:paraId="62A09FF5">
            <w:pPr>
              <w:autoSpaceDE w:val="0"/>
              <w:autoSpaceDN w:val="0"/>
              <w:adjustRightInd w:val="0"/>
              <w:snapToGrid w:val="0"/>
              <w:spacing w:line="360" w:lineRule="auto"/>
              <w:ind w:firstLine="480" w:firstLineChars="200"/>
              <w:rPr>
                <w:rFonts w:ascii="宋体" w:hAnsi="宋体"/>
                <w:sz w:val="24"/>
              </w:rPr>
            </w:pPr>
            <w:r>
              <w:rPr>
                <w:rFonts w:hint="eastAsia" w:ascii="宋体" w:hAnsi="宋体" w:cs="宋体"/>
                <w:kern w:val="0"/>
                <w:sz w:val="24"/>
              </w:rPr>
              <w:t>5、本项目与</w:t>
            </w:r>
            <w:r>
              <w:rPr>
                <w:rFonts w:hint="eastAsia" w:ascii="宋体" w:hAnsi="宋体"/>
                <w:sz w:val="24"/>
              </w:rPr>
              <w:t>《白山市生态环境分区管控实施方案》相符性分析</w:t>
            </w:r>
          </w:p>
          <w:p w14:paraId="17CA59B3">
            <w:pPr>
              <w:autoSpaceDE w:val="0"/>
              <w:autoSpaceDN w:val="0"/>
              <w:adjustRightInd w:val="0"/>
              <w:snapToGrid w:val="0"/>
              <w:spacing w:line="360" w:lineRule="auto"/>
              <w:ind w:firstLine="480" w:firstLineChars="200"/>
              <w:rPr>
                <w:rFonts w:asciiTheme="minorEastAsia" w:hAnsiTheme="minorEastAsia" w:eastAsiaTheme="minorEastAsia"/>
                <w:b/>
                <w:bCs/>
                <w:sz w:val="24"/>
                <w:szCs w:val="24"/>
              </w:rPr>
            </w:pPr>
            <w:r>
              <w:rPr>
                <w:rFonts w:hint="eastAsia" w:ascii="宋体" w:hAnsi="宋体" w:cs="宋体"/>
                <w:kern w:val="0"/>
                <w:sz w:val="24"/>
              </w:rPr>
              <w:t>根据</w:t>
            </w:r>
            <w:bookmarkStart w:id="4" w:name="OLE_LINK31"/>
            <w:r>
              <w:rPr>
                <w:rFonts w:hint="eastAsia" w:ascii="宋体" w:hAnsi="宋体"/>
                <w:sz w:val="24"/>
              </w:rPr>
              <w:t>白山市人民政府办公室关于印发《白山市生态环境分区管控实施方案》白山政办发〔2024〕11号的通知</w:t>
            </w:r>
            <w:bookmarkEnd w:id="4"/>
            <w:r>
              <w:rPr>
                <w:rFonts w:hint="eastAsia" w:ascii="宋体" w:hAnsi="宋体"/>
                <w:sz w:val="24"/>
              </w:rPr>
              <w:t>，</w:t>
            </w:r>
            <w:r>
              <w:rPr>
                <w:rFonts w:ascii="宋体" w:hAnsi="宋体"/>
                <w:sz w:val="24"/>
              </w:rPr>
              <w:t>确定本项目位于</w:t>
            </w:r>
            <w:r>
              <w:rPr>
                <w:rFonts w:hint="eastAsia" w:ascii="宋体" w:hAnsi="宋体"/>
                <w:sz w:val="24"/>
              </w:rPr>
              <w:t>重点管控单元</w:t>
            </w:r>
            <w:r>
              <w:rPr>
                <w:rFonts w:ascii="宋体" w:hAnsi="宋体"/>
                <w:sz w:val="24"/>
              </w:rPr>
              <w:t>。本项目“三线一单”相符性分析详见</w:t>
            </w:r>
            <w:r>
              <w:rPr>
                <w:rFonts w:hint="eastAsia" w:ascii="宋体" w:hAnsi="宋体"/>
                <w:sz w:val="24"/>
              </w:rPr>
              <w:t>下</w:t>
            </w:r>
            <w:r>
              <w:rPr>
                <w:rFonts w:ascii="宋体" w:hAnsi="宋体"/>
                <w:sz w:val="24"/>
              </w:rPr>
              <w:t>表。</w:t>
            </w:r>
          </w:p>
          <w:p w14:paraId="6218D366">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表1-2  白山市</w:t>
            </w:r>
            <w:r>
              <w:rPr>
                <w:rFonts w:hint="eastAsia" w:ascii="宋体" w:hAnsi="宋体" w:cs="宋体"/>
                <w:b/>
                <w:sz w:val="24"/>
              </w:rPr>
              <w:t>生态环境准入清单（总体准入要求）</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06"/>
              <w:gridCol w:w="1131"/>
              <w:gridCol w:w="6667"/>
              <w:gridCol w:w="3704"/>
              <w:gridCol w:w="795"/>
            </w:tblGrid>
            <w:tr w14:paraId="72ABD4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restart"/>
                  <w:tcBorders>
                    <w:tl2br w:val="nil"/>
                    <w:tr2bl w:val="nil"/>
                  </w:tcBorders>
                  <w:shd w:val="clear" w:color="auto" w:fill="auto"/>
                  <w:vAlign w:val="center"/>
                </w:tcPr>
                <w:p w14:paraId="003ED0A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白山</w:t>
                  </w:r>
                  <w:r>
                    <w:rPr>
                      <w:rFonts w:asciiTheme="minorEastAsia" w:hAnsiTheme="minorEastAsia" w:eastAsiaTheme="minorEastAsia"/>
                      <w:szCs w:val="21"/>
                    </w:rPr>
                    <w:t>市准入</w:t>
                  </w:r>
                </w:p>
              </w:tc>
              <w:tc>
                <w:tcPr>
                  <w:tcW w:w="263" w:type="pct"/>
                  <w:tcBorders>
                    <w:tl2br w:val="nil"/>
                    <w:tr2bl w:val="nil"/>
                  </w:tcBorders>
                  <w:shd w:val="clear" w:color="auto" w:fill="auto"/>
                  <w:vAlign w:val="center"/>
                </w:tcPr>
                <w:p w14:paraId="1D98EB5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空间布局约束</w:t>
                  </w:r>
                </w:p>
              </w:tc>
              <w:tc>
                <w:tcPr>
                  <w:tcW w:w="2903" w:type="pct"/>
                  <w:gridSpan w:val="2"/>
                  <w:tcBorders>
                    <w:tl2br w:val="nil"/>
                    <w:tr2bl w:val="nil"/>
                  </w:tcBorders>
                  <w:shd w:val="clear" w:color="auto" w:fill="auto"/>
                  <w:vAlign w:val="center"/>
                </w:tcPr>
                <w:p w14:paraId="21963503">
                  <w:pPr>
                    <w:adjustRightInd w:val="0"/>
                    <w:snapToGrid w:val="0"/>
                    <w:jc w:val="left"/>
                    <w:rPr>
                      <w:rFonts w:asciiTheme="minorEastAsia" w:hAnsiTheme="minorEastAsia" w:eastAsiaTheme="minorEastAsia"/>
                      <w:szCs w:val="21"/>
                    </w:rPr>
                  </w:pPr>
                  <w:r>
                    <w:rPr>
                      <w:rFonts w:ascii="宋体" w:hAnsi="宋体"/>
                      <w:szCs w:val="21"/>
                    </w:rPr>
                    <w:t>禁止在下列林地的采伐迹地种植人参：（1）自然保护区、森林公园、景区及其附近林地；（2）江河源头和两岸林地；（3）水库、湖泊周围等生态重要区位林地；（4）国道、省道、县道两侧第一层山脊内林地；（5）坡度在25度以上的林地；（6）山脊、沟壑等林地；（7）不符合人参种植标准和要求的其他林地。</w:t>
                  </w:r>
                </w:p>
              </w:tc>
              <w:tc>
                <w:tcPr>
                  <w:tcW w:w="1379" w:type="pct"/>
                  <w:tcBorders>
                    <w:tl2br w:val="nil"/>
                    <w:tr2bl w:val="nil"/>
                  </w:tcBorders>
                  <w:shd w:val="clear" w:color="auto" w:fill="auto"/>
                  <w:vAlign w:val="center"/>
                </w:tcPr>
                <w:p w14:paraId="0F4FC61F">
                  <w:pPr>
                    <w:pStyle w:val="52"/>
                    <w:rPr>
                      <w:rFonts w:cs="Times New Roman"/>
                      <w:szCs w:val="21"/>
                      <w:lang w:val="en-US" w:bidi="ar-SA"/>
                    </w:rPr>
                  </w:pPr>
                  <w:r>
                    <w:rPr>
                      <w:rFonts w:hint="eastAsia" w:cs="Times New Roman" w:asciiTheme="minorEastAsia" w:hAnsiTheme="minorEastAsia" w:eastAsiaTheme="minorEastAsia"/>
                      <w:szCs w:val="21"/>
                      <w:lang w:val="en-US" w:bidi="ar-SA"/>
                    </w:rPr>
                    <w:t>不涉及</w:t>
                  </w:r>
                </w:p>
              </w:tc>
              <w:tc>
                <w:tcPr>
                  <w:tcW w:w="296" w:type="pct"/>
                  <w:tcBorders>
                    <w:tl2br w:val="nil"/>
                    <w:tr2bl w:val="nil"/>
                  </w:tcBorders>
                  <w:shd w:val="clear" w:color="auto" w:fill="auto"/>
                  <w:vAlign w:val="center"/>
                </w:tcPr>
                <w:p w14:paraId="33C00B1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1AEA05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19C37718">
                  <w:pPr>
                    <w:adjustRightInd w:val="0"/>
                    <w:snapToGrid w:val="0"/>
                    <w:jc w:val="center"/>
                    <w:rPr>
                      <w:rFonts w:asciiTheme="minorEastAsia" w:hAnsiTheme="minorEastAsia" w:eastAsiaTheme="minorEastAsia"/>
                      <w:szCs w:val="21"/>
                    </w:rPr>
                  </w:pPr>
                </w:p>
              </w:tc>
              <w:tc>
                <w:tcPr>
                  <w:tcW w:w="263" w:type="pct"/>
                  <w:vMerge w:val="restart"/>
                  <w:tcBorders>
                    <w:tl2br w:val="nil"/>
                    <w:tr2bl w:val="nil"/>
                  </w:tcBorders>
                  <w:shd w:val="clear" w:color="auto" w:fill="auto"/>
                  <w:vAlign w:val="center"/>
                </w:tcPr>
                <w:p w14:paraId="3473CF1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w:t>
                  </w:r>
                </w:p>
                <w:p w14:paraId="0E58439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排放管控</w:t>
                  </w:r>
                </w:p>
              </w:tc>
              <w:tc>
                <w:tcPr>
                  <w:tcW w:w="421" w:type="pct"/>
                  <w:vMerge w:val="restart"/>
                  <w:tcBorders>
                    <w:tl2br w:val="nil"/>
                    <w:tr2bl w:val="nil"/>
                  </w:tcBorders>
                  <w:shd w:val="clear" w:color="auto" w:fill="auto"/>
                  <w:vAlign w:val="center"/>
                </w:tcPr>
                <w:p w14:paraId="0F877F06">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环境</w:t>
                  </w:r>
                </w:p>
                <w:p w14:paraId="1CD23354">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质量目标</w:t>
                  </w:r>
                </w:p>
              </w:tc>
              <w:tc>
                <w:tcPr>
                  <w:tcW w:w="2482" w:type="pct"/>
                  <w:tcBorders>
                    <w:tl2br w:val="nil"/>
                    <w:tr2bl w:val="nil"/>
                  </w:tcBorders>
                  <w:shd w:val="clear" w:color="auto" w:fill="auto"/>
                  <w:vAlign w:val="center"/>
                </w:tcPr>
                <w:p w14:paraId="256CDDDE">
                  <w:pPr>
                    <w:adjustRightInd w:val="0"/>
                    <w:snapToGrid w:val="0"/>
                    <w:jc w:val="left"/>
                    <w:rPr>
                      <w:rFonts w:asciiTheme="minorEastAsia" w:hAnsiTheme="minorEastAsia" w:eastAsiaTheme="minorEastAsia"/>
                      <w:szCs w:val="21"/>
                    </w:rPr>
                  </w:pPr>
                  <w:r>
                    <w:rPr>
                      <w:rFonts w:ascii="宋体" w:hAnsi="宋体"/>
                      <w:szCs w:val="21"/>
                    </w:rPr>
                    <w:t>大气环境质量持续改善。2025年全市PM2.5年均浓度达到25微克/立方米，优良天数比例保持在98%左右；2035年允许波动，不能恶化（沙尘影响不计入）。</w:t>
                  </w:r>
                </w:p>
              </w:tc>
              <w:tc>
                <w:tcPr>
                  <w:tcW w:w="1379" w:type="pct"/>
                  <w:tcBorders>
                    <w:tl2br w:val="nil"/>
                    <w:tr2bl w:val="nil"/>
                  </w:tcBorders>
                  <w:shd w:val="clear" w:color="auto" w:fill="auto"/>
                  <w:vAlign w:val="center"/>
                </w:tcPr>
                <w:p w14:paraId="2ED76969">
                  <w:pPr>
                    <w:pStyle w:val="52"/>
                    <w:jc w:val="left"/>
                    <w:rPr>
                      <w:rFonts w:cs="Times New Roman"/>
                      <w:szCs w:val="21"/>
                      <w:lang w:val="en-US" w:bidi="ar-SA"/>
                    </w:rPr>
                  </w:pPr>
                  <w:r>
                    <w:rPr>
                      <w:rFonts w:hint="eastAsia" w:cs="Times New Roman"/>
                      <w:szCs w:val="21"/>
                      <w:lang w:val="en-US" w:bidi="ar-SA"/>
                    </w:rPr>
                    <w:t>白山市目前为环境空气质量达标区，本项目废气经处理后，能够满足相关排放标准，对大气环境影响可接受。</w:t>
                  </w:r>
                </w:p>
              </w:tc>
              <w:tc>
                <w:tcPr>
                  <w:tcW w:w="296" w:type="pct"/>
                  <w:tcBorders>
                    <w:tl2br w:val="nil"/>
                    <w:tr2bl w:val="nil"/>
                  </w:tcBorders>
                  <w:shd w:val="clear" w:color="auto" w:fill="auto"/>
                  <w:vAlign w:val="center"/>
                </w:tcPr>
                <w:p w14:paraId="6DED336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271AB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62BFFF60">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0FF014D9">
                  <w:pPr>
                    <w:adjustRightInd w:val="0"/>
                    <w:snapToGrid w:val="0"/>
                    <w:jc w:val="center"/>
                    <w:rPr>
                      <w:rFonts w:asciiTheme="minorEastAsia" w:hAnsiTheme="minorEastAsia" w:eastAsiaTheme="minorEastAsia"/>
                      <w:szCs w:val="21"/>
                    </w:rPr>
                  </w:pPr>
                </w:p>
              </w:tc>
              <w:tc>
                <w:tcPr>
                  <w:tcW w:w="421" w:type="pct"/>
                  <w:vMerge w:val="continue"/>
                  <w:tcBorders>
                    <w:tl2br w:val="nil"/>
                    <w:tr2bl w:val="nil"/>
                  </w:tcBorders>
                  <w:shd w:val="clear" w:color="auto" w:fill="auto"/>
                  <w:vAlign w:val="center"/>
                </w:tcPr>
                <w:p w14:paraId="4A28AFB2">
                  <w:pPr>
                    <w:adjustRightInd w:val="0"/>
                    <w:snapToGrid w:val="0"/>
                    <w:jc w:val="left"/>
                    <w:rPr>
                      <w:rFonts w:asciiTheme="minorEastAsia" w:hAnsiTheme="minorEastAsia" w:eastAsiaTheme="minorEastAsia"/>
                      <w:szCs w:val="21"/>
                    </w:rPr>
                  </w:pPr>
                </w:p>
              </w:tc>
              <w:tc>
                <w:tcPr>
                  <w:tcW w:w="2482" w:type="pct"/>
                  <w:tcBorders>
                    <w:tl2br w:val="nil"/>
                    <w:tr2bl w:val="nil"/>
                  </w:tcBorders>
                  <w:shd w:val="clear" w:color="auto" w:fill="auto"/>
                  <w:vAlign w:val="center"/>
                </w:tcPr>
                <w:p w14:paraId="78AB3701">
                  <w:pPr>
                    <w:adjustRightInd w:val="0"/>
                    <w:snapToGrid w:val="0"/>
                    <w:jc w:val="left"/>
                    <w:rPr>
                      <w:rFonts w:asciiTheme="minorEastAsia" w:hAnsiTheme="minorEastAsia" w:eastAsiaTheme="minorEastAsia"/>
                      <w:szCs w:val="21"/>
                    </w:rPr>
                  </w:pPr>
                  <w:r>
                    <w:rPr>
                      <w:rFonts w:ascii="宋体" w:hAnsi="宋体"/>
                      <w:szCs w:val="21"/>
                    </w:rPr>
                    <w:t>水环境质量持续改善。2025年，地表水国控断面达到或优于</w:t>
                  </w:r>
                  <w:r>
                    <w:rPr>
                      <w:rFonts w:hint="eastAsia" w:ascii="宋体" w:hAnsi="宋体"/>
                      <w:szCs w:val="21"/>
                    </w:rPr>
                    <w:t>Ⅲ</w:t>
                  </w:r>
                  <w:r>
                    <w:rPr>
                      <w:rFonts w:ascii="宋体" w:hAnsi="宋体"/>
                      <w:szCs w:val="21"/>
                    </w:rPr>
                    <w:t>类水体比例保持100%，饮用水水源地水质稳定达标。</w:t>
                  </w:r>
                </w:p>
              </w:tc>
              <w:tc>
                <w:tcPr>
                  <w:tcW w:w="1379" w:type="pct"/>
                  <w:tcBorders>
                    <w:tl2br w:val="nil"/>
                    <w:tr2bl w:val="nil"/>
                  </w:tcBorders>
                  <w:shd w:val="clear" w:color="auto" w:fill="auto"/>
                  <w:vAlign w:val="center"/>
                </w:tcPr>
                <w:p w14:paraId="2ECFD709">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生活污水排入防渗旱厕定期委托环卫部门清掏，淋溶水排入沉淀池，上清液用于厂区降尘。</w:t>
                  </w:r>
                </w:p>
              </w:tc>
              <w:tc>
                <w:tcPr>
                  <w:tcW w:w="296" w:type="pct"/>
                  <w:tcBorders>
                    <w:tl2br w:val="nil"/>
                    <w:tr2bl w:val="nil"/>
                  </w:tcBorders>
                  <w:shd w:val="clear" w:color="auto" w:fill="auto"/>
                  <w:vAlign w:val="center"/>
                </w:tcPr>
                <w:p w14:paraId="685593F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符合</w:t>
                  </w:r>
                </w:p>
              </w:tc>
            </w:tr>
            <w:tr w14:paraId="6B70A3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1C967E37">
                  <w:pPr>
                    <w:adjustRightInd w:val="0"/>
                    <w:snapToGrid w:val="0"/>
                    <w:jc w:val="center"/>
                    <w:rPr>
                      <w:rFonts w:asciiTheme="minorEastAsia" w:hAnsiTheme="minorEastAsia" w:eastAsiaTheme="minorEastAsia"/>
                      <w:szCs w:val="21"/>
                    </w:rPr>
                  </w:pPr>
                </w:p>
              </w:tc>
              <w:tc>
                <w:tcPr>
                  <w:tcW w:w="263" w:type="pct"/>
                  <w:vMerge w:val="restart"/>
                  <w:tcBorders>
                    <w:tl2br w:val="nil"/>
                    <w:tr2bl w:val="nil"/>
                  </w:tcBorders>
                  <w:shd w:val="clear" w:color="auto" w:fill="auto"/>
                  <w:vAlign w:val="center"/>
                </w:tcPr>
                <w:p w14:paraId="61CD437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资源利用要求</w:t>
                  </w:r>
                </w:p>
              </w:tc>
              <w:tc>
                <w:tcPr>
                  <w:tcW w:w="421" w:type="pct"/>
                  <w:tcBorders>
                    <w:tl2br w:val="nil"/>
                    <w:tr2bl w:val="nil"/>
                  </w:tcBorders>
                  <w:shd w:val="clear" w:color="auto" w:fill="auto"/>
                  <w:vAlign w:val="center"/>
                </w:tcPr>
                <w:p w14:paraId="6834FC8E">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水资源</w:t>
                  </w:r>
                </w:p>
              </w:tc>
              <w:tc>
                <w:tcPr>
                  <w:tcW w:w="2482" w:type="pct"/>
                  <w:tcBorders>
                    <w:tl2br w:val="nil"/>
                    <w:tr2bl w:val="nil"/>
                  </w:tcBorders>
                  <w:shd w:val="clear" w:color="auto" w:fill="auto"/>
                  <w:vAlign w:val="center"/>
                </w:tcPr>
                <w:p w14:paraId="203C3E59">
                  <w:pPr>
                    <w:pStyle w:val="52"/>
                    <w:jc w:val="left"/>
                    <w:rPr>
                      <w:rFonts w:cs="Times New Roman"/>
                      <w:szCs w:val="21"/>
                      <w:lang w:val="en-US" w:bidi="ar-SA"/>
                    </w:rPr>
                  </w:pPr>
                  <w:r>
                    <w:rPr>
                      <w:rFonts w:cs="Times New Roman"/>
                      <w:szCs w:val="21"/>
                      <w:lang w:val="en-US" w:bidi="ar-SA"/>
                    </w:rPr>
                    <w:t>2025年用水量控制在2.24亿立方米，2035年用水量控制在4.8亿立方米。</w:t>
                  </w:r>
                </w:p>
              </w:tc>
              <w:tc>
                <w:tcPr>
                  <w:tcW w:w="1379" w:type="pct"/>
                  <w:tcBorders>
                    <w:tl2br w:val="nil"/>
                    <w:tr2bl w:val="nil"/>
                  </w:tcBorders>
                  <w:shd w:val="clear" w:color="auto" w:fill="auto"/>
                  <w:vAlign w:val="center"/>
                </w:tcPr>
                <w:p w14:paraId="4E6FF65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项目不会突破区域水资源利用上线。</w:t>
                  </w:r>
                </w:p>
              </w:tc>
              <w:tc>
                <w:tcPr>
                  <w:tcW w:w="296" w:type="pct"/>
                  <w:tcBorders>
                    <w:tl2br w:val="nil"/>
                    <w:tr2bl w:val="nil"/>
                  </w:tcBorders>
                  <w:shd w:val="clear" w:color="auto" w:fill="auto"/>
                  <w:vAlign w:val="center"/>
                </w:tcPr>
                <w:p w14:paraId="132EB76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符合</w:t>
                  </w:r>
                </w:p>
              </w:tc>
            </w:tr>
            <w:tr w14:paraId="2AD41C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tl2br w:val="nil"/>
                    <w:tr2bl w:val="nil"/>
                  </w:tcBorders>
                  <w:shd w:val="clear" w:color="auto" w:fill="auto"/>
                  <w:vAlign w:val="center"/>
                </w:tcPr>
                <w:p w14:paraId="025BE50F">
                  <w:pPr>
                    <w:adjustRightInd w:val="0"/>
                    <w:snapToGrid w:val="0"/>
                    <w:jc w:val="center"/>
                    <w:rPr>
                      <w:rFonts w:asciiTheme="minorEastAsia" w:hAnsiTheme="minorEastAsia" w:eastAsiaTheme="minorEastAsia"/>
                      <w:szCs w:val="21"/>
                    </w:rPr>
                  </w:pPr>
                </w:p>
              </w:tc>
              <w:tc>
                <w:tcPr>
                  <w:tcW w:w="263" w:type="pct"/>
                  <w:vMerge w:val="continue"/>
                  <w:tcBorders>
                    <w:tl2br w:val="nil"/>
                    <w:tr2bl w:val="nil"/>
                  </w:tcBorders>
                  <w:shd w:val="clear" w:color="auto" w:fill="auto"/>
                  <w:vAlign w:val="center"/>
                </w:tcPr>
                <w:p w14:paraId="49DC2D88">
                  <w:pPr>
                    <w:adjustRightInd w:val="0"/>
                    <w:snapToGrid w:val="0"/>
                    <w:jc w:val="center"/>
                    <w:rPr>
                      <w:rFonts w:asciiTheme="minorEastAsia" w:hAnsiTheme="minorEastAsia" w:eastAsiaTheme="minorEastAsia"/>
                      <w:szCs w:val="21"/>
                    </w:rPr>
                  </w:pPr>
                </w:p>
              </w:tc>
              <w:tc>
                <w:tcPr>
                  <w:tcW w:w="421" w:type="pct"/>
                  <w:tcBorders>
                    <w:tl2br w:val="nil"/>
                    <w:tr2bl w:val="nil"/>
                  </w:tcBorders>
                  <w:shd w:val="clear" w:color="auto" w:fill="auto"/>
                  <w:vAlign w:val="center"/>
                </w:tcPr>
                <w:p w14:paraId="7095E7DF">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土地资源</w:t>
                  </w:r>
                </w:p>
              </w:tc>
              <w:tc>
                <w:tcPr>
                  <w:tcW w:w="2482" w:type="pct"/>
                  <w:tcBorders>
                    <w:tl2br w:val="nil"/>
                    <w:tr2bl w:val="nil"/>
                  </w:tcBorders>
                  <w:shd w:val="clear" w:color="auto" w:fill="auto"/>
                  <w:vAlign w:val="center"/>
                </w:tcPr>
                <w:p w14:paraId="42B1B767">
                  <w:pPr>
                    <w:pStyle w:val="52"/>
                    <w:jc w:val="left"/>
                    <w:rPr>
                      <w:rFonts w:cs="Times New Roman"/>
                      <w:szCs w:val="21"/>
                      <w:lang w:val="en-US" w:bidi="ar-SA"/>
                    </w:rPr>
                  </w:pPr>
                  <w:r>
                    <w:rPr>
                      <w:rFonts w:cs="Times New Roman"/>
                      <w:szCs w:val="21"/>
                      <w:lang w:val="en-US" w:bidi="ar-SA"/>
                    </w:rPr>
                    <w:t>2025年耕地保有量不低于1059.01平方千米；永久基本农田保护面积不低于708.71平方千米；城镇开发边界控制在184.25平方千米以内。</w:t>
                  </w:r>
                </w:p>
              </w:tc>
              <w:tc>
                <w:tcPr>
                  <w:tcW w:w="1379" w:type="pct"/>
                  <w:tcBorders>
                    <w:tl2br w:val="nil"/>
                    <w:tr2bl w:val="nil"/>
                  </w:tcBorders>
                  <w:shd w:val="clear" w:color="auto" w:fill="auto"/>
                  <w:vAlign w:val="center"/>
                </w:tcPr>
                <w:p w14:paraId="464C2541">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项目不占用耕地、基本农田，故项目的建设不会对区域土地资源利用产生影响。</w:t>
                  </w:r>
                </w:p>
              </w:tc>
              <w:tc>
                <w:tcPr>
                  <w:tcW w:w="296" w:type="pct"/>
                  <w:tcBorders>
                    <w:tl2br w:val="nil"/>
                    <w:tr2bl w:val="nil"/>
                  </w:tcBorders>
                  <w:shd w:val="clear" w:color="auto" w:fill="auto"/>
                  <w:vAlign w:val="center"/>
                </w:tcPr>
                <w:p w14:paraId="552E060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r w14:paraId="5FBD87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Merge w:val="continue"/>
                  <w:tcBorders>
                    <w:bottom w:val="single" w:color="auto" w:sz="12" w:space="0"/>
                    <w:tl2br w:val="nil"/>
                    <w:tr2bl w:val="nil"/>
                  </w:tcBorders>
                  <w:shd w:val="clear" w:color="auto" w:fill="auto"/>
                  <w:vAlign w:val="center"/>
                </w:tcPr>
                <w:p w14:paraId="1D434B47">
                  <w:pPr>
                    <w:adjustRightInd w:val="0"/>
                    <w:snapToGrid w:val="0"/>
                    <w:jc w:val="center"/>
                    <w:rPr>
                      <w:rFonts w:asciiTheme="minorEastAsia" w:hAnsiTheme="minorEastAsia" w:eastAsiaTheme="minorEastAsia"/>
                      <w:szCs w:val="21"/>
                    </w:rPr>
                  </w:pPr>
                </w:p>
              </w:tc>
              <w:tc>
                <w:tcPr>
                  <w:tcW w:w="263" w:type="pct"/>
                  <w:vMerge w:val="continue"/>
                  <w:tcBorders>
                    <w:bottom w:val="single" w:color="auto" w:sz="12" w:space="0"/>
                    <w:tl2br w:val="nil"/>
                    <w:tr2bl w:val="nil"/>
                  </w:tcBorders>
                  <w:shd w:val="clear" w:color="auto" w:fill="auto"/>
                  <w:vAlign w:val="center"/>
                </w:tcPr>
                <w:p w14:paraId="0A7454BE">
                  <w:pPr>
                    <w:adjustRightInd w:val="0"/>
                    <w:snapToGrid w:val="0"/>
                    <w:jc w:val="center"/>
                    <w:rPr>
                      <w:rFonts w:asciiTheme="minorEastAsia" w:hAnsiTheme="minorEastAsia" w:eastAsiaTheme="minorEastAsia"/>
                      <w:szCs w:val="21"/>
                    </w:rPr>
                  </w:pPr>
                </w:p>
              </w:tc>
              <w:tc>
                <w:tcPr>
                  <w:tcW w:w="421" w:type="pct"/>
                  <w:tcBorders>
                    <w:bottom w:val="single" w:color="auto" w:sz="12" w:space="0"/>
                    <w:tl2br w:val="nil"/>
                    <w:tr2bl w:val="nil"/>
                  </w:tcBorders>
                  <w:shd w:val="clear" w:color="auto" w:fill="auto"/>
                  <w:vAlign w:val="center"/>
                </w:tcPr>
                <w:p w14:paraId="35B573B1">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能源</w:t>
                  </w:r>
                </w:p>
              </w:tc>
              <w:tc>
                <w:tcPr>
                  <w:tcW w:w="2482" w:type="pct"/>
                  <w:tcBorders>
                    <w:bottom w:val="single" w:color="auto" w:sz="12" w:space="0"/>
                    <w:tl2br w:val="nil"/>
                    <w:tr2bl w:val="nil"/>
                  </w:tcBorders>
                  <w:shd w:val="clear" w:color="auto" w:fill="auto"/>
                  <w:vAlign w:val="center"/>
                </w:tcPr>
                <w:p w14:paraId="185144F2">
                  <w:pPr>
                    <w:pStyle w:val="52"/>
                    <w:jc w:val="left"/>
                    <w:rPr>
                      <w:rFonts w:cs="Times New Roman"/>
                      <w:szCs w:val="21"/>
                      <w:lang w:val="en-US" w:bidi="ar-SA"/>
                    </w:rPr>
                  </w:pPr>
                  <w:r>
                    <w:rPr>
                      <w:rFonts w:cs="Times New Roman"/>
                      <w:szCs w:val="21"/>
                      <w:lang w:val="en-US" w:bidi="ar-SA"/>
                    </w:rPr>
                    <w:t>2025年，煤炭消费总量控制在451.74万吨以内，非化石能源消费比重达到15%。</w:t>
                  </w:r>
                </w:p>
              </w:tc>
              <w:tc>
                <w:tcPr>
                  <w:tcW w:w="1379" w:type="pct"/>
                  <w:tcBorders>
                    <w:bottom w:val="single" w:color="auto" w:sz="12" w:space="0"/>
                    <w:tl2br w:val="nil"/>
                    <w:tr2bl w:val="nil"/>
                  </w:tcBorders>
                  <w:shd w:val="clear" w:color="auto" w:fill="auto"/>
                  <w:vAlign w:val="center"/>
                </w:tcPr>
                <w:p w14:paraId="27719D64">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项目冬季采用电采暖，不消耗煤炭。</w:t>
                  </w:r>
                </w:p>
              </w:tc>
              <w:tc>
                <w:tcPr>
                  <w:tcW w:w="296" w:type="pct"/>
                  <w:tcBorders>
                    <w:bottom w:val="single" w:color="auto" w:sz="12" w:space="0"/>
                    <w:tl2br w:val="nil"/>
                    <w:tr2bl w:val="nil"/>
                  </w:tcBorders>
                  <w:shd w:val="clear" w:color="auto" w:fill="auto"/>
                  <w:vAlign w:val="center"/>
                </w:tcPr>
                <w:p w14:paraId="48E5436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符合</w:t>
                  </w:r>
                </w:p>
              </w:tc>
            </w:tr>
          </w:tbl>
          <w:p w14:paraId="1B5AAD7C">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6、与环境管控单元生态环境准入符合性分析</w:t>
            </w:r>
          </w:p>
          <w:p w14:paraId="3F496B61">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根据中共吉林省委办公厅 吉林省人民政府办公厅印发《关于加强生态环境分区管控的若干措施》和吉林省“三线一单”平台查询结果,</w:t>
            </w:r>
            <w:r>
              <w:rPr>
                <w:rFonts w:ascii="宋体" w:hAnsi="宋体" w:cs="宋体"/>
                <w:kern w:val="0"/>
                <w:sz w:val="24"/>
              </w:rPr>
              <w:t>本项目位于</w:t>
            </w:r>
            <w:r>
              <w:rPr>
                <w:rFonts w:hint="eastAsia" w:ascii="宋体" w:hAnsi="宋体" w:cs="宋体"/>
                <w:kern w:val="0"/>
                <w:sz w:val="24"/>
              </w:rPr>
              <w:t>重点管控单元</w:t>
            </w:r>
            <w:r>
              <w:rPr>
                <w:rFonts w:ascii="宋体" w:hAnsi="宋体" w:cs="宋体"/>
                <w:kern w:val="0"/>
                <w:sz w:val="24"/>
              </w:rPr>
              <w:t>（</w:t>
            </w:r>
            <w:r>
              <w:rPr>
                <w:rFonts w:hint="eastAsia" w:ascii="宋体" w:hAnsi="宋体" w:cs="宋体"/>
                <w:kern w:val="0"/>
                <w:sz w:val="24"/>
              </w:rPr>
              <w:t>浑江区大气环境布局敏感重点管控区，ZH22060220004</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详见下表。</w:t>
            </w:r>
          </w:p>
          <w:p w14:paraId="19343335">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1-3</w:t>
            </w:r>
            <w:r>
              <w:rPr>
                <w:rFonts w:asciiTheme="minorEastAsia" w:hAnsiTheme="minorEastAsia" w:eastAsiaTheme="minorEastAsia"/>
                <w:b/>
                <w:bCs/>
                <w:sz w:val="24"/>
                <w:szCs w:val="24"/>
              </w:rPr>
              <w:t xml:space="preserve">  本项目“管控单元”相符性分析一览表</w:t>
            </w:r>
          </w:p>
          <w:tbl>
            <w:tblPr>
              <w:tblStyle w:val="57"/>
              <w:tblW w:w="13485"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960"/>
              <w:gridCol w:w="949"/>
              <w:gridCol w:w="1168"/>
              <w:gridCol w:w="8396"/>
              <w:gridCol w:w="2012"/>
            </w:tblGrid>
            <w:tr w14:paraId="66236DB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55" w:hRule="atLeast"/>
                <w:jc w:val="center"/>
              </w:trPr>
              <w:tc>
                <w:tcPr>
                  <w:tcW w:w="1141" w:type="pct"/>
                  <w:gridSpan w:val="3"/>
                  <w:vAlign w:val="center"/>
                </w:tcPr>
                <w:p w14:paraId="592294B1">
                  <w:pPr>
                    <w:adjustRightInd w:val="0"/>
                    <w:snapToGrid w:val="0"/>
                    <w:jc w:val="center"/>
                    <w:rPr>
                      <w:rFonts w:ascii="宋体" w:hAnsi="宋体" w:eastAsiaTheme="minorEastAsia"/>
                      <w:szCs w:val="21"/>
                    </w:rPr>
                  </w:pPr>
                  <w:r>
                    <w:rPr>
                      <w:rFonts w:ascii="宋体" w:hAnsi="宋体" w:eastAsiaTheme="minorEastAsia"/>
                      <w:szCs w:val="21"/>
                    </w:rPr>
                    <w:t>管控领域</w:t>
                  </w:r>
                </w:p>
              </w:tc>
              <w:tc>
                <w:tcPr>
                  <w:tcW w:w="3113" w:type="pct"/>
                  <w:vMerge w:val="restart"/>
                  <w:vAlign w:val="center"/>
                </w:tcPr>
                <w:p w14:paraId="1CD272F4">
                  <w:pPr>
                    <w:adjustRightInd w:val="0"/>
                    <w:snapToGrid w:val="0"/>
                    <w:jc w:val="center"/>
                    <w:rPr>
                      <w:rFonts w:ascii="宋体" w:hAnsi="宋体" w:eastAsiaTheme="minorEastAsia"/>
                      <w:szCs w:val="21"/>
                    </w:rPr>
                  </w:pPr>
                  <w:r>
                    <w:rPr>
                      <w:rFonts w:ascii="宋体" w:hAnsi="宋体" w:eastAsiaTheme="minorEastAsia"/>
                      <w:szCs w:val="21"/>
                    </w:rPr>
                    <w:t>管控要求</w:t>
                  </w:r>
                </w:p>
              </w:tc>
              <w:tc>
                <w:tcPr>
                  <w:tcW w:w="746" w:type="pct"/>
                  <w:vMerge w:val="restart"/>
                  <w:vAlign w:val="center"/>
                </w:tcPr>
                <w:p w14:paraId="109F9E12">
                  <w:pPr>
                    <w:adjustRightInd w:val="0"/>
                    <w:snapToGrid w:val="0"/>
                    <w:jc w:val="center"/>
                    <w:rPr>
                      <w:rFonts w:ascii="宋体" w:hAnsi="宋体" w:eastAsiaTheme="minorEastAsia"/>
                      <w:szCs w:val="21"/>
                    </w:rPr>
                  </w:pPr>
                  <w:r>
                    <w:rPr>
                      <w:rFonts w:ascii="宋体" w:hAnsi="宋体" w:eastAsiaTheme="minorEastAsia"/>
                      <w:szCs w:val="21"/>
                    </w:rPr>
                    <w:t>本项目情况符合性</w:t>
                  </w:r>
                </w:p>
              </w:tc>
            </w:tr>
            <w:tr w14:paraId="5199030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356" w:type="pct"/>
                  <w:vAlign w:val="center"/>
                </w:tcPr>
                <w:p w14:paraId="0FC230BE">
                  <w:pPr>
                    <w:adjustRightInd w:val="0"/>
                    <w:snapToGrid w:val="0"/>
                    <w:jc w:val="center"/>
                    <w:rPr>
                      <w:rFonts w:ascii="宋体" w:hAnsi="宋体" w:eastAsiaTheme="minorEastAsia"/>
                      <w:szCs w:val="21"/>
                    </w:rPr>
                  </w:pPr>
                  <w:r>
                    <w:rPr>
                      <w:rFonts w:ascii="宋体" w:hAnsi="宋体" w:eastAsiaTheme="minorEastAsia"/>
                      <w:szCs w:val="21"/>
                    </w:rPr>
                    <w:t>管控单元名称</w:t>
                  </w:r>
                </w:p>
              </w:tc>
              <w:tc>
                <w:tcPr>
                  <w:tcW w:w="352" w:type="pct"/>
                  <w:vAlign w:val="center"/>
                </w:tcPr>
                <w:p w14:paraId="733310AE">
                  <w:pPr>
                    <w:adjustRightInd w:val="0"/>
                    <w:snapToGrid w:val="0"/>
                    <w:jc w:val="center"/>
                    <w:rPr>
                      <w:rFonts w:ascii="宋体" w:hAnsi="宋体" w:eastAsiaTheme="minorEastAsia"/>
                      <w:szCs w:val="21"/>
                    </w:rPr>
                  </w:pPr>
                  <w:r>
                    <w:rPr>
                      <w:rFonts w:ascii="宋体" w:hAnsi="宋体" w:eastAsiaTheme="minorEastAsia"/>
                      <w:szCs w:val="21"/>
                    </w:rPr>
                    <w:t>管控单元分类</w:t>
                  </w:r>
                </w:p>
              </w:tc>
              <w:tc>
                <w:tcPr>
                  <w:tcW w:w="433" w:type="pct"/>
                  <w:vAlign w:val="center"/>
                </w:tcPr>
                <w:p w14:paraId="534D522C">
                  <w:pPr>
                    <w:adjustRightInd w:val="0"/>
                    <w:snapToGrid w:val="0"/>
                    <w:jc w:val="center"/>
                    <w:rPr>
                      <w:rFonts w:ascii="宋体" w:hAnsi="宋体" w:eastAsiaTheme="minorEastAsia"/>
                      <w:szCs w:val="21"/>
                    </w:rPr>
                  </w:pPr>
                  <w:r>
                    <w:rPr>
                      <w:rFonts w:ascii="宋体" w:hAnsi="宋体" w:eastAsiaTheme="minorEastAsia"/>
                      <w:szCs w:val="21"/>
                    </w:rPr>
                    <w:t>管控类型</w:t>
                  </w:r>
                </w:p>
              </w:tc>
              <w:tc>
                <w:tcPr>
                  <w:tcW w:w="3113" w:type="pct"/>
                  <w:vMerge w:val="continue"/>
                  <w:vAlign w:val="center"/>
                </w:tcPr>
                <w:p w14:paraId="5FD5A6DB">
                  <w:pPr>
                    <w:adjustRightInd w:val="0"/>
                    <w:snapToGrid w:val="0"/>
                    <w:jc w:val="center"/>
                    <w:rPr>
                      <w:rFonts w:ascii="宋体" w:hAnsi="宋体" w:eastAsiaTheme="minorEastAsia"/>
                      <w:szCs w:val="21"/>
                    </w:rPr>
                  </w:pPr>
                </w:p>
              </w:tc>
              <w:tc>
                <w:tcPr>
                  <w:tcW w:w="746" w:type="pct"/>
                  <w:vMerge w:val="continue"/>
                  <w:vAlign w:val="center"/>
                </w:tcPr>
                <w:p w14:paraId="30BFC4BB">
                  <w:pPr>
                    <w:adjustRightInd w:val="0"/>
                    <w:snapToGrid w:val="0"/>
                    <w:jc w:val="center"/>
                    <w:rPr>
                      <w:rFonts w:ascii="宋体" w:hAnsi="宋体" w:eastAsiaTheme="minorEastAsia"/>
                      <w:szCs w:val="21"/>
                    </w:rPr>
                  </w:pPr>
                </w:p>
              </w:tc>
            </w:tr>
            <w:tr w14:paraId="2071C35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356" w:type="pct"/>
                  <w:vMerge w:val="restart"/>
                  <w:vAlign w:val="center"/>
                </w:tcPr>
                <w:p w14:paraId="4127C512">
                  <w:pPr>
                    <w:adjustRightInd w:val="0"/>
                    <w:snapToGrid w:val="0"/>
                    <w:jc w:val="center"/>
                    <w:rPr>
                      <w:rFonts w:ascii="宋体" w:hAnsi="宋体" w:eastAsiaTheme="minorEastAsia"/>
                      <w:szCs w:val="21"/>
                    </w:rPr>
                  </w:pPr>
                  <w:r>
                    <w:rPr>
                      <w:rFonts w:hint="eastAsia" w:ascii="宋体" w:hAnsi="宋体" w:eastAsiaTheme="minorEastAsia"/>
                      <w:szCs w:val="21"/>
                    </w:rPr>
                    <w:t>浑江区大气环境布局敏感重点管控区</w:t>
                  </w:r>
                </w:p>
              </w:tc>
              <w:tc>
                <w:tcPr>
                  <w:tcW w:w="352" w:type="pct"/>
                  <w:vMerge w:val="restart"/>
                  <w:vAlign w:val="center"/>
                </w:tcPr>
                <w:p w14:paraId="470A2AF0">
                  <w:pPr>
                    <w:adjustRightInd w:val="0"/>
                    <w:snapToGrid w:val="0"/>
                    <w:jc w:val="center"/>
                    <w:rPr>
                      <w:rFonts w:ascii="宋体" w:hAnsi="宋体" w:eastAsiaTheme="minorEastAsia"/>
                      <w:szCs w:val="21"/>
                    </w:rPr>
                  </w:pPr>
                  <w:r>
                    <w:rPr>
                      <w:rFonts w:hint="eastAsia" w:ascii="宋体" w:hAnsi="宋体" w:eastAsiaTheme="minorEastAsia"/>
                      <w:szCs w:val="21"/>
                    </w:rPr>
                    <w:t>重点</w:t>
                  </w:r>
                  <w:r>
                    <w:rPr>
                      <w:rFonts w:ascii="宋体" w:hAnsi="宋体" w:eastAsiaTheme="minorEastAsia"/>
                      <w:szCs w:val="21"/>
                    </w:rPr>
                    <w:t>管控单元</w:t>
                  </w:r>
                </w:p>
              </w:tc>
              <w:tc>
                <w:tcPr>
                  <w:tcW w:w="433" w:type="pct"/>
                  <w:vMerge w:val="restart"/>
                  <w:vAlign w:val="center"/>
                </w:tcPr>
                <w:p w14:paraId="608F701F">
                  <w:pPr>
                    <w:adjustRightInd w:val="0"/>
                    <w:snapToGrid w:val="0"/>
                    <w:jc w:val="center"/>
                    <w:rPr>
                      <w:rFonts w:ascii="宋体" w:hAnsi="宋体" w:eastAsiaTheme="minorEastAsia"/>
                      <w:szCs w:val="21"/>
                    </w:rPr>
                  </w:pPr>
                  <w:r>
                    <w:rPr>
                      <w:rFonts w:hint="eastAsia" w:ascii="宋体" w:hAnsi="宋体" w:eastAsiaTheme="minorEastAsia"/>
                      <w:szCs w:val="21"/>
                    </w:rPr>
                    <w:t>空间布局约束</w:t>
                  </w:r>
                </w:p>
              </w:tc>
              <w:tc>
                <w:tcPr>
                  <w:tcW w:w="3113" w:type="pct"/>
                  <w:tcBorders>
                    <w:bottom w:val="single" w:color="auto" w:sz="4" w:space="0"/>
                  </w:tcBorders>
                  <w:vAlign w:val="center"/>
                </w:tcPr>
                <w:p w14:paraId="2F08D20B">
                  <w:pPr>
                    <w:adjustRightInd w:val="0"/>
                    <w:snapToGrid w:val="0"/>
                    <w:jc w:val="left"/>
                    <w:rPr>
                      <w:rFonts w:ascii="宋体" w:hAnsi="宋体" w:eastAsiaTheme="minorEastAsia"/>
                      <w:szCs w:val="21"/>
                    </w:rPr>
                  </w:pPr>
                  <w:r>
                    <w:rPr>
                      <w:rFonts w:hint="eastAsia" w:ascii="宋体" w:hAnsi="宋体" w:eastAsiaTheme="minorEastAsia"/>
                      <w:szCs w:val="21"/>
                    </w:rPr>
                    <w:t>1、除在安全或者产业布局等方面有特殊要求的项目外，宜避免大规模排放大气污染物的项目布局建设。</w:t>
                  </w:r>
                </w:p>
              </w:tc>
              <w:tc>
                <w:tcPr>
                  <w:tcW w:w="746" w:type="pct"/>
                  <w:tcBorders>
                    <w:bottom w:val="single" w:color="auto" w:sz="4" w:space="0"/>
                  </w:tcBorders>
                  <w:vAlign w:val="center"/>
                </w:tcPr>
                <w:p w14:paraId="2BAD2EBC">
                  <w:pPr>
                    <w:adjustRightInd w:val="0"/>
                    <w:snapToGrid w:val="0"/>
                    <w:jc w:val="center"/>
                    <w:rPr>
                      <w:rFonts w:ascii="宋体" w:hAnsi="宋体" w:eastAsiaTheme="minorEastAsia"/>
                      <w:szCs w:val="21"/>
                    </w:rPr>
                  </w:pPr>
                  <w:r>
                    <w:rPr>
                      <w:rFonts w:ascii="宋体" w:hAnsi="宋体" w:eastAsiaTheme="minorEastAsia"/>
                      <w:szCs w:val="21"/>
                    </w:rPr>
                    <w:t>本项目无大规模大气污染物产排放</w:t>
                  </w:r>
                </w:p>
              </w:tc>
            </w:tr>
            <w:tr w14:paraId="6A52422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356" w:type="pct"/>
                  <w:vMerge w:val="continue"/>
                  <w:vAlign w:val="center"/>
                </w:tcPr>
                <w:p w14:paraId="40690E89">
                  <w:pPr>
                    <w:adjustRightInd w:val="0"/>
                    <w:snapToGrid w:val="0"/>
                    <w:jc w:val="center"/>
                    <w:rPr>
                      <w:rFonts w:ascii="宋体" w:hAnsi="宋体" w:eastAsiaTheme="minorEastAsia"/>
                      <w:szCs w:val="21"/>
                    </w:rPr>
                  </w:pPr>
                </w:p>
              </w:tc>
              <w:tc>
                <w:tcPr>
                  <w:tcW w:w="352" w:type="pct"/>
                  <w:vMerge w:val="continue"/>
                  <w:vAlign w:val="center"/>
                </w:tcPr>
                <w:p w14:paraId="083D3D62">
                  <w:pPr>
                    <w:adjustRightInd w:val="0"/>
                    <w:snapToGrid w:val="0"/>
                    <w:jc w:val="center"/>
                    <w:rPr>
                      <w:rFonts w:ascii="宋体" w:hAnsi="宋体" w:eastAsiaTheme="minorEastAsia"/>
                      <w:szCs w:val="21"/>
                    </w:rPr>
                  </w:pPr>
                </w:p>
              </w:tc>
              <w:tc>
                <w:tcPr>
                  <w:tcW w:w="433" w:type="pct"/>
                  <w:vMerge w:val="continue"/>
                  <w:vAlign w:val="center"/>
                </w:tcPr>
                <w:p w14:paraId="1BC15FD5">
                  <w:pPr>
                    <w:adjustRightInd w:val="0"/>
                    <w:snapToGrid w:val="0"/>
                    <w:jc w:val="center"/>
                    <w:rPr>
                      <w:rFonts w:ascii="宋体" w:hAnsi="宋体" w:eastAsiaTheme="minorEastAsia"/>
                      <w:szCs w:val="21"/>
                    </w:rPr>
                  </w:pPr>
                </w:p>
              </w:tc>
              <w:tc>
                <w:tcPr>
                  <w:tcW w:w="3113" w:type="pct"/>
                  <w:tcBorders>
                    <w:top w:val="single" w:color="auto" w:sz="4" w:space="0"/>
                  </w:tcBorders>
                  <w:vAlign w:val="center"/>
                </w:tcPr>
                <w:p w14:paraId="77FD19E0">
                  <w:pPr>
                    <w:adjustRightInd w:val="0"/>
                    <w:snapToGrid w:val="0"/>
                    <w:jc w:val="left"/>
                    <w:rPr>
                      <w:rFonts w:ascii="宋体" w:hAnsi="宋体" w:eastAsiaTheme="minorEastAsia"/>
                      <w:szCs w:val="21"/>
                    </w:rPr>
                  </w:pPr>
                  <w:r>
                    <w:rPr>
                      <w:rFonts w:hint="eastAsia" w:ascii="宋体" w:hAnsi="宋体" w:eastAsiaTheme="minorEastAsia"/>
                      <w:szCs w:val="21"/>
                    </w:rPr>
                    <w:t>2、重点矿区严格矿山地址环境保护准入管理，新建矿山矿产资源开发利用方案与矿山地质环境保护与土地复垦方案同步编制。同步审查。同步实施，编制绿色矿山建设实施方案。采矿权人应当严格执行经批准的矿山地质环境保护与土地复垦方案，开采矿产资源造成矿山地质环境破坏的，由采矿权人负责治理恢复。</w:t>
                  </w:r>
                </w:p>
              </w:tc>
              <w:tc>
                <w:tcPr>
                  <w:tcW w:w="746" w:type="pct"/>
                  <w:tcBorders>
                    <w:top w:val="single" w:color="auto" w:sz="4" w:space="0"/>
                  </w:tcBorders>
                  <w:vAlign w:val="center"/>
                </w:tcPr>
                <w:p w14:paraId="2FDB415A">
                  <w:pPr>
                    <w:adjustRightInd w:val="0"/>
                    <w:snapToGrid w:val="0"/>
                    <w:jc w:val="center"/>
                    <w:rPr>
                      <w:rFonts w:ascii="宋体" w:hAnsi="宋体" w:eastAsiaTheme="minorEastAsia"/>
                      <w:szCs w:val="21"/>
                    </w:rPr>
                  </w:pPr>
                  <w:r>
                    <w:rPr>
                      <w:rFonts w:ascii="宋体" w:hAnsi="宋体" w:eastAsiaTheme="minorEastAsia"/>
                      <w:szCs w:val="21"/>
                    </w:rPr>
                    <w:t>本项目不涉及</w:t>
                  </w:r>
                </w:p>
              </w:tc>
            </w:tr>
            <w:tr w14:paraId="3908FC1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18" w:hRule="atLeast"/>
                <w:jc w:val="center"/>
              </w:trPr>
              <w:tc>
                <w:tcPr>
                  <w:tcW w:w="356" w:type="pct"/>
                  <w:vMerge w:val="continue"/>
                  <w:vAlign w:val="center"/>
                </w:tcPr>
                <w:p w14:paraId="629431DF">
                  <w:pPr>
                    <w:adjustRightInd w:val="0"/>
                    <w:snapToGrid w:val="0"/>
                    <w:jc w:val="center"/>
                    <w:rPr>
                      <w:rFonts w:asciiTheme="minorEastAsia" w:hAnsiTheme="minorEastAsia" w:eastAsiaTheme="minorEastAsia"/>
                      <w:szCs w:val="21"/>
                    </w:rPr>
                  </w:pPr>
                </w:p>
              </w:tc>
              <w:tc>
                <w:tcPr>
                  <w:tcW w:w="352" w:type="pct"/>
                  <w:vMerge w:val="continue"/>
                  <w:vAlign w:val="center"/>
                </w:tcPr>
                <w:p w14:paraId="1EFC5B15">
                  <w:pPr>
                    <w:adjustRightInd w:val="0"/>
                    <w:snapToGrid w:val="0"/>
                    <w:jc w:val="center"/>
                    <w:rPr>
                      <w:rFonts w:asciiTheme="minorEastAsia" w:hAnsiTheme="minorEastAsia" w:eastAsiaTheme="minorEastAsia"/>
                      <w:szCs w:val="21"/>
                    </w:rPr>
                  </w:pPr>
                </w:p>
              </w:tc>
              <w:tc>
                <w:tcPr>
                  <w:tcW w:w="433" w:type="pct"/>
                  <w:vMerge w:val="restart"/>
                  <w:vAlign w:val="center"/>
                </w:tcPr>
                <w:p w14:paraId="0C425206">
                  <w:pPr>
                    <w:adjustRightInd w:val="0"/>
                    <w:snapToGrid w:val="0"/>
                    <w:jc w:val="center"/>
                    <w:rPr>
                      <w:rFonts w:ascii="宋体" w:hAnsi="宋体" w:eastAsiaTheme="minorEastAsia"/>
                      <w:szCs w:val="21"/>
                    </w:rPr>
                  </w:pPr>
                  <w:r>
                    <w:rPr>
                      <w:rFonts w:hint="eastAsia" w:ascii="宋体" w:hAnsi="宋体" w:eastAsiaTheme="minorEastAsia"/>
                      <w:szCs w:val="21"/>
                    </w:rPr>
                    <w:t>污染物排放管控</w:t>
                  </w:r>
                </w:p>
              </w:tc>
              <w:tc>
                <w:tcPr>
                  <w:tcW w:w="3113" w:type="pct"/>
                  <w:tcBorders>
                    <w:bottom w:val="single" w:color="auto" w:sz="4" w:space="0"/>
                  </w:tcBorders>
                  <w:vAlign w:val="center"/>
                </w:tcPr>
                <w:p w14:paraId="658947AB">
                  <w:pPr>
                    <w:adjustRightInd w:val="0"/>
                    <w:snapToGrid w:val="0"/>
                    <w:jc w:val="left"/>
                    <w:rPr>
                      <w:rFonts w:ascii="宋体" w:hAnsi="宋体" w:eastAsiaTheme="minorEastAsia"/>
                      <w:szCs w:val="21"/>
                    </w:rPr>
                  </w:pPr>
                  <w:r>
                    <w:rPr>
                      <w:rFonts w:hint="eastAsia" w:ascii="宋体" w:hAnsi="宋体" w:eastAsiaTheme="minorEastAsia"/>
                      <w:szCs w:val="21"/>
                    </w:rPr>
                    <w:t>1、深入推进秸秆禁烧管控，实行秸秆全域禁烧。加快淘汰老旧车辆；强化道路扬尘控制。</w:t>
                  </w:r>
                </w:p>
              </w:tc>
              <w:tc>
                <w:tcPr>
                  <w:tcW w:w="746" w:type="pct"/>
                  <w:tcBorders>
                    <w:bottom w:val="single" w:color="auto" w:sz="4" w:space="0"/>
                  </w:tcBorders>
                  <w:vAlign w:val="center"/>
                </w:tcPr>
                <w:p w14:paraId="323D8FDF">
                  <w:pPr>
                    <w:adjustRightInd w:val="0"/>
                    <w:snapToGrid w:val="0"/>
                    <w:jc w:val="center"/>
                    <w:rPr>
                      <w:rFonts w:ascii="宋体" w:hAnsi="宋体" w:eastAsiaTheme="minorEastAsia"/>
                      <w:szCs w:val="21"/>
                    </w:rPr>
                  </w:pPr>
                  <w:r>
                    <w:rPr>
                      <w:rFonts w:ascii="宋体" w:hAnsi="宋体" w:eastAsiaTheme="minorEastAsia"/>
                      <w:szCs w:val="21"/>
                    </w:rPr>
                    <w:t>本项目不涉及</w:t>
                  </w:r>
                </w:p>
              </w:tc>
            </w:tr>
            <w:tr w14:paraId="0CAEC2D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8" w:hRule="atLeast"/>
                <w:jc w:val="center"/>
              </w:trPr>
              <w:tc>
                <w:tcPr>
                  <w:tcW w:w="356" w:type="pct"/>
                  <w:vMerge w:val="continue"/>
                  <w:vAlign w:val="center"/>
                </w:tcPr>
                <w:p w14:paraId="44C382C5">
                  <w:pPr>
                    <w:adjustRightInd w:val="0"/>
                    <w:snapToGrid w:val="0"/>
                    <w:jc w:val="center"/>
                    <w:rPr>
                      <w:rFonts w:asciiTheme="minorEastAsia" w:hAnsiTheme="minorEastAsia" w:eastAsiaTheme="minorEastAsia"/>
                      <w:szCs w:val="21"/>
                    </w:rPr>
                  </w:pPr>
                </w:p>
              </w:tc>
              <w:tc>
                <w:tcPr>
                  <w:tcW w:w="352" w:type="pct"/>
                  <w:vMerge w:val="continue"/>
                  <w:vAlign w:val="center"/>
                </w:tcPr>
                <w:p w14:paraId="7193F8F4">
                  <w:pPr>
                    <w:adjustRightInd w:val="0"/>
                    <w:snapToGrid w:val="0"/>
                    <w:jc w:val="center"/>
                    <w:rPr>
                      <w:rFonts w:asciiTheme="minorEastAsia" w:hAnsiTheme="minorEastAsia" w:eastAsiaTheme="minorEastAsia"/>
                      <w:szCs w:val="21"/>
                    </w:rPr>
                  </w:pPr>
                </w:p>
              </w:tc>
              <w:tc>
                <w:tcPr>
                  <w:tcW w:w="433" w:type="pct"/>
                  <w:vMerge w:val="continue"/>
                  <w:vAlign w:val="center"/>
                </w:tcPr>
                <w:p w14:paraId="0D5861FC">
                  <w:pPr>
                    <w:adjustRightInd w:val="0"/>
                    <w:snapToGrid w:val="0"/>
                    <w:jc w:val="center"/>
                    <w:rPr>
                      <w:rFonts w:ascii="宋体" w:hAnsi="宋体" w:eastAsiaTheme="minorEastAsia"/>
                      <w:szCs w:val="21"/>
                    </w:rPr>
                  </w:pPr>
                </w:p>
              </w:tc>
              <w:tc>
                <w:tcPr>
                  <w:tcW w:w="3113" w:type="pct"/>
                  <w:tcBorders>
                    <w:top w:val="single" w:color="auto" w:sz="4" w:space="0"/>
                  </w:tcBorders>
                  <w:vAlign w:val="center"/>
                </w:tcPr>
                <w:p w14:paraId="7AAB1388">
                  <w:pPr>
                    <w:adjustRightInd w:val="0"/>
                    <w:snapToGrid w:val="0"/>
                    <w:jc w:val="left"/>
                    <w:rPr>
                      <w:rFonts w:ascii="宋体" w:hAnsi="宋体" w:eastAsiaTheme="minorEastAsia"/>
                      <w:szCs w:val="21"/>
                    </w:rPr>
                  </w:pPr>
                  <w:r>
                    <w:rPr>
                      <w:rFonts w:hint="eastAsia" w:ascii="宋体" w:hAnsi="宋体" w:eastAsiaTheme="minorEastAsia"/>
                      <w:szCs w:val="21"/>
                    </w:rPr>
                    <w:t>2、实施化肥农药减量增效行动和农膜回收行动；采取积极措施，推进养殖业大气氨减排。</w:t>
                  </w:r>
                </w:p>
              </w:tc>
              <w:tc>
                <w:tcPr>
                  <w:tcW w:w="746" w:type="pct"/>
                  <w:tcBorders>
                    <w:top w:val="single" w:color="auto" w:sz="4" w:space="0"/>
                  </w:tcBorders>
                  <w:vAlign w:val="center"/>
                </w:tcPr>
                <w:p w14:paraId="62A27881">
                  <w:pPr>
                    <w:adjustRightInd w:val="0"/>
                    <w:snapToGrid w:val="0"/>
                    <w:jc w:val="center"/>
                    <w:rPr>
                      <w:rFonts w:ascii="宋体" w:hAnsi="宋体" w:eastAsiaTheme="minorEastAsia"/>
                      <w:szCs w:val="21"/>
                    </w:rPr>
                  </w:pPr>
                  <w:r>
                    <w:rPr>
                      <w:rFonts w:ascii="宋体" w:hAnsi="宋体" w:eastAsiaTheme="minorEastAsia"/>
                      <w:szCs w:val="21"/>
                    </w:rPr>
                    <w:t>本项目不涉及</w:t>
                  </w:r>
                </w:p>
              </w:tc>
            </w:tr>
          </w:tbl>
          <w:p w14:paraId="3A94C630">
            <w:pPr>
              <w:autoSpaceDE w:val="0"/>
              <w:autoSpaceDN w:val="0"/>
              <w:adjustRightInd w:val="0"/>
              <w:snapToGrid w:val="0"/>
              <w:spacing w:line="360" w:lineRule="auto"/>
              <w:ind w:firstLine="480" w:firstLineChars="200"/>
              <w:rPr>
                <w:bCs/>
                <w:kern w:val="0"/>
                <w:sz w:val="24"/>
              </w:rPr>
            </w:pPr>
            <w:r>
              <w:rPr>
                <w:rFonts w:hint="eastAsia"/>
                <w:bCs/>
                <w:kern w:val="0"/>
                <w:sz w:val="24"/>
              </w:rPr>
              <w:t>7、</w:t>
            </w:r>
            <w:r>
              <w:rPr>
                <w:bCs/>
                <w:kern w:val="0"/>
                <w:sz w:val="24"/>
              </w:rPr>
              <w:t>与《关于促进砂石行业健康有序发展的指导意见》相符性分析</w:t>
            </w:r>
          </w:p>
          <w:p w14:paraId="6E2E04A4">
            <w:pPr>
              <w:autoSpaceDE w:val="0"/>
              <w:autoSpaceDN w:val="0"/>
              <w:adjustRightInd w:val="0"/>
              <w:snapToGrid w:val="0"/>
              <w:spacing w:line="360" w:lineRule="auto"/>
              <w:ind w:firstLine="480" w:firstLineChars="200"/>
              <w:rPr>
                <w:bCs/>
                <w:kern w:val="0"/>
                <w:sz w:val="24"/>
              </w:rPr>
            </w:pPr>
            <w:r>
              <w:rPr>
                <w:bCs/>
                <w:kern w:val="0"/>
                <w:sz w:val="24"/>
              </w:rPr>
              <w:t>意见中要求加快落实《关于推进机制砂石行业高质量发展的若干意见》（工信部联原〔2019〕239号），统筹考虑各类砂石资源整体发展趋势，逐步过渡到依靠机制砂石满足建设需要为主，在规划布局、工艺装备、产品质量、污染防治、综合利用、安全生产等方面加强联动，加快推动机制砂石产业转型升级。强化上下游衔接，加快建立并逐步完善机制砂石产品及应用标准规范体系，不断提高优质和专用产品应用比例。本项目工艺先进完善，有严格的污染治理措施，符合《关于促进砂石行业健康有序发展的指导意见》。</w:t>
            </w:r>
          </w:p>
          <w:p w14:paraId="5BC1095D">
            <w:pPr>
              <w:autoSpaceDE w:val="0"/>
              <w:autoSpaceDN w:val="0"/>
              <w:adjustRightInd w:val="0"/>
              <w:snapToGrid w:val="0"/>
              <w:spacing w:line="360" w:lineRule="auto"/>
              <w:ind w:firstLine="480" w:firstLineChars="200"/>
              <w:rPr>
                <w:rFonts w:ascii="宋体" w:hAnsi="宋体" w:cs="宋体"/>
                <w:sz w:val="24"/>
              </w:rPr>
            </w:pPr>
            <w:r>
              <w:rPr>
                <w:rFonts w:hint="eastAsia"/>
                <w:bCs/>
                <w:kern w:val="0"/>
                <w:sz w:val="24"/>
              </w:rPr>
              <w:t>8、</w:t>
            </w:r>
            <w:r>
              <w:rPr>
                <w:rFonts w:hint="eastAsia" w:ascii="宋体" w:hAnsi="宋体" w:cs="宋体"/>
                <w:sz w:val="24"/>
              </w:rPr>
              <w:t>本项目与①《中华人民共和国环境保护法》（2015.1.1）、②《中华人民共和国大气污染防治法》（2018.12.26）、③《吉林省大气污染防治条例》（2022.10.1）、④《吉林省空气质量巩固提升行动方案》（吉政办发【2021】10号）、⑤《中共吉林省委 吉林省政府关于全面加强生态环境保护坚决打好污染防治攻坚战的实施意见》（吉发【2018】33号）、⑥《中共吉林省委 吉林省人民政府关于深入打好污染防治攻坚战的实施意见》（2021.12.31）、⑦《空气质量持续改善行动计划》（国发【2023】24号）、⑧《吉林省落实〈空气质量持续改善行动计划〉实施方案》（吉政发【2024】8号）相符性分析。</w:t>
            </w:r>
          </w:p>
          <w:p w14:paraId="62193110">
            <w:pPr>
              <w:spacing w:line="360" w:lineRule="auto"/>
              <w:jc w:val="center"/>
            </w:pPr>
            <w:r>
              <w:rPr>
                <w:rFonts w:hint="eastAsia" w:ascii="宋体" w:hAnsi="宋体"/>
                <w:b/>
                <w:sz w:val="24"/>
              </w:rPr>
              <w:t>表1-4  本项目与法律法规符合性一览表</w:t>
            </w:r>
          </w:p>
          <w:tbl>
            <w:tblPr>
              <w:tblStyle w:val="22"/>
              <w:tblW w:w="136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351"/>
              <w:gridCol w:w="3346"/>
              <w:gridCol w:w="894"/>
              <w:gridCol w:w="52"/>
              <w:gridCol w:w="30"/>
            </w:tblGrid>
            <w:tr w14:paraId="526A1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8" w:hRule="atLeast"/>
                <w:jc w:val="center"/>
              </w:trPr>
              <w:tc>
                <w:tcPr>
                  <w:tcW w:w="963" w:type="dxa"/>
                  <w:vAlign w:val="center"/>
                </w:tcPr>
                <w:p w14:paraId="51CD78AB">
                  <w:pPr>
                    <w:adjustRightInd w:val="0"/>
                    <w:snapToGrid w:val="0"/>
                    <w:jc w:val="center"/>
                    <w:rPr>
                      <w:rFonts w:ascii="宋体" w:hAnsi="宋体"/>
                      <w:szCs w:val="21"/>
                    </w:rPr>
                  </w:pPr>
                  <w:r>
                    <w:rPr>
                      <w:rFonts w:hint="eastAsia" w:ascii="宋体" w:hAnsi="宋体"/>
                      <w:szCs w:val="21"/>
                    </w:rPr>
                    <w:t>序号</w:t>
                  </w:r>
                </w:p>
              </w:tc>
              <w:tc>
                <w:tcPr>
                  <w:tcW w:w="8351" w:type="dxa"/>
                  <w:vAlign w:val="center"/>
                </w:tcPr>
                <w:p w14:paraId="24AE3C87">
                  <w:pPr>
                    <w:adjustRightInd w:val="0"/>
                    <w:snapToGrid w:val="0"/>
                    <w:jc w:val="center"/>
                    <w:rPr>
                      <w:rFonts w:ascii="宋体" w:hAnsi="宋体"/>
                      <w:szCs w:val="21"/>
                    </w:rPr>
                  </w:pPr>
                  <w:r>
                    <w:rPr>
                      <w:rFonts w:hint="eastAsia" w:ascii="宋体" w:hAnsi="宋体"/>
                      <w:szCs w:val="21"/>
                    </w:rPr>
                    <w:t>要求</w:t>
                  </w:r>
                </w:p>
              </w:tc>
              <w:tc>
                <w:tcPr>
                  <w:tcW w:w="3346" w:type="dxa"/>
                  <w:vAlign w:val="center"/>
                </w:tcPr>
                <w:p w14:paraId="7672AEF2">
                  <w:pPr>
                    <w:adjustRightInd w:val="0"/>
                    <w:snapToGrid w:val="0"/>
                    <w:jc w:val="center"/>
                    <w:rPr>
                      <w:rFonts w:ascii="宋体" w:hAnsi="宋体"/>
                      <w:szCs w:val="21"/>
                    </w:rPr>
                  </w:pPr>
                  <w:r>
                    <w:rPr>
                      <w:rFonts w:hint="eastAsia" w:ascii="宋体" w:hAnsi="宋体"/>
                      <w:szCs w:val="21"/>
                    </w:rPr>
                    <w:t>本项目</w:t>
                  </w:r>
                </w:p>
              </w:tc>
              <w:tc>
                <w:tcPr>
                  <w:tcW w:w="894" w:type="dxa"/>
                  <w:vAlign w:val="center"/>
                </w:tcPr>
                <w:p w14:paraId="44A34453">
                  <w:pPr>
                    <w:adjustRightInd w:val="0"/>
                    <w:snapToGrid w:val="0"/>
                    <w:jc w:val="center"/>
                    <w:rPr>
                      <w:rFonts w:ascii="宋体" w:hAnsi="宋体"/>
                      <w:szCs w:val="21"/>
                    </w:rPr>
                  </w:pPr>
                  <w:r>
                    <w:rPr>
                      <w:rFonts w:hint="eastAsia" w:ascii="宋体" w:hAnsi="宋体"/>
                      <w:szCs w:val="21"/>
                    </w:rPr>
                    <w:t>符合性</w:t>
                  </w:r>
                </w:p>
              </w:tc>
            </w:tr>
            <w:tr w14:paraId="40FE9E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13636" w:type="dxa"/>
                  <w:gridSpan w:val="6"/>
                  <w:vAlign w:val="center"/>
                </w:tcPr>
                <w:p w14:paraId="71BB4C83">
                  <w:pPr>
                    <w:adjustRightInd w:val="0"/>
                    <w:snapToGrid w:val="0"/>
                    <w:rPr>
                      <w:rFonts w:ascii="宋体" w:hAnsi="宋体"/>
                      <w:szCs w:val="21"/>
                    </w:rPr>
                  </w:pPr>
                  <w:r>
                    <w:rPr>
                      <w:rFonts w:hint="eastAsia" w:ascii="宋体" w:hAnsi="宋体"/>
                      <w:bCs/>
                      <w:szCs w:val="21"/>
                    </w:rPr>
                    <w:t>1、《中华人民共和国环境保护法》（2015.1.1）（节选）</w:t>
                  </w:r>
                </w:p>
              </w:tc>
            </w:tr>
            <w:tr w14:paraId="6F6AF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250462EE">
                  <w:pPr>
                    <w:adjustRightInd w:val="0"/>
                    <w:snapToGrid w:val="0"/>
                    <w:jc w:val="center"/>
                    <w:rPr>
                      <w:rFonts w:ascii="宋体" w:hAnsi="宋体"/>
                      <w:szCs w:val="21"/>
                    </w:rPr>
                  </w:pPr>
                  <w:r>
                    <w:rPr>
                      <w:rFonts w:hint="eastAsia" w:ascii="宋体" w:hAnsi="宋体"/>
                      <w:szCs w:val="21"/>
                    </w:rPr>
                    <w:t>第四十二条</w:t>
                  </w:r>
                </w:p>
              </w:tc>
              <w:tc>
                <w:tcPr>
                  <w:tcW w:w="8351" w:type="dxa"/>
                  <w:vAlign w:val="center"/>
                </w:tcPr>
                <w:p w14:paraId="680F3328">
                  <w:pPr>
                    <w:adjustRightInd w:val="0"/>
                    <w:snapToGrid w:val="0"/>
                    <w:jc w:val="left"/>
                    <w:rPr>
                      <w:rFonts w:ascii="宋体" w:hAnsi="宋体"/>
                      <w:szCs w:val="21"/>
                    </w:rPr>
                  </w:pPr>
                  <w:r>
                    <w:rPr>
                      <w:rFonts w:hint="eastAsia" w:ascii="宋体" w:hAnsi="宋体"/>
                      <w:szCs w:val="21"/>
                    </w:rPr>
                    <w:t>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558683FA">
                  <w:pPr>
                    <w:adjustRightInd w:val="0"/>
                    <w:snapToGrid w:val="0"/>
                    <w:jc w:val="left"/>
                    <w:rPr>
                      <w:rFonts w:ascii="宋体" w:hAnsi="宋体"/>
                      <w:szCs w:val="21"/>
                    </w:rPr>
                  </w:pPr>
                  <w:r>
                    <w:rPr>
                      <w:rFonts w:hint="eastAsia" w:ascii="宋体" w:hAnsi="宋体"/>
                      <w:szCs w:val="21"/>
                    </w:rPr>
                    <w:t>排放污染物的企业事业单位，应当建立环境保护责任制度，明确单位负责人和相关人员的责任。</w:t>
                  </w:r>
                </w:p>
                <w:p w14:paraId="3DB50A15">
                  <w:pPr>
                    <w:adjustRightInd w:val="0"/>
                    <w:snapToGrid w:val="0"/>
                    <w:jc w:val="left"/>
                    <w:rPr>
                      <w:rFonts w:ascii="宋体" w:hAnsi="宋体"/>
                      <w:szCs w:val="21"/>
                    </w:rPr>
                  </w:pPr>
                  <w:r>
                    <w:rPr>
                      <w:rFonts w:hint="eastAsia" w:ascii="宋体" w:hAnsi="宋体"/>
                      <w:szCs w:val="21"/>
                    </w:rPr>
                    <w:t>重点排污单位应当按照国家有关规定和监测规范安装使用监测设备，保证监测设备正常运行，保存原始监测记录。</w:t>
                  </w:r>
                </w:p>
                <w:p w14:paraId="2AC69BA0">
                  <w:pPr>
                    <w:adjustRightInd w:val="0"/>
                    <w:snapToGrid w:val="0"/>
                    <w:jc w:val="left"/>
                    <w:rPr>
                      <w:rFonts w:ascii="宋体" w:hAnsi="宋体"/>
                      <w:szCs w:val="21"/>
                    </w:rPr>
                  </w:pPr>
                  <w:r>
                    <w:rPr>
                      <w:rFonts w:hint="eastAsia" w:ascii="宋体" w:hAnsi="宋体"/>
                      <w:szCs w:val="21"/>
                    </w:rPr>
                    <w:t>严禁通过暗管、渗井、渗坑、灌注或者篡改、伪造监测数据，或者不正常运行防治污染设施等逃避监管的方式违法排放污染物。</w:t>
                  </w:r>
                </w:p>
              </w:tc>
              <w:tc>
                <w:tcPr>
                  <w:tcW w:w="3346" w:type="dxa"/>
                  <w:vAlign w:val="center"/>
                </w:tcPr>
                <w:p w14:paraId="4A460FAF">
                  <w:pPr>
                    <w:adjustRightInd w:val="0"/>
                    <w:snapToGrid w:val="0"/>
                    <w:jc w:val="left"/>
                    <w:rPr>
                      <w:rFonts w:ascii="宋体" w:hAnsi="宋体"/>
                      <w:szCs w:val="21"/>
                    </w:rPr>
                  </w:pPr>
                  <w:r>
                    <w:rPr>
                      <w:rFonts w:hint="eastAsia" w:ascii="宋体" w:hAnsi="宋体"/>
                      <w:szCs w:val="21"/>
                    </w:rPr>
                    <w:t>本项目建设及运行过程会按照主管部门要求采取污染防治措施，对运行期的污染物进行治理，防止对环境的污染和危害。</w:t>
                  </w:r>
                </w:p>
              </w:tc>
              <w:tc>
                <w:tcPr>
                  <w:tcW w:w="894" w:type="dxa"/>
                  <w:vAlign w:val="center"/>
                </w:tcPr>
                <w:p w14:paraId="6A14B3FC">
                  <w:pPr>
                    <w:adjustRightInd w:val="0"/>
                    <w:snapToGrid w:val="0"/>
                    <w:jc w:val="center"/>
                    <w:rPr>
                      <w:rFonts w:ascii="宋体" w:hAnsi="宋体"/>
                      <w:szCs w:val="21"/>
                    </w:rPr>
                  </w:pPr>
                  <w:r>
                    <w:rPr>
                      <w:rFonts w:hint="eastAsia" w:ascii="宋体" w:hAnsi="宋体"/>
                      <w:szCs w:val="21"/>
                    </w:rPr>
                    <w:t>符合</w:t>
                  </w:r>
                </w:p>
              </w:tc>
            </w:tr>
            <w:tr w14:paraId="1AFEA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13636" w:type="dxa"/>
                  <w:gridSpan w:val="6"/>
                  <w:vAlign w:val="center"/>
                </w:tcPr>
                <w:p w14:paraId="17B7A6F4">
                  <w:pPr>
                    <w:adjustRightInd w:val="0"/>
                    <w:snapToGrid w:val="0"/>
                    <w:rPr>
                      <w:rFonts w:ascii="宋体" w:hAnsi="宋体"/>
                      <w:szCs w:val="21"/>
                    </w:rPr>
                  </w:pPr>
                  <w:r>
                    <w:rPr>
                      <w:rFonts w:hint="eastAsia" w:ascii="宋体" w:hAnsi="宋体"/>
                      <w:bCs/>
                      <w:szCs w:val="21"/>
                    </w:rPr>
                    <w:t>2、《中华人民共和国大气污染防治法》（2018.12.26）（节选）</w:t>
                  </w:r>
                </w:p>
              </w:tc>
            </w:tr>
            <w:tr w14:paraId="2C1633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31E089A6">
                  <w:pPr>
                    <w:adjustRightInd w:val="0"/>
                    <w:snapToGrid w:val="0"/>
                    <w:jc w:val="center"/>
                    <w:rPr>
                      <w:rFonts w:ascii="宋体" w:hAnsi="宋体"/>
                      <w:szCs w:val="21"/>
                    </w:rPr>
                  </w:pPr>
                  <w:r>
                    <w:rPr>
                      <w:rFonts w:hint="eastAsia" w:ascii="宋体" w:hAnsi="宋体"/>
                      <w:szCs w:val="21"/>
                    </w:rPr>
                    <w:t>第三十五条</w:t>
                  </w:r>
                </w:p>
              </w:tc>
              <w:tc>
                <w:tcPr>
                  <w:tcW w:w="8351" w:type="dxa"/>
                  <w:vAlign w:val="center"/>
                </w:tcPr>
                <w:p w14:paraId="4DE14E12">
                  <w:pPr>
                    <w:adjustRightInd w:val="0"/>
                    <w:snapToGrid w:val="0"/>
                    <w:jc w:val="left"/>
                    <w:rPr>
                      <w:rFonts w:ascii="宋体" w:hAnsi="宋体"/>
                      <w:szCs w:val="21"/>
                    </w:rPr>
                  </w:pPr>
                  <w:r>
                    <w:rPr>
                      <w:rFonts w:hint="eastAsia" w:ascii="宋体" w:hAnsi="宋体"/>
                      <w:szCs w:val="21"/>
                    </w:rPr>
                    <w:t>国家禁止进口、销售和燃用不符合质量标准的煤炭，鼓励燃用优质煤炭。</w:t>
                  </w:r>
                </w:p>
                <w:p w14:paraId="150A0E82">
                  <w:pPr>
                    <w:adjustRightInd w:val="0"/>
                    <w:snapToGrid w:val="0"/>
                    <w:jc w:val="left"/>
                    <w:rPr>
                      <w:rFonts w:ascii="宋体" w:hAnsi="宋体"/>
                      <w:szCs w:val="21"/>
                    </w:rPr>
                  </w:pPr>
                  <w:r>
                    <w:rPr>
                      <w:rFonts w:hint="eastAsia" w:ascii="宋体" w:hAnsi="宋体"/>
                      <w:szCs w:val="21"/>
                    </w:rPr>
                    <w:t>单位存放煤炭、煤歼石、煤渣、煤灰等物料，应当采取防燃措施，防止大气污染。</w:t>
                  </w:r>
                </w:p>
              </w:tc>
              <w:tc>
                <w:tcPr>
                  <w:tcW w:w="3346" w:type="dxa"/>
                  <w:vAlign w:val="center"/>
                </w:tcPr>
                <w:p w14:paraId="512D0F3C">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0D82AB80">
                  <w:pPr>
                    <w:adjustRightInd w:val="0"/>
                    <w:snapToGrid w:val="0"/>
                    <w:jc w:val="center"/>
                    <w:rPr>
                      <w:rFonts w:ascii="宋体" w:hAnsi="宋体"/>
                      <w:szCs w:val="21"/>
                    </w:rPr>
                  </w:pPr>
                  <w:r>
                    <w:rPr>
                      <w:rFonts w:hint="eastAsia" w:ascii="宋体" w:hAnsi="宋体"/>
                      <w:szCs w:val="21"/>
                    </w:rPr>
                    <w:t>不违背</w:t>
                  </w:r>
                </w:p>
              </w:tc>
            </w:tr>
            <w:tr w14:paraId="34FD2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7BEB77EF">
                  <w:pPr>
                    <w:adjustRightInd w:val="0"/>
                    <w:snapToGrid w:val="0"/>
                    <w:jc w:val="center"/>
                    <w:rPr>
                      <w:rFonts w:ascii="宋体" w:hAnsi="宋体"/>
                      <w:szCs w:val="21"/>
                    </w:rPr>
                  </w:pPr>
                  <w:r>
                    <w:rPr>
                      <w:rFonts w:hint="eastAsia" w:ascii="宋体" w:hAnsi="宋体"/>
                      <w:szCs w:val="21"/>
                    </w:rPr>
                    <w:t>第四十一条</w:t>
                  </w:r>
                </w:p>
              </w:tc>
              <w:tc>
                <w:tcPr>
                  <w:tcW w:w="8351" w:type="dxa"/>
                  <w:vAlign w:val="center"/>
                </w:tcPr>
                <w:p w14:paraId="7C2B8B89">
                  <w:pPr>
                    <w:adjustRightInd w:val="0"/>
                    <w:snapToGrid w:val="0"/>
                    <w:jc w:val="left"/>
                    <w:rPr>
                      <w:rFonts w:ascii="宋体" w:hAnsi="宋体"/>
                      <w:szCs w:val="21"/>
                    </w:rPr>
                  </w:pPr>
                  <w:r>
                    <w:rPr>
                      <w:rFonts w:hint="eastAsia" w:ascii="宋体" w:hAnsi="宋体"/>
                      <w:szCs w:val="21"/>
                    </w:rPr>
                    <w:t>燃煤电厂和其他燃煤单位应当采用清洁生产工艺，配套建设除尘、脱硫、脱硝等装置，或者采取技术改造等其他控制大气污染物排放的措施。</w:t>
                  </w:r>
                </w:p>
                <w:p w14:paraId="605F2465">
                  <w:pPr>
                    <w:adjustRightInd w:val="0"/>
                    <w:snapToGrid w:val="0"/>
                    <w:jc w:val="left"/>
                    <w:rPr>
                      <w:rFonts w:ascii="宋体" w:hAnsi="宋体"/>
                      <w:szCs w:val="21"/>
                    </w:rPr>
                  </w:pPr>
                  <w:r>
                    <w:rPr>
                      <w:rFonts w:hint="eastAsia" w:ascii="宋体" w:hAnsi="宋体"/>
                      <w:szCs w:val="21"/>
                    </w:rPr>
                    <w:t>国家鼓励燃煤单位采用先进的除尘、脱硫、脱硝、脱汞等大气污染物协同控制的技术和装置，减少大气污染物的排放。</w:t>
                  </w:r>
                </w:p>
              </w:tc>
              <w:tc>
                <w:tcPr>
                  <w:tcW w:w="3346" w:type="dxa"/>
                  <w:vAlign w:val="center"/>
                </w:tcPr>
                <w:p w14:paraId="644D7803">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，不涉及煤炭使用。</w:t>
                  </w:r>
                </w:p>
              </w:tc>
              <w:tc>
                <w:tcPr>
                  <w:tcW w:w="894" w:type="dxa"/>
                  <w:vAlign w:val="center"/>
                </w:tcPr>
                <w:p w14:paraId="68038D5A">
                  <w:pPr>
                    <w:adjustRightInd w:val="0"/>
                    <w:snapToGrid w:val="0"/>
                    <w:jc w:val="center"/>
                    <w:rPr>
                      <w:rFonts w:ascii="宋体" w:hAnsi="宋体"/>
                      <w:szCs w:val="21"/>
                    </w:rPr>
                  </w:pPr>
                  <w:r>
                    <w:rPr>
                      <w:rFonts w:hint="eastAsia" w:ascii="宋体" w:hAnsi="宋体"/>
                      <w:szCs w:val="21"/>
                    </w:rPr>
                    <w:t>符合</w:t>
                  </w:r>
                </w:p>
              </w:tc>
            </w:tr>
            <w:tr w14:paraId="22FF58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0" w:hRule="atLeast"/>
                <w:jc w:val="center"/>
              </w:trPr>
              <w:tc>
                <w:tcPr>
                  <w:tcW w:w="963" w:type="dxa"/>
                  <w:vAlign w:val="center"/>
                </w:tcPr>
                <w:p w14:paraId="6C9E86A5">
                  <w:pPr>
                    <w:adjustRightInd w:val="0"/>
                    <w:snapToGrid w:val="0"/>
                    <w:jc w:val="center"/>
                    <w:rPr>
                      <w:rFonts w:ascii="宋体" w:hAnsi="宋体"/>
                      <w:szCs w:val="21"/>
                    </w:rPr>
                  </w:pPr>
                  <w:r>
                    <w:rPr>
                      <w:rFonts w:hint="eastAsia" w:ascii="宋体" w:hAnsi="宋体"/>
                      <w:szCs w:val="21"/>
                    </w:rPr>
                    <w:t>第六十九条</w:t>
                  </w:r>
                </w:p>
              </w:tc>
              <w:tc>
                <w:tcPr>
                  <w:tcW w:w="8351" w:type="dxa"/>
                  <w:vAlign w:val="center"/>
                </w:tcPr>
                <w:p w14:paraId="64D83C5D">
                  <w:pPr>
                    <w:adjustRightInd w:val="0"/>
                    <w:snapToGrid w:val="0"/>
                    <w:jc w:val="left"/>
                    <w:rPr>
                      <w:rFonts w:ascii="宋体" w:hAnsi="宋体"/>
                      <w:szCs w:val="21"/>
                    </w:rPr>
                  </w:pPr>
                  <w:r>
                    <w:rPr>
                      <w:rFonts w:hint="eastAsia" w:ascii="宋体" w:hAnsi="宋体"/>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tc>
              <w:tc>
                <w:tcPr>
                  <w:tcW w:w="3346" w:type="dxa"/>
                  <w:vAlign w:val="center"/>
                </w:tcPr>
                <w:p w14:paraId="403A0BC3">
                  <w:pPr>
                    <w:adjustRightInd w:val="0"/>
                    <w:snapToGrid w:val="0"/>
                    <w:jc w:val="left"/>
                    <w:rPr>
                      <w:rFonts w:ascii="宋体" w:hAnsi="宋体"/>
                      <w:szCs w:val="21"/>
                    </w:rPr>
                  </w:pPr>
                  <w:r>
                    <w:rPr>
                      <w:rFonts w:hint="eastAsia" w:ascii="宋体" w:hAnsi="宋体"/>
                      <w:szCs w:val="21"/>
                    </w:rPr>
                    <w:t>本项目建设过程会按照主管部门要求采取污染防治措施，对运行期的污染物进行治理，防治对环境的污染和危害。</w:t>
                  </w:r>
                </w:p>
              </w:tc>
              <w:tc>
                <w:tcPr>
                  <w:tcW w:w="894" w:type="dxa"/>
                  <w:vAlign w:val="center"/>
                </w:tcPr>
                <w:p w14:paraId="5D6B51A9">
                  <w:pPr>
                    <w:adjustRightInd w:val="0"/>
                    <w:snapToGrid w:val="0"/>
                    <w:jc w:val="center"/>
                    <w:rPr>
                      <w:rFonts w:ascii="宋体" w:hAnsi="宋体"/>
                      <w:szCs w:val="21"/>
                    </w:rPr>
                  </w:pPr>
                  <w:r>
                    <w:rPr>
                      <w:rFonts w:hint="eastAsia" w:ascii="宋体" w:hAnsi="宋体"/>
                      <w:szCs w:val="21"/>
                    </w:rPr>
                    <w:t>符合</w:t>
                  </w:r>
                </w:p>
              </w:tc>
            </w:tr>
            <w:tr w14:paraId="51C6D9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13636" w:type="dxa"/>
                  <w:gridSpan w:val="6"/>
                  <w:vAlign w:val="center"/>
                </w:tcPr>
                <w:p w14:paraId="4CEF9985">
                  <w:pPr>
                    <w:adjustRightInd w:val="0"/>
                    <w:snapToGrid w:val="0"/>
                    <w:rPr>
                      <w:rFonts w:ascii="宋体" w:hAnsi="宋体"/>
                      <w:szCs w:val="21"/>
                    </w:rPr>
                  </w:pPr>
                  <w:r>
                    <w:rPr>
                      <w:rFonts w:hint="eastAsia" w:ascii="宋体" w:hAnsi="宋体"/>
                      <w:bCs/>
                      <w:szCs w:val="21"/>
                    </w:rPr>
                    <w:t>3、《吉林省大气污染防治条例》（2022.10.1）（节选）</w:t>
                  </w:r>
                </w:p>
              </w:tc>
            </w:tr>
            <w:tr w14:paraId="3877CE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 w:hRule="atLeast"/>
                <w:jc w:val="center"/>
              </w:trPr>
              <w:tc>
                <w:tcPr>
                  <w:tcW w:w="963" w:type="dxa"/>
                  <w:vAlign w:val="center"/>
                </w:tcPr>
                <w:p w14:paraId="33758182">
                  <w:pPr>
                    <w:adjustRightInd w:val="0"/>
                    <w:snapToGrid w:val="0"/>
                    <w:jc w:val="center"/>
                    <w:rPr>
                      <w:rFonts w:ascii="宋体" w:hAnsi="宋体"/>
                      <w:szCs w:val="21"/>
                    </w:rPr>
                  </w:pPr>
                  <w:r>
                    <w:rPr>
                      <w:rFonts w:hint="eastAsia" w:ascii="宋体" w:hAnsi="宋体"/>
                      <w:szCs w:val="21"/>
                    </w:rPr>
                    <w:t>第十条</w:t>
                  </w:r>
                </w:p>
              </w:tc>
              <w:tc>
                <w:tcPr>
                  <w:tcW w:w="8351" w:type="dxa"/>
                  <w:vAlign w:val="center"/>
                </w:tcPr>
                <w:p w14:paraId="1E5BB278">
                  <w:pPr>
                    <w:adjustRightInd w:val="0"/>
                    <w:snapToGrid w:val="0"/>
                    <w:jc w:val="left"/>
                    <w:rPr>
                      <w:rFonts w:ascii="宋体" w:hAnsi="宋体"/>
                      <w:szCs w:val="21"/>
                    </w:rPr>
                  </w:pPr>
                  <w:r>
                    <w:rPr>
                      <w:rFonts w:hint="eastAsia" w:ascii="宋体" w:hAnsi="宋体"/>
                      <w:szCs w:val="21"/>
                    </w:rPr>
                    <w:t>禁止进口、销售和燃用未达到质量标准的煤炭、石油焦。</w:t>
                  </w:r>
                </w:p>
                <w:p w14:paraId="5DC9216F">
                  <w:pPr>
                    <w:adjustRightInd w:val="0"/>
                    <w:snapToGrid w:val="0"/>
                    <w:jc w:val="left"/>
                    <w:rPr>
                      <w:rFonts w:ascii="宋体" w:hAnsi="宋体"/>
                      <w:szCs w:val="21"/>
                    </w:rPr>
                  </w:pPr>
                  <w:r>
                    <w:rPr>
                      <w:rFonts w:hint="eastAsia" w:ascii="宋体" w:hAnsi="宋体"/>
                      <w:szCs w:val="21"/>
                    </w:rPr>
                    <w:t>单位存放煤炭、煤矸石、煤渣、煤灰等物料，应当采取防燃、防尘等措施，防止大气污染。</w:t>
                  </w:r>
                </w:p>
              </w:tc>
              <w:tc>
                <w:tcPr>
                  <w:tcW w:w="3346" w:type="dxa"/>
                  <w:vAlign w:val="center"/>
                </w:tcPr>
                <w:p w14:paraId="1D9E8D46">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，不涉及煤炭使用。</w:t>
                  </w:r>
                </w:p>
              </w:tc>
              <w:tc>
                <w:tcPr>
                  <w:tcW w:w="894" w:type="dxa"/>
                  <w:vAlign w:val="center"/>
                </w:tcPr>
                <w:p w14:paraId="3FCBF148">
                  <w:pPr>
                    <w:adjustRightInd w:val="0"/>
                    <w:snapToGrid w:val="0"/>
                    <w:jc w:val="center"/>
                    <w:rPr>
                      <w:rFonts w:ascii="宋体" w:hAnsi="宋体"/>
                      <w:szCs w:val="21"/>
                    </w:rPr>
                  </w:pPr>
                  <w:r>
                    <w:rPr>
                      <w:rFonts w:hint="eastAsia" w:ascii="宋体" w:hAnsi="宋体"/>
                      <w:szCs w:val="21"/>
                    </w:rPr>
                    <w:t>不违背</w:t>
                  </w:r>
                </w:p>
              </w:tc>
            </w:tr>
            <w:tr w14:paraId="08AF5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133D1C89">
                  <w:pPr>
                    <w:adjustRightInd w:val="0"/>
                    <w:snapToGrid w:val="0"/>
                    <w:jc w:val="center"/>
                    <w:rPr>
                      <w:rFonts w:ascii="宋体" w:hAnsi="宋体"/>
                      <w:szCs w:val="21"/>
                    </w:rPr>
                  </w:pPr>
                  <w:r>
                    <w:rPr>
                      <w:rFonts w:hint="eastAsia" w:ascii="宋体" w:hAnsi="宋体"/>
                      <w:szCs w:val="21"/>
                    </w:rPr>
                    <w:t>第十三条</w:t>
                  </w:r>
                </w:p>
              </w:tc>
              <w:tc>
                <w:tcPr>
                  <w:tcW w:w="8351" w:type="dxa"/>
                  <w:vAlign w:val="center"/>
                </w:tcPr>
                <w:p w14:paraId="6A47592F">
                  <w:pPr>
                    <w:adjustRightInd w:val="0"/>
                    <w:snapToGrid w:val="0"/>
                    <w:jc w:val="left"/>
                    <w:rPr>
                      <w:rFonts w:ascii="宋体" w:hAnsi="宋体"/>
                      <w:szCs w:val="21"/>
                    </w:rPr>
                  </w:pPr>
                  <w:r>
                    <w:rPr>
                      <w:rFonts w:hint="eastAsia" w:ascii="宋体" w:hAnsi="宋体"/>
                      <w:szCs w:val="21"/>
                    </w:rPr>
                    <w:t>燃煤电厂和其他燃煤单位应当采用清洁生产工艺，配套建设除尘、脱硫、脱硝等装置，或者采取技术改造等其他控制大气污染物排放的措施。</w:t>
                  </w:r>
                </w:p>
              </w:tc>
              <w:tc>
                <w:tcPr>
                  <w:tcW w:w="3346" w:type="dxa"/>
                  <w:vAlign w:val="center"/>
                </w:tcPr>
                <w:p w14:paraId="25C3F362">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，不涉及煤炭使用。</w:t>
                  </w:r>
                </w:p>
              </w:tc>
              <w:tc>
                <w:tcPr>
                  <w:tcW w:w="894" w:type="dxa"/>
                  <w:vAlign w:val="center"/>
                </w:tcPr>
                <w:p w14:paraId="03575093">
                  <w:pPr>
                    <w:adjustRightInd w:val="0"/>
                    <w:snapToGrid w:val="0"/>
                    <w:jc w:val="center"/>
                    <w:rPr>
                      <w:rFonts w:ascii="宋体" w:hAnsi="宋体"/>
                      <w:szCs w:val="21"/>
                    </w:rPr>
                  </w:pPr>
                  <w:r>
                    <w:rPr>
                      <w:rFonts w:hint="eastAsia" w:ascii="宋体" w:hAnsi="宋体"/>
                      <w:szCs w:val="21"/>
                    </w:rPr>
                    <w:t>符合</w:t>
                  </w:r>
                </w:p>
              </w:tc>
            </w:tr>
            <w:tr w14:paraId="5B300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2A5DF696">
                  <w:pPr>
                    <w:adjustRightInd w:val="0"/>
                    <w:snapToGrid w:val="0"/>
                    <w:jc w:val="center"/>
                    <w:rPr>
                      <w:rFonts w:ascii="宋体" w:hAnsi="宋体"/>
                      <w:szCs w:val="21"/>
                    </w:rPr>
                  </w:pPr>
                  <w:r>
                    <w:rPr>
                      <w:rFonts w:hint="eastAsia" w:ascii="宋体" w:hAnsi="宋体"/>
                      <w:szCs w:val="21"/>
                    </w:rPr>
                    <w:t>第十六条</w:t>
                  </w:r>
                </w:p>
              </w:tc>
              <w:tc>
                <w:tcPr>
                  <w:tcW w:w="8351" w:type="dxa"/>
                  <w:vAlign w:val="center"/>
                </w:tcPr>
                <w:p w14:paraId="7CA0E3BA">
                  <w:pPr>
                    <w:adjustRightInd w:val="0"/>
                    <w:snapToGrid w:val="0"/>
                    <w:jc w:val="left"/>
                    <w:rPr>
                      <w:rFonts w:ascii="宋体" w:hAnsi="宋体"/>
                      <w:szCs w:val="21"/>
                    </w:rPr>
                  </w:pPr>
                  <w:r>
                    <w:rPr>
                      <w:rFonts w:hint="eastAsia" w:ascii="宋体" w:hAnsi="宋体"/>
                      <w:szCs w:val="21"/>
                    </w:rPr>
                    <w:t>施工单位应当在施工工地设置硬质围挡，并采取覆盖、分段作业、择时施工、洒水抑尘、冲洗或者清理地面和车辆等有效防尘降尘措施。建筑土方、工程渣土、建筑垃圾应当及时清运；在场地内堆存的，应当采用密闭式防尘网遮盖。工程渣土、建筑垃圾应当进行资源化处理。</w:t>
                  </w:r>
                </w:p>
              </w:tc>
              <w:tc>
                <w:tcPr>
                  <w:tcW w:w="3346" w:type="dxa"/>
                  <w:vAlign w:val="center"/>
                </w:tcPr>
                <w:p w14:paraId="617CC2B8">
                  <w:pPr>
                    <w:adjustRightInd w:val="0"/>
                    <w:snapToGrid w:val="0"/>
                    <w:jc w:val="left"/>
                    <w:rPr>
                      <w:rFonts w:ascii="宋体" w:hAnsi="宋体"/>
                      <w:szCs w:val="21"/>
                    </w:rPr>
                  </w:pPr>
                  <w:r>
                    <w:rPr>
                      <w:rFonts w:hint="eastAsia" w:ascii="宋体" w:hAnsi="宋体"/>
                      <w:szCs w:val="21"/>
                    </w:rPr>
                    <w:t>本项目建设过程会按照主管部门要求采取污染防治措施，对运行期的污染物进行治理，防止对环境的污染和危害。</w:t>
                  </w:r>
                </w:p>
              </w:tc>
              <w:tc>
                <w:tcPr>
                  <w:tcW w:w="894" w:type="dxa"/>
                  <w:vAlign w:val="center"/>
                </w:tcPr>
                <w:p w14:paraId="74864977">
                  <w:pPr>
                    <w:adjustRightInd w:val="0"/>
                    <w:snapToGrid w:val="0"/>
                    <w:jc w:val="center"/>
                    <w:rPr>
                      <w:rFonts w:ascii="宋体" w:hAnsi="宋体"/>
                      <w:szCs w:val="21"/>
                    </w:rPr>
                  </w:pPr>
                  <w:r>
                    <w:rPr>
                      <w:rFonts w:hint="eastAsia" w:ascii="宋体" w:hAnsi="宋体"/>
                      <w:szCs w:val="21"/>
                    </w:rPr>
                    <w:t>符合</w:t>
                  </w:r>
                </w:p>
              </w:tc>
            </w:tr>
            <w:tr w14:paraId="0191B1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228786A4">
                  <w:pPr>
                    <w:adjustRightInd w:val="0"/>
                    <w:snapToGrid w:val="0"/>
                    <w:jc w:val="center"/>
                    <w:rPr>
                      <w:rFonts w:ascii="宋体" w:hAnsi="宋体"/>
                      <w:szCs w:val="21"/>
                    </w:rPr>
                  </w:pPr>
                  <w:r>
                    <w:rPr>
                      <w:rFonts w:hint="eastAsia" w:ascii="宋体" w:hAnsi="宋体"/>
                      <w:szCs w:val="21"/>
                    </w:rPr>
                    <w:t>第十七条</w:t>
                  </w:r>
                </w:p>
              </w:tc>
              <w:tc>
                <w:tcPr>
                  <w:tcW w:w="8351" w:type="dxa"/>
                  <w:vAlign w:val="center"/>
                </w:tcPr>
                <w:p w14:paraId="6311D0F2">
                  <w:pPr>
                    <w:adjustRightInd w:val="0"/>
                    <w:snapToGrid w:val="0"/>
                    <w:jc w:val="left"/>
                    <w:rPr>
                      <w:rFonts w:ascii="宋体" w:hAnsi="宋体"/>
                      <w:szCs w:val="21"/>
                    </w:rPr>
                  </w:pPr>
                  <w:r>
                    <w:rPr>
                      <w:rFonts w:hint="eastAsia" w:ascii="宋体" w:hAnsi="宋体"/>
                      <w:szCs w:val="21"/>
                    </w:rPr>
                    <w:t>贮存煤炭、煤矸石、煤渣、煤灰、水泥、石灰、石膏、砂土等易产生扬尘的物料应当密闭；不能密闭的，应当设置不低于堆放物高度的严密围挡，并采取有效覆盖措施防治扬尘污染。大型煤场、物料堆放场所应当建立密闭料仓和传送装置。</w:t>
                  </w:r>
                </w:p>
              </w:tc>
              <w:tc>
                <w:tcPr>
                  <w:tcW w:w="3346" w:type="dxa"/>
                  <w:vAlign w:val="center"/>
                </w:tcPr>
                <w:p w14:paraId="37E9D2CC">
                  <w:pPr>
                    <w:adjustRightInd w:val="0"/>
                    <w:snapToGrid w:val="0"/>
                    <w:jc w:val="left"/>
                    <w:rPr>
                      <w:rFonts w:ascii="宋体" w:hAnsi="宋体"/>
                      <w:szCs w:val="21"/>
                    </w:rPr>
                  </w:pPr>
                  <w:r>
                    <w:rPr>
                      <w:rFonts w:hint="eastAsia" w:ascii="宋体" w:hAnsi="宋体"/>
                      <w:szCs w:val="21"/>
                    </w:rPr>
                    <w:t>本项目产品碎石及建筑用砂采用全封闭式库房储存。</w:t>
                  </w:r>
                </w:p>
              </w:tc>
              <w:tc>
                <w:tcPr>
                  <w:tcW w:w="894" w:type="dxa"/>
                  <w:vAlign w:val="center"/>
                </w:tcPr>
                <w:p w14:paraId="46368E81">
                  <w:pPr>
                    <w:adjustRightInd w:val="0"/>
                    <w:snapToGrid w:val="0"/>
                    <w:jc w:val="center"/>
                    <w:rPr>
                      <w:rFonts w:ascii="宋体" w:hAnsi="宋体"/>
                      <w:szCs w:val="21"/>
                    </w:rPr>
                  </w:pPr>
                  <w:r>
                    <w:rPr>
                      <w:rFonts w:hint="eastAsia" w:ascii="宋体" w:hAnsi="宋体"/>
                      <w:szCs w:val="21"/>
                    </w:rPr>
                    <w:t>符合</w:t>
                  </w:r>
                </w:p>
              </w:tc>
            </w:tr>
            <w:tr w14:paraId="666A45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13636" w:type="dxa"/>
                  <w:gridSpan w:val="6"/>
                  <w:vAlign w:val="center"/>
                </w:tcPr>
                <w:p w14:paraId="5B6E2CBB">
                  <w:pPr>
                    <w:adjustRightInd w:val="0"/>
                    <w:snapToGrid w:val="0"/>
                    <w:rPr>
                      <w:rFonts w:ascii="宋体" w:hAnsi="宋体"/>
                      <w:szCs w:val="21"/>
                    </w:rPr>
                  </w:pPr>
                  <w:r>
                    <w:rPr>
                      <w:rFonts w:hint="eastAsia" w:ascii="宋体" w:hAnsi="宋体"/>
                      <w:bCs/>
                      <w:szCs w:val="21"/>
                    </w:rPr>
                    <w:t>4、《吉林省空气质量巩固提升行动方案》（吉政办发【2021】10号）（节选）</w:t>
                  </w:r>
                </w:p>
              </w:tc>
            </w:tr>
            <w:tr w14:paraId="1FD96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51468604">
                  <w:pPr>
                    <w:adjustRightInd w:val="0"/>
                    <w:snapToGrid w:val="0"/>
                    <w:jc w:val="center"/>
                    <w:rPr>
                      <w:rFonts w:ascii="宋体" w:hAnsi="宋体"/>
                      <w:szCs w:val="21"/>
                    </w:rPr>
                  </w:pPr>
                  <w:r>
                    <w:rPr>
                      <w:rFonts w:hint="eastAsia" w:ascii="宋体" w:hAnsi="宋体"/>
                      <w:szCs w:val="21"/>
                    </w:rPr>
                    <w:t>第一条</w:t>
                  </w:r>
                </w:p>
              </w:tc>
              <w:tc>
                <w:tcPr>
                  <w:tcW w:w="8351" w:type="dxa"/>
                  <w:vAlign w:val="center"/>
                </w:tcPr>
                <w:p w14:paraId="414E6A79">
                  <w:pPr>
                    <w:adjustRightInd w:val="0"/>
                    <w:snapToGrid w:val="0"/>
                    <w:jc w:val="left"/>
                    <w:rPr>
                      <w:rFonts w:ascii="宋体" w:hAnsi="宋体"/>
                      <w:szCs w:val="21"/>
                    </w:rPr>
                  </w:pPr>
                  <w:r>
                    <w:rPr>
                      <w:rFonts w:hint="eastAsia" w:ascii="宋体" w:hAnsi="宋体"/>
                      <w:szCs w:val="21"/>
                    </w:rPr>
                    <w:t>全面推进秸秆综合利用。持续提高“五化”利用能力，重点推进保护性耕作技术，全省实施面积力争达到2800万亩；以“秸秆变肉”工程为抓手加快推进饲料化利用，实现利用量850万吨；稳步推进秸秆生物质发电、秸秆成型燃料加工和燃煤供热锅炉生物质改造，实现利用量863万吨；积极推进秸秆新型建材、制浆造纸等原料化利用，实现利用量65万吨；有序推进秸秆基料化利用，扩大食用菌基料化生产规模，发展秸秆基质育苗产业，扩大绿色种植面积，实现利用量31万吨。</w:t>
                  </w:r>
                </w:p>
              </w:tc>
              <w:tc>
                <w:tcPr>
                  <w:tcW w:w="3346" w:type="dxa"/>
                  <w:vAlign w:val="center"/>
                </w:tcPr>
                <w:p w14:paraId="6BCC36F9">
                  <w:pPr>
                    <w:adjustRightInd w:val="0"/>
                    <w:snapToGrid w:val="0"/>
                    <w:jc w:val="left"/>
                  </w:pPr>
                  <w:r>
                    <w:rPr>
                      <w:rFonts w:hint="eastAsia" w:ascii="宋体" w:hAnsi="宋体"/>
                      <w:szCs w:val="21"/>
                    </w:rPr>
                    <w:t>本项目冬季使用电取暖，生产不用热，不涉及条款中涉及的污染物。</w:t>
                  </w:r>
                </w:p>
              </w:tc>
              <w:tc>
                <w:tcPr>
                  <w:tcW w:w="894" w:type="dxa"/>
                  <w:vAlign w:val="center"/>
                </w:tcPr>
                <w:p w14:paraId="61601AC7">
                  <w:pPr>
                    <w:adjustRightInd w:val="0"/>
                    <w:snapToGrid w:val="0"/>
                    <w:jc w:val="center"/>
                    <w:rPr>
                      <w:rFonts w:ascii="宋体" w:hAnsi="宋体"/>
                      <w:szCs w:val="21"/>
                    </w:rPr>
                  </w:pPr>
                  <w:r>
                    <w:rPr>
                      <w:rFonts w:hint="eastAsia" w:ascii="宋体" w:hAnsi="宋体"/>
                      <w:szCs w:val="21"/>
                    </w:rPr>
                    <w:t>符合</w:t>
                  </w:r>
                </w:p>
              </w:tc>
            </w:tr>
            <w:tr w14:paraId="31D1F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34161064">
                  <w:pPr>
                    <w:adjustRightInd w:val="0"/>
                    <w:snapToGrid w:val="0"/>
                    <w:jc w:val="center"/>
                    <w:rPr>
                      <w:rFonts w:ascii="宋体" w:hAnsi="宋体"/>
                      <w:szCs w:val="21"/>
                    </w:rPr>
                  </w:pPr>
                  <w:r>
                    <w:rPr>
                      <w:rFonts w:hint="eastAsia" w:ascii="宋体" w:hAnsi="宋体"/>
                      <w:szCs w:val="21"/>
                    </w:rPr>
                    <w:t>第六条</w:t>
                  </w:r>
                </w:p>
              </w:tc>
              <w:tc>
                <w:tcPr>
                  <w:tcW w:w="8351" w:type="dxa"/>
                  <w:vAlign w:val="center"/>
                </w:tcPr>
                <w:p w14:paraId="62F6942B">
                  <w:pPr>
                    <w:adjustRightInd w:val="0"/>
                    <w:snapToGrid w:val="0"/>
                    <w:jc w:val="left"/>
                    <w:rPr>
                      <w:rFonts w:ascii="宋体" w:hAnsi="宋体"/>
                      <w:szCs w:val="21"/>
                    </w:rPr>
                  </w:pPr>
                  <w:r>
                    <w:rPr>
                      <w:rFonts w:hint="eastAsia" w:ascii="宋体" w:hAnsi="宋体"/>
                      <w:szCs w:val="21"/>
                    </w:rPr>
                    <w:t>继续推进清洁供暖。因地制宜推进清洁供暖，减少民用散烧煤。在中小城市适度建设燃煤背压式热电联产项目。农村地区按照就地取材原则，重点做好生物质锅炉、户用炉具推广应用工作，扩大生物质燃料供热面积。具备条件地区实施“煤改气”“煤改电”，加快配套天然气管网和电网建设。进一步提高煤炭洗选比例，做到应洗尽洗。定期开展煤质检查，严厉打击劣质煤炭进入市场流通销售。各地要全面摸清城中村、城乡接合部散煤底数，制定清洁取暖散煤替代方案。</w:t>
                  </w:r>
                </w:p>
              </w:tc>
              <w:tc>
                <w:tcPr>
                  <w:tcW w:w="3346" w:type="dxa"/>
                  <w:vAlign w:val="center"/>
                </w:tcPr>
                <w:p w14:paraId="6313EF10">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04B9C2BA">
                  <w:pPr>
                    <w:adjustRightInd w:val="0"/>
                    <w:snapToGrid w:val="0"/>
                    <w:jc w:val="center"/>
                    <w:rPr>
                      <w:rFonts w:ascii="宋体" w:hAnsi="宋体"/>
                      <w:szCs w:val="21"/>
                    </w:rPr>
                  </w:pPr>
                  <w:r>
                    <w:rPr>
                      <w:rFonts w:hint="eastAsia" w:ascii="宋体" w:hAnsi="宋体"/>
                      <w:szCs w:val="21"/>
                    </w:rPr>
                    <w:t>符合</w:t>
                  </w:r>
                </w:p>
              </w:tc>
            </w:tr>
            <w:tr w14:paraId="0A4946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 w:hRule="atLeast"/>
                <w:jc w:val="center"/>
              </w:trPr>
              <w:tc>
                <w:tcPr>
                  <w:tcW w:w="963" w:type="dxa"/>
                  <w:vAlign w:val="center"/>
                </w:tcPr>
                <w:p w14:paraId="195EF831">
                  <w:pPr>
                    <w:adjustRightInd w:val="0"/>
                    <w:snapToGrid w:val="0"/>
                    <w:jc w:val="center"/>
                    <w:rPr>
                      <w:rFonts w:ascii="宋体" w:hAnsi="宋体"/>
                      <w:szCs w:val="21"/>
                    </w:rPr>
                  </w:pPr>
                  <w:r>
                    <w:rPr>
                      <w:rFonts w:hint="eastAsia" w:ascii="宋体" w:hAnsi="宋体"/>
                      <w:szCs w:val="21"/>
                    </w:rPr>
                    <w:t>第七条</w:t>
                  </w:r>
                </w:p>
              </w:tc>
              <w:tc>
                <w:tcPr>
                  <w:tcW w:w="8351" w:type="dxa"/>
                  <w:vAlign w:val="center"/>
                </w:tcPr>
                <w:p w14:paraId="5CEC466F">
                  <w:pPr>
                    <w:adjustRightInd w:val="0"/>
                    <w:snapToGrid w:val="0"/>
                    <w:jc w:val="left"/>
                    <w:rPr>
                      <w:rFonts w:ascii="宋体" w:hAnsi="宋体"/>
                      <w:szCs w:val="21"/>
                    </w:rPr>
                  </w:pPr>
                  <w:r>
                    <w:rPr>
                      <w:rFonts w:hint="eastAsia" w:ascii="宋体" w:hAnsi="宋体"/>
                      <w:szCs w:val="21"/>
                    </w:rPr>
                    <w:t>加大燃煤锅炉淘汰力度。严控新建燃煤锅炉，县级以上城市建成区原则上不再新建每小时35蒸吨以下燃煤锅炉，其他地区原则上不再新建每小时10蒸吨以下燃煤锅炉。按照国家政策的调整和要求，逐步开展燃煤锅炉淘汰工作。</w:t>
                  </w:r>
                </w:p>
              </w:tc>
              <w:tc>
                <w:tcPr>
                  <w:tcW w:w="3346" w:type="dxa"/>
                  <w:vAlign w:val="center"/>
                </w:tcPr>
                <w:p w14:paraId="10F3D924">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308EC71E">
                  <w:pPr>
                    <w:adjustRightInd w:val="0"/>
                    <w:snapToGrid w:val="0"/>
                    <w:jc w:val="center"/>
                    <w:rPr>
                      <w:rFonts w:ascii="宋体" w:hAnsi="宋体"/>
                      <w:szCs w:val="21"/>
                    </w:rPr>
                  </w:pPr>
                  <w:r>
                    <w:rPr>
                      <w:rFonts w:hint="eastAsia" w:ascii="宋体" w:hAnsi="宋体"/>
                      <w:szCs w:val="21"/>
                    </w:rPr>
                    <w:t>符合</w:t>
                  </w:r>
                </w:p>
              </w:tc>
            </w:tr>
            <w:tr w14:paraId="1C61F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596F6D71">
                  <w:pPr>
                    <w:adjustRightInd w:val="0"/>
                    <w:snapToGrid w:val="0"/>
                    <w:jc w:val="center"/>
                    <w:rPr>
                      <w:rFonts w:ascii="宋体" w:hAnsi="宋体"/>
                      <w:szCs w:val="21"/>
                    </w:rPr>
                  </w:pPr>
                  <w:r>
                    <w:rPr>
                      <w:rFonts w:hint="eastAsia" w:ascii="宋体" w:hAnsi="宋体"/>
                      <w:szCs w:val="21"/>
                    </w:rPr>
                    <w:t>第十条</w:t>
                  </w:r>
                </w:p>
              </w:tc>
              <w:tc>
                <w:tcPr>
                  <w:tcW w:w="8351" w:type="dxa"/>
                  <w:vAlign w:val="center"/>
                </w:tcPr>
                <w:p w14:paraId="073E3ABE">
                  <w:pPr>
                    <w:adjustRightInd w:val="0"/>
                    <w:snapToGrid w:val="0"/>
                    <w:jc w:val="left"/>
                    <w:rPr>
                      <w:rFonts w:ascii="宋体" w:hAnsi="宋体"/>
                      <w:szCs w:val="21"/>
                    </w:rPr>
                  </w:pPr>
                  <w:r>
                    <w:rPr>
                      <w:rFonts w:hint="eastAsia" w:ascii="宋体" w:hAnsi="宋体"/>
                      <w:szCs w:val="21"/>
                    </w:rPr>
                    <w:t>持续推进工业污染源全面达标排放。加大工业污染源烟气高效脱硫脱硝、除尘改造力度，确保各项污染物稳定达标排放。重点排污单位全部安装自动监控设备并与生态环境部门联网。对排放不达标的企业按照“一企一策”的原则，限期整改到位。全面加强工业无组织排放管控。</w:t>
                  </w:r>
                </w:p>
              </w:tc>
              <w:tc>
                <w:tcPr>
                  <w:tcW w:w="3346" w:type="dxa"/>
                  <w:vAlign w:val="center"/>
                </w:tcPr>
                <w:p w14:paraId="279CDA67">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60F4E374">
                  <w:pPr>
                    <w:adjustRightInd w:val="0"/>
                    <w:snapToGrid w:val="0"/>
                    <w:jc w:val="center"/>
                    <w:rPr>
                      <w:rFonts w:ascii="宋体" w:hAnsi="宋体"/>
                      <w:szCs w:val="21"/>
                    </w:rPr>
                  </w:pPr>
                  <w:r>
                    <w:rPr>
                      <w:rFonts w:hint="eastAsia" w:ascii="宋体" w:hAnsi="宋体"/>
                      <w:szCs w:val="21"/>
                    </w:rPr>
                    <w:t>符合</w:t>
                  </w:r>
                </w:p>
              </w:tc>
            </w:tr>
            <w:tr w14:paraId="30627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5F36237A">
                  <w:pPr>
                    <w:adjustRightInd w:val="0"/>
                    <w:snapToGrid w:val="0"/>
                    <w:jc w:val="center"/>
                    <w:rPr>
                      <w:rFonts w:ascii="宋体" w:hAnsi="宋体"/>
                      <w:szCs w:val="21"/>
                    </w:rPr>
                  </w:pPr>
                  <w:r>
                    <w:rPr>
                      <w:rFonts w:hint="eastAsia" w:ascii="宋体" w:hAnsi="宋体"/>
                      <w:szCs w:val="21"/>
                    </w:rPr>
                    <w:t>第十九条</w:t>
                  </w:r>
                </w:p>
              </w:tc>
              <w:tc>
                <w:tcPr>
                  <w:tcW w:w="8351" w:type="dxa"/>
                  <w:vAlign w:val="center"/>
                </w:tcPr>
                <w:p w14:paraId="6D7E9805">
                  <w:pPr>
                    <w:adjustRightInd w:val="0"/>
                    <w:snapToGrid w:val="0"/>
                    <w:jc w:val="left"/>
                    <w:rPr>
                      <w:rFonts w:ascii="宋体" w:hAnsi="宋体"/>
                      <w:szCs w:val="21"/>
                    </w:rPr>
                  </w:pPr>
                  <w:r>
                    <w:rPr>
                      <w:rFonts w:hint="eastAsia" w:ascii="宋体" w:hAnsi="宋体"/>
                      <w:szCs w:val="21"/>
                    </w:rPr>
                    <w:t>严格建筑施工扬尘管控。严格实施建筑施工标准化管理，建立建筑工地项目清单和台账，将扬尘治理费用列入工程造价，加大监管力度，对不达标的施工现场限期整改，情节严重的停工整改。加强建筑渣土及运输车辆规范管理工作，严格落实密闭运输，依法打击不按规定路线行驶、渣土抛撒滴漏以及车轮带泥行驶、随意倾倒等违法行为。加大混凝土搅拌车监管，混凝土搅拌站内必须配备抑尘设施，出站前对混凝土搅拌车辆进行冲洗。混凝土搅拌车辆要在出料口处加装防漏撒设施，进入工地作业时应遵守工地扬尘防治要求。</w:t>
                  </w:r>
                </w:p>
              </w:tc>
              <w:tc>
                <w:tcPr>
                  <w:tcW w:w="3346" w:type="dxa"/>
                  <w:vAlign w:val="center"/>
                </w:tcPr>
                <w:p w14:paraId="46F457C1">
                  <w:pPr>
                    <w:adjustRightInd w:val="0"/>
                    <w:snapToGrid w:val="0"/>
                    <w:jc w:val="left"/>
                    <w:rPr>
                      <w:rFonts w:ascii="宋体" w:hAnsi="宋体"/>
                      <w:szCs w:val="21"/>
                    </w:rPr>
                  </w:pPr>
                  <w:r>
                    <w:rPr>
                      <w:rFonts w:hint="eastAsia" w:ascii="宋体" w:hAnsi="宋体"/>
                      <w:szCs w:val="21"/>
                    </w:rPr>
                    <w:t>本项目建设过程会按照主管部门要求采取污染防治措施，对运行期的污染物进行治理，防治对环境的污染和危害。</w:t>
                  </w:r>
                </w:p>
              </w:tc>
              <w:tc>
                <w:tcPr>
                  <w:tcW w:w="894" w:type="dxa"/>
                  <w:vAlign w:val="center"/>
                </w:tcPr>
                <w:p w14:paraId="4269DFB1">
                  <w:pPr>
                    <w:adjustRightInd w:val="0"/>
                    <w:snapToGrid w:val="0"/>
                    <w:jc w:val="center"/>
                    <w:rPr>
                      <w:rFonts w:ascii="宋体" w:hAnsi="宋体"/>
                      <w:szCs w:val="21"/>
                    </w:rPr>
                  </w:pPr>
                  <w:r>
                    <w:rPr>
                      <w:rFonts w:hint="eastAsia" w:ascii="宋体" w:hAnsi="宋体"/>
                      <w:szCs w:val="21"/>
                    </w:rPr>
                    <w:t>符合</w:t>
                  </w:r>
                </w:p>
              </w:tc>
            </w:tr>
            <w:tr w14:paraId="7E635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07B62DB3">
                  <w:pPr>
                    <w:adjustRightInd w:val="0"/>
                    <w:snapToGrid w:val="0"/>
                    <w:jc w:val="center"/>
                    <w:rPr>
                      <w:rFonts w:ascii="宋体" w:hAnsi="宋体"/>
                      <w:szCs w:val="21"/>
                    </w:rPr>
                  </w:pPr>
                  <w:r>
                    <w:rPr>
                      <w:rFonts w:hint="eastAsia" w:ascii="宋体" w:hAnsi="宋体"/>
                      <w:szCs w:val="21"/>
                    </w:rPr>
                    <w:t>第二十四条</w:t>
                  </w:r>
                </w:p>
              </w:tc>
              <w:tc>
                <w:tcPr>
                  <w:tcW w:w="8351" w:type="dxa"/>
                  <w:vAlign w:val="center"/>
                </w:tcPr>
                <w:p w14:paraId="4A6F2B1D">
                  <w:pPr>
                    <w:adjustRightInd w:val="0"/>
                    <w:snapToGrid w:val="0"/>
                    <w:jc w:val="left"/>
                    <w:rPr>
                      <w:rFonts w:ascii="宋体" w:hAnsi="宋体"/>
                      <w:szCs w:val="21"/>
                    </w:rPr>
                  </w:pPr>
                  <w:r>
                    <w:rPr>
                      <w:rFonts w:hint="eastAsia" w:ascii="宋体" w:hAnsi="宋体"/>
                      <w:szCs w:val="21"/>
                    </w:rPr>
                    <w:t>有效降低采暖期大气污染负荷。制定燃煤供热锅炉错时启炉方案，实行隔时分批启炉。实行重点行业企业差异化错峰生产，每年采暖期结合实际及空气质量情况，全省水泥熟料生产线开展常态化错峰生产。坚持电力行业绿色调度，在保障冬季供热和电力可靠供应的前提下，优先调度可再生发电资源。</w:t>
                  </w:r>
                </w:p>
              </w:tc>
              <w:tc>
                <w:tcPr>
                  <w:tcW w:w="3346" w:type="dxa"/>
                  <w:vAlign w:val="center"/>
                </w:tcPr>
                <w:p w14:paraId="1D8552D3">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4C6E5986">
                  <w:pPr>
                    <w:adjustRightInd w:val="0"/>
                    <w:snapToGrid w:val="0"/>
                    <w:jc w:val="center"/>
                    <w:rPr>
                      <w:rFonts w:ascii="宋体" w:hAnsi="宋体"/>
                      <w:szCs w:val="21"/>
                    </w:rPr>
                  </w:pPr>
                  <w:r>
                    <w:rPr>
                      <w:rFonts w:hint="eastAsia" w:ascii="宋体" w:hAnsi="宋体"/>
                      <w:szCs w:val="21"/>
                    </w:rPr>
                    <w:t>符合</w:t>
                  </w:r>
                </w:p>
              </w:tc>
            </w:tr>
            <w:tr w14:paraId="5080E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3636" w:type="dxa"/>
                  <w:gridSpan w:val="6"/>
                  <w:vAlign w:val="center"/>
                </w:tcPr>
                <w:p w14:paraId="6C19BEC3">
                  <w:pPr>
                    <w:adjustRightInd w:val="0"/>
                    <w:snapToGrid w:val="0"/>
                    <w:rPr>
                      <w:rFonts w:ascii="宋体" w:hAnsi="宋体"/>
                      <w:szCs w:val="21"/>
                    </w:rPr>
                  </w:pPr>
                  <w:r>
                    <w:rPr>
                      <w:rFonts w:hint="eastAsia" w:ascii="宋体" w:hAnsi="宋体"/>
                      <w:bCs/>
                      <w:szCs w:val="21"/>
                    </w:rPr>
                    <w:t>5、《中共吉林省委 吉林省政府关于全面加强生态环境保护坚决打好污染防治攻坚战的实施意见》（吉发【2018】33号）（节选）</w:t>
                  </w:r>
                </w:p>
              </w:tc>
            </w:tr>
            <w:tr w14:paraId="422A15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04" w:hRule="atLeast"/>
                <w:jc w:val="center"/>
              </w:trPr>
              <w:tc>
                <w:tcPr>
                  <w:tcW w:w="963" w:type="dxa"/>
                  <w:vAlign w:val="center"/>
                </w:tcPr>
                <w:p w14:paraId="0D44673A">
                  <w:pPr>
                    <w:adjustRightInd w:val="0"/>
                    <w:snapToGrid w:val="0"/>
                    <w:jc w:val="center"/>
                    <w:rPr>
                      <w:rFonts w:ascii="宋体" w:hAnsi="宋体"/>
                      <w:szCs w:val="21"/>
                    </w:rPr>
                  </w:pPr>
                  <w:r>
                    <w:rPr>
                      <w:rFonts w:hint="eastAsia" w:ascii="宋体" w:hAnsi="宋体"/>
                      <w:szCs w:val="21"/>
                    </w:rPr>
                    <w:t>第五条</w:t>
                  </w:r>
                </w:p>
              </w:tc>
              <w:tc>
                <w:tcPr>
                  <w:tcW w:w="8351" w:type="dxa"/>
                  <w:vAlign w:val="center"/>
                </w:tcPr>
                <w:p w14:paraId="417DDE22">
                  <w:pPr>
                    <w:adjustRightInd w:val="0"/>
                    <w:snapToGrid w:val="0"/>
                    <w:jc w:val="left"/>
                    <w:rPr>
                      <w:rFonts w:ascii="宋体" w:hAnsi="宋体"/>
                      <w:szCs w:val="21"/>
                    </w:rPr>
                  </w:pPr>
                  <w:r>
                    <w:rPr>
                      <w:rFonts w:hint="eastAsia" w:ascii="宋体" w:hAnsi="宋体"/>
                      <w:szCs w:val="21"/>
                    </w:rPr>
                    <w:t>增加清洁能源使用，落实可再生能源发电全额保障性收购政策。强化煤炭生产、加工、流通全过程监管，严厉打击劣质煤炭进入市场流通。大力推进散煤治理，积极推进清洁燃料供应体系建设，长春市、白城市、四平市于2018年底前、其他地区于2019年底前完成供应体系建设；到2020年全省散煤替代率达到70%以上。2018年9月底前全部完成20蒸吨及以上燃煤锅炉达标改造。加快推进冬季清洁供暖，推广园区集中供热，到2020年，全省清洁取暖率达到42%以上。</w:t>
                  </w:r>
                </w:p>
                <w:p w14:paraId="2624656A">
                  <w:pPr>
                    <w:adjustRightInd w:val="0"/>
                    <w:snapToGrid w:val="0"/>
                    <w:jc w:val="left"/>
                    <w:rPr>
                      <w:rFonts w:ascii="宋体" w:hAnsi="宋体"/>
                      <w:szCs w:val="21"/>
                    </w:rPr>
                  </w:pPr>
                  <w:r>
                    <w:rPr>
                      <w:rFonts w:hint="eastAsia" w:ascii="宋体" w:hAnsi="宋体"/>
                      <w:szCs w:val="21"/>
                    </w:rPr>
                    <w:t>强化秸秆综合利用和露天焚烧管控。开展农作物秸秆综合整治专项行动，推进以秸秆还田为基础的“五料化”综合利用，到2020年全省秸秆综合利用率达到85%。严格秸秆禁烧管控，开展秸秆露天禁烧行动。制定秸秆露天禁烧责任追究办法，对秸秆禁烧工作不力、秸秆焚烧现象高发的地区及相关责任人严肃问责。</w:t>
                  </w:r>
                </w:p>
              </w:tc>
              <w:tc>
                <w:tcPr>
                  <w:tcW w:w="3346" w:type="dxa"/>
                  <w:vAlign w:val="center"/>
                </w:tcPr>
                <w:p w14:paraId="671E1A76">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00646E73">
                  <w:pPr>
                    <w:adjustRightInd w:val="0"/>
                    <w:snapToGrid w:val="0"/>
                    <w:jc w:val="center"/>
                    <w:rPr>
                      <w:rFonts w:ascii="宋体" w:hAnsi="宋体"/>
                      <w:szCs w:val="21"/>
                    </w:rPr>
                  </w:pPr>
                  <w:r>
                    <w:rPr>
                      <w:rFonts w:hint="eastAsia" w:ascii="宋体" w:hAnsi="宋体"/>
                      <w:szCs w:val="21"/>
                    </w:rPr>
                    <w:t>符合</w:t>
                  </w:r>
                </w:p>
              </w:tc>
            </w:tr>
            <w:tr w14:paraId="69E46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 w:hRule="atLeast"/>
                <w:jc w:val="center"/>
              </w:trPr>
              <w:tc>
                <w:tcPr>
                  <w:tcW w:w="13606" w:type="dxa"/>
                  <w:gridSpan w:val="5"/>
                  <w:vAlign w:val="center"/>
                </w:tcPr>
                <w:p w14:paraId="7AB7766B">
                  <w:pPr>
                    <w:adjustRightInd w:val="0"/>
                    <w:snapToGrid w:val="0"/>
                    <w:rPr>
                      <w:rFonts w:ascii="宋体" w:hAnsi="宋体"/>
                      <w:szCs w:val="21"/>
                    </w:rPr>
                  </w:pPr>
                  <w:r>
                    <w:rPr>
                      <w:rFonts w:hint="eastAsia" w:ascii="宋体" w:hAnsi="宋体"/>
                      <w:bCs/>
                      <w:szCs w:val="21"/>
                    </w:rPr>
                    <w:t>6、《中共吉林省委 吉林省人民政府关于深入打好污染防治攻坚战的实施意见》（2021.12.31）（节选）</w:t>
                  </w:r>
                </w:p>
              </w:tc>
            </w:tr>
            <w:tr w14:paraId="36C07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2E19BFAC">
                  <w:pPr>
                    <w:adjustRightInd w:val="0"/>
                    <w:snapToGrid w:val="0"/>
                    <w:jc w:val="center"/>
                    <w:rPr>
                      <w:rFonts w:ascii="宋体" w:hAnsi="宋体"/>
                      <w:szCs w:val="21"/>
                    </w:rPr>
                  </w:pPr>
                  <w:r>
                    <w:rPr>
                      <w:rFonts w:hint="eastAsia" w:ascii="宋体" w:hAnsi="宋体"/>
                      <w:szCs w:val="21"/>
                    </w:rPr>
                    <w:t>第十五条</w:t>
                  </w:r>
                </w:p>
              </w:tc>
              <w:tc>
                <w:tcPr>
                  <w:tcW w:w="8351" w:type="dxa"/>
                  <w:vAlign w:val="center"/>
                </w:tcPr>
                <w:p w14:paraId="704E0D98">
                  <w:pPr>
                    <w:adjustRightInd w:val="0"/>
                    <w:snapToGrid w:val="0"/>
                    <w:jc w:val="left"/>
                    <w:rPr>
                      <w:rFonts w:ascii="宋体" w:hAnsi="宋体"/>
                      <w:szCs w:val="21"/>
                    </w:rPr>
                  </w:pPr>
                  <w:r>
                    <w:rPr>
                      <w:rFonts w:hint="eastAsia" w:ascii="宋体" w:hAnsi="宋体"/>
                      <w:szCs w:val="21"/>
                    </w:rPr>
                    <w:t>大力推动煤炭清洁高效利用，积极稳妥实施散煤治理，建立完善散煤监管体系，合理划定禁止散烧区域，有序推进散煤替代，逐步削减小型燃煤锅炉、民用散煤用煤量。严控新建燃煤锅炉，县级及以上城市建成区原则上不再新建每小时35蒸吨以下燃煤锅炉。按照国家要求，逐步推进小锅炉淘汰工作。推动65蒸吨及以上燃煤锅炉（含电力）实施超低排放改造。加大燃煤锅炉达标排放监管力度，充分利用自动监控、监督性监测、随机抽查等手段强化监管，严格依法查处超标排放行为。强化煤炭质量监管，严厉打击劣质煤炭进入市场流通。</w:t>
                  </w:r>
                </w:p>
              </w:tc>
              <w:tc>
                <w:tcPr>
                  <w:tcW w:w="3346" w:type="dxa"/>
                  <w:vAlign w:val="center"/>
                </w:tcPr>
                <w:p w14:paraId="6A1875FD">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5F0C5426">
                  <w:pPr>
                    <w:adjustRightInd w:val="0"/>
                    <w:snapToGrid w:val="0"/>
                    <w:jc w:val="center"/>
                    <w:rPr>
                      <w:rFonts w:ascii="宋体" w:hAnsi="宋体"/>
                      <w:szCs w:val="21"/>
                    </w:rPr>
                  </w:pPr>
                  <w:r>
                    <w:rPr>
                      <w:rFonts w:hint="eastAsia" w:ascii="宋体" w:hAnsi="宋体"/>
                      <w:szCs w:val="21"/>
                    </w:rPr>
                    <w:t>符合</w:t>
                  </w:r>
                </w:p>
              </w:tc>
            </w:tr>
            <w:tr w14:paraId="3D86B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2" w:hRule="atLeast"/>
                <w:jc w:val="center"/>
              </w:trPr>
              <w:tc>
                <w:tcPr>
                  <w:tcW w:w="963" w:type="dxa"/>
                  <w:vAlign w:val="center"/>
                </w:tcPr>
                <w:p w14:paraId="14910F61">
                  <w:pPr>
                    <w:adjustRightInd w:val="0"/>
                    <w:snapToGrid w:val="0"/>
                    <w:jc w:val="center"/>
                    <w:rPr>
                      <w:rFonts w:ascii="宋体" w:hAnsi="宋体"/>
                      <w:szCs w:val="21"/>
                    </w:rPr>
                  </w:pPr>
                  <w:r>
                    <w:rPr>
                      <w:rFonts w:hint="eastAsia" w:ascii="宋体" w:hAnsi="宋体"/>
                      <w:szCs w:val="21"/>
                    </w:rPr>
                    <w:t>第十六条</w:t>
                  </w:r>
                </w:p>
              </w:tc>
              <w:tc>
                <w:tcPr>
                  <w:tcW w:w="8351" w:type="dxa"/>
                  <w:vAlign w:val="center"/>
                </w:tcPr>
                <w:p w14:paraId="08BF03E1">
                  <w:pPr>
                    <w:adjustRightInd w:val="0"/>
                    <w:snapToGrid w:val="0"/>
                    <w:jc w:val="left"/>
                    <w:rPr>
                      <w:rFonts w:ascii="宋体" w:hAnsi="宋体"/>
                      <w:szCs w:val="21"/>
                    </w:rPr>
                  </w:pPr>
                  <w:r>
                    <w:rPr>
                      <w:rFonts w:hint="eastAsia" w:ascii="宋体" w:hAnsi="宋体"/>
                      <w:szCs w:val="21"/>
                    </w:rPr>
                    <w:t>强化施工、道路、堆场、裸露地面等扬尘管控，加强城市保洁和清扫。实施建筑施工标准化管理，建立建筑工地项目清单和台账，将扬尘治理费用列入工程造价，加大监管力度。加强建筑渣土运输管理，严格落实密闭运输，依法打击不按规定路线行驶、渣土抛撒滴漏以及车轮带泥行驶、随意倾倒等违法行为。持续提高城市道路机械化清扫覆盖面积。深化消耗臭氧层物质和氢氟碳化物环境管理。加强餐饮油烟、恶臭异味治理，严查露天烧烤、焚烧垃圾、烧纸祭祀、违法燃放烟花爆竹等行为。</w:t>
                  </w:r>
                </w:p>
              </w:tc>
              <w:tc>
                <w:tcPr>
                  <w:tcW w:w="3346" w:type="dxa"/>
                  <w:vAlign w:val="center"/>
                </w:tcPr>
                <w:p w14:paraId="3A576ECF">
                  <w:pPr>
                    <w:adjustRightInd w:val="0"/>
                    <w:snapToGrid w:val="0"/>
                    <w:jc w:val="left"/>
                    <w:rPr>
                      <w:rFonts w:ascii="宋体" w:hAnsi="宋体"/>
                      <w:szCs w:val="21"/>
                    </w:rPr>
                  </w:pPr>
                  <w:r>
                    <w:rPr>
                      <w:rFonts w:hint="eastAsia" w:ascii="宋体" w:hAnsi="宋体"/>
                      <w:szCs w:val="21"/>
                    </w:rPr>
                    <w:t>本项目建设过程会按照主管部门要求采取污染防治措施，对运行期的污染物进行治理，防治对环境的污染和危害。</w:t>
                  </w:r>
                </w:p>
              </w:tc>
              <w:tc>
                <w:tcPr>
                  <w:tcW w:w="894" w:type="dxa"/>
                  <w:vAlign w:val="center"/>
                </w:tcPr>
                <w:p w14:paraId="23EEB4F6">
                  <w:pPr>
                    <w:adjustRightInd w:val="0"/>
                    <w:snapToGrid w:val="0"/>
                    <w:jc w:val="center"/>
                    <w:rPr>
                      <w:rFonts w:ascii="宋体" w:hAnsi="宋体"/>
                      <w:szCs w:val="21"/>
                    </w:rPr>
                  </w:pPr>
                  <w:r>
                    <w:rPr>
                      <w:rFonts w:hint="eastAsia" w:ascii="宋体" w:hAnsi="宋体"/>
                      <w:szCs w:val="21"/>
                    </w:rPr>
                    <w:t>符合</w:t>
                  </w:r>
                </w:p>
              </w:tc>
            </w:tr>
            <w:tr w14:paraId="2FC14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13636" w:type="dxa"/>
                  <w:gridSpan w:val="6"/>
                  <w:vAlign w:val="center"/>
                </w:tcPr>
                <w:p w14:paraId="4EC86D94">
                  <w:pPr>
                    <w:adjustRightInd w:val="0"/>
                    <w:snapToGrid w:val="0"/>
                    <w:rPr>
                      <w:rFonts w:ascii="宋体" w:hAnsi="宋体"/>
                      <w:szCs w:val="21"/>
                    </w:rPr>
                  </w:pPr>
                  <w:r>
                    <w:rPr>
                      <w:rFonts w:hint="eastAsia" w:ascii="宋体" w:hAnsi="宋体"/>
                      <w:bCs/>
                      <w:szCs w:val="21"/>
                    </w:rPr>
                    <w:t>7、《空气质量持续改善行动计划》（国发【2023】24号）（节选）</w:t>
                  </w:r>
                </w:p>
              </w:tc>
            </w:tr>
            <w:tr w14:paraId="6CAC5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7C101C5E">
                  <w:pPr>
                    <w:adjustRightInd w:val="0"/>
                    <w:snapToGrid w:val="0"/>
                    <w:jc w:val="center"/>
                    <w:rPr>
                      <w:rFonts w:ascii="宋体" w:hAnsi="宋体"/>
                      <w:szCs w:val="21"/>
                    </w:rPr>
                  </w:pPr>
                  <w:r>
                    <w:rPr>
                      <w:rFonts w:hint="eastAsia" w:ascii="宋体" w:hAnsi="宋体"/>
                      <w:szCs w:val="21"/>
                    </w:rPr>
                    <w:t>第四条</w:t>
                  </w:r>
                </w:p>
              </w:tc>
              <w:tc>
                <w:tcPr>
                  <w:tcW w:w="8351" w:type="dxa"/>
                  <w:vAlign w:val="center"/>
                </w:tcPr>
                <w:p w14:paraId="550D6FBC">
                  <w:pPr>
                    <w:adjustRightInd w:val="0"/>
                    <w:snapToGrid w:val="0"/>
                    <w:jc w:val="left"/>
                    <w:rPr>
                      <w:rFonts w:ascii="宋体" w:hAnsi="宋体"/>
                      <w:szCs w:val="21"/>
                    </w:rPr>
                  </w:pPr>
                  <w:r>
                    <w:rPr>
                      <w:rFonts w:hint="eastAsia" w:ascii="宋体" w:hAnsi="宋体"/>
                      <w:szCs w:val="21"/>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p w14:paraId="633554DF">
                  <w:pPr>
                    <w:adjustRightInd w:val="0"/>
                    <w:snapToGrid w:val="0"/>
                    <w:jc w:val="left"/>
                    <w:rPr>
                      <w:rFonts w:ascii="宋体" w:hAnsi="宋体"/>
                      <w:szCs w:val="21"/>
                    </w:rPr>
                  </w:pPr>
                  <w:r>
                    <w:rPr>
                      <w:rFonts w:hint="eastAsia" w:ascii="宋体" w:hAnsi="宋体"/>
                      <w:szCs w:val="21"/>
                    </w:rPr>
                    <w:t>严禁新增钢铁产能。推行钢铁、焦化、烧结一体化布局，大幅减少独立焦化、烧结、球团和热轧企业及工序，淘汰落后煤炭洗选产能；有序引导高炉—转炉长流程炼钢转型为电炉短流程炼钢。到2025年，短流程炼钢产量占比达15%。京津冀及周边地区继续实施“以钢定焦”，炼焦产能与长流程炼钢产能比控制在0.4左右。</w:t>
                  </w:r>
                </w:p>
              </w:tc>
              <w:tc>
                <w:tcPr>
                  <w:tcW w:w="3346" w:type="dxa"/>
                  <w:vAlign w:val="center"/>
                </w:tcPr>
                <w:p w14:paraId="3F0DF335">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02A46A98">
                  <w:pPr>
                    <w:adjustRightInd w:val="0"/>
                    <w:snapToGrid w:val="0"/>
                    <w:jc w:val="center"/>
                    <w:rPr>
                      <w:rFonts w:ascii="宋体" w:hAnsi="宋体"/>
                      <w:szCs w:val="21"/>
                    </w:rPr>
                  </w:pPr>
                  <w:r>
                    <w:rPr>
                      <w:rFonts w:hint="eastAsia" w:ascii="宋体" w:hAnsi="宋体"/>
                      <w:szCs w:val="21"/>
                    </w:rPr>
                    <w:t>符合</w:t>
                  </w:r>
                </w:p>
              </w:tc>
            </w:tr>
            <w:tr w14:paraId="469A2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60AA730C">
                  <w:pPr>
                    <w:adjustRightInd w:val="0"/>
                    <w:snapToGrid w:val="0"/>
                    <w:jc w:val="center"/>
                    <w:rPr>
                      <w:rFonts w:ascii="宋体" w:hAnsi="宋体"/>
                      <w:szCs w:val="21"/>
                    </w:rPr>
                  </w:pPr>
                  <w:r>
                    <w:rPr>
                      <w:rFonts w:hint="eastAsia" w:ascii="宋体" w:hAnsi="宋体"/>
                      <w:szCs w:val="21"/>
                    </w:rPr>
                    <w:t>第十条</w:t>
                  </w:r>
                </w:p>
              </w:tc>
              <w:tc>
                <w:tcPr>
                  <w:tcW w:w="8351" w:type="dxa"/>
                  <w:vAlign w:val="center"/>
                </w:tcPr>
                <w:p w14:paraId="7EE6E035">
                  <w:pPr>
                    <w:adjustRightInd w:val="0"/>
                    <w:snapToGrid w:val="0"/>
                    <w:jc w:val="left"/>
                    <w:rPr>
                      <w:rFonts w:ascii="宋体" w:hAnsi="宋体"/>
                      <w:szCs w:val="21"/>
                    </w:rPr>
                  </w:pPr>
                  <w:r>
                    <w:rPr>
                      <w:rFonts w:hint="eastAsia" w:ascii="宋体" w:hAnsi="宋体"/>
                      <w:szCs w:val="21"/>
                    </w:rPr>
                    <w:t>严格合理控制煤炭消费总量。在保障能源安全供应的前提下，重点区域继续实施煤炭消费总量控制。到2025年，京津冀及周边地区、长三角地区煤炭消费量较2020年分别下降10%和5%左右，汾渭平原煤炭消费量实现负增长，重点削减非电力用煤。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备燃煤机组实施清洁能源替代。对支撑电力稳定供应、电网安全运行、清洁能源大规模并网消纳的煤电项目及其用煤量应予以合理保障。</w:t>
                  </w:r>
                </w:p>
              </w:tc>
              <w:tc>
                <w:tcPr>
                  <w:tcW w:w="3346" w:type="dxa"/>
                  <w:vAlign w:val="center"/>
                </w:tcPr>
                <w:p w14:paraId="5C61C055">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44AA71AC">
                  <w:pPr>
                    <w:adjustRightInd w:val="0"/>
                    <w:snapToGrid w:val="0"/>
                    <w:jc w:val="center"/>
                    <w:rPr>
                      <w:rFonts w:ascii="宋体" w:hAnsi="宋体"/>
                      <w:szCs w:val="21"/>
                    </w:rPr>
                  </w:pPr>
                  <w:r>
                    <w:rPr>
                      <w:rFonts w:hint="eastAsia" w:ascii="宋体" w:hAnsi="宋体"/>
                      <w:szCs w:val="21"/>
                    </w:rPr>
                    <w:t>符合</w:t>
                  </w:r>
                </w:p>
              </w:tc>
            </w:tr>
            <w:tr w14:paraId="4CA298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06C75825">
                  <w:pPr>
                    <w:adjustRightInd w:val="0"/>
                    <w:snapToGrid w:val="0"/>
                    <w:jc w:val="center"/>
                    <w:rPr>
                      <w:rFonts w:ascii="宋体" w:hAnsi="宋体"/>
                      <w:szCs w:val="21"/>
                    </w:rPr>
                  </w:pPr>
                  <w:r>
                    <w:rPr>
                      <w:rFonts w:hint="eastAsia" w:ascii="宋体" w:hAnsi="宋体"/>
                      <w:szCs w:val="21"/>
                    </w:rPr>
                    <w:t>第十一条</w:t>
                  </w:r>
                </w:p>
              </w:tc>
              <w:tc>
                <w:tcPr>
                  <w:tcW w:w="8351" w:type="dxa"/>
                  <w:vAlign w:val="center"/>
                </w:tcPr>
                <w:p w14:paraId="7382B472">
                  <w:pPr>
                    <w:adjustRightInd w:val="0"/>
                    <w:snapToGrid w:val="0"/>
                    <w:jc w:val="left"/>
                    <w:rPr>
                      <w:rFonts w:ascii="宋体" w:hAnsi="宋体"/>
                      <w:szCs w:val="21"/>
                    </w:rPr>
                  </w:pPr>
                  <w:r>
                    <w:rPr>
                      <w:rFonts w:hint="eastAsia" w:ascii="宋体" w:hAnsi="宋体"/>
                      <w:szCs w:val="21"/>
                    </w:rPr>
                    <w:t>积极开展燃煤锅炉关停整合。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w:t>
                  </w:r>
                  <w:r>
                    <w:rPr>
                      <w:rFonts w:hint="eastAsia" w:ascii="宋体" w:hAnsi="宋体"/>
                      <w:szCs w:val="21"/>
                      <w:vertAlign w:val="subscript"/>
                    </w:rPr>
                    <w:t>2.5</w:t>
                  </w:r>
                  <w:r>
                    <w:rPr>
                      <w:rFonts w:hint="eastAsia" w:ascii="宋体" w:hAnsi="宋体"/>
                      <w:szCs w:val="21"/>
                    </w:rPr>
                    <w:t>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w:t>
                  </w:r>
                </w:p>
              </w:tc>
              <w:tc>
                <w:tcPr>
                  <w:tcW w:w="3346" w:type="dxa"/>
                  <w:vAlign w:val="center"/>
                </w:tcPr>
                <w:p w14:paraId="42CA7BCB">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11BCF6BE">
                  <w:pPr>
                    <w:adjustRightInd w:val="0"/>
                    <w:snapToGrid w:val="0"/>
                    <w:jc w:val="center"/>
                    <w:rPr>
                      <w:rFonts w:ascii="宋体" w:hAnsi="宋体"/>
                      <w:szCs w:val="21"/>
                    </w:rPr>
                  </w:pPr>
                  <w:r>
                    <w:rPr>
                      <w:rFonts w:hint="eastAsia" w:ascii="宋体" w:hAnsi="宋体"/>
                      <w:szCs w:val="21"/>
                    </w:rPr>
                    <w:t>符合</w:t>
                  </w:r>
                </w:p>
              </w:tc>
            </w:tr>
            <w:tr w14:paraId="418A6A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5EC136F0">
                  <w:pPr>
                    <w:adjustRightInd w:val="0"/>
                    <w:snapToGrid w:val="0"/>
                    <w:jc w:val="center"/>
                    <w:rPr>
                      <w:rFonts w:ascii="宋体" w:hAnsi="宋体"/>
                      <w:szCs w:val="21"/>
                    </w:rPr>
                  </w:pPr>
                  <w:r>
                    <w:rPr>
                      <w:rFonts w:hint="eastAsia" w:ascii="宋体" w:hAnsi="宋体"/>
                      <w:szCs w:val="21"/>
                    </w:rPr>
                    <w:t>第十三条</w:t>
                  </w:r>
                </w:p>
              </w:tc>
              <w:tc>
                <w:tcPr>
                  <w:tcW w:w="8351" w:type="dxa"/>
                  <w:vAlign w:val="center"/>
                </w:tcPr>
                <w:p w14:paraId="77AC2B45">
                  <w:pPr>
                    <w:adjustRightInd w:val="0"/>
                    <w:snapToGrid w:val="0"/>
                    <w:jc w:val="left"/>
                    <w:rPr>
                      <w:rFonts w:ascii="宋体" w:hAnsi="宋体"/>
                      <w:szCs w:val="21"/>
                    </w:rPr>
                  </w:pPr>
                  <w:r>
                    <w:rPr>
                      <w:rFonts w:hint="eastAsia" w:ascii="宋体" w:hAnsi="宋体"/>
                      <w:szCs w:val="21"/>
                    </w:rPr>
                    <w:t>持续推进北方地区清洁取暖。因地制宜成片推进北方地区清洁取暖，确保群众温暖过冬。加大民用、农用散煤替代力度，重点区域平原地区散煤基本清零，逐步推进山区散煤清洁能源替代。纳入中央财政支持北方地区清洁取暖范围的城市，保质保量完成改造任务，其中“煤改气”要落实气源、以供定改。全面提升建筑能效水平，加快既有农房节能改造。各地依法将整体完成清洁取暖改造的地区划定为高污染燃料禁燃区，防止散煤复烧。对暂未实施清洁取暖的地区，强化商品煤质量监管。</w:t>
                  </w:r>
                </w:p>
              </w:tc>
              <w:tc>
                <w:tcPr>
                  <w:tcW w:w="3346" w:type="dxa"/>
                  <w:vAlign w:val="center"/>
                </w:tcPr>
                <w:p w14:paraId="1EFF8F8C">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7E089DAF">
                  <w:pPr>
                    <w:adjustRightInd w:val="0"/>
                    <w:snapToGrid w:val="0"/>
                    <w:jc w:val="center"/>
                    <w:rPr>
                      <w:rFonts w:ascii="宋体" w:hAnsi="宋体"/>
                      <w:szCs w:val="21"/>
                    </w:rPr>
                  </w:pPr>
                  <w:r>
                    <w:rPr>
                      <w:rFonts w:hint="eastAsia" w:ascii="宋体" w:hAnsi="宋体"/>
                      <w:szCs w:val="21"/>
                    </w:rPr>
                    <w:t>符合</w:t>
                  </w:r>
                </w:p>
              </w:tc>
            </w:tr>
            <w:tr w14:paraId="02EEB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3636" w:type="dxa"/>
                  <w:gridSpan w:val="6"/>
                  <w:vAlign w:val="center"/>
                </w:tcPr>
                <w:p w14:paraId="5EE6150A">
                  <w:pPr>
                    <w:adjustRightInd w:val="0"/>
                    <w:snapToGrid w:val="0"/>
                    <w:rPr>
                      <w:rFonts w:ascii="宋体" w:hAnsi="宋体"/>
                      <w:szCs w:val="21"/>
                    </w:rPr>
                  </w:pPr>
                  <w:r>
                    <w:rPr>
                      <w:rFonts w:hint="eastAsia" w:ascii="宋体" w:hAnsi="宋体"/>
                      <w:bCs/>
                      <w:szCs w:val="21"/>
                    </w:rPr>
                    <w:t>8、《吉林省落实〈空气质量持续改善行动计划〉实施方案》（吉政发【2024】8号）（节选）</w:t>
                  </w:r>
                </w:p>
              </w:tc>
            </w:tr>
            <w:tr w14:paraId="6515F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35ABEFEB">
                  <w:pPr>
                    <w:adjustRightInd w:val="0"/>
                    <w:snapToGrid w:val="0"/>
                    <w:jc w:val="center"/>
                    <w:rPr>
                      <w:rFonts w:ascii="宋体" w:hAnsi="宋体"/>
                      <w:szCs w:val="21"/>
                    </w:rPr>
                  </w:pPr>
                  <w:r>
                    <w:rPr>
                      <w:rFonts w:hint="eastAsia" w:ascii="宋体" w:hAnsi="宋体"/>
                      <w:szCs w:val="21"/>
                    </w:rPr>
                    <w:t>第一条</w:t>
                  </w:r>
                </w:p>
              </w:tc>
              <w:tc>
                <w:tcPr>
                  <w:tcW w:w="8351" w:type="dxa"/>
                  <w:vAlign w:val="center"/>
                </w:tcPr>
                <w:p w14:paraId="714A54ED">
                  <w:pPr>
                    <w:adjustRightInd w:val="0"/>
                    <w:snapToGrid w:val="0"/>
                    <w:jc w:val="left"/>
                    <w:rPr>
                      <w:rFonts w:ascii="宋体" w:hAnsi="宋体"/>
                      <w:szCs w:val="21"/>
                    </w:rPr>
                  </w:pPr>
                  <w:r>
                    <w:rPr>
                      <w:rFonts w:hint="eastAsia" w:ascii="宋体" w:hAnsi="宋体"/>
                      <w:szCs w:val="21"/>
                    </w:rPr>
                    <w:t>严格新建项目准入。新改扩建项目必须符合国家产业发展规划、政策，以及生态环境保护、产能置换等相关项目准入条件，严格执行相关目标控制要求，坚决遏制盲目上新“两高一低”项目。</w:t>
                  </w:r>
                </w:p>
              </w:tc>
              <w:tc>
                <w:tcPr>
                  <w:tcW w:w="3346" w:type="dxa"/>
                  <w:vAlign w:val="center"/>
                </w:tcPr>
                <w:p w14:paraId="78F7E5F2">
                  <w:pPr>
                    <w:adjustRightInd w:val="0"/>
                    <w:snapToGrid w:val="0"/>
                    <w:jc w:val="left"/>
                    <w:rPr>
                      <w:rFonts w:ascii="宋体" w:hAnsi="宋体"/>
                      <w:szCs w:val="21"/>
                    </w:rPr>
                  </w:pPr>
                  <w:r>
                    <w:rPr>
                      <w:rFonts w:hint="eastAsia"/>
                      <w:iCs/>
                      <w:szCs w:val="21"/>
                    </w:rPr>
                    <w:t>本项目属允许建设项目，因此本项目符合国家产业政策</w:t>
                  </w:r>
                </w:p>
              </w:tc>
              <w:tc>
                <w:tcPr>
                  <w:tcW w:w="894" w:type="dxa"/>
                  <w:vAlign w:val="center"/>
                </w:tcPr>
                <w:p w14:paraId="494054AC">
                  <w:pPr>
                    <w:adjustRightInd w:val="0"/>
                    <w:snapToGrid w:val="0"/>
                    <w:jc w:val="center"/>
                    <w:rPr>
                      <w:rFonts w:ascii="宋体" w:hAnsi="宋体"/>
                      <w:szCs w:val="21"/>
                    </w:rPr>
                  </w:pPr>
                  <w:r>
                    <w:rPr>
                      <w:rFonts w:hint="eastAsia" w:ascii="宋体" w:hAnsi="宋体"/>
                      <w:szCs w:val="21"/>
                    </w:rPr>
                    <w:t>符合</w:t>
                  </w:r>
                </w:p>
              </w:tc>
            </w:tr>
            <w:tr w14:paraId="0ECA8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6" w:hRule="atLeast"/>
                <w:jc w:val="center"/>
              </w:trPr>
              <w:tc>
                <w:tcPr>
                  <w:tcW w:w="963" w:type="dxa"/>
                  <w:vAlign w:val="center"/>
                </w:tcPr>
                <w:p w14:paraId="7E73A425">
                  <w:pPr>
                    <w:adjustRightInd w:val="0"/>
                    <w:snapToGrid w:val="0"/>
                    <w:jc w:val="center"/>
                    <w:rPr>
                      <w:rFonts w:ascii="宋体" w:hAnsi="宋体"/>
                      <w:szCs w:val="21"/>
                    </w:rPr>
                  </w:pPr>
                  <w:r>
                    <w:rPr>
                      <w:rFonts w:hint="eastAsia" w:ascii="宋体" w:hAnsi="宋体"/>
                      <w:szCs w:val="21"/>
                    </w:rPr>
                    <w:t>第七条</w:t>
                  </w:r>
                </w:p>
              </w:tc>
              <w:tc>
                <w:tcPr>
                  <w:tcW w:w="8351" w:type="dxa"/>
                  <w:vAlign w:val="center"/>
                </w:tcPr>
                <w:p w14:paraId="6A712333">
                  <w:pPr>
                    <w:adjustRightInd w:val="0"/>
                    <w:snapToGrid w:val="0"/>
                    <w:jc w:val="left"/>
                    <w:rPr>
                      <w:rFonts w:ascii="宋体" w:hAnsi="宋体"/>
                      <w:szCs w:val="21"/>
                    </w:rPr>
                  </w:pPr>
                  <w:r>
                    <w:rPr>
                      <w:rFonts w:hint="eastAsia" w:ascii="宋体" w:hAnsi="宋体"/>
                      <w:szCs w:val="21"/>
                    </w:rPr>
                    <w:t>严格合理控制煤炭消费总量。实行煤炭消费总量控制目标管理，严控煤炭消费增长。推动煤炭清洁高效利用，严把环境准入关，原则上不再新增自备燃煤机组，鼓励支撑电源项目建设，支持自备燃煤机组实施清洁能源替代。对支撑电力稳定供应、电网安全运行、清洁能源大规模并网消纳的煤电项目及其用煤量应予以合理保障。</w:t>
                  </w:r>
                </w:p>
              </w:tc>
              <w:tc>
                <w:tcPr>
                  <w:tcW w:w="3346" w:type="dxa"/>
                  <w:vAlign w:val="center"/>
                </w:tcPr>
                <w:p w14:paraId="2BA7A210">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5D69AB43">
                  <w:pPr>
                    <w:adjustRightInd w:val="0"/>
                    <w:snapToGrid w:val="0"/>
                    <w:jc w:val="center"/>
                    <w:rPr>
                      <w:rFonts w:ascii="宋体" w:hAnsi="宋体"/>
                      <w:szCs w:val="21"/>
                    </w:rPr>
                  </w:pPr>
                  <w:r>
                    <w:rPr>
                      <w:rFonts w:hint="eastAsia" w:ascii="宋体" w:hAnsi="宋体"/>
                      <w:szCs w:val="21"/>
                    </w:rPr>
                    <w:t>符合</w:t>
                  </w:r>
                </w:p>
              </w:tc>
            </w:tr>
            <w:tr w14:paraId="3D6E7E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2" w:hRule="atLeast"/>
                <w:jc w:val="center"/>
              </w:trPr>
              <w:tc>
                <w:tcPr>
                  <w:tcW w:w="963" w:type="dxa"/>
                  <w:vAlign w:val="center"/>
                </w:tcPr>
                <w:p w14:paraId="2279D504">
                  <w:pPr>
                    <w:adjustRightInd w:val="0"/>
                    <w:snapToGrid w:val="0"/>
                    <w:jc w:val="center"/>
                    <w:rPr>
                      <w:rFonts w:ascii="宋体" w:hAnsi="宋体"/>
                      <w:szCs w:val="21"/>
                    </w:rPr>
                  </w:pPr>
                  <w:r>
                    <w:rPr>
                      <w:rFonts w:hint="eastAsia" w:ascii="宋体" w:hAnsi="宋体"/>
                      <w:szCs w:val="21"/>
                    </w:rPr>
                    <w:t>第八条</w:t>
                  </w:r>
                </w:p>
              </w:tc>
              <w:tc>
                <w:tcPr>
                  <w:tcW w:w="8351" w:type="dxa"/>
                  <w:vAlign w:val="center"/>
                </w:tcPr>
                <w:p w14:paraId="15006C7B">
                  <w:pPr>
                    <w:adjustRightInd w:val="0"/>
                    <w:snapToGrid w:val="0"/>
                    <w:jc w:val="left"/>
                    <w:rPr>
                      <w:rFonts w:ascii="宋体" w:hAnsi="宋体"/>
                      <w:szCs w:val="21"/>
                    </w:rPr>
                  </w:pPr>
                  <w:r>
                    <w:rPr>
                      <w:rFonts w:hint="eastAsia" w:ascii="宋体" w:hAnsi="宋体"/>
                      <w:szCs w:val="21"/>
                    </w:rPr>
                    <w:t>积极开展燃煤锅炉关停整合。燃煤供热锅炉替代项目纳入城镇供热规划，推进热力管网建设，依托电厂、大型工业企业开展远距离供热示范，持续淘汰管网覆盖范围内的燃煤锅炉和散煤。到2025年，PM</w:t>
                  </w:r>
                  <w:r>
                    <w:rPr>
                      <w:rFonts w:hint="eastAsia" w:ascii="宋体" w:hAnsi="宋体"/>
                      <w:szCs w:val="21"/>
                      <w:vertAlign w:val="subscript"/>
                    </w:rPr>
                    <w:t>2.5</w:t>
                  </w:r>
                  <w:r>
                    <w:rPr>
                      <w:rFonts w:hint="eastAsia" w:ascii="宋体" w:hAnsi="宋体"/>
                      <w:szCs w:val="21"/>
                    </w:rPr>
                    <w:t>未达标城市基本淘汰10蒸吨/小时及以下燃煤锅炉。</w:t>
                  </w:r>
                </w:p>
              </w:tc>
              <w:tc>
                <w:tcPr>
                  <w:tcW w:w="3346" w:type="dxa"/>
                  <w:vAlign w:val="center"/>
                </w:tcPr>
                <w:p w14:paraId="3AA8A8F1">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7FCCF90C">
                  <w:pPr>
                    <w:adjustRightInd w:val="0"/>
                    <w:snapToGrid w:val="0"/>
                    <w:jc w:val="center"/>
                    <w:rPr>
                      <w:rFonts w:ascii="宋体" w:hAnsi="宋体"/>
                      <w:szCs w:val="21"/>
                    </w:rPr>
                  </w:pPr>
                  <w:r>
                    <w:rPr>
                      <w:rFonts w:hint="eastAsia" w:ascii="宋体" w:hAnsi="宋体"/>
                      <w:szCs w:val="21"/>
                    </w:rPr>
                    <w:t>符合</w:t>
                  </w:r>
                </w:p>
              </w:tc>
            </w:tr>
            <w:tr w14:paraId="353263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1" w:hRule="atLeast"/>
                <w:jc w:val="center"/>
              </w:trPr>
              <w:tc>
                <w:tcPr>
                  <w:tcW w:w="963" w:type="dxa"/>
                  <w:vAlign w:val="center"/>
                </w:tcPr>
                <w:p w14:paraId="7D7E6493">
                  <w:pPr>
                    <w:adjustRightInd w:val="0"/>
                    <w:snapToGrid w:val="0"/>
                    <w:jc w:val="center"/>
                    <w:rPr>
                      <w:rFonts w:ascii="宋体" w:hAnsi="宋体"/>
                      <w:szCs w:val="21"/>
                    </w:rPr>
                  </w:pPr>
                  <w:r>
                    <w:rPr>
                      <w:rFonts w:hint="eastAsia" w:ascii="宋体" w:hAnsi="宋体"/>
                      <w:szCs w:val="21"/>
                    </w:rPr>
                    <w:t>第十条</w:t>
                  </w:r>
                </w:p>
              </w:tc>
              <w:tc>
                <w:tcPr>
                  <w:tcW w:w="8351" w:type="dxa"/>
                  <w:vAlign w:val="center"/>
                </w:tcPr>
                <w:p w14:paraId="2B199428">
                  <w:pPr>
                    <w:adjustRightInd w:val="0"/>
                    <w:snapToGrid w:val="0"/>
                    <w:jc w:val="left"/>
                    <w:rPr>
                      <w:rFonts w:ascii="宋体" w:hAnsi="宋体"/>
                      <w:szCs w:val="21"/>
                    </w:rPr>
                  </w:pPr>
                  <w:r>
                    <w:rPr>
                      <w:rFonts w:hint="eastAsia" w:ascii="宋体" w:hAnsi="宋体"/>
                      <w:szCs w:val="21"/>
                    </w:rPr>
                    <w:t>加快推进清洁取暖建设。已列入国家北方地区冬季清洁取暖城市的地区，按照实施方案加快推进项目建设，鼓励其他城市积极申报北方地区冬季清洁取暖城市，推广秸秆打捆直燃集中供暖等适合农村的清洁取暖技术，逐步在全省推开。依法将整体完成清洁取暖改造的地区划定为高污染燃料禁燃区，强化商品煤质量监管，防止散煤复烧。</w:t>
                  </w:r>
                </w:p>
              </w:tc>
              <w:tc>
                <w:tcPr>
                  <w:tcW w:w="3346" w:type="dxa"/>
                  <w:vAlign w:val="center"/>
                </w:tcPr>
                <w:p w14:paraId="5C5B51C2">
                  <w:pPr>
                    <w:adjustRightInd w:val="0"/>
                    <w:snapToGrid w:val="0"/>
                    <w:jc w:val="left"/>
                    <w:rPr>
                      <w:rFonts w:ascii="宋体" w:hAnsi="宋体"/>
                      <w:szCs w:val="21"/>
                    </w:rPr>
                  </w:pPr>
                  <w:r>
                    <w:rPr>
                      <w:rFonts w:hint="eastAsia"/>
                      <w:iCs/>
                      <w:szCs w:val="21"/>
                    </w:rPr>
                    <w:t>本项目冬季使用电取暖，生产不用热</w:t>
                  </w:r>
                  <w:r>
                    <w:rPr>
                      <w:rFonts w:hint="eastAsia" w:ascii="宋体" w:hAnsi="宋体"/>
                      <w:szCs w:val="21"/>
                    </w:rPr>
                    <w:t>，不涉及条款中涉及的污染物。</w:t>
                  </w:r>
                </w:p>
              </w:tc>
              <w:tc>
                <w:tcPr>
                  <w:tcW w:w="894" w:type="dxa"/>
                  <w:vAlign w:val="center"/>
                </w:tcPr>
                <w:p w14:paraId="0306B329">
                  <w:pPr>
                    <w:adjustRightInd w:val="0"/>
                    <w:snapToGrid w:val="0"/>
                    <w:jc w:val="center"/>
                    <w:rPr>
                      <w:rFonts w:ascii="宋体" w:hAnsi="宋体"/>
                      <w:szCs w:val="21"/>
                    </w:rPr>
                  </w:pPr>
                  <w:r>
                    <w:rPr>
                      <w:rFonts w:hint="eastAsia" w:ascii="宋体" w:hAnsi="宋体"/>
                      <w:szCs w:val="21"/>
                    </w:rPr>
                    <w:t>符合</w:t>
                  </w:r>
                </w:p>
              </w:tc>
            </w:tr>
          </w:tbl>
          <w:p w14:paraId="2CC536D8">
            <w:pPr>
              <w:autoSpaceDE w:val="0"/>
              <w:autoSpaceDN w:val="0"/>
              <w:adjustRightInd w:val="0"/>
              <w:snapToGrid w:val="0"/>
              <w:spacing w:line="360" w:lineRule="auto"/>
              <w:ind w:firstLine="480" w:firstLineChars="200"/>
              <w:rPr>
                <w:rFonts w:ascii="宋体" w:hAnsi="宋体"/>
                <w:sz w:val="24"/>
              </w:rPr>
            </w:pPr>
            <w:r>
              <w:rPr>
                <w:rFonts w:hint="eastAsia" w:ascii="宋体" w:hAnsi="宋体" w:cs="宋体"/>
                <w:sz w:val="24"/>
              </w:rPr>
              <w:t>综上，本项目与①《中华人民共和国环境保护法》（2015.1.1）、②《中华人民共和国大气污染防治法》（2018.12.26）、③《吉林省大气污染防治条例》（2022.10.1）、④《吉林省空气质量巩固提升行动方案》（吉政办发【2021】10号）、⑤《中共吉林省委 吉林省政府关于全面加强生态环境保护坚决打好污染防治攻坚战的实施意见》（吉发【2018】33号）、⑥《中共吉林省委 吉林省人民政府关于深入打好污染防治攻坚战的实施意见》（2021.12.31）、⑦《空气质量持续改善行动计划》（国发【2023】24号）、⑧《吉林省落实〈空气质量持续改善行动计划〉实施方案》（吉政发【2024】8号）相符性较好。</w:t>
            </w:r>
          </w:p>
          <w:p w14:paraId="0407CB08">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9、与《“十四五”噪声污染防治行动计划》相符性分析</w:t>
            </w:r>
          </w:p>
          <w:p w14:paraId="44E9BC5A">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该《计划》中指出：树立工业噪声污染治理标杆。排放噪声的工业企业应切实采取减振降噪措施，加强厂区内固定设备、运输工具、货物装卸等噪声源管理，同时避免突发噪声扰民。鼓励企业采用先进治理技术，打造行业噪声污染治理示范典型。中央企业要主动承担社会责任，切实发挥模范带头和引领示范作用，创建一批行业标杆。</w:t>
            </w:r>
          </w:p>
          <w:p w14:paraId="3C85722C">
            <w:pPr>
              <w:autoSpaceDE w:val="0"/>
              <w:autoSpaceDN w:val="0"/>
              <w:adjustRightInd w:val="0"/>
              <w:snapToGrid w:val="0"/>
              <w:spacing w:line="360" w:lineRule="auto"/>
              <w:ind w:firstLine="480" w:firstLineChars="200"/>
              <w:rPr>
                <w:bCs/>
                <w:kern w:val="0"/>
                <w:sz w:val="24"/>
              </w:rPr>
            </w:pPr>
            <w:r>
              <w:rPr>
                <w:rFonts w:hint="eastAsia" w:ascii="宋体" w:hAnsi="宋体"/>
                <w:sz w:val="24"/>
              </w:rPr>
              <w:t>本项目通过选购低噪设备、基础减震、按时对设备进行维护、部分设备设置在室内通过墙体进行降噪等措施降低噪声影响，故本项目与《</w:t>
            </w:r>
            <w:r>
              <w:rPr>
                <w:rFonts w:hint="eastAsia" w:ascii="宋体" w:hAnsi="宋体" w:cs="宋体"/>
                <w:kern w:val="0"/>
                <w:sz w:val="24"/>
              </w:rPr>
              <w:t>“十四五”噪声污染防治行动计划</w:t>
            </w:r>
            <w:r>
              <w:rPr>
                <w:rFonts w:hint="eastAsia" w:ascii="宋体" w:hAnsi="宋体"/>
                <w:sz w:val="24"/>
              </w:rPr>
              <w:t>》相符。</w:t>
            </w:r>
          </w:p>
          <w:p w14:paraId="5DFE8671">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10、与白山市空气、水环境和土壤环境质量巩固提升行动方案符合性分析</w:t>
            </w:r>
          </w:p>
          <w:p w14:paraId="39D7CB58">
            <w:pPr>
              <w:autoSpaceDE w:val="0"/>
              <w:autoSpaceDN w:val="0"/>
              <w:adjustRightInd w:val="0"/>
              <w:snapToGrid w:val="0"/>
              <w:spacing w:line="360" w:lineRule="auto"/>
              <w:ind w:firstLine="482" w:firstLineChars="200"/>
              <w:jc w:val="center"/>
              <w:rPr>
                <w:rFonts w:ascii="宋体" w:hAnsi="宋体" w:cs="宋体"/>
                <w:b/>
                <w:kern w:val="0"/>
                <w:sz w:val="24"/>
              </w:rPr>
            </w:pPr>
            <w:r>
              <w:rPr>
                <w:rFonts w:ascii="宋体" w:hAnsi="宋体" w:cs="宋体"/>
                <w:b/>
                <w:kern w:val="0"/>
                <w:sz w:val="24"/>
              </w:rPr>
              <w:t>表</w:t>
            </w:r>
            <w:r>
              <w:rPr>
                <w:rFonts w:hint="eastAsia" w:ascii="宋体" w:hAnsi="宋体" w:cs="宋体"/>
                <w:b/>
                <w:kern w:val="0"/>
                <w:sz w:val="24"/>
              </w:rPr>
              <w:t xml:space="preserve">1-7  </w:t>
            </w:r>
            <w:r>
              <w:rPr>
                <w:rFonts w:ascii="宋体" w:hAnsi="宋体" w:cs="宋体"/>
                <w:b/>
                <w:kern w:val="0"/>
                <w:sz w:val="24"/>
              </w:rPr>
              <w:t>与</w:t>
            </w:r>
            <w:r>
              <w:rPr>
                <w:rFonts w:hint="eastAsia" w:ascii="宋体" w:hAnsi="宋体" w:cs="宋体"/>
                <w:b/>
                <w:kern w:val="0"/>
                <w:sz w:val="24"/>
              </w:rPr>
              <w:t>白山市巩固提升行动方案符合性分析</w:t>
            </w:r>
          </w:p>
          <w:tbl>
            <w:tblPr>
              <w:tblStyle w:val="22"/>
              <w:tblW w:w="1360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8053"/>
              <w:gridCol w:w="3315"/>
              <w:gridCol w:w="708"/>
            </w:tblGrid>
            <w:tr w14:paraId="46BD1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22" w:type="pct"/>
                  <w:gridSpan w:val="2"/>
                  <w:vAlign w:val="center"/>
                </w:tcPr>
                <w:p w14:paraId="197B9012">
                  <w:pPr>
                    <w:adjustRightInd w:val="0"/>
                    <w:snapToGrid w:val="0"/>
                    <w:jc w:val="left"/>
                    <w:rPr>
                      <w:rFonts w:ascii="宋体" w:hAnsi="宋体"/>
                      <w:szCs w:val="21"/>
                    </w:rPr>
                  </w:pPr>
                  <w:r>
                    <w:rPr>
                      <w:rFonts w:ascii="宋体" w:hAnsi="宋体"/>
                      <w:szCs w:val="21"/>
                    </w:rPr>
                    <w:t>具体要求</w:t>
                  </w:r>
                </w:p>
              </w:tc>
              <w:tc>
                <w:tcPr>
                  <w:tcW w:w="1218" w:type="pct"/>
                  <w:vAlign w:val="center"/>
                </w:tcPr>
                <w:p w14:paraId="519969B1">
                  <w:pPr>
                    <w:adjustRightInd w:val="0"/>
                    <w:snapToGrid w:val="0"/>
                    <w:jc w:val="left"/>
                    <w:rPr>
                      <w:rFonts w:ascii="宋体" w:hAnsi="宋体"/>
                      <w:szCs w:val="21"/>
                    </w:rPr>
                  </w:pPr>
                  <w:r>
                    <w:rPr>
                      <w:rFonts w:ascii="宋体" w:hAnsi="宋体"/>
                      <w:szCs w:val="21"/>
                    </w:rPr>
                    <w:t>项目情况</w:t>
                  </w:r>
                </w:p>
              </w:tc>
              <w:tc>
                <w:tcPr>
                  <w:tcW w:w="260" w:type="pct"/>
                  <w:vAlign w:val="center"/>
                </w:tcPr>
                <w:p w14:paraId="2397E887">
                  <w:pPr>
                    <w:adjustRightInd w:val="0"/>
                    <w:snapToGrid w:val="0"/>
                    <w:jc w:val="left"/>
                    <w:rPr>
                      <w:rFonts w:ascii="宋体" w:hAnsi="宋体"/>
                      <w:szCs w:val="21"/>
                    </w:rPr>
                  </w:pPr>
                  <w:r>
                    <w:rPr>
                      <w:rFonts w:ascii="宋体" w:hAnsi="宋体"/>
                      <w:szCs w:val="21"/>
                    </w:rPr>
                    <w:t>判定</w:t>
                  </w:r>
                </w:p>
              </w:tc>
            </w:tr>
            <w:tr w14:paraId="7EE97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3" w:type="pct"/>
                  <w:vAlign w:val="center"/>
                </w:tcPr>
                <w:p w14:paraId="51B94A11">
                  <w:pPr>
                    <w:adjustRightInd w:val="0"/>
                    <w:snapToGrid w:val="0"/>
                    <w:jc w:val="left"/>
                    <w:rPr>
                      <w:rFonts w:ascii="宋体" w:hAnsi="宋体"/>
                      <w:szCs w:val="21"/>
                    </w:rPr>
                  </w:pPr>
                  <w:r>
                    <w:rPr>
                      <w:rFonts w:hint="eastAsia" w:ascii="宋体" w:hAnsi="宋体"/>
                      <w:szCs w:val="21"/>
                    </w:rPr>
                    <w:t>白山市空气质量巩固提升行动方案</w:t>
                  </w:r>
                </w:p>
              </w:tc>
              <w:tc>
                <w:tcPr>
                  <w:tcW w:w="2959" w:type="pct"/>
                  <w:vAlign w:val="center"/>
                </w:tcPr>
                <w:p w14:paraId="67F1B493">
                  <w:pPr>
                    <w:adjustRightInd w:val="0"/>
                    <w:snapToGrid w:val="0"/>
                    <w:jc w:val="left"/>
                    <w:rPr>
                      <w:rFonts w:ascii="宋体" w:hAnsi="宋体"/>
                      <w:szCs w:val="21"/>
                    </w:rPr>
                  </w:pPr>
                  <w:r>
                    <w:rPr>
                      <w:rFonts w:ascii="宋体" w:hAnsi="宋体"/>
                      <w:szCs w:val="21"/>
                    </w:rPr>
                    <w:t>（二）深化工业污染源治理。推进工业污染源全面达标排放，加强无组织排放深度治理。推进重点行业污染深度治理，对排放强度高的重污染行业实施清洁化改造。加强“散乱污”企业监管，坚决杜绝“散乱污”企业项目建设和已取缔的“散乱污”企业死灰复燃、异地转移。全面实施挥发性有机物总量减排，深化重点行业挥发性有机物治理。</w:t>
                  </w:r>
                </w:p>
              </w:tc>
              <w:tc>
                <w:tcPr>
                  <w:tcW w:w="1218" w:type="pct"/>
                  <w:vAlign w:val="center"/>
                </w:tcPr>
                <w:p w14:paraId="0DA89163">
                  <w:pPr>
                    <w:adjustRightInd w:val="0"/>
                    <w:snapToGrid w:val="0"/>
                    <w:jc w:val="left"/>
                    <w:rPr>
                      <w:rFonts w:ascii="宋体" w:hAnsi="宋体"/>
                      <w:szCs w:val="21"/>
                    </w:rPr>
                  </w:pPr>
                  <w:r>
                    <w:rPr>
                      <w:rFonts w:hint="eastAsia" w:ascii="宋体" w:hAnsi="宋体"/>
                      <w:szCs w:val="21"/>
                    </w:rPr>
                    <w:t>本项目原材料废矿石露天储存，地面防渗硬化处理，上覆苫布覆盖，并设置防风抑尘网，日常对其洒水降尘，且块径较大，产尘量较少，废矿石破碎过程采用集气罩+布袋除尘器+15m排气筒，确保各项污染物稳定达标排放</w:t>
                  </w:r>
                  <w:r>
                    <w:rPr>
                      <w:rFonts w:ascii="宋体" w:hAnsi="宋体"/>
                      <w:szCs w:val="21"/>
                    </w:rPr>
                    <w:t>。</w:t>
                  </w:r>
                </w:p>
              </w:tc>
              <w:tc>
                <w:tcPr>
                  <w:tcW w:w="260" w:type="pct"/>
                  <w:vAlign w:val="center"/>
                </w:tcPr>
                <w:p w14:paraId="164AD294">
                  <w:pPr>
                    <w:adjustRightInd w:val="0"/>
                    <w:snapToGrid w:val="0"/>
                    <w:jc w:val="left"/>
                    <w:rPr>
                      <w:rFonts w:ascii="宋体" w:hAnsi="宋体"/>
                      <w:szCs w:val="21"/>
                    </w:rPr>
                  </w:pPr>
                  <w:r>
                    <w:rPr>
                      <w:rFonts w:ascii="宋体" w:hAnsi="宋体"/>
                      <w:szCs w:val="21"/>
                    </w:rPr>
                    <w:t>符合要求</w:t>
                  </w:r>
                </w:p>
              </w:tc>
            </w:tr>
            <w:tr w14:paraId="37BE6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63" w:type="pct"/>
                  <w:vMerge w:val="restart"/>
                  <w:vAlign w:val="center"/>
                </w:tcPr>
                <w:p w14:paraId="1E170662">
                  <w:pPr>
                    <w:adjustRightInd w:val="0"/>
                    <w:snapToGrid w:val="0"/>
                    <w:jc w:val="left"/>
                    <w:rPr>
                      <w:rFonts w:ascii="宋体" w:hAnsi="宋体"/>
                      <w:szCs w:val="21"/>
                    </w:rPr>
                  </w:pPr>
                  <w:r>
                    <w:rPr>
                      <w:rFonts w:ascii="宋体" w:hAnsi="宋体"/>
                      <w:szCs w:val="21"/>
                    </w:rPr>
                    <w:t>白山市水环境质量巩固提升行动方案</w:t>
                  </w:r>
                </w:p>
              </w:tc>
              <w:tc>
                <w:tcPr>
                  <w:tcW w:w="2959" w:type="pct"/>
                  <w:vAlign w:val="center"/>
                </w:tcPr>
                <w:p w14:paraId="06FF1825">
                  <w:pPr>
                    <w:adjustRightInd w:val="0"/>
                    <w:snapToGrid w:val="0"/>
                    <w:jc w:val="left"/>
                    <w:rPr>
                      <w:rFonts w:ascii="宋体" w:hAnsi="宋体"/>
                      <w:szCs w:val="21"/>
                    </w:rPr>
                  </w:pPr>
                  <w:r>
                    <w:rPr>
                      <w:rFonts w:ascii="宋体" w:hAnsi="宋体"/>
                      <w:szCs w:val="21"/>
                    </w:rPr>
                    <w:t>（一）实施水环境治理工程。加快污水处理厂扩容和尾水净化改造，大力推进乡镇污水处理设施和城镇污水收集管网建设，全面推进污泥处理设施建设，强化工业企业排水管理，加强重点污染源管控和治理，推进“散、乱、污”企业深度整治，加强入河排污口监管。</w:t>
                  </w:r>
                </w:p>
              </w:tc>
              <w:tc>
                <w:tcPr>
                  <w:tcW w:w="1218" w:type="pct"/>
                  <w:vAlign w:val="center"/>
                </w:tcPr>
                <w:p w14:paraId="60824D13">
                  <w:pPr>
                    <w:adjustRightInd w:val="0"/>
                    <w:snapToGrid w:val="0"/>
                    <w:jc w:val="left"/>
                    <w:rPr>
                      <w:rFonts w:ascii="宋体" w:hAnsi="宋体"/>
                      <w:szCs w:val="21"/>
                    </w:rPr>
                  </w:pPr>
                  <w:r>
                    <w:rPr>
                      <w:rFonts w:hint="eastAsia" w:ascii="宋体" w:hAnsi="宋体"/>
                      <w:szCs w:val="21"/>
                    </w:rPr>
                    <w:t>项目生活污水排入防渗旱厕定期委托环卫部门清掏，不外排，淋溶水经沉淀处理后用于厂区降尘</w:t>
                  </w:r>
                  <w:r>
                    <w:rPr>
                      <w:rFonts w:ascii="宋体" w:hAnsi="宋体"/>
                      <w:szCs w:val="21"/>
                    </w:rPr>
                    <w:t>。</w:t>
                  </w:r>
                </w:p>
              </w:tc>
              <w:tc>
                <w:tcPr>
                  <w:tcW w:w="260" w:type="pct"/>
                  <w:vAlign w:val="center"/>
                </w:tcPr>
                <w:p w14:paraId="3357614E">
                  <w:pPr>
                    <w:adjustRightInd w:val="0"/>
                    <w:snapToGrid w:val="0"/>
                    <w:jc w:val="left"/>
                    <w:rPr>
                      <w:rFonts w:ascii="宋体" w:hAnsi="宋体"/>
                      <w:szCs w:val="21"/>
                    </w:rPr>
                  </w:pPr>
                  <w:r>
                    <w:rPr>
                      <w:rFonts w:ascii="宋体" w:hAnsi="宋体"/>
                      <w:szCs w:val="21"/>
                    </w:rPr>
                    <w:t>符合要求</w:t>
                  </w:r>
                </w:p>
              </w:tc>
            </w:tr>
            <w:tr w14:paraId="14048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63" w:type="pct"/>
                  <w:vMerge w:val="continue"/>
                  <w:vAlign w:val="center"/>
                </w:tcPr>
                <w:p w14:paraId="2CD8AEA8">
                  <w:pPr>
                    <w:adjustRightInd w:val="0"/>
                    <w:snapToGrid w:val="0"/>
                    <w:jc w:val="left"/>
                    <w:rPr>
                      <w:rFonts w:ascii="宋体" w:hAnsi="宋体"/>
                      <w:szCs w:val="21"/>
                    </w:rPr>
                  </w:pPr>
                </w:p>
              </w:tc>
              <w:tc>
                <w:tcPr>
                  <w:tcW w:w="2959" w:type="pct"/>
                  <w:vAlign w:val="center"/>
                </w:tcPr>
                <w:p w14:paraId="40262DA0">
                  <w:pPr>
                    <w:adjustRightInd w:val="0"/>
                    <w:snapToGrid w:val="0"/>
                    <w:jc w:val="left"/>
                    <w:rPr>
                      <w:rFonts w:ascii="宋体" w:hAnsi="宋体"/>
                      <w:szCs w:val="21"/>
                    </w:rPr>
                  </w:pPr>
                  <w:r>
                    <w:rPr>
                      <w:rFonts w:hint="eastAsia" w:ascii="宋体" w:hAnsi="宋体"/>
                      <w:szCs w:val="21"/>
                    </w:rPr>
                    <w:t>（三）实施水资源保障工程。完善再生水循环利用体系，大力推进海绵城市建设。切实加强公共用水监督管理，全面推进城市节水、工业节水、农业节水。抓好重点河流生态流量保障，加强江河源头区涵养林建设。</w:t>
                  </w:r>
                </w:p>
              </w:tc>
              <w:tc>
                <w:tcPr>
                  <w:tcW w:w="1218" w:type="pct"/>
                  <w:vAlign w:val="center"/>
                </w:tcPr>
                <w:p w14:paraId="69159FE8">
                  <w:pPr>
                    <w:adjustRightInd w:val="0"/>
                    <w:snapToGrid w:val="0"/>
                    <w:jc w:val="left"/>
                    <w:rPr>
                      <w:rFonts w:ascii="宋体" w:hAnsi="宋体"/>
                      <w:szCs w:val="21"/>
                    </w:rPr>
                  </w:pPr>
                  <w:r>
                    <w:rPr>
                      <w:rFonts w:hint="eastAsia" w:ascii="宋体" w:hAnsi="宋体"/>
                      <w:szCs w:val="21"/>
                    </w:rPr>
                    <w:t>项目生活污水排入防渗旱厕定期委托环卫部门清掏，不外排，淋溶水经沉淀处理后用于厂区降尘</w:t>
                  </w:r>
                  <w:r>
                    <w:rPr>
                      <w:rFonts w:ascii="宋体" w:hAnsi="宋体"/>
                      <w:szCs w:val="21"/>
                    </w:rPr>
                    <w:t>。。</w:t>
                  </w:r>
                </w:p>
              </w:tc>
              <w:tc>
                <w:tcPr>
                  <w:tcW w:w="260" w:type="pct"/>
                  <w:vAlign w:val="center"/>
                </w:tcPr>
                <w:p w14:paraId="6766B8A2">
                  <w:pPr>
                    <w:adjustRightInd w:val="0"/>
                    <w:snapToGrid w:val="0"/>
                    <w:jc w:val="left"/>
                    <w:rPr>
                      <w:rFonts w:ascii="宋体" w:hAnsi="宋体"/>
                      <w:szCs w:val="21"/>
                    </w:rPr>
                  </w:pPr>
                  <w:r>
                    <w:rPr>
                      <w:rFonts w:hint="eastAsia" w:ascii="宋体" w:hAnsi="宋体"/>
                      <w:szCs w:val="21"/>
                    </w:rPr>
                    <w:t>符合要求</w:t>
                  </w:r>
                </w:p>
              </w:tc>
            </w:tr>
            <w:tr w14:paraId="4BE18F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vAlign w:val="center"/>
                </w:tcPr>
                <w:p w14:paraId="7DAB1E19">
                  <w:pPr>
                    <w:adjustRightInd w:val="0"/>
                    <w:snapToGrid w:val="0"/>
                    <w:jc w:val="left"/>
                    <w:rPr>
                      <w:rFonts w:ascii="宋体" w:hAnsi="宋体"/>
                      <w:szCs w:val="21"/>
                    </w:rPr>
                  </w:pPr>
                  <w:r>
                    <w:rPr>
                      <w:rFonts w:ascii="宋体" w:hAnsi="宋体"/>
                      <w:szCs w:val="21"/>
                    </w:rPr>
                    <w:t>白山市土壤环境质量巩固提升行动方案</w:t>
                  </w:r>
                </w:p>
              </w:tc>
              <w:tc>
                <w:tcPr>
                  <w:tcW w:w="2959" w:type="pct"/>
                  <w:vAlign w:val="center"/>
                </w:tcPr>
                <w:p w14:paraId="4267CF98">
                  <w:pPr>
                    <w:adjustRightInd w:val="0"/>
                    <w:snapToGrid w:val="0"/>
                    <w:jc w:val="left"/>
                    <w:rPr>
                      <w:rFonts w:ascii="宋体" w:hAnsi="宋体"/>
                      <w:szCs w:val="21"/>
                    </w:rPr>
                  </w:pPr>
                  <w:r>
                    <w:rPr>
                      <w:rFonts w:ascii="宋体" w:hAnsi="宋体"/>
                      <w:szCs w:val="21"/>
                    </w:rPr>
                    <w:t>（一）实施土壤污染风险管控工程。加强土壤重点监管单位管控，加强建设用地流转管控，实时动态更新疑似污染地块和污染地块名录。合理规划土地用途，纳入国土空间规划“一张图”管理。推进企业用地调查成果应用，强化污染地块开发防控预警。</w:t>
                  </w:r>
                </w:p>
              </w:tc>
              <w:tc>
                <w:tcPr>
                  <w:tcW w:w="1218" w:type="pct"/>
                  <w:vAlign w:val="center"/>
                </w:tcPr>
                <w:p w14:paraId="163BC909">
                  <w:pPr>
                    <w:adjustRightInd w:val="0"/>
                    <w:snapToGrid w:val="0"/>
                    <w:jc w:val="left"/>
                    <w:rPr>
                      <w:rFonts w:ascii="宋体" w:hAnsi="宋体"/>
                      <w:szCs w:val="21"/>
                    </w:rPr>
                  </w:pPr>
                  <w:r>
                    <w:rPr>
                      <w:rFonts w:hint="eastAsia" w:ascii="宋体" w:hAnsi="宋体"/>
                      <w:szCs w:val="21"/>
                    </w:rPr>
                    <w:t>项目在已征地范围内建设，不新增占地，不属于土壤重点监管单位。</w:t>
                  </w:r>
                </w:p>
              </w:tc>
              <w:tc>
                <w:tcPr>
                  <w:tcW w:w="260" w:type="pct"/>
                  <w:vAlign w:val="center"/>
                </w:tcPr>
                <w:p w14:paraId="4FA84798">
                  <w:pPr>
                    <w:adjustRightInd w:val="0"/>
                    <w:snapToGrid w:val="0"/>
                    <w:jc w:val="left"/>
                    <w:rPr>
                      <w:rFonts w:ascii="宋体" w:hAnsi="宋体"/>
                      <w:szCs w:val="21"/>
                    </w:rPr>
                  </w:pPr>
                  <w:r>
                    <w:rPr>
                      <w:rFonts w:ascii="宋体" w:hAnsi="宋体"/>
                      <w:szCs w:val="21"/>
                    </w:rPr>
                    <w:t>符合要求</w:t>
                  </w:r>
                </w:p>
              </w:tc>
            </w:tr>
          </w:tbl>
          <w:p w14:paraId="56820743">
            <w:pPr>
              <w:jc w:val="center"/>
              <w:rPr>
                <w:rFonts w:asciiTheme="minorEastAsia" w:hAnsiTheme="minorEastAsia" w:eastAsiaTheme="minorEastAsia"/>
              </w:rPr>
            </w:pPr>
          </w:p>
        </w:tc>
      </w:tr>
    </w:tbl>
    <w:p w14:paraId="2FB3EFD4">
      <w:pPr>
        <w:rPr>
          <w:rFonts w:asciiTheme="minorEastAsia" w:hAnsiTheme="minorEastAsia" w:eastAsiaTheme="minorEastAsia"/>
        </w:rPr>
        <w:sectPr>
          <w:pgSz w:w="16838" w:h="11906" w:orient="landscape"/>
          <w:pgMar w:top="1701" w:right="1701" w:bottom="1701" w:left="1701" w:header="851" w:footer="992" w:gutter="0"/>
          <w:cols w:space="0" w:num="1"/>
          <w:docGrid w:type="lines" w:linePitch="314" w:charSpace="0"/>
        </w:sectPr>
      </w:pPr>
    </w:p>
    <w:p w14:paraId="33CF16CD">
      <w:pPr>
        <w:pStyle w:val="2"/>
        <w:keepLines w:val="0"/>
        <w:spacing w:before="0" w:after="0" w:line="240" w:lineRule="auto"/>
        <w:ind w:firstLine="148" w:firstLineChars="49"/>
        <w:jc w:val="center"/>
        <w:rPr>
          <w:rFonts w:asciiTheme="minorEastAsia" w:hAnsiTheme="minorEastAsia" w:eastAsiaTheme="minorEastAsia"/>
          <w:snapToGrid w:val="0"/>
          <w:sz w:val="30"/>
          <w:szCs w:val="30"/>
        </w:rPr>
      </w:pPr>
      <w:bookmarkStart w:id="5" w:name="_Toc2995"/>
      <w:r>
        <w:rPr>
          <w:rFonts w:asciiTheme="minorEastAsia" w:hAnsiTheme="minorEastAsia" w:eastAsiaTheme="minorEastAsia"/>
          <w:snapToGrid w:val="0"/>
          <w:sz w:val="30"/>
          <w:szCs w:val="30"/>
        </w:rPr>
        <w:t>二、建设内容</w:t>
      </w:r>
      <w:bookmarkEnd w:id="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7F5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tcPr>
          <w:p w14:paraId="720632AC">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建设内容</w:t>
            </w:r>
          </w:p>
          <w:p w14:paraId="21F60CC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1、基本情况</w:t>
            </w:r>
          </w:p>
          <w:p w14:paraId="6DE0F39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项目名称：吉林省和马科技有限责任公司建设项目</w:t>
            </w:r>
          </w:p>
          <w:p w14:paraId="6EA9912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建设性质：新建</w:t>
            </w:r>
          </w:p>
          <w:p w14:paraId="1FF57C5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建设地点：</w:t>
            </w:r>
            <w:r>
              <w:rPr>
                <w:rFonts w:hint="eastAsia" w:asciiTheme="minorEastAsia" w:hAnsiTheme="minorEastAsia" w:eastAsiaTheme="minorEastAsia"/>
                <w:sz w:val="24"/>
                <w:szCs w:val="24"/>
              </w:rPr>
              <w:t>白山市浑江区胜利煤业厂区内</w:t>
            </w:r>
          </w:p>
          <w:p w14:paraId="5CB8C2F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周边情况：厂界东侧、南侧为</w:t>
            </w:r>
            <w:r>
              <w:rPr>
                <w:rFonts w:hint="eastAsia" w:ascii="宋体" w:hAnsi="宋体"/>
                <w:sz w:val="24"/>
              </w:rPr>
              <w:t>白山市浑江区胜利煤业厂区</w:t>
            </w:r>
            <w:r>
              <w:rPr>
                <w:rFonts w:asciiTheme="minorEastAsia" w:hAnsiTheme="minorEastAsia" w:eastAsiaTheme="minorEastAsia"/>
                <w:sz w:val="24"/>
                <w:szCs w:val="24"/>
              </w:rPr>
              <w:t>，西侧为</w:t>
            </w:r>
            <w:r>
              <w:rPr>
                <w:rFonts w:hint="eastAsia" w:asciiTheme="minorEastAsia" w:hAnsiTheme="minorEastAsia" w:eastAsiaTheme="minorEastAsia"/>
                <w:sz w:val="24"/>
                <w:szCs w:val="24"/>
              </w:rPr>
              <w:t>空地</w:t>
            </w:r>
            <w:r>
              <w:rPr>
                <w:rFonts w:asciiTheme="minorEastAsia" w:hAnsiTheme="minorEastAsia" w:eastAsiaTheme="minorEastAsia"/>
                <w:sz w:val="24"/>
                <w:szCs w:val="24"/>
              </w:rPr>
              <w:t>，北侧为</w:t>
            </w:r>
            <w:r>
              <w:rPr>
                <w:rFonts w:hint="eastAsia" w:asciiTheme="minorEastAsia" w:hAnsiTheme="minorEastAsia" w:eastAsiaTheme="minorEastAsia"/>
                <w:sz w:val="24"/>
                <w:szCs w:val="24"/>
              </w:rPr>
              <w:t>空地</w:t>
            </w:r>
            <w:r>
              <w:rPr>
                <w:rFonts w:asciiTheme="minorEastAsia" w:hAnsiTheme="minorEastAsia" w:eastAsiaTheme="minorEastAsia"/>
                <w:sz w:val="24"/>
                <w:szCs w:val="24"/>
              </w:rPr>
              <w:t>及山体，距离本项目最近敏感点为西侧</w:t>
            </w:r>
            <w:r>
              <w:rPr>
                <w:rFonts w:hint="eastAsia" w:asciiTheme="minorEastAsia" w:hAnsiTheme="minorEastAsia" w:eastAsiaTheme="minorEastAsia"/>
                <w:sz w:val="24"/>
                <w:szCs w:val="24"/>
              </w:rPr>
              <w:t>75m处后山村村民</w:t>
            </w:r>
            <w:r>
              <w:rPr>
                <w:rFonts w:asciiTheme="minorEastAsia" w:hAnsiTheme="minorEastAsia" w:eastAsiaTheme="minorEastAsia"/>
                <w:sz w:val="24"/>
                <w:szCs w:val="24"/>
              </w:rPr>
              <w:t>。</w:t>
            </w:r>
          </w:p>
          <w:p w14:paraId="1713989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2、工程总投资及资金筹措</w:t>
            </w:r>
          </w:p>
          <w:p w14:paraId="487F094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本工程总投资</w:t>
            </w:r>
            <w:r>
              <w:rPr>
                <w:rFonts w:hint="eastAsia" w:asciiTheme="minorEastAsia" w:hAnsiTheme="minorEastAsia" w:eastAsiaTheme="minorEastAsia"/>
                <w:sz w:val="24"/>
                <w:szCs w:val="24"/>
              </w:rPr>
              <w:t>5000</w:t>
            </w:r>
            <w:r>
              <w:rPr>
                <w:rFonts w:asciiTheme="minorEastAsia" w:hAnsiTheme="minorEastAsia" w:eastAsiaTheme="minorEastAsia"/>
                <w:sz w:val="24"/>
                <w:szCs w:val="24"/>
              </w:rPr>
              <w:t>万元，</w:t>
            </w:r>
            <w:r>
              <w:rPr>
                <w:rFonts w:hint="eastAsia" w:asciiTheme="minorEastAsia" w:hAnsiTheme="minorEastAsia" w:eastAsiaTheme="minorEastAsia"/>
                <w:sz w:val="24"/>
                <w:szCs w:val="24"/>
              </w:rPr>
              <w:t>全部为企业自筹。</w:t>
            </w:r>
          </w:p>
          <w:p w14:paraId="7FD69A9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3、建设规模及内容</w:t>
            </w:r>
          </w:p>
          <w:p w14:paraId="30A878D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项目占地面积</w:t>
            </w:r>
            <w:r>
              <w:rPr>
                <w:rFonts w:hint="eastAsia" w:asciiTheme="minorEastAsia" w:hAnsiTheme="minorEastAsia" w:eastAsiaTheme="minorEastAsia"/>
                <w:sz w:val="24"/>
                <w:szCs w:val="24"/>
              </w:rPr>
              <w:t>9400</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，项目所占用地块土地性质为</w:t>
            </w:r>
            <w:r>
              <w:rPr>
                <w:rFonts w:hint="eastAsia" w:asciiTheme="minorEastAsia" w:hAnsiTheme="minorEastAsia" w:eastAsiaTheme="minorEastAsia"/>
                <w:sz w:val="24"/>
                <w:szCs w:val="24"/>
              </w:rPr>
              <w:t>采矿用地</w:t>
            </w:r>
            <w:r>
              <w:rPr>
                <w:rFonts w:asciiTheme="minorEastAsia" w:hAnsiTheme="minorEastAsia" w:eastAsiaTheme="minorEastAsia"/>
                <w:sz w:val="24"/>
                <w:szCs w:val="24"/>
              </w:rPr>
              <w:t>。利用厂区内现有厂房进行建设，</w:t>
            </w:r>
            <w:r>
              <w:rPr>
                <w:rFonts w:hint="eastAsia" w:asciiTheme="minorEastAsia" w:hAnsiTheme="minorEastAsia" w:eastAsiaTheme="minorEastAsia"/>
                <w:sz w:val="24"/>
                <w:szCs w:val="24"/>
              </w:rPr>
              <w:t>投产后</w:t>
            </w:r>
            <w:r>
              <w:rPr>
                <w:rFonts w:asciiTheme="minorEastAsia" w:hAnsiTheme="minorEastAsia" w:eastAsiaTheme="minorEastAsia"/>
                <w:sz w:val="24"/>
                <w:szCs w:val="24"/>
              </w:rPr>
              <w:t>年</w:t>
            </w:r>
            <w:r>
              <w:rPr>
                <w:rFonts w:hint="eastAsia" w:asciiTheme="minorEastAsia" w:hAnsiTheme="minorEastAsia" w:eastAsiaTheme="minorEastAsia"/>
                <w:sz w:val="24"/>
                <w:szCs w:val="24"/>
              </w:rPr>
              <w:t>产建筑用碎石粒径1.2cm10万t，粒径1.3cm10万t，建筑用砂9.5万t，石粉4999.6t</w:t>
            </w:r>
            <w:r>
              <w:rPr>
                <w:rFonts w:asciiTheme="minorEastAsia" w:hAnsiTheme="minorEastAsia" w:eastAsiaTheme="minorEastAsia"/>
                <w:sz w:val="24"/>
                <w:szCs w:val="24"/>
              </w:rPr>
              <w:t>。</w:t>
            </w:r>
          </w:p>
          <w:p w14:paraId="48A1A8E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4、建筑物情况</w:t>
            </w:r>
          </w:p>
          <w:p w14:paraId="043661E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详见表</w:t>
            </w:r>
            <w:r>
              <w:rPr>
                <w:rFonts w:hint="eastAsia" w:asciiTheme="minorEastAsia" w:hAnsiTheme="minorEastAsia" w:eastAsiaTheme="minorEastAsia"/>
                <w:sz w:val="24"/>
                <w:szCs w:val="24"/>
              </w:rPr>
              <w:t>2-1</w:t>
            </w:r>
            <w:r>
              <w:rPr>
                <w:rFonts w:asciiTheme="minorEastAsia" w:hAnsiTheme="minorEastAsia" w:eastAsiaTheme="minorEastAsia"/>
                <w:sz w:val="24"/>
                <w:szCs w:val="24"/>
              </w:rPr>
              <w:t>。</w:t>
            </w:r>
          </w:p>
          <w:p w14:paraId="270028AD">
            <w:pPr>
              <w:spacing w:line="360" w:lineRule="auto"/>
              <w:ind w:firstLine="482" w:firstLineChars="2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2-1</w:t>
            </w:r>
            <w:r>
              <w:rPr>
                <w:rFonts w:asciiTheme="minorEastAsia" w:hAnsiTheme="minorEastAsia" w:eastAsiaTheme="minorEastAsia"/>
                <w:b/>
                <w:bCs/>
                <w:sz w:val="24"/>
                <w:szCs w:val="24"/>
              </w:rPr>
              <w:t xml:space="preserve">  本项目建筑物情况一览表</w:t>
            </w:r>
            <w:r>
              <w:rPr>
                <w:rFonts w:hint="eastAsia" w:asciiTheme="minorEastAsia" w:hAnsiTheme="minorEastAsia" w:eastAsiaTheme="minorEastAsia"/>
                <w:b/>
                <w:bCs/>
                <w:sz w:val="24"/>
                <w:szCs w:val="24"/>
              </w:rPr>
              <w:t xml:space="preserve">   单位：㎡</w:t>
            </w:r>
          </w:p>
          <w:tbl>
            <w:tblPr>
              <w:tblStyle w:val="22"/>
              <w:tblW w:w="725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5810"/>
            </w:tblGrid>
            <w:tr w14:paraId="755BC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995" w:type="pct"/>
                  <w:tcBorders>
                    <w:tl2br w:val="nil"/>
                    <w:tr2bl w:val="nil"/>
                  </w:tcBorders>
                  <w:shd w:val="clear" w:color="auto" w:fill="auto"/>
                  <w:vAlign w:val="center"/>
                </w:tcPr>
                <w:p w14:paraId="2FCEBE0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建筑物</w:t>
                  </w:r>
                  <w:r>
                    <w:rPr>
                      <w:rFonts w:asciiTheme="minorEastAsia" w:hAnsiTheme="minorEastAsia" w:eastAsiaTheme="minorEastAsia"/>
                      <w:szCs w:val="21"/>
                    </w:rPr>
                    <w:t>名称</w:t>
                  </w:r>
                </w:p>
              </w:tc>
              <w:tc>
                <w:tcPr>
                  <w:tcW w:w="4005" w:type="pct"/>
                  <w:tcBorders>
                    <w:tl2br w:val="nil"/>
                    <w:tr2bl w:val="nil"/>
                  </w:tcBorders>
                  <w:shd w:val="clear" w:color="auto" w:fill="auto"/>
                  <w:vAlign w:val="center"/>
                </w:tcPr>
                <w:p w14:paraId="22BFAF4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面积</w:t>
                  </w:r>
                </w:p>
              </w:tc>
            </w:tr>
            <w:tr w14:paraId="0E4FCB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95" w:type="pct"/>
                  <w:tcBorders>
                    <w:tl2br w:val="nil"/>
                    <w:tr2bl w:val="nil"/>
                  </w:tcBorders>
                  <w:shd w:val="clear" w:color="auto" w:fill="auto"/>
                  <w:vAlign w:val="center"/>
                </w:tcPr>
                <w:p w14:paraId="32E4DA3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破碎车间</w:t>
                  </w:r>
                </w:p>
              </w:tc>
              <w:tc>
                <w:tcPr>
                  <w:tcW w:w="4005" w:type="pct"/>
                  <w:tcBorders>
                    <w:bottom w:val="single" w:color="auto" w:sz="4" w:space="0"/>
                    <w:tl2br w:val="nil"/>
                    <w:tr2bl w:val="nil"/>
                  </w:tcBorders>
                  <w:shd w:val="clear" w:color="auto" w:fill="auto"/>
                  <w:vAlign w:val="center"/>
                </w:tcPr>
                <w:p w14:paraId="0E1D0F1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800</w:t>
                  </w:r>
                </w:p>
              </w:tc>
            </w:tr>
            <w:tr w14:paraId="74435E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95" w:type="pct"/>
                  <w:tcBorders>
                    <w:tl2br w:val="nil"/>
                    <w:tr2bl w:val="nil"/>
                  </w:tcBorders>
                  <w:shd w:val="clear" w:color="auto" w:fill="auto"/>
                  <w:vAlign w:val="center"/>
                </w:tcPr>
                <w:p w14:paraId="12EA389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成品库房</w:t>
                  </w:r>
                </w:p>
              </w:tc>
              <w:tc>
                <w:tcPr>
                  <w:tcW w:w="4005" w:type="pct"/>
                  <w:tcBorders>
                    <w:bottom w:val="single" w:color="auto" w:sz="4" w:space="0"/>
                    <w:tl2br w:val="nil"/>
                    <w:tr2bl w:val="nil"/>
                  </w:tcBorders>
                  <w:shd w:val="clear" w:color="auto" w:fill="auto"/>
                  <w:vAlign w:val="center"/>
                </w:tcPr>
                <w:p w14:paraId="5E436CB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750</w:t>
                  </w:r>
                </w:p>
              </w:tc>
            </w:tr>
            <w:tr w14:paraId="59894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5" w:type="pct"/>
                  <w:tcBorders>
                    <w:tl2br w:val="nil"/>
                    <w:tr2bl w:val="nil"/>
                  </w:tcBorders>
                  <w:shd w:val="clear" w:color="auto" w:fill="auto"/>
                  <w:vAlign w:val="center"/>
                </w:tcPr>
                <w:p w14:paraId="345DB73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原料堆场</w:t>
                  </w:r>
                </w:p>
              </w:tc>
              <w:tc>
                <w:tcPr>
                  <w:tcW w:w="4005" w:type="pct"/>
                  <w:tcBorders>
                    <w:top w:val="single" w:color="auto" w:sz="4" w:space="0"/>
                    <w:tl2br w:val="nil"/>
                    <w:tr2bl w:val="nil"/>
                  </w:tcBorders>
                  <w:shd w:val="clear" w:color="auto" w:fill="auto"/>
                  <w:vAlign w:val="center"/>
                </w:tcPr>
                <w:p w14:paraId="38B6E4D0">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3000</w:t>
                  </w:r>
                </w:p>
              </w:tc>
            </w:tr>
            <w:tr w14:paraId="0E25C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5" w:type="pct"/>
                  <w:tcBorders>
                    <w:tl2br w:val="nil"/>
                    <w:tr2bl w:val="nil"/>
                  </w:tcBorders>
                  <w:shd w:val="clear" w:color="auto" w:fill="auto"/>
                  <w:vAlign w:val="center"/>
                </w:tcPr>
                <w:p w14:paraId="1730227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合计</w:t>
                  </w:r>
                </w:p>
              </w:tc>
              <w:tc>
                <w:tcPr>
                  <w:tcW w:w="4005" w:type="pct"/>
                  <w:tcBorders>
                    <w:tl2br w:val="nil"/>
                    <w:tr2bl w:val="nil"/>
                  </w:tcBorders>
                  <w:shd w:val="clear" w:color="auto" w:fill="auto"/>
                  <w:vAlign w:val="center"/>
                </w:tcPr>
                <w:p w14:paraId="10E3359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4550</w:t>
                  </w:r>
                </w:p>
              </w:tc>
            </w:tr>
          </w:tbl>
          <w:p w14:paraId="2581B1BB">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5、产品方案</w:t>
            </w:r>
          </w:p>
          <w:p w14:paraId="296BDE49">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本项目产品方案详见表</w:t>
            </w:r>
            <w:r>
              <w:rPr>
                <w:rFonts w:hint="eastAsia" w:asciiTheme="minorEastAsia" w:hAnsiTheme="minorEastAsia" w:eastAsiaTheme="minorEastAsia"/>
                <w:sz w:val="24"/>
                <w:szCs w:val="24"/>
                <w:u w:val="single"/>
              </w:rPr>
              <w:t>2-2</w:t>
            </w:r>
            <w:r>
              <w:rPr>
                <w:rFonts w:asciiTheme="minorEastAsia" w:hAnsiTheme="minorEastAsia" w:eastAsiaTheme="minorEastAsia"/>
                <w:sz w:val="24"/>
                <w:szCs w:val="24"/>
                <w:u w:val="single"/>
              </w:rPr>
              <w:t>。</w:t>
            </w:r>
          </w:p>
          <w:p w14:paraId="37F6E67C">
            <w:pPr>
              <w:spacing w:line="360" w:lineRule="auto"/>
              <w:ind w:firstLine="482" w:firstLineChars="200"/>
              <w:jc w:val="center"/>
              <w:rPr>
                <w:rFonts w:asciiTheme="minorEastAsia" w:hAnsiTheme="minorEastAsia" w:eastAsiaTheme="minorEastAsia"/>
                <w:b/>
                <w:bCs/>
                <w:sz w:val="24"/>
                <w:szCs w:val="24"/>
                <w:u w:val="single"/>
              </w:rPr>
            </w:pPr>
            <w:r>
              <w:rPr>
                <w:rFonts w:asciiTheme="minorEastAsia" w:hAnsiTheme="minorEastAsia" w:eastAsiaTheme="minorEastAsia"/>
                <w:b/>
                <w:bCs/>
                <w:sz w:val="24"/>
                <w:szCs w:val="24"/>
                <w:u w:val="single"/>
              </w:rPr>
              <w:t>表</w:t>
            </w:r>
            <w:r>
              <w:rPr>
                <w:rFonts w:hint="eastAsia" w:asciiTheme="minorEastAsia" w:hAnsiTheme="minorEastAsia" w:eastAsiaTheme="minorEastAsia"/>
                <w:b/>
                <w:bCs/>
                <w:sz w:val="24"/>
                <w:szCs w:val="24"/>
                <w:u w:val="single"/>
              </w:rPr>
              <w:t>2-2</w:t>
            </w:r>
            <w:r>
              <w:rPr>
                <w:rFonts w:asciiTheme="minorEastAsia" w:hAnsiTheme="minorEastAsia" w:eastAsiaTheme="minorEastAsia"/>
                <w:b/>
                <w:bCs/>
                <w:sz w:val="24"/>
                <w:szCs w:val="24"/>
                <w:u w:val="single"/>
              </w:rPr>
              <w:t xml:space="preserve">  本项目产品方案一览表</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03"/>
              <w:gridCol w:w="1134"/>
              <w:gridCol w:w="5099"/>
            </w:tblGrid>
            <w:tr w14:paraId="613CAB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35EC9B1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序号</w:t>
                  </w:r>
                </w:p>
              </w:tc>
              <w:tc>
                <w:tcPr>
                  <w:tcW w:w="766" w:type="pct"/>
                  <w:vAlign w:val="center"/>
                </w:tcPr>
                <w:p w14:paraId="53E3983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产品名称</w:t>
                  </w:r>
                </w:p>
              </w:tc>
              <w:tc>
                <w:tcPr>
                  <w:tcW w:w="667" w:type="pct"/>
                  <w:vAlign w:val="center"/>
                </w:tcPr>
                <w:p w14:paraId="10DF5AA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年产量</w:t>
                  </w:r>
                </w:p>
              </w:tc>
              <w:tc>
                <w:tcPr>
                  <w:tcW w:w="2999" w:type="pct"/>
                  <w:vAlign w:val="center"/>
                </w:tcPr>
                <w:p w14:paraId="3910388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规格</w:t>
                  </w:r>
                </w:p>
              </w:tc>
            </w:tr>
            <w:tr w14:paraId="512F5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5E1B288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1</w:t>
                  </w:r>
                </w:p>
              </w:tc>
              <w:tc>
                <w:tcPr>
                  <w:tcW w:w="766" w:type="pct"/>
                  <w:vAlign w:val="center"/>
                </w:tcPr>
                <w:p w14:paraId="028B579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建筑用碎石</w:t>
                  </w:r>
                </w:p>
              </w:tc>
              <w:tc>
                <w:tcPr>
                  <w:tcW w:w="667" w:type="pct"/>
                  <w:vAlign w:val="center"/>
                </w:tcPr>
                <w:p w14:paraId="2A64E2F1">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10万t</w:t>
                  </w:r>
                </w:p>
              </w:tc>
              <w:tc>
                <w:tcPr>
                  <w:tcW w:w="2999" w:type="pct"/>
                  <w:vAlign w:val="center"/>
                </w:tcPr>
                <w:p w14:paraId="5BD936A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粒径</w:t>
                  </w:r>
                  <w:r>
                    <w:rPr>
                      <w:rFonts w:hint="eastAsia" w:asciiTheme="minorEastAsia" w:hAnsiTheme="minorEastAsia" w:eastAsiaTheme="minorEastAsia"/>
                      <w:szCs w:val="21"/>
                      <w:u w:val="single"/>
                    </w:rPr>
                    <w:t>1.2cm</w:t>
                  </w:r>
                </w:p>
              </w:tc>
            </w:tr>
            <w:tr w14:paraId="5DBF1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3EB19FA0">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2</w:t>
                  </w:r>
                </w:p>
              </w:tc>
              <w:tc>
                <w:tcPr>
                  <w:tcW w:w="766" w:type="pct"/>
                  <w:vAlign w:val="center"/>
                </w:tcPr>
                <w:p w14:paraId="04B388A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建筑用碎石</w:t>
                  </w:r>
                </w:p>
              </w:tc>
              <w:tc>
                <w:tcPr>
                  <w:tcW w:w="667" w:type="pct"/>
                  <w:vAlign w:val="center"/>
                </w:tcPr>
                <w:p w14:paraId="3B9F337C">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10万t</w:t>
                  </w:r>
                </w:p>
              </w:tc>
              <w:tc>
                <w:tcPr>
                  <w:tcW w:w="2999" w:type="pct"/>
                  <w:vAlign w:val="center"/>
                </w:tcPr>
                <w:p w14:paraId="3661B1F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粒径</w:t>
                  </w:r>
                  <w:r>
                    <w:rPr>
                      <w:rFonts w:hint="eastAsia" w:asciiTheme="minorEastAsia" w:hAnsiTheme="minorEastAsia" w:eastAsiaTheme="minorEastAsia"/>
                      <w:szCs w:val="21"/>
                      <w:u w:val="single"/>
                    </w:rPr>
                    <w:t>1.3cm</w:t>
                  </w:r>
                </w:p>
              </w:tc>
            </w:tr>
            <w:tr w14:paraId="4494C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4F0E1D2F">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3</w:t>
                  </w:r>
                </w:p>
              </w:tc>
              <w:tc>
                <w:tcPr>
                  <w:tcW w:w="766" w:type="pct"/>
                  <w:vAlign w:val="center"/>
                </w:tcPr>
                <w:p w14:paraId="75D2827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建筑用砂</w:t>
                  </w:r>
                </w:p>
              </w:tc>
              <w:tc>
                <w:tcPr>
                  <w:tcW w:w="667" w:type="pct"/>
                  <w:vAlign w:val="center"/>
                </w:tcPr>
                <w:p w14:paraId="4262F92D">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9.5万t</w:t>
                  </w:r>
                </w:p>
              </w:tc>
              <w:tc>
                <w:tcPr>
                  <w:tcW w:w="2999" w:type="pct"/>
                  <w:vAlign w:val="center"/>
                </w:tcPr>
                <w:p w14:paraId="799B837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粒径</w:t>
                  </w:r>
                  <w:r>
                    <w:rPr>
                      <w:rFonts w:hint="eastAsia" w:asciiTheme="minorEastAsia" w:hAnsiTheme="minorEastAsia" w:eastAsiaTheme="minorEastAsia"/>
                      <w:szCs w:val="21"/>
                      <w:u w:val="single"/>
                    </w:rPr>
                    <w:t>3mm</w:t>
                  </w:r>
                </w:p>
              </w:tc>
            </w:tr>
            <w:tr w14:paraId="1D23E4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0E3D6349">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4</w:t>
                  </w:r>
                </w:p>
              </w:tc>
              <w:tc>
                <w:tcPr>
                  <w:tcW w:w="766" w:type="pct"/>
                  <w:vAlign w:val="center"/>
                </w:tcPr>
                <w:p w14:paraId="7FCFD97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石粉</w:t>
                  </w:r>
                </w:p>
              </w:tc>
              <w:tc>
                <w:tcPr>
                  <w:tcW w:w="667" w:type="pct"/>
                  <w:vAlign w:val="center"/>
                </w:tcPr>
                <w:p w14:paraId="561CFCA2">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4999.6t</w:t>
                  </w:r>
                </w:p>
              </w:tc>
              <w:tc>
                <w:tcPr>
                  <w:tcW w:w="2999" w:type="pct"/>
                  <w:vAlign w:val="center"/>
                </w:tcPr>
                <w:p w14:paraId="4D44BFD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粒径＜</w:t>
                  </w:r>
                  <w:r>
                    <w:rPr>
                      <w:rFonts w:hint="eastAsia" w:asciiTheme="minorEastAsia" w:hAnsiTheme="minorEastAsia" w:eastAsiaTheme="minorEastAsia"/>
                      <w:szCs w:val="21"/>
                      <w:u w:val="single"/>
                    </w:rPr>
                    <w:t>3mm</w:t>
                  </w:r>
                </w:p>
              </w:tc>
            </w:tr>
          </w:tbl>
          <w:p w14:paraId="1BD70E2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6、原辅料情况</w:t>
            </w:r>
          </w:p>
          <w:p w14:paraId="035CFC8B">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本项目主要原材料为矿山废弃石料，主要为石灰石，主要成分为碳酸钙，不接纳金属矿及重金属含量超标矿石。</w:t>
            </w:r>
          </w:p>
          <w:p w14:paraId="01C78ECC">
            <w:pPr>
              <w:spacing w:line="360" w:lineRule="auto"/>
              <w:ind w:firstLine="482" w:firstLineChars="200"/>
              <w:jc w:val="center"/>
              <w:rPr>
                <w:rFonts w:asciiTheme="minorEastAsia" w:hAnsiTheme="minorEastAsia" w:eastAsiaTheme="minorEastAsia"/>
                <w:b/>
                <w:bCs/>
                <w:sz w:val="24"/>
                <w:szCs w:val="24"/>
                <w:u w:val="single"/>
              </w:rPr>
            </w:pPr>
            <w:r>
              <w:rPr>
                <w:rFonts w:hint="eastAsia" w:asciiTheme="minorEastAsia" w:hAnsiTheme="minorEastAsia" w:eastAsiaTheme="minorEastAsia"/>
                <w:b/>
                <w:bCs/>
                <w:sz w:val="24"/>
                <w:szCs w:val="24"/>
                <w:u w:val="single"/>
              </w:rPr>
              <w:t>表2-3  本项目所用原辅材料情况</w:t>
            </w:r>
          </w:p>
          <w:tbl>
            <w:tblPr>
              <w:tblStyle w:val="57"/>
              <w:tblW w:w="7905"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822"/>
              <w:gridCol w:w="3100"/>
              <w:gridCol w:w="2983"/>
            </w:tblGrid>
            <w:tr w14:paraId="552BA4D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7" w:hRule="atLeast"/>
                <w:jc w:val="center"/>
              </w:trPr>
              <w:tc>
                <w:tcPr>
                  <w:tcW w:w="1822" w:type="dxa"/>
                </w:tcPr>
                <w:p w14:paraId="7D85A801">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序号</w:t>
                  </w:r>
                </w:p>
              </w:tc>
              <w:tc>
                <w:tcPr>
                  <w:tcW w:w="3100" w:type="dxa"/>
                </w:tcPr>
                <w:p w14:paraId="6465D725">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名称</w:t>
                  </w:r>
                </w:p>
              </w:tc>
              <w:tc>
                <w:tcPr>
                  <w:tcW w:w="2983" w:type="dxa"/>
                </w:tcPr>
                <w:p w14:paraId="221A6B1E">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用量（t/a）</w:t>
                  </w:r>
                </w:p>
              </w:tc>
            </w:tr>
            <w:tr w14:paraId="0ACC83D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8" w:hRule="atLeast"/>
                <w:jc w:val="center"/>
              </w:trPr>
              <w:tc>
                <w:tcPr>
                  <w:tcW w:w="1822" w:type="dxa"/>
                </w:tcPr>
                <w:p w14:paraId="6FC22DAB">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1</w:t>
                  </w:r>
                </w:p>
              </w:tc>
              <w:tc>
                <w:tcPr>
                  <w:tcW w:w="3100" w:type="dxa"/>
                </w:tcPr>
                <w:p w14:paraId="319A267B">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石灰石</w:t>
                  </w:r>
                </w:p>
              </w:tc>
              <w:tc>
                <w:tcPr>
                  <w:tcW w:w="2983" w:type="dxa"/>
                </w:tcPr>
                <w:p w14:paraId="79F1F0FA">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300567</w:t>
                  </w:r>
                </w:p>
              </w:tc>
            </w:tr>
          </w:tbl>
          <w:p w14:paraId="39FEC174">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项目位于吉林省白山市浑江区。该区域靠近吉林浑江经济开发区，而此开发区的新型建材产业园区拥有较为完备的产业集群，</w:t>
            </w:r>
            <w:r>
              <w:rPr>
                <w:rFonts w:hint="eastAsia" w:ascii="MS Mincho" w:hAnsi="MS Mincho" w:eastAsia="MS Mincho" w:cs="MS Mincho"/>
                <w:sz w:val="24"/>
                <w:szCs w:val="24"/>
                <w:u w:val="single"/>
              </w:rPr>
              <w:t>‌</w:t>
            </w:r>
            <w:r>
              <w:rPr>
                <w:rFonts w:hint="eastAsia" w:ascii="宋体" w:hAnsi="宋体" w:cs="宋体"/>
                <w:sz w:val="24"/>
                <w:szCs w:val="24"/>
                <w:u w:val="single"/>
              </w:rPr>
              <w:t>石灰石资源储量丰富</w:t>
            </w:r>
            <w:r>
              <w:rPr>
                <w:rFonts w:hint="eastAsia" w:ascii="MS Mincho" w:hAnsi="MS Mincho" w:eastAsia="MS Mincho" w:cs="MS Mincho"/>
                <w:sz w:val="24"/>
                <w:szCs w:val="24"/>
                <w:u w:val="single"/>
              </w:rPr>
              <w:t>‌</w:t>
            </w:r>
            <w:r>
              <w:rPr>
                <w:rFonts w:hint="eastAsia" w:ascii="宋体" w:hAnsi="宋体" w:cs="宋体"/>
                <w:sz w:val="24"/>
                <w:szCs w:val="24"/>
                <w:u w:val="single"/>
              </w:rPr>
              <w:t>，开采、物流等配套设施均较为完善。这为本项目原料的稳定供应提供了良好的保障。石灰石本身是储量巨大、分布广泛、易于开采加工的自然资源。</w:t>
            </w:r>
          </w:p>
          <w:p w14:paraId="3AADD54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、工程组成</w:t>
            </w:r>
          </w:p>
          <w:p w14:paraId="5DF0AEF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本项目工程组成情况详见表</w:t>
            </w:r>
            <w:r>
              <w:rPr>
                <w:rFonts w:hint="eastAsia" w:asciiTheme="minorEastAsia" w:hAnsiTheme="minorEastAsia" w:eastAsiaTheme="minorEastAsia"/>
                <w:sz w:val="24"/>
                <w:szCs w:val="24"/>
              </w:rPr>
              <w:t>2-4</w:t>
            </w:r>
            <w:r>
              <w:rPr>
                <w:rFonts w:asciiTheme="minorEastAsia" w:hAnsiTheme="minorEastAsia" w:eastAsiaTheme="minorEastAsia"/>
                <w:sz w:val="24"/>
                <w:szCs w:val="24"/>
              </w:rPr>
              <w:t>。</w:t>
            </w:r>
          </w:p>
          <w:p w14:paraId="32B6EFBC">
            <w:pPr>
              <w:spacing w:line="360" w:lineRule="auto"/>
              <w:ind w:firstLine="482" w:firstLineChars="2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2-4</w:t>
            </w:r>
            <w:r>
              <w:rPr>
                <w:rFonts w:asciiTheme="minorEastAsia" w:hAnsiTheme="minorEastAsia" w:eastAsiaTheme="minorEastAsia"/>
                <w:b/>
                <w:bCs/>
                <w:sz w:val="24"/>
                <w:szCs w:val="24"/>
              </w:rPr>
              <w:t xml:space="preserve">  本项目工程组成情况一览表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6"/>
              <w:gridCol w:w="6233"/>
            </w:tblGrid>
            <w:tr w14:paraId="36D34B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14:paraId="46315EB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工程组成</w:t>
                  </w:r>
                </w:p>
              </w:tc>
              <w:tc>
                <w:tcPr>
                  <w:tcW w:w="668" w:type="pct"/>
                  <w:vAlign w:val="center"/>
                </w:tcPr>
                <w:p w14:paraId="7824F56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建设内容</w:t>
                  </w:r>
                </w:p>
              </w:tc>
              <w:tc>
                <w:tcPr>
                  <w:tcW w:w="3666" w:type="pct"/>
                  <w:vAlign w:val="center"/>
                </w:tcPr>
                <w:p w14:paraId="391902C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建设情况</w:t>
                  </w:r>
                </w:p>
              </w:tc>
            </w:tr>
            <w:tr w14:paraId="31090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66" w:type="pct"/>
                  <w:vAlign w:val="center"/>
                </w:tcPr>
                <w:p w14:paraId="38C922A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主体工程</w:t>
                  </w:r>
                </w:p>
              </w:tc>
              <w:tc>
                <w:tcPr>
                  <w:tcW w:w="668" w:type="pct"/>
                  <w:tcBorders>
                    <w:bottom w:val="single" w:color="auto" w:sz="8" w:space="0"/>
                  </w:tcBorders>
                  <w:vAlign w:val="center"/>
                </w:tcPr>
                <w:p w14:paraId="56D4A44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破碎车间</w:t>
                  </w:r>
                </w:p>
              </w:tc>
              <w:tc>
                <w:tcPr>
                  <w:tcW w:w="3666" w:type="pct"/>
                  <w:tcBorders>
                    <w:bottom w:val="single" w:color="auto" w:sz="8" w:space="0"/>
                  </w:tcBorders>
                  <w:vAlign w:val="center"/>
                </w:tcPr>
                <w:p w14:paraId="4C0514A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建筑面积</w:t>
                  </w:r>
                  <w:r>
                    <w:rPr>
                      <w:rFonts w:hint="eastAsia" w:asciiTheme="minorEastAsia" w:hAnsiTheme="minorEastAsia" w:eastAsiaTheme="minorEastAsia"/>
                      <w:szCs w:val="21"/>
                      <w:u w:val="single"/>
                    </w:rPr>
                    <w:t>800㎡，为现有已建成厂房，用于工艺破碎</w:t>
                  </w:r>
                </w:p>
              </w:tc>
            </w:tr>
            <w:tr w14:paraId="75512B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292AB60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辅助工程</w:t>
                  </w:r>
                </w:p>
              </w:tc>
              <w:tc>
                <w:tcPr>
                  <w:tcW w:w="668" w:type="pct"/>
                  <w:vAlign w:val="center"/>
                </w:tcPr>
                <w:p w14:paraId="175E575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成品库房</w:t>
                  </w:r>
                </w:p>
              </w:tc>
              <w:tc>
                <w:tcPr>
                  <w:tcW w:w="3666" w:type="pct"/>
                  <w:vAlign w:val="center"/>
                </w:tcPr>
                <w:p w14:paraId="572287F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建筑面积</w:t>
                  </w:r>
                  <w:r>
                    <w:rPr>
                      <w:rFonts w:hint="eastAsia" w:asciiTheme="minorEastAsia" w:hAnsiTheme="minorEastAsia" w:eastAsiaTheme="minorEastAsia"/>
                      <w:szCs w:val="21"/>
                      <w:u w:val="single"/>
                    </w:rPr>
                    <w:t>750㎡，用于产品储存</w:t>
                  </w:r>
                </w:p>
              </w:tc>
            </w:tr>
            <w:tr w14:paraId="0F27C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66" w:type="pct"/>
                  <w:vMerge w:val="continue"/>
                  <w:vAlign w:val="center"/>
                </w:tcPr>
                <w:p w14:paraId="615518AB">
                  <w:pPr>
                    <w:adjustRightInd w:val="0"/>
                    <w:snapToGrid w:val="0"/>
                    <w:jc w:val="center"/>
                    <w:rPr>
                      <w:rFonts w:asciiTheme="minorEastAsia" w:hAnsiTheme="minorEastAsia" w:eastAsiaTheme="minorEastAsia"/>
                      <w:szCs w:val="21"/>
                      <w:u w:val="single"/>
                    </w:rPr>
                  </w:pPr>
                </w:p>
              </w:tc>
              <w:tc>
                <w:tcPr>
                  <w:tcW w:w="668" w:type="pct"/>
                  <w:vAlign w:val="center"/>
                </w:tcPr>
                <w:p w14:paraId="1BFAEE8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原料堆场</w:t>
                  </w:r>
                </w:p>
              </w:tc>
              <w:tc>
                <w:tcPr>
                  <w:tcW w:w="3666" w:type="pct"/>
                  <w:vAlign w:val="center"/>
                </w:tcPr>
                <w:p w14:paraId="7B173314">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占地3000㎡（50m*60m），用于堆存原材料，</w:t>
                  </w:r>
                  <w:r>
                    <w:rPr>
                      <w:rFonts w:hint="eastAsia" w:ascii="宋体" w:hAnsi="宋体"/>
                      <w:szCs w:val="21"/>
                      <w:u w:val="single"/>
                    </w:rPr>
                    <w:t>防渗硬化处理，上整体全覆盖苫布，并设置总长220m，2.5m高防风抑尘网</w:t>
                  </w:r>
                </w:p>
              </w:tc>
            </w:tr>
            <w:tr w14:paraId="1E609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66" w:type="pct"/>
                  <w:vMerge w:val="continue"/>
                  <w:vAlign w:val="center"/>
                </w:tcPr>
                <w:p w14:paraId="78C8774A">
                  <w:pPr>
                    <w:adjustRightInd w:val="0"/>
                    <w:snapToGrid w:val="0"/>
                    <w:jc w:val="center"/>
                    <w:rPr>
                      <w:rFonts w:asciiTheme="minorEastAsia" w:hAnsiTheme="minorEastAsia" w:eastAsiaTheme="minorEastAsia"/>
                      <w:szCs w:val="21"/>
                      <w:u w:val="single"/>
                    </w:rPr>
                  </w:pPr>
                </w:p>
              </w:tc>
              <w:tc>
                <w:tcPr>
                  <w:tcW w:w="668" w:type="pct"/>
                  <w:vAlign w:val="center"/>
                </w:tcPr>
                <w:p w14:paraId="04CA7B6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石粉筒仓</w:t>
                  </w:r>
                </w:p>
              </w:tc>
              <w:tc>
                <w:tcPr>
                  <w:tcW w:w="3666" w:type="pct"/>
                  <w:vAlign w:val="center"/>
                </w:tcPr>
                <w:p w14:paraId="71BB1BB2">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2座，单个有效容积30m³</w:t>
                  </w:r>
                </w:p>
              </w:tc>
            </w:tr>
            <w:tr w14:paraId="373824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666" w:type="pct"/>
                  <w:vMerge w:val="continue"/>
                  <w:vAlign w:val="center"/>
                </w:tcPr>
                <w:p w14:paraId="1B57E8E6">
                  <w:pPr>
                    <w:adjustRightInd w:val="0"/>
                    <w:snapToGrid w:val="0"/>
                    <w:jc w:val="center"/>
                    <w:rPr>
                      <w:rFonts w:asciiTheme="minorEastAsia" w:hAnsiTheme="minorEastAsia" w:eastAsiaTheme="minorEastAsia"/>
                      <w:szCs w:val="21"/>
                      <w:u w:val="single"/>
                    </w:rPr>
                  </w:pPr>
                </w:p>
              </w:tc>
              <w:tc>
                <w:tcPr>
                  <w:tcW w:w="668" w:type="pct"/>
                  <w:vAlign w:val="center"/>
                </w:tcPr>
                <w:p w14:paraId="1A6DDB3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防渗旱厕</w:t>
                  </w:r>
                </w:p>
              </w:tc>
              <w:tc>
                <w:tcPr>
                  <w:tcW w:w="3666" w:type="pct"/>
                  <w:vAlign w:val="center"/>
                </w:tcPr>
                <w:p w14:paraId="3DCAB96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占地</w:t>
                  </w:r>
                  <w:r>
                    <w:rPr>
                      <w:rFonts w:hint="eastAsia" w:asciiTheme="minorEastAsia" w:hAnsiTheme="minorEastAsia" w:eastAsiaTheme="minorEastAsia"/>
                      <w:szCs w:val="21"/>
                      <w:u w:val="single"/>
                    </w:rPr>
                    <w:t>5㎡</w:t>
                  </w:r>
                </w:p>
              </w:tc>
            </w:tr>
            <w:tr w14:paraId="20CC5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10827125">
                  <w:pPr>
                    <w:adjustRightInd w:val="0"/>
                    <w:snapToGrid w:val="0"/>
                    <w:jc w:val="center"/>
                    <w:rPr>
                      <w:rFonts w:asciiTheme="minorEastAsia" w:hAnsiTheme="minorEastAsia" w:eastAsiaTheme="minorEastAsia"/>
                      <w:szCs w:val="21"/>
                      <w:u w:val="single"/>
                    </w:rPr>
                  </w:pPr>
                </w:p>
              </w:tc>
              <w:tc>
                <w:tcPr>
                  <w:tcW w:w="668" w:type="pct"/>
                  <w:vAlign w:val="center"/>
                </w:tcPr>
                <w:p w14:paraId="3D6610F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沉淀池</w:t>
                  </w:r>
                </w:p>
              </w:tc>
              <w:tc>
                <w:tcPr>
                  <w:tcW w:w="3666" w:type="pct"/>
                  <w:vAlign w:val="center"/>
                </w:tcPr>
                <w:p w14:paraId="6322235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用于收集原料堆场淋溶水，有效容积72.00m</w:t>
                  </w:r>
                  <w:r>
                    <w:rPr>
                      <w:rFonts w:asciiTheme="minorEastAsia" w:hAnsiTheme="minorEastAsia" w:eastAsiaTheme="minorEastAsia"/>
                      <w:szCs w:val="21"/>
                      <w:u w:val="single"/>
                      <w:vertAlign w:val="superscript"/>
                    </w:rPr>
                    <w:t>3</w:t>
                  </w:r>
                  <w:r>
                    <w:rPr>
                      <w:rFonts w:asciiTheme="minorEastAsia" w:hAnsiTheme="minorEastAsia" w:eastAsiaTheme="minorEastAsia"/>
                      <w:szCs w:val="21"/>
                      <w:u w:val="single"/>
                    </w:rPr>
                    <w:t>（8m×5m×1.8m）</w:t>
                  </w:r>
                </w:p>
              </w:tc>
            </w:tr>
            <w:tr w14:paraId="014A0C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44649EC6">
                  <w:pPr>
                    <w:adjustRightInd w:val="0"/>
                    <w:snapToGrid w:val="0"/>
                    <w:jc w:val="center"/>
                    <w:rPr>
                      <w:rFonts w:asciiTheme="minorEastAsia" w:hAnsiTheme="minorEastAsia" w:eastAsiaTheme="minorEastAsia"/>
                      <w:szCs w:val="21"/>
                      <w:u w:val="single"/>
                    </w:rPr>
                  </w:pPr>
                </w:p>
              </w:tc>
              <w:tc>
                <w:tcPr>
                  <w:tcW w:w="668" w:type="pct"/>
                  <w:vAlign w:val="center"/>
                </w:tcPr>
                <w:p w14:paraId="41FA6E8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厂界围挡</w:t>
                  </w:r>
                </w:p>
              </w:tc>
              <w:tc>
                <w:tcPr>
                  <w:tcW w:w="3666" w:type="pct"/>
                  <w:vAlign w:val="center"/>
                </w:tcPr>
                <w:p w14:paraId="18CBD7C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厂界整体设置</w:t>
                  </w:r>
                  <w:r>
                    <w:rPr>
                      <w:rFonts w:hint="eastAsia" w:asciiTheme="minorEastAsia" w:hAnsiTheme="minorEastAsia" w:eastAsiaTheme="minorEastAsia"/>
                      <w:szCs w:val="21"/>
                      <w:u w:val="single"/>
                    </w:rPr>
                    <w:t>2.5m高</w:t>
                  </w:r>
                  <w:r>
                    <w:rPr>
                      <w:rFonts w:asciiTheme="minorEastAsia" w:hAnsiTheme="minorEastAsia" w:eastAsiaTheme="minorEastAsia"/>
                      <w:szCs w:val="21"/>
                      <w:u w:val="single"/>
                    </w:rPr>
                    <w:t>围挡</w:t>
                  </w:r>
                </w:p>
              </w:tc>
            </w:tr>
            <w:tr w14:paraId="4EC1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3609936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公用工程</w:t>
                  </w:r>
                </w:p>
              </w:tc>
              <w:tc>
                <w:tcPr>
                  <w:tcW w:w="668" w:type="pct"/>
                  <w:vAlign w:val="center"/>
                </w:tcPr>
                <w:p w14:paraId="558AA47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供电</w:t>
                  </w:r>
                </w:p>
              </w:tc>
              <w:tc>
                <w:tcPr>
                  <w:tcW w:w="3666" w:type="pct"/>
                  <w:vAlign w:val="center"/>
                </w:tcPr>
                <w:p w14:paraId="2A8639B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市政电网统一供给</w:t>
                  </w:r>
                </w:p>
              </w:tc>
            </w:tr>
            <w:tr w14:paraId="78B9DE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2A1B4F76">
                  <w:pPr>
                    <w:adjustRightInd w:val="0"/>
                    <w:snapToGrid w:val="0"/>
                    <w:jc w:val="center"/>
                    <w:rPr>
                      <w:rFonts w:asciiTheme="minorEastAsia" w:hAnsiTheme="minorEastAsia" w:eastAsiaTheme="minorEastAsia"/>
                      <w:szCs w:val="21"/>
                      <w:u w:val="single"/>
                    </w:rPr>
                  </w:pPr>
                </w:p>
              </w:tc>
              <w:tc>
                <w:tcPr>
                  <w:tcW w:w="668" w:type="pct"/>
                  <w:vAlign w:val="center"/>
                </w:tcPr>
                <w:p w14:paraId="4800033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供水</w:t>
                  </w:r>
                </w:p>
              </w:tc>
              <w:tc>
                <w:tcPr>
                  <w:tcW w:w="3666" w:type="pct"/>
                  <w:vAlign w:val="center"/>
                </w:tcPr>
                <w:p w14:paraId="2C26041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生活用水由水井供给</w:t>
                  </w:r>
                </w:p>
              </w:tc>
            </w:tr>
            <w:tr w14:paraId="015FAD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03154559">
                  <w:pPr>
                    <w:adjustRightInd w:val="0"/>
                    <w:snapToGrid w:val="0"/>
                    <w:jc w:val="center"/>
                    <w:rPr>
                      <w:rFonts w:asciiTheme="minorEastAsia" w:hAnsiTheme="minorEastAsia" w:eastAsiaTheme="minorEastAsia"/>
                      <w:szCs w:val="21"/>
                      <w:u w:val="single"/>
                    </w:rPr>
                  </w:pPr>
                </w:p>
              </w:tc>
              <w:tc>
                <w:tcPr>
                  <w:tcW w:w="668" w:type="pct"/>
                  <w:vAlign w:val="center"/>
                </w:tcPr>
                <w:p w14:paraId="2F6BAED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供热</w:t>
                  </w:r>
                </w:p>
              </w:tc>
              <w:tc>
                <w:tcPr>
                  <w:tcW w:w="3666" w:type="pct"/>
                  <w:vAlign w:val="center"/>
                </w:tcPr>
                <w:p w14:paraId="5BF0814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生产不用热，冬季采用电取暖</w:t>
                  </w:r>
                </w:p>
              </w:tc>
            </w:tr>
            <w:tr w14:paraId="57F2F9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6" w:type="pct"/>
                  <w:vMerge w:val="continue"/>
                  <w:vAlign w:val="center"/>
                </w:tcPr>
                <w:p w14:paraId="51C3AE64">
                  <w:pPr>
                    <w:adjustRightInd w:val="0"/>
                    <w:snapToGrid w:val="0"/>
                    <w:jc w:val="center"/>
                    <w:rPr>
                      <w:rFonts w:asciiTheme="minorEastAsia" w:hAnsiTheme="minorEastAsia" w:eastAsiaTheme="minorEastAsia"/>
                      <w:szCs w:val="21"/>
                      <w:u w:val="single"/>
                    </w:rPr>
                  </w:pPr>
                </w:p>
              </w:tc>
              <w:tc>
                <w:tcPr>
                  <w:tcW w:w="668" w:type="pct"/>
                  <w:vAlign w:val="center"/>
                </w:tcPr>
                <w:p w14:paraId="202CC7CA">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排水</w:t>
                  </w:r>
                </w:p>
              </w:tc>
              <w:tc>
                <w:tcPr>
                  <w:tcW w:w="3666" w:type="pct"/>
                  <w:vAlign w:val="center"/>
                </w:tcPr>
                <w:p w14:paraId="7E9F7CCE">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无</w:t>
                  </w:r>
                  <w:r>
                    <w:rPr>
                      <w:rFonts w:asciiTheme="minorEastAsia" w:hAnsiTheme="minorEastAsia" w:eastAsiaTheme="minorEastAsia"/>
                      <w:szCs w:val="21"/>
                      <w:u w:val="single"/>
                    </w:rPr>
                    <w:t>生产废水产生，生活污水排入防渗旱厕</w:t>
                  </w:r>
                  <w:r>
                    <w:rPr>
                      <w:rFonts w:hint="eastAsia" w:asciiTheme="minorEastAsia" w:hAnsiTheme="minorEastAsia" w:eastAsiaTheme="minorEastAsia"/>
                      <w:szCs w:val="21"/>
                      <w:u w:val="single"/>
                    </w:rPr>
                    <w:t>定期委托环卫部门清掏</w:t>
                  </w:r>
                </w:p>
              </w:tc>
            </w:tr>
            <w:tr w14:paraId="4D2D3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6" w:type="pct"/>
                  <w:vMerge w:val="restart"/>
                  <w:vAlign w:val="center"/>
                </w:tcPr>
                <w:p w14:paraId="09AF39A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环保工程</w:t>
                  </w:r>
                </w:p>
              </w:tc>
              <w:tc>
                <w:tcPr>
                  <w:tcW w:w="668" w:type="pct"/>
                  <w:vAlign w:val="center"/>
                </w:tcPr>
                <w:p w14:paraId="6B9021D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废水</w:t>
                  </w:r>
                </w:p>
              </w:tc>
              <w:tc>
                <w:tcPr>
                  <w:tcW w:w="3666" w:type="pct"/>
                  <w:vAlign w:val="center"/>
                </w:tcPr>
                <w:p w14:paraId="34593E90">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无</w:t>
                  </w:r>
                  <w:r>
                    <w:rPr>
                      <w:rFonts w:asciiTheme="minorEastAsia" w:hAnsiTheme="minorEastAsia" w:eastAsiaTheme="minorEastAsia"/>
                      <w:szCs w:val="21"/>
                      <w:u w:val="single"/>
                    </w:rPr>
                    <w:t>生产废水产生，生活污水排入防渗旱厕</w:t>
                  </w:r>
                  <w:r>
                    <w:rPr>
                      <w:rFonts w:hint="eastAsia" w:asciiTheme="minorEastAsia" w:hAnsiTheme="minorEastAsia" w:eastAsiaTheme="minorEastAsia"/>
                      <w:szCs w:val="21"/>
                      <w:u w:val="single"/>
                    </w:rPr>
                    <w:t>定期委托环卫部门清掏</w:t>
                  </w:r>
                </w:p>
              </w:tc>
            </w:tr>
            <w:tr w14:paraId="5323B5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66" w:type="pct"/>
                  <w:vMerge w:val="continue"/>
                  <w:vAlign w:val="center"/>
                </w:tcPr>
                <w:p w14:paraId="5FB8A144">
                  <w:pPr>
                    <w:adjustRightInd w:val="0"/>
                    <w:snapToGrid w:val="0"/>
                    <w:jc w:val="center"/>
                    <w:rPr>
                      <w:rFonts w:asciiTheme="minorEastAsia" w:hAnsiTheme="minorEastAsia" w:eastAsiaTheme="minorEastAsia"/>
                      <w:szCs w:val="21"/>
                      <w:u w:val="single"/>
                    </w:rPr>
                  </w:pPr>
                </w:p>
              </w:tc>
              <w:tc>
                <w:tcPr>
                  <w:tcW w:w="668" w:type="pct"/>
                  <w:vMerge w:val="restart"/>
                  <w:vAlign w:val="center"/>
                </w:tcPr>
                <w:p w14:paraId="6929A1C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废气</w:t>
                  </w:r>
                </w:p>
              </w:tc>
              <w:tc>
                <w:tcPr>
                  <w:tcW w:w="3666" w:type="pct"/>
                </w:tcPr>
                <w:p w14:paraId="1778625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破碎厂房密闭，破碎厂房顶部设置集气罩，通过风机收集至布袋除尘器去除颗粒物，最终通过15m高，内径0.3m排气筒排放（DA001）</w:t>
                  </w:r>
                </w:p>
              </w:tc>
            </w:tr>
            <w:tr w14:paraId="528D3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6" w:type="pct"/>
                  <w:vMerge w:val="continue"/>
                  <w:vAlign w:val="center"/>
                </w:tcPr>
                <w:p w14:paraId="20F20BD0">
                  <w:pPr>
                    <w:adjustRightInd w:val="0"/>
                    <w:snapToGrid w:val="0"/>
                    <w:jc w:val="center"/>
                    <w:rPr>
                      <w:rFonts w:asciiTheme="minorEastAsia" w:hAnsiTheme="minorEastAsia" w:eastAsiaTheme="minorEastAsia"/>
                      <w:szCs w:val="21"/>
                      <w:u w:val="single"/>
                    </w:rPr>
                  </w:pPr>
                </w:p>
              </w:tc>
              <w:tc>
                <w:tcPr>
                  <w:tcW w:w="668" w:type="pct"/>
                  <w:vMerge w:val="continue"/>
                  <w:vAlign w:val="center"/>
                </w:tcPr>
                <w:p w14:paraId="745776F1">
                  <w:pPr>
                    <w:adjustRightInd w:val="0"/>
                    <w:snapToGrid w:val="0"/>
                    <w:jc w:val="center"/>
                    <w:rPr>
                      <w:rFonts w:asciiTheme="minorEastAsia" w:hAnsiTheme="minorEastAsia" w:eastAsiaTheme="minorEastAsia"/>
                      <w:szCs w:val="21"/>
                      <w:u w:val="single"/>
                    </w:rPr>
                  </w:pPr>
                </w:p>
              </w:tc>
              <w:tc>
                <w:tcPr>
                  <w:tcW w:w="3666" w:type="pct"/>
                </w:tcPr>
                <w:p w14:paraId="7FCBE617">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通过保持破碎厂房密闭、维持微负压状态、定期检查维护集气系统；原料堆场采用洒水降尘、苫布及抑尘网覆盖；运输道路洒水降尘，</w:t>
                  </w:r>
                </w:p>
              </w:tc>
            </w:tr>
            <w:tr w14:paraId="0EA05A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6" w:type="pct"/>
                  <w:vMerge w:val="continue"/>
                  <w:vAlign w:val="center"/>
                </w:tcPr>
                <w:p w14:paraId="164C7716">
                  <w:pPr>
                    <w:adjustRightInd w:val="0"/>
                    <w:snapToGrid w:val="0"/>
                    <w:jc w:val="center"/>
                    <w:rPr>
                      <w:rFonts w:asciiTheme="minorEastAsia" w:hAnsiTheme="minorEastAsia" w:eastAsiaTheme="minorEastAsia"/>
                      <w:szCs w:val="21"/>
                      <w:u w:val="single"/>
                    </w:rPr>
                  </w:pPr>
                </w:p>
              </w:tc>
              <w:tc>
                <w:tcPr>
                  <w:tcW w:w="668" w:type="pct"/>
                  <w:vMerge w:val="continue"/>
                  <w:vAlign w:val="center"/>
                </w:tcPr>
                <w:p w14:paraId="584F62AF">
                  <w:pPr>
                    <w:adjustRightInd w:val="0"/>
                    <w:snapToGrid w:val="0"/>
                    <w:jc w:val="center"/>
                    <w:rPr>
                      <w:rFonts w:asciiTheme="minorEastAsia" w:hAnsiTheme="minorEastAsia" w:eastAsiaTheme="minorEastAsia"/>
                      <w:szCs w:val="21"/>
                      <w:u w:val="single"/>
                    </w:rPr>
                  </w:pPr>
                </w:p>
              </w:tc>
              <w:tc>
                <w:tcPr>
                  <w:tcW w:w="3666" w:type="pct"/>
                </w:tcPr>
                <w:p w14:paraId="7A5365A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石粉筒仓粉尘</w:t>
                  </w:r>
                  <w:r>
                    <w:rPr>
                      <w:rFonts w:hint="eastAsia" w:asciiTheme="minorEastAsia" w:hAnsiTheme="minorEastAsia" w:eastAsiaTheme="minorEastAsia"/>
                      <w:szCs w:val="21"/>
                      <w:u w:val="single"/>
                    </w:rPr>
                    <w:t>经仓顶除尘器处理后通过排气口直接排出</w:t>
                  </w:r>
                </w:p>
              </w:tc>
            </w:tr>
            <w:tr w14:paraId="305BB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5A433255">
                  <w:pPr>
                    <w:adjustRightInd w:val="0"/>
                    <w:snapToGrid w:val="0"/>
                    <w:jc w:val="center"/>
                    <w:rPr>
                      <w:rFonts w:asciiTheme="minorEastAsia" w:hAnsiTheme="minorEastAsia" w:eastAsiaTheme="minorEastAsia"/>
                      <w:szCs w:val="21"/>
                      <w:u w:val="single"/>
                    </w:rPr>
                  </w:pPr>
                </w:p>
              </w:tc>
              <w:tc>
                <w:tcPr>
                  <w:tcW w:w="668" w:type="pct"/>
                  <w:vAlign w:val="center"/>
                </w:tcPr>
                <w:p w14:paraId="44223D3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噪声</w:t>
                  </w:r>
                </w:p>
              </w:tc>
              <w:tc>
                <w:tcPr>
                  <w:tcW w:w="3666" w:type="pct"/>
                  <w:vAlign w:val="center"/>
                </w:tcPr>
                <w:p w14:paraId="43D3279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选购低噪设备、基础减震、按时对设备进行维护</w:t>
                  </w:r>
                </w:p>
              </w:tc>
            </w:tr>
            <w:tr w14:paraId="1D4BF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vAlign w:val="center"/>
                </w:tcPr>
                <w:p w14:paraId="08B3F190">
                  <w:pPr>
                    <w:adjustRightInd w:val="0"/>
                    <w:snapToGrid w:val="0"/>
                    <w:jc w:val="center"/>
                    <w:rPr>
                      <w:rFonts w:asciiTheme="minorEastAsia" w:hAnsiTheme="minorEastAsia" w:eastAsiaTheme="minorEastAsia"/>
                      <w:szCs w:val="21"/>
                      <w:u w:val="single"/>
                    </w:rPr>
                  </w:pPr>
                </w:p>
              </w:tc>
              <w:tc>
                <w:tcPr>
                  <w:tcW w:w="668" w:type="pct"/>
                  <w:vAlign w:val="center"/>
                </w:tcPr>
                <w:p w14:paraId="2D2C71D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固体废物</w:t>
                  </w:r>
                </w:p>
              </w:tc>
              <w:tc>
                <w:tcPr>
                  <w:tcW w:w="3666" w:type="pct"/>
                  <w:vAlign w:val="center"/>
                </w:tcPr>
                <w:p w14:paraId="7C608F2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生活垃圾、</w:t>
                  </w:r>
                  <w:r>
                    <w:rPr>
                      <w:rFonts w:hint="eastAsia" w:asciiTheme="minorEastAsia" w:hAnsiTheme="minorEastAsia" w:eastAsiaTheme="minorEastAsia"/>
                      <w:szCs w:val="21"/>
                      <w:u w:val="single"/>
                    </w:rPr>
                    <w:t>沉淀物</w:t>
                  </w:r>
                  <w:r>
                    <w:rPr>
                      <w:rFonts w:asciiTheme="minorEastAsia" w:hAnsiTheme="minorEastAsia" w:eastAsiaTheme="minorEastAsia"/>
                      <w:szCs w:val="21"/>
                      <w:u w:val="single"/>
                    </w:rPr>
                    <w:t>暂存垃圾箱，由环卫部门统一处理；</w:t>
                  </w:r>
                  <w:r>
                    <w:rPr>
                      <w:rFonts w:hint="eastAsia" w:asciiTheme="minorEastAsia" w:hAnsiTheme="minorEastAsia" w:eastAsiaTheme="minorEastAsia"/>
                      <w:szCs w:val="21"/>
                      <w:u w:val="single"/>
                    </w:rPr>
                    <w:t>除尘灰</w:t>
                  </w:r>
                  <w:r>
                    <w:rPr>
                      <w:rFonts w:asciiTheme="minorEastAsia" w:hAnsiTheme="minorEastAsia" w:eastAsiaTheme="minorEastAsia"/>
                      <w:szCs w:val="21"/>
                      <w:u w:val="single"/>
                    </w:rPr>
                    <w:t>及自然沉降粉尘作为产品外售，废旧布袋</w:t>
                  </w:r>
                  <w:r>
                    <w:rPr>
                      <w:rFonts w:hint="eastAsia" w:asciiTheme="minorEastAsia" w:hAnsiTheme="minorEastAsia" w:eastAsiaTheme="minorEastAsia"/>
                      <w:szCs w:val="21"/>
                      <w:u w:val="single"/>
                    </w:rPr>
                    <w:t>由厂家回收利用，废机油、废油桶、废含油抹布暂存于危险废物储存间，定期委托有资质单位处理</w:t>
                  </w:r>
                </w:p>
              </w:tc>
            </w:tr>
          </w:tbl>
          <w:p w14:paraId="72D485B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、主要设备情况</w:t>
            </w:r>
          </w:p>
          <w:p w14:paraId="7B5414B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本项目主要设备情况详见表</w:t>
            </w:r>
            <w:r>
              <w:rPr>
                <w:rFonts w:hint="eastAsia" w:asciiTheme="minorEastAsia" w:hAnsiTheme="minorEastAsia" w:eastAsiaTheme="minorEastAsia"/>
                <w:sz w:val="24"/>
                <w:szCs w:val="24"/>
              </w:rPr>
              <w:t>2-5</w:t>
            </w:r>
            <w:r>
              <w:rPr>
                <w:rFonts w:asciiTheme="minorEastAsia" w:hAnsiTheme="minorEastAsia" w:eastAsiaTheme="minorEastAsia"/>
                <w:sz w:val="24"/>
                <w:szCs w:val="24"/>
              </w:rPr>
              <w:t>。</w:t>
            </w:r>
          </w:p>
          <w:p w14:paraId="5698CF14">
            <w:pPr>
              <w:spacing w:line="360" w:lineRule="auto"/>
              <w:ind w:firstLine="482" w:firstLineChars="2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2-5</w:t>
            </w:r>
            <w:r>
              <w:rPr>
                <w:rFonts w:asciiTheme="minorEastAsia" w:hAnsiTheme="minorEastAsia" w:eastAsiaTheme="minorEastAsia"/>
                <w:b/>
                <w:bCs/>
                <w:sz w:val="24"/>
                <w:szCs w:val="24"/>
              </w:rPr>
              <w:t xml:space="preserve">  本项目主要设备情况一览表</w:t>
            </w:r>
          </w:p>
          <w:tbl>
            <w:tblPr>
              <w:tblStyle w:val="22"/>
              <w:tblW w:w="475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798"/>
              <w:gridCol w:w="2400"/>
              <w:gridCol w:w="1440"/>
            </w:tblGrid>
            <w:tr w14:paraId="0E3609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93" w:type="pct"/>
                  <w:tcBorders>
                    <w:tl2br w:val="nil"/>
                    <w:tr2bl w:val="nil"/>
                  </w:tcBorders>
                  <w:vAlign w:val="center"/>
                </w:tcPr>
                <w:p w14:paraId="6E8A910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1731" w:type="pct"/>
                  <w:tcBorders>
                    <w:tl2br w:val="nil"/>
                    <w:tr2bl w:val="nil"/>
                  </w:tcBorders>
                  <w:vAlign w:val="center"/>
                </w:tcPr>
                <w:p w14:paraId="64AC4AA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设备名称</w:t>
                  </w:r>
                </w:p>
              </w:tc>
              <w:tc>
                <w:tcPr>
                  <w:tcW w:w="1485" w:type="pct"/>
                  <w:tcBorders>
                    <w:tl2br w:val="nil"/>
                    <w:tr2bl w:val="nil"/>
                  </w:tcBorders>
                  <w:vAlign w:val="center"/>
                </w:tcPr>
                <w:p w14:paraId="431F27B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型号</w:t>
                  </w:r>
                </w:p>
              </w:tc>
              <w:tc>
                <w:tcPr>
                  <w:tcW w:w="891" w:type="pct"/>
                  <w:tcBorders>
                    <w:tl2br w:val="nil"/>
                    <w:tr2bl w:val="nil"/>
                  </w:tcBorders>
                  <w:vAlign w:val="center"/>
                </w:tcPr>
                <w:p w14:paraId="5F4112C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数量</w:t>
                  </w:r>
                </w:p>
              </w:tc>
            </w:tr>
            <w:tr w14:paraId="0C06E9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3FD5CAB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1731" w:type="pct"/>
                  <w:tcBorders>
                    <w:tl2br w:val="nil"/>
                    <w:tr2bl w:val="nil"/>
                  </w:tcBorders>
                  <w:vAlign w:val="center"/>
                </w:tcPr>
                <w:p w14:paraId="757EB26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制砂机</w:t>
                  </w:r>
                </w:p>
              </w:tc>
              <w:tc>
                <w:tcPr>
                  <w:tcW w:w="1485" w:type="pct"/>
                  <w:tcBorders>
                    <w:tl2br w:val="nil"/>
                    <w:tr2bl w:val="nil"/>
                  </w:tcBorders>
                  <w:vAlign w:val="center"/>
                </w:tcPr>
                <w:p w14:paraId="398020D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V</w:t>
                  </w:r>
                  <w:r>
                    <w:rPr>
                      <w:rFonts w:asciiTheme="minorEastAsia" w:hAnsiTheme="minorEastAsia" w:eastAsiaTheme="minorEastAsia"/>
                      <w:szCs w:val="21"/>
                    </w:rPr>
                    <w:t>S1225</w:t>
                  </w:r>
                </w:p>
              </w:tc>
              <w:tc>
                <w:tcPr>
                  <w:tcW w:w="891" w:type="pct"/>
                  <w:tcBorders>
                    <w:tl2br w:val="nil"/>
                    <w:tr2bl w:val="nil"/>
                  </w:tcBorders>
                  <w:vAlign w:val="center"/>
                </w:tcPr>
                <w:p w14:paraId="6A18B1DE">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4C7F8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515D7CA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w:t>
                  </w:r>
                </w:p>
              </w:tc>
              <w:tc>
                <w:tcPr>
                  <w:tcW w:w="1731" w:type="pct"/>
                  <w:tcBorders>
                    <w:tl2br w:val="nil"/>
                    <w:tr2bl w:val="nil"/>
                  </w:tcBorders>
                  <w:vAlign w:val="center"/>
                </w:tcPr>
                <w:p w14:paraId="6B36EF1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高频筛</w:t>
                  </w:r>
                </w:p>
              </w:tc>
              <w:tc>
                <w:tcPr>
                  <w:tcW w:w="1485" w:type="pct"/>
                  <w:tcBorders>
                    <w:tl2br w:val="nil"/>
                    <w:tr2bl w:val="nil"/>
                  </w:tcBorders>
                  <w:vAlign w:val="center"/>
                </w:tcPr>
                <w:p w14:paraId="291EC1F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2612VM</w:t>
                  </w:r>
                </w:p>
              </w:tc>
              <w:tc>
                <w:tcPr>
                  <w:tcW w:w="891" w:type="pct"/>
                  <w:tcBorders>
                    <w:tl2br w:val="nil"/>
                    <w:tr2bl w:val="nil"/>
                  </w:tcBorders>
                  <w:vAlign w:val="center"/>
                </w:tcPr>
                <w:p w14:paraId="79A6C509">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12EE4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93" w:type="pct"/>
                  <w:tcBorders>
                    <w:tl2br w:val="nil"/>
                    <w:tr2bl w:val="nil"/>
                  </w:tcBorders>
                  <w:vAlign w:val="center"/>
                </w:tcPr>
                <w:p w14:paraId="69FBF0E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p>
              </w:tc>
              <w:tc>
                <w:tcPr>
                  <w:tcW w:w="1731" w:type="pct"/>
                  <w:tcBorders>
                    <w:tl2br w:val="nil"/>
                    <w:tr2bl w:val="nil"/>
                  </w:tcBorders>
                  <w:vAlign w:val="center"/>
                </w:tcPr>
                <w:p w14:paraId="12EF155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选粉机</w:t>
                  </w:r>
                </w:p>
              </w:tc>
              <w:tc>
                <w:tcPr>
                  <w:tcW w:w="1485" w:type="pct"/>
                  <w:tcBorders>
                    <w:tl2br w:val="nil"/>
                    <w:tr2bl w:val="nil"/>
                  </w:tcBorders>
                  <w:vAlign w:val="center"/>
                </w:tcPr>
                <w:p w14:paraId="5757D25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A</w:t>
                  </w:r>
                  <w:r>
                    <w:rPr>
                      <w:rFonts w:asciiTheme="minorEastAsia" w:hAnsiTheme="minorEastAsia" w:eastAsiaTheme="minorEastAsia"/>
                      <w:szCs w:val="21"/>
                    </w:rPr>
                    <w:t>C20.5</w:t>
                  </w:r>
                </w:p>
              </w:tc>
              <w:tc>
                <w:tcPr>
                  <w:tcW w:w="891" w:type="pct"/>
                  <w:tcBorders>
                    <w:tl2br w:val="nil"/>
                    <w:tr2bl w:val="nil"/>
                  </w:tcBorders>
                  <w:vAlign w:val="center"/>
                </w:tcPr>
                <w:p w14:paraId="7178CADF">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3BB28D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23ABF49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4</w:t>
                  </w:r>
                </w:p>
              </w:tc>
              <w:tc>
                <w:tcPr>
                  <w:tcW w:w="1731" w:type="pct"/>
                  <w:tcBorders>
                    <w:tl2br w:val="nil"/>
                    <w:tr2bl w:val="nil"/>
                  </w:tcBorders>
                  <w:vAlign w:val="center"/>
                </w:tcPr>
                <w:p w14:paraId="0EB7B9D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加湿机</w:t>
                  </w:r>
                </w:p>
              </w:tc>
              <w:tc>
                <w:tcPr>
                  <w:tcW w:w="1485" w:type="pct"/>
                  <w:tcBorders>
                    <w:tl2br w:val="nil"/>
                    <w:tr2bl w:val="nil"/>
                  </w:tcBorders>
                  <w:vAlign w:val="center"/>
                </w:tcPr>
                <w:p w14:paraId="393FA29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JSJ-75</w:t>
                  </w:r>
                </w:p>
              </w:tc>
              <w:tc>
                <w:tcPr>
                  <w:tcW w:w="891" w:type="pct"/>
                  <w:tcBorders>
                    <w:tl2br w:val="nil"/>
                    <w:tr2bl w:val="nil"/>
                  </w:tcBorders>
                  <w:vAlign w:val="center"/>
                </w:tcPr>
                <w:p w14:paraId="704BD8F2">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7630A8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146AE69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w:t>
                  </w:r>
                </w:p>
              </w:tc>
              <w:tc>
                <w:tcPr>
                  <w:tcW w:w="1731" w:type="pct"/>
                  <w:tcBorders>
                    <w:tl2br w:val="nil"/>
                    <w:tr2bl w:val="nil"/>
                  </w:tcBorders>
                  <w:vAlign w:val="center"/>
                </w:tcPr>
                <w:p w14:paraId="795E979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除尘系统</w:t>
                  </w:r>
                </w:p>
              </w:tc>
              <w:tc>
                <w:tcPr>
                  <w:tcW w:w="1485" w:type="pct"/>
                  <w:tcBorders>
                    <w:tl2br w:val="nil"/>
                    <w:tr2bl w:val="nil"/>
                  </w:tcBorders>
                  <w:vAlign w:val="center"/>
                </w:tcPr>
                <w:p w14:paraId="580418E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万风量</w:t>
                  </w:r>
                </w:p>
              </w:tc>
              <w:tc>
                <w:tcPr>
                  <w:tcW w:w="891" w:type="pct"/>
                  <w:tcBorders>
                    <w:tl2br w:val="nil"/>
                    <w:tr2bl w:val="nil"/>
                  </w:tcBorders>
                  <w:shd w:val="clear" w:color="auto" w:fill="auto"/>
                  <w:vAlign w:val="center"/>
                </w:tcPr>
                <w:p w14:paraId="16003071">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6F961B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7A9D802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731" w:type="pct"/>
                  <w:tcBorders>
                    <w:tl2br w:val="nil"/>
                    <w:tr2bl w:val="nil"/>
                  </w:tcBorders>
                  <w:vAlign w:val="center"/>
                </w:tcPr>
                <w:p w14:paraId="50615B9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粗细粉分离模块</w:t>
                  </w:r>
                </w:p>
              </w:tc>
              <w:tc>
                <w:tcPr>
                  <w:tcW w:w="1485" w:type="pct"/>
                  <w:tcBorders>
                    <w:tl2br w:val="nil"/>
                    <w:tr2bl w:val="nil"/>
                  </w:tcBorders>
                  <w:vAlign w:val="center"/>
                </w:tcPr>
                <w:p w14:paraId="7558CC8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C</w:t>
                  </w:r>
                  <w:r>
                    <w:rPr>
                      <w:rFonts w:asciiTheme="minorEastAsia" w:hAnsiTheme="minorEastAsia" w:eastAsiaTheme="minorEastAsia"/>
                      <w:szCs w:val="21"/>
                    </w:rPr>
                    <w:t>XF-75</w:t>
                  </w:r>
                </w:p>
              </w:tc>
              <w:tc>
                <w:tcPr>
                  <w:tcW w:w="891" w:type="pct"/>
                  <w:tcBorders>
                    <w:tl2br w:val="nil"/>
                    <w:tr2bl w:val="nil"/>
                  </w:tcBorders>
                  <w:shd w:val="clear" w:color="auto" w:fill="auto"/>
                  <w:vAlign w:val="center"/>
                </w:tcPr>
                <w:p w14:paraId="7BED7223">
                  <w:pPr>
                    <w:widowControl/>
                    <w:jc w:val="center"/>
                    <w:textAlignment w:val="center"/>
                    <w:rPr>
                      <w:rFonts w:ascii="宋体" w:hAnsi="宋体" w:cs="宋体"/>
                      <w:color w:val="000000"/>
                      <w:sz w:val="24"/>
                    </w:rPr>
                  </w:pPr>
                  <w:r>
                    <w:rPr>
                      <w:rFonts w:hint="eastAsia" w:ascii="宋体" w:hAnsi="宋体" w:cs="宋体"/>
                      <w:color w:val="000000"/>
                      <w:kern w:val="0"/>
                      <w:sz w:val="24"/>
                    </w:rPr>
                    <w:t>1套</w:t>
                  </w:r>
                </w:p>
              </w:tc>
            </w:tr>
            <w:tr w14:paraId="56075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7E55FA7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731" w:type="pct"/>
                  <w:tcBorders>
                    <w:tl2br w:val="nil"/>
                    <w:tr2bl w:val="nil"/>
                  </w:tcBorders>
                  <w:vAlign w:val="center"/>
                </w:tcPr>
                <w:p w14:paraId="5BFBCE5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石粉储存模块</w:t>
                  </w:r>
                </w:p>
              </w:tc>
              <w:tc>
                <w:tcPr>
                  <w:tcW w:w="1485" w:type="pct"/>
                  <w:tcBorders>
                    <w:tl2br w:val="nil"/>
                    <w:tr2bl w:val="nil"/>
                  </w:tcBorders>
                  <w:vAlign w:val="center"/>
                </w:tcPr>
                <w:p w14:paraId="24D284F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891" w:type="pct"/>
                  <w:tcBorders>
                    <w:tl2br w:val="nil"/>
                    <w:tr2bl w:val="nil"/>
                  </w:tcBorders>
                  <w:shd w:val="clear" w:color="auto" w:fill="auto"/>
                  <w:vAlign w:val="center"/>
                </w:tcPr>
                <w:p w14:paraId="30DEB072">
                  <w:pPr>
                    <w:widowControl/>
                    <w:jc w:val="center"/>
                    <w:textAlignment w:val="center"/>
                    <w:rPr>
                      <w:rFonts w:ascii="宋体" w:hAnsi="宋体" w:cs="宋体"/>
                      <w:color w:val="000000"/>
                      <w:sz w:val="24"/>
                    </w:rPr>
                  </w:pPr>
                  <w:r>
                    <w:rPr>
                      <w:rFonts w:hint="eastAsia" w:ascii="宋体" w:hAnsi="宋体" w:cs="宋体"/>
                      <w:color w:val="000000"/>
                      <w:kern w:val="0"/>
                      <w:sz w:val="24"/>
                    </w:rPr>
                    <w:t>1个</w:t>
                  </w:r>
                </w:p>
              </w:tc>
            </w:tr>
            <w:tr w14:paraId="2A64D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1DB6E4A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731" w:type="pct"/>
                  <w:tcBorders>
                    <w:tl2br w:val="nil"/>
                    <w:tr2bl w:val="nil"/>
                  </w:tcBorders>
                  <w:vAlign w:val="center"/>
                </w:tcPr>
                <w:p w14:paraId="1C05A3D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直线给料机</w:t>
                  </w:r>
                </w:p>
              </w:tc>
              <w:tc>
                <w:tcPr>
                  <w:tcW w:w="1485" w:type="pct"/>
                  <w:tcBorders>
                    <w:tl2br w:val="nil"/>
                    <w:tr2bl w:val="nil"/>
                  </w:tcBorders>
                  <w:vAlign w:val="center"/>
                </w:tcPr>
                <w:p w14:paraId="04FE45F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ZSW1642</w:t>
                  </w:r>
                </w:p>
              </w:tc>
              <w:tc>
                <w:tcPr>
                  <w:tcW w:w="891" w:type="pct"/>
                  <w:tcBorders>
                    <w:tl2br w:val="nil"/>
                    <w:tr2bl w:val="nil"/>
                  </w:tcBorders>
                  <w:shd w:val="clear" w:color="auto" w:fill="auto"/>
                  <w:vAlign w:val="center"/>
                </w:tcPr>
                <w:p w14:paraId="29A7BF73">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1台</w:t>
                  </w:r>
                </w:p>
              </w:tc>
            </w:tr>
            <w:tr w14:paraId="3CE72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5B71E50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731" w:type="pct"/>
                  <w:tcBorders>
                    <w:tl2br w:val="nil"/>
                    <w:tr2bl w:val="nil"/>
                  </w:tcBorders>
                  <w:vAlign w:val="center"/>
                </w:tcPr>
                <w:p w14:paraId="2B1C38B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锤式破碎机</w:t>
                  </w:r>
                </w:p>
              </w:tc>
              <w:tc>
                <w:tcPr>
                  <w:tcW w:w="1485" w:type="pct"/>
                  <w:tcBorders>
                    <w:tl2br w:val="nil"/>
                    <w:tr2bl w:val="nil"/>
                  </w:tcBorders>
                  <w:vAlign w:val="center"/>
                </w:tcPr>
                <w:p w14:paraId="77857DE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PC1814M</w:t>
                  </w:r>
                </w:p>
              </w:tc>
              <w:tc>
                <w:tcPr>
                  <w:tcW w:w="891" w:type="pct"/>
                  <w:tcBorders>
                    <w:tl2br w:val="nil"/>
                    <w:tr2bl w:val="nil"/>
                  </w:tcBorders>
                  <w:shd w:val="clear" w:color="auto" w:fill="auto"/>
                  <w:vAlign w:val="center"/>
                </w:tcPr>
                <w:p w14:paraId="21A4E0A6">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1台</w:t>
                  </w:r>
                </w:p>
              </w:tc>
            </w:tr>
            <w:tr w14:paraId="3F4A1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2119215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731" w:type="pct"/>
                  <w:tcBorders>
                    <w:tl2br w:val="nil"/>
                    <w:tr2bl w:val="nil"/>
                  </w:tcBorders>
                  <w:vAlign w:val="center"/>
                </w:tcPr>
                <w:p w14:paraId="592DA70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皮带输送机</w:t>
                  </w:r>
                </w:p>
              </w:tc>
              <w:tc>
                <w:tcPr>
                  <w:tcW w:w="1485" w:type="pct"/>
                  <w:tcBorders>
                    <w:tl2br w:val="nil"/>
                    <w:tr2bl w:val="nil"/>
                  </w:tcBorders>
                  <w:vAlign w:val="center"/>
                </w:tcPr>
                <w:p w14:paraId="36B76C9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891" w:type="pct"/>
                  <w:tcBorders>
                    <w:tl2br w:val="nil"/>
                    <w:tr2bl w:val="nil"/>
                  </w:tcBorders>
                  <w:shd w:val="clear" w:color="auto" w:fill="auto"/>
                  <w:vAlign w:val="center"/>
                </w:tcPr>
                <w:p w14:paraId="4C9AFDEA">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4台</w:t>
                  </w:r>
                </w:p>
              </w:tc>
            </w:tr>
            <w:tr w14:paraId="3E1AD0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00B39F1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731" w:type="pct"/>
                  <w:tcBorders>
                    <w:tl2br w:val="nil"/>
                    <w:tr2bl w:val="nil"/>
                  </w:tcBorders>
                  <w:vAlign w:val="center"/>
                </w:tcPr>
                <w:p w14:paraId="6CB8211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铲车</w:t>
                  </w:r>
                </w:p>
              </w:tc>
              <w:tc>
                <w:tcPr>
                  <w:tcW w:w="1485" w:type="pct"/>
                  <w:tcBorders>
                    <w:tl2br w:val="nil"/>
                    <w:tr2bl w:val="nil"/>
                  </w:tcBorders>
                  <w:vAlign w:val="center"/>
                </w:tcPr>
                <w:p w14:paraId="15B4C32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891" w:type="pct"/>
                  <w:tcBorders>
                    <w:tl2br w:val="nil"/>
                    <w:tr2bl w:val="nil"/>
                  </w:tcBorders>
                  <w:shd w:val="clear" w:color="auto" w:fill="auto"/>
                  <w:vAlign w:val="center"/>
                </w:tcPr>
                <w:p w14:paraId="53500C68">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2台</w:t>
                  </w:r>
                </w:p>
              </w:tc>
            </w:tr>
            <w:tr w14:paraId="1B325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93" w:type="pct"/>
                  <w:tcBorders>
                    <w:tl2br w:val="nil"/>
                    <w:tr2bl w:val="nil"/>
                  </w:tcBorders>
                  <w:vAlign w:val="center"/>
                </w:tcPr>
                <w:p w14:paraId="5681C34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731" w:type="pct"/>
                  <w:tcBorders>
                    <w:tl2br w:val="nil"/>
                    <w:tr2bl w:val="nil"/>
                  </w:tcBorders>
                  <w:vAlign w:val="center"/>
                </w:tcPr>
                <w:p w14:paraId="4A7B991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石粉筒仓</w:t>
                  </w:r>
                </w:p>
              </w:tc>
              <w:tc>
                <w:tcPr>
                  <w:tcW w:w="1485" w:type="pct"/>
                  <w:tcBorders>
                    <w:tl2br w:val="nil"/>
                    <w:tr2bl w:val="nil"/>
                  </w:tcBorders>
                  <w:vAlign w:val="center"/>
                </w:tcPr>
                <w:p w14:paraId="4EDFDE0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30m³</w:t>
                  </w:r>
                </w:p>
              </w:tc>
              <w:tc>
                <w:tcPr>
                  <w:tcW w:w="891" w:type="pct"/>
                  <w:tcBorders>
                    <w:tl2br w:val="nil"/>
                    <w:tr2bl w:val="nil"/>
                  </w:tcBorders>
                  <w:shd w:val="clear" w:color="auto" w:fill="auto"/>
                  <w:vAlign w:val="center"/>
                </w:tcPr>
                <w:p w14:paraId="4435D6C6">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2座</w:t>
                  </w:r>
                </w:p>
              </w:tc>
            </w:tr>
          </w:tbl>
          <w:p w14:paraId="1290A90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、物料平衡情况</w:t>
            </w:r>
          </w:p>
          <w:p w14:paraId="731E5A3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本项目物料平衡情况详见表</w:t>
            </w:r>
            <w:r>
              <w:rPr>
                <w:rFonts w:hint="eastAsia" w:asciiTheme="minorEastAsia" w:hAnsiTheme="minorEastAsia" w:eastAsiaTheme="minorEastAsia"/>
                <w:sz w:val="24"/>
                <w:szCs w:val="24"/>
              </w:rPr>
              <w:t>2-6</w:t>
            </w:r>
            <w:r>
              <w:rPr>
                <w:rFonts w:asciiTheme="minorEastAsia" w:hAnsiTheme="minorEastAsia" w:eastAsiaTheme="minorEastAsia"/>
                <w:sz w:val="24"/>
                <w:szCs w:val="24"/>
              </w:rPr>
              <w:t>。</w:t>
            </w:r>
          </w:p>
          <w:p w14:paraId="4F2AC157">
            <w:pPr>
              <w:spacing w:line="360" w:lineRule="auto"/>
              <w:ind w:firstLine="482" w:firstLineChars="2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2-6</w:t>
            </w:r>
            <w:r>
              <w:rPr>
                <w:rFonts w:asciiTheme="minorEastAsia" w:hAnsiTheme="minorEastAsia" w:eastAsiaTheme="minorEastAsia"/>
                <w:b/>
                <w:bCs/>
                <w:sz w:val="24"/>
                <w:szCs w:val="24"/>
              </w:rPr>
              <w:t xml:space="preserve">  物料平衡一览表</w:t>
            </w:r>
          </w:p>
          <w:tbl>
            <w:tblPr>
              <w:tblStyle w:val="22"/>
              <w:tblW w:w="4946"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27"/>
              <w:gridCol w:w="1615"/>
              <w:gridCol w:w="3550"/>
              <w:gridCol w:w="1820"/>
            </w:tblGrid>
            <w:tr w14:paraId="63303DB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9" w:hRule="atLeast"/>
                <w:jc w:val="center"/>
              </w:trPr>
              <w:tc>
                <w:tcPr>
                  <w:tcW w:w="1808" w:type="pct"/>
                  <w:gridSpan w:val="2"/>
                  <w:vAlign w:val="center"/>
                </w:tcPr>
                <w:p w14:paraId="589C8AB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进入</w:t>
                  </w:r>
                </w:p>
              </w:tc>
              <w:tc>
                <w:tcPr>
                  <w:tcW w:w="3192" w:type="pct"/>
                  <w:gridSpan w:val="2"/>
                  <w:vAlign w:val="center"/>
                </w:tcPr>
                <w:p w14:paraId="1E609E2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产（排）出</w:t>
                  </w:r>
                </w:p>
              </w:tc>
            </w:tr>
            <w:tr w14:paraId="0D4D436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9" w:hRule="atLeast"/>
                <w:jc w:val="center"/>
              </w:trPr>
              <w:tc>
                <w:tcPr>
                  <w:tcW w:w="848" w:type="pct"/>
                  <w:vAlign w:val="center"/>
                </w:tcPr>
                <w:p w14:paraId="53A7E02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进料名称</w:t>
                  </w:r>
                </w:p>
              </w:tc>
              <w:tc>
                <w:tcPr>
                  <w:tcW w:w="960" w:type="pct"/>
                  <w:vAlign w:val="center"/>
                </w:tcPr>
                <w:p w14:paraId="3DE318D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进料量（t/a）</w:t>
                  </w:r>
                </w:p>
              </w:tc>
              <w:tc>
                <w:tcPr>
                  <w:tcW w:w="2110" w:type="pct"/>
                  <w:vAlign w:val="center"/>
                </w:tcPr>
                <w:p w14:paraId="041514E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出料名称</w:t>
                  </w:r>
                </w:p>
              </w:tc>
              <w:tc>
                <w:tcPr>
                  <w:tcW w:w="1082" w:type="pct"/>
                  <w:vAlign w:val="center"/>
                </w:tcPr>
                <w:p w14:paraId="3AC8BB1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出料量（t/a）</w:t>
                  </w:r>
                </w:p>
              </w:tc>
            </w:tr>
            <w:tr w14:paraId="6807A4F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9" w:hRule="atLeast"/>
                <w:jc w:val="center"/>
              </w:trPr>
              <w:tc>
                <w:tcPr>
                  <w:tcW w:w="848" w:type="pct"/>
                  <w:vMerge w:val="restart"/>
                  <w:vAlign w:val="center"/>
                </w:tcPr>
                <w:p w14:paraId="740B60D6">
                  <w:pPr>
                    <w:adjustRightInd w:val="0"/>
                    <w:snapToGrid w:val="0"/>
                    <w:jc w:val="center"/>
                    <w:rPr>
                      <w:rFonts w:asciiTheme="minorEastAsia" w:hAnsiTheme="minorEastAsia"/>
                      <w:szCs w:val="21"/>
                    </w:rPr>
                  </w:pPr>
                  <w:r>
                    <w:rPr>
                      <w:rFonts w:hint="eastAsia" w:asciiTheme="minorEastAsia" w:hAnsiTheme="minorEastAsia"/>
                      <w:szCs w:val="21"/>
                    </w:rPr>
                    <w:t>石灰石</w:t>
                  </w:r>
                </w:p>
              </w:tc>
              <w:tc>
                <w:tcPr>
                  <w:tcW w:w="960" w:type="pct"/>
                  <w:vMerge w:val="restart"/>
                  <w:vAlign w:val="center"/>
                </w:tcPr>
                <w:p w14:paraId="2C6DF125">
                  <w:pPr>
                    <w:adjustRightInd w:val="0"/>
                    <w:snapToGrid w:val="0"/>
                    <w:jc w:val="center"/>
                    <w:rPr>
                      <w:rFonts w:asciiTheme="minorEastAsia" w:hAnsiTheme="minorEastAsia"/>
                      <w:szCs w:val="21"/>
                    </w:rPr>
                  </w:pPr>
                  <w:r>
                    <w:rPr>
                      <w:rFonts w:hint="eastAsia" w:asciiTheme="minorEastAsia" w:hAnsiTheme="minorEastAsia"/>
                      <w:szCs w:val="21"/>
                    </w:rPr>
                    <w:t>300567</w:t>
                  </w:r>
                </w:p>
              </w:tc>
              <w:tc>
                <w:tcPr>
                  <w:tcW w:w="2110" w:type="pct"/>
                  <w:vAlign w:val="center"/>
                </w:tcPr>
                <w:p w14:paraId="6B3ED2E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产品</w:t>
                  </w:r>
                </w:p>
              </w:tc>
              <w:tc>
                <w:tcPr>
                  <w:tcW w:w="1082" w:type="pct"/>
                  <w:vAlign w:val="center"/>
                </w:tcPr>
                <w:p w14:paraId="4EF2226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299999.4</w:t>
                  </w:r>
                </w:p>
              </w:tc>
            </w:tr>
            <w:tr w14:paraId="37B2A6B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8" w:hRule="atLeast"/>
                <w:jc w:val="center"/>
              </w:trPr>
              <w:tc>
                <w:tcPr>
                  <w:tcW w:w="848" w:type="pct"/>
                  <w:vMerge w:val="continue"/>
                  <w:vAlign w:val="center"/>
                </w:tcPr>
                <w:p w14:paraId="7A6331F6">
                  <w:pPr>
                    <w:adjustRightInd w:val="0"/>
                    <w:snapToGrid w:val="0"/>
                    <w:jc w:val="center"/>
                    <w:rPr>
                      <w:rFonts w:asciiTheme="minorEastAsia" w:hAnsiTheme="minorEastAsia" w:eastAsiaTheme="minorEastAsia"/>
                      <w:szCs w:val="21"/>
                    </w:rPr>
                  </w:pPr>
                </w:p>
              </w:tc>
              <w:tc>
                <w:tcPr>
                  <w:tcW w:w="960" w:type="pct"/>
                  <w:vMerge w:val="continue"/>
                  <w:vAlign w:val="center"/>
                </w:tcPr>
                <w:p w14:paraId="09B3B416">
                  <w:pPr>
                    <w:adjustRightInd w:val="0"/>
                    <w:snapToGrid w:val="0"/>
                    <w:jc w:val="center"/>
                    <w:rPr>
                      <w:rFonts w:asciiTheme="minorEastAsia" w:hAnsiTheme="minorEastAsia" w:eastAsiaTheme="minorEastAsia"/>
                      <w:szCs w:val="21"/>
                    </w:rPr>
                  </w:pPr>
                </w:p>
              </w:tc>
              <w:tc>
                <w:tcPr>
                  <w:tcW w:w="2110" w:type="pct"/>
                  <w:tcBorders>
                    <w:bottom w:val="single" w:color="auto" w:sz="4" w:space="0"/>
                  </w:tcBorders>
                  <w:vAlign w:val="center"/>
                </w:tcPr>
                <w:p w14:paraId="5FAAE3C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无组织废气作产品外售</w:t>
                  </w:r>
                </w:p>
              </w:tc>
              <w:tc>
                <w:tcPr>
                  <w:tcW w:w="1082" w:type="pct"/>
                  <w:vAlign w:val="center"/>
                </w:tcPr>
                <w:p w14:paraId="00FDC97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56.7</w:t>
                  </w:r>
                </w:p>
              </w:tc>
            </w:tr>
            <w:tr w14:paraId="1F84C77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pct"/>
                  <w:vMerge w:val="continue"/>
                  <w:vAlign w:val="center"/>
                </w:tcPr>
                <w:p w14:paraId="27CEA8F4">
                  <w:pPr>
                    <w:adjustRightInd w:val="0"/>
                    <w:snapToGrid w:val="0"/>
                    <w:jc w:val="center"/>
                    <w:rPr>
                      <w:rFonts w:asciiTheme="minorEastAsia" w:hAnsiTheme="minorEastAsia" w:eastAsiaTheme="minorEastAsia"/>
                      <w:szCs w:val="21"/>
                    </w:rPr>
                  </w:pPr>
                </w:p>
              </w:tc>
              <w:tc>
                <w:tcPr>
                  <w:tcW w:w="960" w:type="pct"/>
                  <w:vMerge w:val="continue"/>
                  <w:vAlign w:val="center"/>
                </w:tcPr>
                <w:p w14:paraId="32058935">
                  <w:pPr>
                    <w:adjustRightInd w:val="0"/>
                    <w:snapToGrid w:val="0"/>
                    <w:jc w:val="center"/>
                    <w:rPr>
                      <w:rFonts w:asciiTheme="minorEastAsia" w:hAnsiTheme="minorEastAsia" w:eastAsiaTheme="minorEastAsia"/>
                      <w:szCs w:val="21"/>
                    </w:rPr>
                  </w:pPr>
                </w:p>
              </w:tc>
              <w:tc>
                <w:tcPr>
                  <w:tcW w:w="2110" w:type="pct"/>
                  <w:tcBorders>
                    <w:top w:val="single" w:color="auto" w:sz="4" w:space="0"/>
                    <w:bottom w:val="single" w:color="auto" w:sz="4" w:space="0"/>
                  </w:tcBorders>
                  <w:vAlign w:val="center"/>
                </w:tcPr>
                <w:p w14:paraId="10BABC0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有组织废气排放</w:t>
                  </w:r>
                </w:p>
              </w:tc>
              <w:tc>
                <w:tcPr>
                  <w:tcW w:w="1082" w:type="pct"/>
                  <w:tcBorders>
                    <w:bottom w:val="single" w:color="auto" w:sz="4" w:space="0"/>
                  </w:tcBorders>
                  <w:vAlign w:val="center"/>
                </w:tcPr>
                <w:p w14:paraId="750BE7F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5.106</w:t>
                  </w:r>
                </w:p>
              </w:tc>
            </w:tr>
            <w:tr w14:paraId="16B001F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4" w:hRule="atLeast"/>
                <w:jc w:val="center"/>
              </w:trPr>
              <w:tc>
                <w:tcPr>
                  <w:tcW w:w="848" w:type="pct"/>
                  <w:vMerge w:val="continue"/>
                  <w:vAlign w:val="center"/>
                </w:tcPr>
                <w:p w14:paraId="63DDF7E9">
                  <w:pPr>
                    <w:adjustRightInd w:val="0"/>
                    <w:snapToGrid w:val="0"/>
                    <w:jc w:val="center"/>
                    <w:rPr>
                      <w:rFonts w:asciiTheme="minorEastAsia" w:hAnsiTheme="minorEastAsia" w:eastAsiaTheme="minorEastAsia"/>
                      <w:szCs w:val="21"/>
                    </w:rPr>
                  </w:pPr>
                </w:p>
              </w:tc>
              <w:tc>
                <w:tcPr>
                  <w:tcW w:w="960" w:type="pct"/>
                  <w:vMerge w:val="continue"/>
                  <w:vAlign w:val="center"/>
                </w:tcPr>
                <w:p w14:paraId="5DED84E5">
                  <w:pPr>
                    <w:adjustRightInd w:val="0"/>
                    <w:snapToGrid w:val="0"/>
                    <w:jc w:val="center"/>
                    <w:rPr>
                      <w:rFonts w:asciiTheme="minorEastAsia" w:hAnsiTheme="minorEastAsia" w:eastAsiaTheme="minorEastAsia"/>
                      <w:szCs w:val="21"/>
                    </w:rPr>
                  </w:pPr>
                </w:p>
              </w:tc>
              <w:tc>
                <w:tcPr>
                  <w:tcW w:w="2110" w:type="pct"/>
                  <w:tcBorders>
                    <w:top w:val="single" w:color="auto" w:sz="4" w:space="0"/>
                    <w:bottom w:val="single" w:color="auto" w:sz="4" w:space="0"/>
                  </w:tcBorders>
                  <w:vAlign w:val="center"/>
                </w:tcPr>
                <w:p w14:paraId="3667C46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布袋除尘灰</w:t>
                  </w:r>
                </w:p>
              </w:tc>
              <w:tc>
                <w:tcPr>
                  <w:tcW w:w="1082" w:type="pct"/>
                  <w:tcBorders>
                    <w:top w:val="single" w:color="auto" w:sz="4" w:space="0"/>
                    <w:bottom w:val="single" w:color="auto" w:sz="4" w:space="0"/>
                  </w:tcBorders>
                  <w:vAlign w:val="center"/>
                </w:tcPr>
                <w:p w14:paraId="4309F1C6">
                  <w:pPr>
                    <w:adjustRightInd w:val="0"/>
                    <w:snapToGrid w:val="0"/>
                    <w:jc w:val="center"/>
                    <w:rPr>
                      <w:rFonts w:asciiTheme="minorEastAsia" w:hAnsiTheme="minorEastAsia" w:eastAsiaTheme="minorEastAsia"/>
                      <w:szCs w:val="21"/>
                    </w:rPr>
                  </w:pPr>
                  <w:r>
                    <w:rPr>
                      <w:rFonts w:asciiTheme="minorEastAsia" w:hAnsiTheme="minorEastAsia" w:eastAsiaTheme="minorEastAsia"/>
                      <w:snapToGrid w:val="0"/>
                      <w:kern w:val="21"/>
                      <w:szCs w:val="21"/>
                    </w:rPr>
                    <w:t>505.794</w:t>
                  </w:r>
                </w:p>
              </w:tc>
            </w:tr>
            <w:tr w14:paraId="3AD2A04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9" w:hRule="atLeast"/>
                <w:jc w:val="center"/>
              </w:trPr>
              <w:tc>
                <w:tcPr>
                  <w:tcW w:w="848" w:type="pct"/>
                  <w:vAlign w:val="center"/>
                </w:tcPr>
                <w:p w14:paraId="564CA98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960" w:type="pct"/>
                  <w:vAlign w:val="center"/>
                </w:tcPr>
                <w:p w14:paraId="3B77ED96">
                  <w:pPr>
                    <w:adjustRightInd w:val="0"/>
                    <w:snapToGrid w:val="0"/>
                    <w:jc w:val="center"/>
                    <w:rPr>
                      <w:rFonts w:asciiTheme="minorEastAsia" w:hAnsiTheme="minorEastAsia" w:eastAsiaTheme="minorEastAsia"/>
                      <w:szCs w:val="21"/>
                    </w:rPr>
                  </w:pPr>
                  <w:r>
                    <w:rPr>
                      <w:rFonts w:hint="eastAsia" w:asciiTheme="minorEastAsia" w:hAnsiTheme="minorEastAsia"/>
                      <w:szCs w:val="21"/>
                    </w:rPr>
                    <w:t>300567</w:t>
                  </w:r>
                </w:p>
              </w:tc>
              <w:tc>
                <w:tcPr>
                  <w:tcW w:w="2110" w:type="pct"/>
                  <w:vAlign w:val="center"/>
                </w:tcPr>
                <w:p w14:paraId="5162629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合计</w:t>
                  </w:r>
                </w:p>
              </w:tc>
              <w:tc>
                <w:tcPr>
                  <w:tcW w:w="1082" w:type="pct"/>
                  <w:vAlign w:val="center"/>
                </w:tcPr>
                <w:p w14:paraId="1413CB2C">
                  <w:pPr>
                    <w:adjustRightInd w:val="0"/>
                    <w:snapToGrid w:val="0"/>
                    <w:jc w:val="center"/>
                    <w:rPr>
                      <w:rFonts w:asciiTheme="minorEastAsia" w:hAnsiTheme="minorEastAsia" w:eastAsiaTheme="minorEastAsia"/>
                      <w:szCs w:val="21"/>
                    </w:rPr>
                  </w:pPr>
                  <w:r>
                    <w:rPr>
                      <w:rFonts w:hint="eastAsia" w:asciiTheme="minorEastAsia" w:hAnsiTheme="minorEastAsia"/>
                      <w:szCs w:val="21"/>
                    </w:rPr>
                    <w:t>300567</w:t>
                  </w:r>
                </w:p>
              </w:tc>
            </w:tr>
          </w:tbl>
          <w:p w14:paraId="2100C01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、公用工程</w:t>
            </w:r>
          </w:p>
          <w:p w14:paraId="1BBFEB0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运载车辆从矿山开出后，车轮已在矿区经过清洗，且运输道路定期洒水降尘、清扫，厂区运输地面进行混凝土硬化处理，故厂区内不设置车辆冲洗措施，无车辆冲洗废水产生及排放。且场区不设置食堂与宿舍。</w:t>
            </w:r>
          </w:p>
          <w:p w14:paraId="483175A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（1）给水</w:t>
            </w:r>
          </w:p>
          <w:p w14:paraId="095E92B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①生活用水</w:t>
            </w:r>
          </w:p>
          <w:p w14:paraId="17A0078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本项目职工共有5人，年工作日150d，根据《用水定额 第4部分：居民生活》（DB22/T389.4-2025），项目地处农村地区，生活用水量为60L/人·d，则职工生活用水总水量为0.30t/d（45.00t/a）。生活用水来自于场区现有深井，能够满足本项目生活用水所需。</w:t>
            </w:r>
          </w:p>
          <w:p w14:paraId="2DEADF8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②场区降尘用水</w:t>
            </w:r>
          </w:p>
          <w:p w14:paraId="177020C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本项目场区</w:t>
            </w:r>
            <w:r>
              <w:rPr>
                <w:rFonts w:hint="eastAsia" w:asciiTheme="minorEastAsia" w:hAnsiTheme="minorEastAsia" w:eastAsiaTheme="minorEastAsia"/>
                <w:sz w:val="24"/>
                <w:szCs w:val="24"/>
              </w:rPr>
              <w:t>需</w:t>
            </w:r>
            <w:r>
              <w:rPr>
                <w:rFonts w:asciiTheme="minorEastAsia" w:hAnsiTheme="minorEastAsia" w:eastAsiaTheme="minorEastAsia"/>
                <w:sz w:val="24"/>
                <w:szCs w:val="24"/>
              </w:rPr>
              <w:t>洒水部分占地面积</w:t>
            </w:r>
            <w:r>
              <w:rPr>
                <w:rFonts w:hint="eastAsia" w:asciiTheme="minorEastAsia" w:hAnsiTheme="minorEastAsia" w:eastAsiaTheme="minorEastAsia"/>
                <w:sz w:val="24"/>
                <w:szCs w:val="24"/>
              </w:rPr>
              <w:t>4000</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（原料堆场、道路等），项目每天进行4次以上洒水（洒水车、雾炮）降尘，保持地面湿润，洒水定额2L/m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·次，按一般洒水天数为</w:t>
            </w:r>
            <w:r>
              <w:rPr>
                <w:rFonts w:hint="eastAsia" w:asciiTheme="minorEastAsia" w:hAnsiTheme="minorEastAsia" w:eastAsiaTheme="minorEastAsia"/>
                <w:sz w:val="24"/>
                <w:szCs w:val="24"/>
              </w:rPr>
              <w:t>150</w:t>
            </w:r>
            <w:r>
              <w:rPr>
                <w:rFonts w:asciiTheme="minorEastAsia" w:hAnsiTheme="minorEastAsia" w:eastAsiaTheme="minorEastAsia"/>
                <w:sz w:val="24"/>
                <w:szCs w:val="24"/>
              </w:rPr>
              <w:t>天左右，则洒水降尘用水为</w:t>
            </w:r>
            <w:r>
              <w:rPr>
                <w:rFonts w:hint="eastAsia" w:asciiTheme="minorEastAsia" w:hAnsiTheme="minorEastAsia" w:eastAsiaTheme="minorEastAsia"/>
                <w:sz w:val="24"/>
                <w:szCs w:val="24"/>
              </w:rPr>
              <w:t>32</w:t>
            </w:r>
            <w:r>
              <w:rPr>
                <w:rFonts w:asciiTheme="minorEastAsia" w:hAnsiTheme="minorEastAsia" w:eastAsiaTheme="minorEastAsia"/>
                <w:sz w:val="24"/>
                <w:szCs w:val="24"/>
              </w:rPr>
              <w:t>t/d、</w:t>
            </w:r>
            <w:r>
              <w:rPr>
                <w:rFonts w:hint="eastAsia" w:asciiTheme="minorEastAsia" w:hAnsiTheme="minorEastAsia" w:eastAsiaTheme="minorEastAsia"/>
                <w:sz w:val="24"/>
                <w:szCs w:val="24"/>
              </w:rPr>
              <w:t>4800</w:t>
            </w:r>
            <w:r>
              <w:rPr>
                <w:rFonts w:asciiTheme="minorEastAsia" w:hAnsiTheme="minorEastAsia" w:eastAsiaTheme="minorEastAsia"/>
                <w:sz w:val="24"/>
                <w:szCs w:val="24"/>
              </w:rPr>
              <w:t>t/a。降尘用水源自原料堆场淋溶水，不足部分由自打深井水补齐。</w:t>
            </w:r>
          </w:p>
          <w:p w14:paraId="74D8844E">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③洗车用水</w:t>
            </w:r>
          </w:p>
          <w:p w14:paraId="1F3AAA4B">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运输车辆出厂前需对车辆进行冲洗，用水量约为</w:t>
            </w:r>
            <w:r>
              <w:rPr>
                <w:rFonts w:hint="eastAsia" w:asciiTheme="minorEastAsia" w:hAnsiTheme="minorEastAsia" w:eastAsiaTheme="minorEastAsia"/>
                <w:sz w:val="24"/>
                <w:szCs w:val="24"/>
                <w:u w:val="single"/>
              </w:rPr>
              <w:t>3t/d（450t/a）。</w:t>
            </w:r>
          </w:p>
          <w:p w14:paraId="7B9E7AF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（2）排水</w:t>
            </w:r>
          </w:p>
          <w:p w14:paraId="192571A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①生活污水</w:t>
            </w:r>
          </w:p>
          <w:p w14:paraId="5D61D9B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职工生活污水产生量按生活用水量的80%计，则生活污水量为0.24t/d（36.00t/a），生活污水排入防渗旱厕内，</w:t>
            </w:r>
            <w:r>
              <w:rPr>
                <w:rFonts w:hint="eastAsia" w:asciiTheme="minorEastAsia" w:hAnsiTheme="minorEastAsia" w:eastAsiaTheme="minorEastAsia"/>
                <w:sz w:val="24"/>
                <w:szCs w:val="24"/>
              </w:rPr>
              <w:t>定期委托环卫部门清掏</w:t>
            </w:r>
            <w:r>
              <w:rPr>
                <w:rFonts w:asciiTheme="minorEastAsia" w:hAnsiTheme="minorEastAsia" w:eastAsiaTheme="minorEastAsia"/>
                <w:sz w:val="24"/>
                <w:szCs w:val="24"/>
              </w:rPr>
              <w:t>，不外排。</w:t>
            </w:r>
          </w:p>
          <w:p w14:paraId="204E42B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②堆场淋溶水</w:t>
            </w:r>
          </w:p>
          <w:p w14:paraId="18429EC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根据吉林省建筑设计院采用温度饱和差法编制的“暴雨强度”公式（吉林浑江），详见下式。</w:t>
            </w:r>
          </w:p>
          <w:p w14:paraId="6C2CD32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object>
                <v:shape id="_x0000_i1025" o:spt="75" type="#_x0000_t75" style="height:30.6pt;width:104.4pt;" o:ole="t" filled="f" o:preferrelative="t" stroked="f" coordsize="21600,21600">
                  <v:path/>
                  <v:fill on="f" focussize="0,0"/>
                  <v:stroke on="f" joinstyle="miter"/>
                  <v:imagedata r:id="rId7" o:title=""/>
                  <o:lock v:ext="edit" aspectratio="t"/>
                  <w10:wrap type="none"/>
                  <w10:anchorlock/>
                </v:shape>
                <o:OLEObject Type="Embed" ProgID="Equations" ShapeID="_x0000_i1025" DrawAspect="Content" ObjectID="_1468075725" r:id="rId6">
                  <o:LockedField>false</o:LockedField>
                </o:OLEObject>
              </w:object>
            </w:r>
          </w:p>
          <w:p w14:paraId="0019861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式中：q—设计暴雨强度，L/（s·hm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p w14:paraId="30A5731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P—设计重现期，a；一般取值0.5-3.0。本项目从严要求，取值3.0，即三年一遇的暴雨强度（重现期越长，暴雨强度越大）。</w:t>
            </w:r>
          </w:p>
          <w:p w14:paraId="7D0B59F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t—降雨历时，min；本项目取值15。</w:t>
            </w:r>
          </w:p>
          <w:p w14:paraId="786C250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经计算，设计暴雨强度为</w:t>
            </w:r>
            <w:r>
              <w:rPr>
                <w:rFonts w:hint="eastAsia" w:asciiTheme="minorEastAsia" w:hAnsiTheme="minorEastAsia" w:eastAsiaTheme="minorEastAsia"/>
                <w:sz w:val="24"/>
                <w:szCs w:val="24"/>
              </w:rPr>
              <w:t>167.8</w:t>
            </w:r>
            <w:r>
              <w:rPr>
                <w:rFonts w:asciiTheme="minorEastAsia" w:hAnsiTheme="minorEastAsia" w:eastAsiaTheme="minorEastAsia"/>
                <w:sz w:val="24"/>
                <w:szCs w:val="24"/>
              </w:rPr>
              <w:t>L/（s·hm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p w14:paraId="5E12D1F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参考《室外排水设计标准》（GB50014-2021）中“雨水设计流量公式”，详见下式。</w:t>
            </w:r>
          </w:p>
          <w:p w14:paraId="4C1D06F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object>
                <v:shape id="_x0000_i1026" o:spt="75" type="#_x0000_t75" style="height:18pt;width:51pt;" o:ole="t" filled="f" o:preferrelative="t" stroked="f" coordsize="21600,21600">
                  <v:path/>
                  <v:fill on="f" focussize="0,0"/>
                  <v:stroke on="f" joinstyle="miter"/>
                  <v:imagedata r:id="rId9" o:title=""/>
                  <o:lock v:ext="edit" aspectratio="t"/>
                  <w10:wrap type="none"/>
                  <w10:anchorlock/>
                </v:shape>
                <o:OLEObject Type="Embed" ProgID="Equations" ShapeID="_x0000_i1026" DrawAspect="Content" ObjectID="_1468075726" r:id="rId8">
                  <o:LockedField>false</o:LockedField>
                </o:OLEObject>
              </w:object>
            </w:r>
          </w:p>
          <w:p w14:paraId="5FEFB13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式中：Qs—雨水设计流量，L/s；</w:t>
            </w:r>
          </w:p>
          <w:p w14:paraId="36E42E4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q—设计暴雨强度，L/（s·hm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）；经前文计算，本项目取值</w:t>
            </w:r>
            <w:r>
              <w:rPr>
                <w:rFonts w:hint="eastAsia" w:asciiTheme="minorEastAsia" w:hAnsiTheme="minorEastAsia" w:eastAsiaTheme="minorEastAsia"/>
                <w:sz w:val="24"/>
                <w:szCs w:val="24"/>
              </w:rPr>
              <w:t>167.8</w:t>
            </w:r>
            <w:r>
              <w:rPr>
                <w:rFonts w:asciiTheme="minorEastAsia" w:hAnsiTheme="minorEastAsia" w:eastAsiaTheme="minorEastAsia"/>
                <w:sz w:val="24"/>
                <w:szCs w:val="24"/>
              </w:rPr>
              <w:t>L/（s·hm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p w14:paraId="54274E6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Ψ—径流系数；参考《室外排水设计标准》（GB50014-2021）中“表4.1.8-1径流系数”，本项目建成后全场硬化处理，故适用于“各种屋面、混凝土或沥青路面”，径流系数取值为0.85-0.95。本项目取值0.90。</w:t>
            </w:r>
          </w:p>
          <w:p w14:paraId="0BA100E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F—汇水面积，hm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；项目原料堆场占地面积共计</w:t>
            </w:r>
            <w:r>
              <w:rPr>
                <w:rFonts w:hint="eastAsia" w:asciiTheme="minorEastAsia" w:hAnsiTheme="minorEastAsia" w:eastAsiaTheme="minorEastAsia"/>
                <w:sz w:val="24"/>
                <w:szCs w:val="24"/>
              </w:rPr>
              <w:t>3000</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，即0.</w:t>
            </w:r>
            <w:r>
              <w:rPr>
                <w:rFonts w:hint="eastAsia" w:asciiTheme="minorEastAsia" w:hAnsiTheme="minorEastAsia" w:eastAsiaTheme="minorEastAsia"/>
                <w:sz w:val="24"/>
                <w:szCs w:val="24"/>
              </w:rPr>
              <w:t>3</w:t>
            </w:r>
            <w:r>
              <w:rPr>
                <w:rFonts w:asciiTheme="minorEastAsia" w:hAnsiTheme="minorEastAsia" w:eastAsiaTheme="minorEastAsia"/>
                <w:sz w:val="24"/>
                <w:szCs w:val="24"/>
              </w:rPr>
              <w:t>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p w14:paraId="3FE4394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经计算，雨水设计流量为</w:t>
            </w:r>
            <w:r>
              <w:rPr>
                <w:rFonts w:hint="eastAsia" w:asciiTheme="minorEastAsia" w:hAnsiTheme="minorEastAsia" w:eastAsiaTheme="minorEastAsia"/>
                <w:sz w:val="24"/>
                <w:szCs w:val="24"/>
              </w:rPr>
              <w:t>45.306</w:t>
            </w:r>
            <w:r>
              <w:rPr>
                <w:rFonts w:asciiTheme="minorEastAsia" w:hAnsiTheme="minorEastAsia" w:eastAsiaTheme="minorEastAsia"/>
                <w:sz w:val="24"/>
                <w:szCs w:val="24"/>
              </w:rPr>
              <w:t>L/s。因降雨历时取15min，故雨水量为</w:t>
            </w:r>
            <w:r>
              <w:rPr>
                <w:rFonts w:hint="eastAsia" w:asciiTheme="minorEastAsia" w:hAnsiTheme="minorEastAsia" w:eastAsiaTheme="minorEastAsia"/>
                <w:sz w:val="24"/>
                <w:szCs w:val="24"/>
              </w:rPr>
              <w:t>40.78</w:t>
            </w:r>
            <w:r>
              <w:rPr>
                <w:rFonts w:asciiTheme="minorEastAsia" w:hAnsiTheme="minorEastAsia" w:eastAsiaTheme="minorEastAsia"/>
                <w:sz w:val="24"/>
                <w:szCs w:val="24"/>
              </w:rPr>
              <w:t>t，即三年一遇暴雨的雨水量为</w:t>
            </w:r>
            <w:r>
              <w:rPr>
                <w:rFonts w:hint="eastAsia" w:asciiTheme="minorEastAsia" w:hAnsiTheme="minorEastAsia" w:eastAsiaTheme="minorEastAsia"/>
                <w:sz w:val="24"/>
                <w:szCs w:val="24"/>
              </w:rPr>
              <w:t>40.78</w:t>
            </w:r>
            <w:r>
              <w:rPr>
                <w:rFonts w:asciiTheme="minorEastAsia" w:hAnsiTheme="minorEastAsia" w:eastAsiaTheme="minorEastAsia"/>
                <w:sz w:val="24"/>
                <w:szCs w:val="24"/>
              </w:rPr>
              <w:t>t。本次按照最不利考虑，即原料堆场产生的雨水量（含堆场淋溶水）单次最大为</w:t>
            </w:r>
            <w:r>
              <w:rPr>
                <w:rFonts w:hint="eastAsia" w:asciiTheme="minorEastAsia" w:hAnsiTheme="minorEastAsia" w:eastAsiaTheme="minorEastAsia"/>
                <w:sz w:val="24"/>
                <w:szCs w:val="24"/>
              </w:rPr>
              <w:t>40.78</w:t>
            </w:r>
            <w:r>
              <w:rPr>
                <w:rFonts w:asciiTheme="minorEastAsia" w:hAnsiTheme="minorEastAsia" w:eastAsiaTheme="minorEastAsia"/>
                <w:sz w:val="24"/>
                <w:szCs w:val="24"/>
              </w:rPr>
              <w:t>t。</w:t>
            </w:r>
          </w:p>
          <w:p w14:paraId="595AB40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白山</w:t>
            </w:r>
            <w:r>
              <w:rPr>
                <w:rFonts w:hint="eastAsia" w:asciiTheme="minorEastAsia" w:hAnsiTheme="minorEastAsia" w:eastAsiaTheme="minorEastAsia"/>
                <w:sz w:val="24"/>
                <w:szCs w:val="24"/>
              </w:rPr>
              <w:t>地区</w:t>
            </w:r>
            <w:r>
              <w:rPr>
                <w:rFonts w:asciiTheme="minorEastAsia" w:hAnsiTheme="minorEastAsia" w:eastAsiaTheme="minorEastAsia"/>
                <w:sz w:val="24"/>
                <w:szCs w:val="24"/>
              </w:rPr>
              <w:t>年平均降水量</w:t>
            </w:r>
            <w:r>
              <w:rPr>
                <w:rFonts w:hint="eastAsia" w:asciiTheme="minorEastAsia" w:hAnsiTheme="minorEastAsia" w:eastAsiaTheme="minorEastAsia"/>
                <w:sz w:val="24"/>
                <w:szCs w:val="24"/>
              </w:rPr>
              <w:t>800-1000</w:t>
            </w:r>
            <w:r>
              <w:rPr>
                <w:rFonts w:asciiTheme="minorEastAsia" w:hAnsiTheme="minorEastAsia" w:eastAsiaTheme="minorEastAsia"/>
                <w:sz w:val="24"/>
                <w:szCs w:val="24"/>
              </w:rPr>
              <w:t>mm，取中间值，按</w:t>
            </w:r>
            <w:r>
              <w:rPr>
                <w:rFonts w:hint="eastAsia" w:asciiTheme="minorEastAsia" w:hAnsiTheme="minorEastAsia" w:eastAsiaTheme="minorEastAsia"/>
                <w:sz w:val="24"/>
                <w:szCs w:val="24"/>
              </w:rPr>
              <w:t>900mm计算</w:t>
            </w:r>
            <w:r>
              <w:rPr>
                <w:rFonts w:asciiTheme="minorEastAsia" w:hAnsiTheme="minorEastAsia" w:eastAsiaTheme="minorEastAsia"/>
                <w:sz w:val="24"/>
                <w:szCs w:val="24"/>
              </w:rPr>
              <w:t>，则原料堆场雨水量为</w:t>
            </w:r>
            <w:r>
              <w:rPr>
                <w:rFonts w:hint="eastAsia" w:asciiTheme="minorEastAsia" w:hAnsiTheme="minorEastAsia" w:eastAsiaTheme="minorEastAsia"/>
                <w:sz w:val="24"/>
                <w:szCs w:val="24"/>
              </w:rPr>
              <w:t>2700</w:t>
            </w:r>
            <w:r>
              <w:rPr>
                <w:rFonts w:asciiTheme="minorEastAsia" w:hAnsiTheme="minorEastAsia" w:eastAsiaTheme="minorEastAsia"/>
                <w:sz w:val="24"/>
                <w:szCs w:val="24"/>
              </w:rPr>
              <w:t>t/a。雨季主要集中在6月-9月，共4个月（120天），考虑径流系数0.90，则雨季初期雨水量为</w:t>
            </w:r>
            <w:r>
              <w:rPr>
                <w:rFonts w:hint="eastAsia" w:asciiTheme="minorEastAsia" w:hAnsiTheme="minorEastAsia" w:eastAsiaTheme="minorEastAsia"/>
                <w:sz w:val="24"/>
                <w:szCs w:val="24"/>
              </w:rPr>
              <w:t>20.25</w:t>
            </w:r>
            <w:r>
              <w:rPr>
                <w:rFonts w:asciiTheme="minorEastAsia" w:hAnsiTheme="minorEastAsia" w:eastAsiaTheme="minorEastAsia"/>
                <w:sz w:val="24"/>
                <w:szCs w:val="24"/>
              </w:rPr>
              <w:t>t/d。</w:t>
            </w:r>
          </w:p>
          <w:p w14:paraId="10DF54A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雨水沿原料堆场地势自然流淌至本次新建导流渠内，并最终进入本次新建的72m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三级沉淀池（8m×5m×1.8m）内，经沉淀后，用于场区降尘。</w:t>
            </w:r>
          </w:p>
          <w:p w14:paraId="618D1B81">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③洗车废水</w:t>
            </w:r>
          </w:p>
          <w:p w14:paraId="17A3094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洗车废水按排污系数按90%计，洗车用水产生量为2.7t/d（405t/a），排入沉淀池，经沉淀后上清液回用于厂区降尘。</w:t>
            </w:r>
          </w:p>
          <w:p w14:paraId="73E61B4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drawing>
                <wp:inline distT="0" distB="0" distL="0" distR="0">
                  <wp:extent cx="5394960" cy="3169920"/>
                  <wp:effectExtent l="1905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0" cstate="print"/>
                          <a:srcRect/>
                          <a:stretch>
                            <a:fillRect/>
                          </a:stretch>
                        </pic:blipFill>
                        <pic:spPr>
                          <a:xfrm>
                            <a:off x="0" y="0"/>
                            <a:ext cx="5394960" cy="3169920"/>
                          </a:xfrm>
                          <a:prstGeom prst="rect">
                            <a:avLst/>
                          </a:prstGeom>
                          <a:noFill/>
                          <a:ln w="9525">
                            <a:noFill/>
                            <a:miter lim="800000"/>
                            <a:headEnd/>
                            <a:tailEnd/>
                          </a:ln>
                        </pic:spPr>
                      </pic:pic>
                    </a:graphicData>
                  </a:graphic>
                </wp:inline>
              </w:drawing>
            </w:r>
          </w:p>
          <w:p w14:paraId="686AC8E3">
            <w:pPr>
              <w:spacing w:line="360" w:lineRule="auto"/>
              <w:ind w:firstLine="482" w:firstLineChars="200"/>
              <w:jc w:val="center"/>
              <w:rPr>
                <w:rFonts w:asciiTheme="minorEastAsia" w:hAnsiTheme="minorEastAsia" w:eastAsiaTheme="minorEastAsia"/>
                <w:b/>
                <w:sz w:val="24"/>
                <w:szCs w:val="24"/>
              </w:rPr>
            </w:pPr>
            <w:r>
              <w:rPr>
                <w:rFonts w:asciiTheme="minorEastAsia" w:hAnsiTheme="minorEastAsia" w:eastAsiaTheme="minorEastAsia"/>
                <w:b/>
                <w:sz w:val="24"/>
                <w:szCs w:val="24"/>
              </w:rPr>
              <w:t>图</w:t>
            </w:r>
            <w:r>
              <w:rPr>
                <w:rFonts w:hint="eastAsia" w:asciiTheme="minorEastAsia" w:hAnsiTheme="minorEastAsia" w:eastAsiaTheme="minorEastAsia"/>
                <w:b/>
                <w:sz w:val="24"/>
                <w:szCs w:val="24"/>
              </w:rPr>
              <w:t>2-1</w:t>
            </w:r>
            <w:r>
              <w:rPr>
                <w:rFonts w:asciiTheme="minorEastAsia" w:hAnsiTheme="minorEastAsia" w:eastAsiaTheme="minorEastAsia"/>
                <w:b/>
                <w:sz w:val="24"/>
                <w:szCs w:val="24"/>
              </w:rPr>
              <w:t xml:space="preserve">  本项目水平衡图（t/d）</w:t>
            </w:r>
          </w:p>
          <w:p w14:paraId="6D3DC25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（3）供热</w:t>
            </w:r>
          </w:p>
          <w:p w14:paraId="3FA54CA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本项目冬季采用电取暖。</w:t>
            </w:r>
          </w:p>
          <w:p w14:paraId="58DD226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（4）供电</w:t>
            </w:r>
          </w:p>
          <w:p w14:paraId="343624E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本项目用电由当地市政电网供给。</w:t>
            </w:r>
          </w:p>
          <w:p w14:paraId="343EC459">
            <w:pPr>
              <w:spacing w:line="360" w:lineRule="auto"/>
              <w:ind w:firstLine="480" w:firstLineChars="200"/>
              <w:jc w:val="left"/>
              <w:rPr>
                <w:rFonts w:asciiTheme="minorEastAsia" w:hAnsiTheme="minorEastAsia" w:eastAsiaTheme="minorEastAsia"/>
                <w:sz w:val="24"/>
                <w:szCs w:val="24"/>
              </w:rPr>
            </w:pPr>
            <w:bookmarkStart w:id="6" w:name="_Toc10087"/>
            <w:bookmarkStart w:id="7" w:name="_Toc31021"/>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、总平面布置</w:t>
            </w:r>
            <w:bookmarkEnd w:id="6"/>
          </w:p>
          <w:p w14:paraId="74EC3E7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本项目破碎车间、成品库房、原料堆场沿厂区由北向南依次排列，防渗旱厕位于破碎车间东侧。</w:t>
            </w:r>
          </w:p>
          <w:p w14:paraId="06657FD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13、工作制度</w:t>
            </w:r>
            <w:bookmarkEnd w:id="7"/>
          </w:p>
          <w:p w14:paraId="03192F5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本项目劳动定员5人，年工作日150d，每天10h工作制</w:t>
            </w:r>
            <w:r>
              <w:rPr>
                <w:rFonts w:asciiTheme="minorEastAsia" w:hAnsiTheme="minorEastAsia" w:eastAsiaTheme="minorEastAsia"/>
                <w:sz w:val="24"/>
                <w:szCs w:val="24"/>
              </w:rPr>
              <w:t>。</w:t>
            </w:r>
          </w:p>
          <w:p w14:paraId="612AFE97">
            <w:pPr>
              <w:spacing w:line="360" w:lineRule="auto"/>
              <w:ind w:firstLine="480" w:firstLineChars="200"/>
              <w:jc w:val="left"/>
              <w:rPr>
                <w:rFonts w:asciiTheme="minorEastAsia" w:hAnsiTheme="minorEastAsia" w:eastAsiaTheme="minorEastAsia"/>
                <w:sz w:val="24"/>
                <w:szCs w:val="24"/>
              </w:rPr>
            </w:pPr>
            <w:bookmarkStart w:id="8" w:name="_Toc8771"/>
            <w:r>
              <w:rPr>
                <w:rFonts w:asciiTheme="minorEastAsia" w:hAnsiTheme="minorEastAsia" w:eastAsiaTheme="minorEastAsia"/>
                <w:sz w:val="24"/>
                <w:szCs w:val="24"/>
              </w:rPr>
              <w:t>14、项目实施进度安排</w:t>
            </w:r>
            <w:bookmarkEnd w:id="8"/>
          </w:p>
          <w:p w14:paraId="4DFA8F2D">
            <w:pPr>
              <w:spacing w:line="360" w:lineRule="auto"/>
              <w:ind w:firstLine="480" w:firstLineChars="200"/>
              <w:jc w:val="left"/>
              <w:rPr>
                <w:rFonts w:asciiTheme="minorEastAsia" w:hAnsiTheme="minorEastAsia" w:eastAsiaTheme="minorEastAsia"/>
                <w:sz w:val="30"/>
                <w:szCs w:val="20"/>
              </w:rPr>
            </w:pPr>
            <w:r>
              <w:rPr>
                <w:rFonts w:asciiTheme="minorEastAsia" w:hAnsiTheme="minorEastAsia" w:eastAsiaTheme="minorEastAsia"/>
                <w:sz w:val="24"/>
                <w:szCs w:val="24"/>
              </w:rPr>
              <w:t>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5</w:t>
            </w:r>
            <w:r>
              <w:rPr>
                <w:rFonts w:asciiTheme="minorEastAsia" w:hAnsiTheme="minorEastAsia" w:eastAsiaTheme="minorEastAsia"/>
                <w:sz w:val="24"/>
                <w:szCs w:val="24"/>
              </w:rPr>
              <w:t>-202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p>
        </w:tc>
      </w:tr>
      <w:tr w14:paraId="1110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8720" w:type="dxa"/>
          </w:tcPr>
          <w:p w14:paraId="2EE14653">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工艺流程和产排污环节</w:t>
            </w:r>
          </w:p>
          <w:p w14:paraId="337731B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1、施工期工艺流程和产排污环节</w:t>
            </w:r>
          </w:p>
          <w:p w14:paraId="28B28FC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本项目施工期主要为设备安装及调试，全部在已建成厂房内建设。</w:t>
            </w:r>
          </w:p>
          <w:p w14:paraId="59A622C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2、营运期工艺流程和产排污环节</w:t>
            </w:r>
          </w:p>
          <w:p w14:paraId="723233E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工艺流程</w:t>
            </w:r>
          </w:p>
          <w:p w14:paraId="53D4669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原料先贮存于原料堆场，通过洒水降尘</w:t>
            </w:r>
            <w:r>
              <w:rPr>
                <w:rFonts w:hint="eastAsia" w:asciiTheme="minorEastAsia" w:hAnsiTheme="minorEastAsia" w:eastAsiaTheme="minorEastAsia"/>
                <w:sz w:val="24"/>
                <w:szCs w:val="24"/>
              </w:rPr>
              <w:t>、</w:t>
            </w:r>
            <w:r>
              <w:rPr>
                <w:rFonts w:asciiTheme="minorEastAsia" w:hAnsiTheme="minorEastAsia" w:eastAsiaTheme="minorEastAsia"/>
                <w:sz w:val="24"/>
                <w:szCs w:val="24"/>
              </w:rPr>
              <w:t>苫布及抑尘网覆盖控制扬尘，随后经密闭输送带送入破碎厂房。进入厂房后，原料先经直线给料机均匀喂料，随后进入锤式破碎机进行破碎。破碎后的物料经皮带输送机送入振动筛进行筛分，分别产出粒径小于0.5cm的</w:t>
            </w:r>
            <w:r>
              <w:rPr>
                <w:rFonts w:hint="eastAsia" w:asciiTheme="minorEastAsia" w:hAnsiTheme="minorEastAsia" w:eastAsiaTheme="minorEastAsia"/>
                <w:sz w:val="24"/>
                <w:szCs w:val="24"/>
              </w:rPr>
              <w:t>建筑用砂</w:t>
            </w:r>
            <w:r>
              <w:rPr>
                <w:rFonts w:asciiTheme="minorEastAsia" w:hAnsiTheme="minorEastAsia" w:eastAsiaTheme="minorEastAsia"/>
                <w:sz w:val="24"/>
                <w:szCs w:val="24"/>
              </w:rPr>
              <w:t>以及粒径</w:t>
            </w:r>
            <w:r>
              <w:rPr>
                <w:rFonts w:hint="eastAsia" w:asciiTheme="minorEastAsia" w:hAnsiTheme="minorEastAsia" w:eastAsiaTheme="minorEastAsia"/>
                <w:sz w:val="24"/>
                <w:szCs w:val="24"/>
              </w:rPr>
              <w:t>1.2cm</w:t>
            </w:r>
            <w:r>
              <w:rPr>
                <w:rFonts w:asciiTheme="minorEastAsia" w:hAnsiTheme="minorEastAsia" w:eastAsiaTheme="minorEastAsia"/>
                <w:sz w:val="24"/>
                <w:szCs w:val="24"/>
              </w:rPr>
              <w:t>、1.</w:t>
            </w:r>
            <w:r>
              <w:rPr>
                <w:rFonts w:hint="eastAsia" w:asciiTheme="minorEastAsia" w:hAnsiTheme="minorEastAsia" w:eastAsiaTheme="minorEastAsia"/>
                <w:sz w:val="24"/>
                <w:szCs w:val="24"/>
              </w:rPr>
              <w:t>3cm的</w:t>
            </w:r>
            <w:r>
              <w:rPr>
                <w:rFonts w:asciiTheme="minorEastAsia" w:hAnsiTheme="minorEastAsia" w:eastAsiaTheme="minorEastAsia"/>
                <w:sz w:val="24"/>
                <w:szCs w:val="24"/>
              </w:rPr>
              <w:t>建筑用碎石。其中，</w:t>
            </w:r>
            <w:r>
              <w:rPr>
                <w:rFonts w:hint="eastAsia" w:asciiTheme="minorEastAsia" w:hAnsiTheme="minorEastAsia" w:eastAsiaTheme="minorEastAsia"/>
                <w:sz w:val="24"/>
                <w:szCs w:val="24"/>
              </w:rPr>
              <w:t>粒径</w:t>
            </w:r>
            <w:r>
              <w:rPr>
                <w:rFonts w:asciiTheme="minorEastAsia" w:hAnsiTheme="minorEastAsia" w:eastAsiaTheme="minorEastAsia"/>
                <w:sz w:val="24"/>
                <w:szCs w:val="24"/>
              </w:rPr>
              <w:t>较大的碎石经皮带输送机返回锤式破碎机重新破碎。</w:t>
            </w:r>
          </w:p>
          <w:p w14:paraId="7AFF6CF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破碎厂房整体密闭并保持微负压，各产尘点（直线给料机、锤式破碎机、振动筛、转运点）产生的废气经顶部集气系统收集后，送入布袋除尘器处理，最终通过排气筒高空排放。</w:t>
            </w:r>
          </w:p>
          <w:p w14:paraId="5BA3898B">
            <w:pPr>
              <w:spacing w:line="360" w:lineRule="auto"/>
              <w:ind w:firstLine="480" w:firstLineChars="200"/>
              <w:jc w:val="left"/>
              <w:rPr>
                <w:rFonts w:asciiTheme="minorEastAsia" w:hAnsiTheme="minorEastAsia" w:eastAsiaTheme="minorEastAsia"/>
                <w:sz w:val="24"/>
                <w:szCs w:val="24"/>
              </w:rPr>
            </w:pPr>
            <w:bookmarkStart w:id="9" w:name="OLE_LINK7"/>
            <w:bookmarkStart w:id="10" w:name="OLE_LINK8"/>
            <w:r>
              <w:rPr>
                <w:rFonts w:hint="eastAsia" w:asciiTheme="minorEastAsia" w:hAnsiTheme="minorEastAsia" w:eastAsiaTheme="minorEastAsia"/>
                <w:sz w:val="24"/>
                <w:szCs w:val="24"/>
              </w:rPr>
              <w:t>②</w:t>
            </w:r>
            <w:r>
              <w:rPr>
                <w:rFonts w:asciiTheme="minorEastAsia" w:hAnsiTheme="minorEastAsia" w:eastAsiaTheme="minorEastAsia"/>
                <w:sz w:val="24"/>
                <w:szCs w:val="24"/>
              </w:rPr>
              <w:t>产排污环节</w:t>
            </w:r>
          </w:p>
          <w:p w14:paraId="6652C02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废石进场→堆场暂存E→喂料EN→锤破EN→筛分EN→库房暂存→外售</w:t>
            </w:r>
          </w:p>
          <w:p w14:paraId="01FBEAF4">
            <w:pPr>
              <w:spacing w:line="360" w:lineRule="auto"/>
              <w:ind w:firstLine="482" w:firstLineChars="200"/>
              <w:jc w:val="center"/>
              <w:rPr>
                <w:rFonts w:asciiTheme="minorEastAsia" w:hAnsiTheme="minorEastAsia" w:eastAsiaTheme="minorEastAsia"/>
                <w:b/>
                <w:sz w:val="24"/>
                <w:szCs w:val="24"/>
              </w:rPr>
            </w:pPr>
            <w:r>
              <w:rPr>
                <w:rFonts w:asciiTheme="minorEastAsia" w:hAnsiTheme="minorEastAsia" w:eastAsiaTheme="minorEastAsia"/>
                <w:b/>
                <w:sz w:val="24"/>
                <w:szCs w:val="24"/>
              </w:rPr>
              <w:t>图</w:t>
            </w:r>
            <w:r>
              <w:rPr>
                <w:rFonts w:hint="eastAsia" w:asciiTheme="minorEastAsia" w:hAnsiTheme="minorEastAsia" w:eastAsiaTheme="minorEastAsia"/>
                <w:b/>
                <w:sz w:val="24"/>
                <w:szCs w:val="24"/>
              </w:rPr>
              <w:t>2-2</w:t>
            </w:r>
            <w:r>
              <w:rPr>
                <w:rFonts w:asciiTheme="minorEastAsia" w:hAnsiTheme="minorEastAsia" w:eastAsiaTheme="minorEastAsia"/>
                <w:b/>
                <w:sz w:val="24"/>
                <w:szCs w:val="24"/>
              </w:rPr>
              <w:t xml:space="preserve">  本项目生产工艺流程及产排污节点示意图</w:t>
            </w:r>
            <w:r>
              <w:rPr>
                <w:rFonts w:hint="eastAsia" w:asciiTheme="minorEastAsia" w:hAnsiTheme="minorEastAsia" w:eastAsiaTheme="minorEastAsia"/>
                <w:b/>
                <w:sz w:val="24"/>
                <w:szCs w:val="24"/>
              </w:rPr>
              <w:t>。</w:t>
            </w:r>
          </w:p>
          <w:p w14:paraId="1F8D759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在环境管理领域，废水、废气、噪声和固体废物</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其对应的英文首字母缩写通常是W废水</w:t>
            </w:r>
            <w:r>
              <w:rPr>
                <w:rFonts w:hint="eastAsia" w:asciiTheme="minorEastAsia" w:hAnsiTheme="minorEastAsia" w:eastAsiaTheme="minorEastAsia"/>
                <w:sz w:val="24"/>
                <w:szCs w:val="24"/>
              </w:rPr>
              <w:t>，</w:t>
            </w:r>
            <w:r>
              <w:rPr>
                <w:rFonts w:asciiTheme="minorEastAsia" w:hAnsiTheme="minorEastAsia" w:eastAsiaTheme="minorEastAsia"/>
                <w:sz w:val="24"/>
                <w:szCs w:val="24"/>
              </w:rPr>
              <w:t>E废气</w:t>
            </w:r>
            <w:r>
              <w:rPr>
                <w:rFonts w:hint="eastAsia" w:asciiTheme="minorEastAsia" w:hAnsiTheme="minorEastAsia" w:eastAsiaTheme="minorEastAsia"/>
                <w:sz w:val="24"/>
                <w:szCs w:val="24"/>
              </w:rPr>
              <w:t>，</w:t>
            </w:r>
            <w:r>
              <w:rPr>
                <w:rFonts w:asciiTheme="minorEastAsia" w:hAnsiTheme="minorEastAsia" w:eastAsiaTheme="minorEastAsia"/>
                <w:sz w:val="24"/>
                <w:szCs w:val="24"/>
              </w:rPr>
              <w:t>N噪声</w:t>
            </w:r>
            <w:r>
              <w:rPr>
                <w:rFonts w:hint="eastAsia" w:asciiTheme="minorEastAsia" w:hAnsiTheme="minorEastAsia" w:eastAsiaTheme="minorEastAsia"/>
                <w:sz w:val="24"/>
                <w:szCs w:val="24"/>
              </w:rPr>
              <w:t>，</w:t>
            </w:r>
            <w:r>
              <w:rPr>
                <w:rFonts w:asciiTheme="minorEastAsia" w:hAnsiTheme="minorEastAsia" w:eastAsiaTheme="minorEastAsia"/>
                <w:sz w:val="24"/>
                <w:szCs w:val="24"/>
              </w:rPr>
              <w:t>S固体废物（取Wastewater，Exhaust gas，Noise，Solid waste的首字母）</w:t>
            </w:r>
            <w:bookmarkEnd w:id="9"/>
            <w:bookmarkEnd w:id="10"/>
          </w:p>
          <w:p w14:paraId="47BE4D4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③传送带封闭情况简介</w:t>
            </w:r>
          </w:p>
          <w:p w14:paraId="446FD526">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针对车间内固定路径的长距离皮带输送系统，采用全封闭通廊结构。通廊主体选用</w:t>
            </w:r>
            <w:r>
              <w:rPr>
                <w:rFonts w:hint="eastAsia" w:ascii="MS Mincho" w:hAnsi="MS Mincho" w:eastAsia="MS Mincho" w:cs="MS Mincho"/>
                <w:sz w:val="24"/>
                <w:szCs w:val="24"/>
                <w:u w:val="single"/>
              </w:rPr>
              <w:t>‌</w:t>
            </w:r>
            <w:r>
              <w:rPr>
                <w:rFonts w:hint="eastAsia" w:ascii="宋体" w:hAnsi="宋体" w:cs="宋体"/>
                <w:sz w:val="24"/>
                <w:szCs w:val="24"/>
                <w:u w:val="single"/>
              </w:rPr>
              <w:t>彩钢夹芯板</w:t>
            </w:r>
            <w:r>
              <w:rPr>
                <w:rFonts w:hint="eastAsia" w:ascii="MS Mincho" w:hAnsi="MS Mincho" w:eastAsia="MS Mincho" w:cs="MS Mincho"/>
                <w:sz w:val="24"/>
                <w:szCs w:val="24"/>
                <w:u w:val="single"/>
              </w:rPr>
              <w:t>‌</w:t>
            </w:r>
            <w:r>
              <w:rPr>
                <w:rFonts w:hint="eastAsia" w:ascii="宋体" w:hAnsi="宋体" w:cs="宋体"/>
                <w:sz w:val="24"/>
                <w:szCs w:val="24"/>
                <w:u w:val="single"/>
              </w:rPr>
              <w:t>搭建，板材厚度不小于</w:t>
            </w:r>
            <w:r>
              <w:rPr>
                <w:rFonts w:asciiTheme="minorEastAsia" w:hAnsiTheme="minorEastAsia" w:eastAsiaTheme="minorEastAsia"/>
                <w:sz w:val="24"/>
                <w:szCs w:val="24"/>
                <w:u w:val="single"/>
              </w:rPr>
              <w:t>50mm</w:t>
            </w:r>
            <w:r>
              <w:rPr>
                <w:rFonts w:hint="eastAsia" w:asciiTheme="minorEastAsia" w:hAnsiTheme="minorEastAsia" w:eastAsiaTheme="minorEastAsia"/>
                <w:sz w:val="24"/>
                <w:szCs w:val="24"/>
                <w:u w:val="single"/>
              </w:rPr>
              <w:t>，具备良好的隔热、防尘性能。通廊与皮带机架之间通过</w:t>
            </w:r>
            <w:r>
              <w:rPr>
                <w:rFonts w:hint="eastAsia" w:ascii="MS Mincho" w:hAnsi="MS Mincho" w:eastAsia="MS Mincho" w:cs="MS Mincho"/>
                <w:sz w:val="24"/>
                <w:szCs w:val="24"/>
                <w:u w:val="single"/>
              </w:rPr>
              <w:t>‌</w:t>
            </w:r>
            <w:r>
              <w:rPr>
                <w:rFonts w:hint="eastAsia" w:ascii="宋体" w:hAnsi="宋体" w:cs="宋体"/>
                <w:sz w:val="24"/>
                <w:szCs w:val="24"/>
                <w:u w:val="single"/>
              </w:rPr>
              <w:t>定制化金属支架</w:t>
            </w:r>
            <w:r>
              <w:rPr>
                <w:rFonts w:hint="eastAsia" w:ascii="MS Mincho" w:hAnsi="MS Mincho" w:eastAsia="MS Mincho" w:cs="MS Mincho"/>
                <w:sz w:val="24"/>
                <w:szCs w:val="24"/>
                <w:u w:val="single"/>
              </w:rPr>
              <w:t>‌</w:t>
            </w:r>
            <w:r>
              <w:rPr>
                <w:rFonts w:hint="eastAsia" w:ascii="宋体" w:hAnsi="宋体" w:cs="宋体"/>
                <w:sz w:val="24"/>
                <w:szCs w:val="24"/>
                <w:u w:val="single"/>
              </w:rPr>
              <w:t>固定，确保整体结构稳固，能承受车间内设备运行产生的振动。</w:t>
            </w:r>
          </w:p>
          <w:p w14:paraId="6FA080AE">
            <w:pPr>
              <w:spacing w:line="360" w:lineRule="auto"/>
              <w:ind w:firstLine="480" w:firstLineChars="200"/>
              <w:jc w:val="left"/>
              <w:rPr>
                <w:rFonts w:ascii="宋体" w:hAnsi="宋体" w:cs="宋体"/>
                <w:sz w:val="24"/>
                <w:szCs w:val="24"/>
                <w:u w:val="single"/>
              </w:rPr>
            </w:pPr>
            <w:r>
              <w:rPr>
                <w:rFonts w:hint="eastAsia" w:asciiTheme="minorEastAsia" w:hAnsiTheme="minorEastAsia" w:eastAsiaTheme="minorEastAsia"/>
                <w:sz w:val="24"/>
                <w:szCs w:val="24"/>
                <w:u w:val="single"/>
              </w:rPr>
              <w:t>通廊侧面每隔</w:t>
            </w:r>
            <w:r>
              <w:rPr>
                <w:rFonts w:asciiTheme="minorEastAsia" w:hAnsiTheme="minorEastAsia" w:eastAsiaTheme="minorEastAsia"/>
                <w:sz w:val="24"/>
                <w:szCs w:val="24"/>
                <w:u w:val="single"/>
              </w:rPr>
              <w:t>15</w:t>
            </w:r>
            <w:r>
              <w:rPr>
                <w:rFonts w:hint="eastAsia" w:asciiTheme="minorEastAsia" w:hAnsiTheme="minorEastAsia" w:eastAsiaTheme="minorEastAsia"/>
                <w:sz w:val="24"/>
                <w:szCs w:val="24"/>
                <w:u w:val="single"/>
              </w:rPr>
              <w:t>米设置一扇</w:t>
            </w:r>
            <w:r>
              <w:rPr>
                <w:rFonts w:hint="eastAsia" w:ascii="MS Mincho" w:hAnsi="MS Mincho" w:eastAsia="MS Mincho" w:cs="MS Mincho"/>
                <w:sz w:val="24"/>
                <w:szCs w:val="24"/>
                <w:u w:val="single"/>
              </w:rPr>
              <w:t>‌</w:t>
            </w:r>
            <w:r>
              <w:rPr>
                <w:rFonts w:hint="eastAsia" w:ascii="宋体" w:hAnsi="宋体" w:cs="宋体"/>
                <w:sz w:val="24"/>
                <w:szCs w:val="24"/>
                <w:u w:val="single"/>
              </w:rPr>
              <w:t>双开式密封门</w:t>
            </w:r>
            <w:r>
              <w:rPr>
                <w:rFonts w:hint="eastAsia" w:ascii="MS Mincho" w:hAnsi="MS Mincho" w:eastAsia="MS Mincho" w:cs="MS Mincho"/>
                <w:sz w:val="24"/>
                <w:szCs w:val="24"/>
                <w:u w:val="single"/>
              </w:rPr>
              <w:t>‌</w:t>
            </w:r>
            <w:r>
              <w:rPr>
                <w:rFonts w:hint="eastAsia" w:ascii="宋体" w:hAnsi="宋体" w:cs="宋体"/>
                <w:sz w:val="24"/>
                <w:szCs w:val="24"/>
                <w:u w:val="single"/>
              </w:rPr>
              <w:t>，门体采用与通廊同材质的彩钢夹芯板，门框处加</w:t>
            </w:r>
            <w:r>
              <w:rPr>
                <w:rFonts w:hint="eastAsia" w:asciiTheme="minorEastAsia" w:hAnsiTheme="minorEastAsia" w:eastAsiaTheme="minorEastAsia"/>
                <w:sz w:val="24"/>
                <w:szCs w:val="24"/>
                <w:u w:val="single"/>
              </w:rPr>
              <w:t>装</w:t>
            </w:r>
            <w:r>
              <w:rPr>
                <w:rFonts w:hint="eastAsia" w:ascii="MS Mincho" w:hAnsi="MS Mincho" w:eastAsia="MS Mincho" w:cs="MS Mincho"/>
                <w:sz w:val="24"/>
                <w:szCs w:val="24"/>
                <w:u w:val="single"/>
              </w:rPr>
              <w:t>‌</w:t>
            </w:r>
            <w:r>
              <w:rPr>
                <w:rFonts w:hint="eastAsia" w:ascii="宋体" w:hAnsi="宋体" w:cs="宋体"/>
                <w:sz w:val="24"/>
                <w:szCs w:val="24"/>
                <w:u w:val="single"/>
              </w:rPr>
              <w:t>三元乙丙橡胶密封条</w:t>
            </w:r>
            <w:r>
              <w:rPr>
                <w:rFonts w:hint="eastAsia" w:ascii="MS Mincho" w:hAnsi="MS Mincho" w:eastAsia="MS Mincho" w:cs="MS Mincho"/>
                <w:sz w:val="24"/>
                <w:szCs w:val="24"/>
                <w:u w:val="single"/>
              </w:rPr>
              <w:t>‌</w:t>
            </w:r>
            <w:r>
              <w:rPr>
                <w:rFonts w:hint="eastAsia" w:ascii="宋体" w:hAnsi="宋体" w:cs="宋体"/>
                <w:sz w:val="24"/>
                <w:szCs w:val="24"/>
                <w:u w:val="single"/>
              </w:rPr>
              <w:t>，关闭后可实现无缝密封，便于日常巡检和设备维护。通廊顶部每隔</w:t>
            </w:r>
            <w:r>
              <w:rPr>
                <w:rFonts w:asciiTheme="minorEastAsia" w:hAnsiTheme="minorEastAsia" w:eastAsiaTheme="minorEastAsia"/>
                <w:sz w:val="24"/>
                <w:szCs w:val="24"/>
                <w:u w:val="single"/>
              </w:rPr>
              <w:t>20</w:t>
            </w:r>
            <w:r>
              <w:rPr>
                <w:rFonts w:hint="eastAsia" w:asciiTheme="minorEastAsia" w:hAnsiTheme="minorEastAsia" w:eastAsiaTheme="minorEastAsia"/>
                <w:sz w:val="24"/>
                <w:szCs w:val="24"/>
                <w:u w:val="single"/>
              </w:rPr>
              <w:t>米开设一个</w:t>
            </w:r>
            <w:r>
              <w:rPr>
                <w:rFonts w:hint="eastAsia" w:ascii="MS Mincho" w:hAnsi="MS Mincho" w:eastAsia="MS Mincho" w:cs="MS Mincho"/>
                <w:sz w:val="24"/>
                <w:szCs w:val="24"/>
                <w:u w:val="single"/>
              </w:rPr>
              <w:t>‌</w:t>
            </w:r>
            <w:r>
              <w:rPr>
                <w:rFonts w:hint="eastAsia" w:ascii="宋体" w:hAnsi="宋体" w:cs="宋体"/>
                <w:sz w:val="24"/>
                <w:szCs w:val="24"/>
                <w:u w:val="single"/>
              </w:rPr>
              <w:t>可开启式采光天窗</w:t>
            </w:r>
            <w:r>
              <w:rPr>
                <w:rFonts w:hint="eastAsia" w:ascii="MS Mincho" w:hAnsi="MS Mincho" w:eastAsia="MS Mincho" w:cs="MS Mincho"/>
                <w:sz w:val="24"/>
                <w:szCs w:val="24"/>
                <w:u w:val="single"/>
              </w:rPr>
              <w:t>‌</w:t>
            </w:r>
            <w:r>
              <w:rPr>
                <w:rFonts w:hint="eastAsia" w:ascii="宋体" w:hAnsi="宋体" w:cs="宋体"/>
                <w:sz w:val="24"/>
                <w:szCs w:val="24"/>
                <w:u w:val="single"/>
              </w:rPr>
              <w:t>，天窗采用双层钢化玻璃，兼具采光和防尘功能，同时配备手动开启装置，方便在检修时通风换气。</w:t>
            </w:r>
          </w:p>
          <w:p w14:paraId="14D9FB26">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对于皮带输送机的</w:t>
            </w:r>
            <w:r>
              <w:rPr>
                <w:rFonts w:hint="eastAsia" w:ascii="MS Mincho" w:hAnsi="MS Mincho" w:eastAsia="MS Mincho" w:cs="MS Mincho"/>
                <w:sz w:val="24"/>
                <w:szCs w:val="24"/>
                <w:u w:val="single"/>
              </w:rPr>
              <w:t>‌</w:t>
            </w:r>
            <w:r>
              <w:rPr>
                <w:rFonts w:hint="eastAsia" w:ascii="宋体" w:hAnsi="宋体" w:cs="宋体"/>
                <w:sz w:val="24"/>
                <w:szCs w:val="24"/>
                <w:u w:val="single"/>
              </w:rPr>
              <w:t>落料点、转运点</w:t>
            </w:r>
            <w:r>
              <w:rPr>
                <w:rFonts w:hint="eastAsia" w:ascii="MS Mincho" w:hAnsi="MS Mincho" w:eastAsia="MS Mincho" w:cs="MS Mincho"/>
                <w:sz w:val="24"/>
                <w:szCs w:val="24"/>
                <w:u w:val="single"/>
              </w:rPr>
              <w:t>‌</w:t>
            </w:r>
            <w:r>
              <w:rPr>
                <w:rFonts w:hint="eastAsia" w:ascii="宋体" w:hAnsi="宋体" w:cs="宋体"/>
                <w:sz w:val="24"/>
                <w:szCs w:val="24"/>
                <w:u w:val="single"/>
              </w:rPr>
              <w:t>等扬尘高发区域，设置局部密闭罩。密闭罩采用</w:t>
            </w:r>
            <w:r>
              <w:rPr>
                <w:rFonts w:hint="eastAsia" w:ascii="MS Mincho" w:hAnsi="MS Mincho" w:eastAsia="MS Mincho" w:cs="MS Mincho"/>
                <w:sz w:val="24"/>
                <w:szCs w:val="24"/>
                <w:u w:val="single"/>
              </w:rPr>
              <w:t>‌</w:t>
            </w:r>
            <w:r>
              <w:rPr>
                <w:rFonts w:hint="eastAsia" w:ascii="宋体" w:hAnsi="宋体" w:cs="宋体"/>
                <w:sz w:val="24"/>
                <w:szCs w:val="24"/>
                <w:u w:val="single"/>
              </w:rPr>
              <w:t>不锈钢板材</w:t>
            </w:r>
            <w:r>
              <w:rPr>
                <w:rFonts w:hint="eastAsia" w:ascii="MS Mincho" w:hAnsi="MS Mincho" w:eastAsia="MS Mincho" w:cs="MS Mincho"/>
                <w:sz w:val="24"/>
                <w:szCs w:val="24"/>
                <w:u w:val="single"/>
              </w:rPr>
              <w:t>‌</w:t>
            </w:r>
            <w:r>
              <w:rPr>
                <w:rFonts w:hint="eastAsia" w:ascii="宋体" w:hAnsi="宋体" w:cs="宋体"/>
                <w:sz w:val="24"/>
                <w:szCs w:val="24"/>
                <w:u w:val="single"/>
              </w:rPr>
              <w:t>制作，厚度不小于</w:t>
            </w:r>
            <w:r>
              <w:rPr>
                <w:rFonts w:ascii="宋体" w:hAnsi="宋体" w:cs="宋体"/>
                <w:sz w:val="24"/>
                <w:szCs w:val="24"/>
                <w:u w:val="single"/>
              </w:rPr>
              <w:t>3mm</w:t>
            </w:r>
            <w:r>
              <w:rPr>
                <w:rFonts w:hint="eastAsia" w:ascii="宋体" w:hAnsi="宋体" w:cs="宋体"/>
                <w:sz w:val="24"/>
                <w:szCs w:val="24"/>
                <w:u w:val="single"/>
              </w:rPr>
              <w:t>，具有耐磨、耐腐蚀特性。罩体设计为可拆卸式结构，通过</w:t>
            </w:r>
            <w:r>
              <w:rPr>
                <w:rFonts w:hint="eastAsia" w:ascii="MS Mincho" w:hAnsi="MS Mincho" w:eastAsia="MS Mincho" w:cs="MS Mincho"/>
                <w:sz w:val="24"/>
                <w:szCs w:val="24"/>
                <w:u w:val="single"/>
              </w:rPr>
              <w:t>‌</w:t>
            </w:r>
            <w:r>
              <w:rPr>
                <w:rFonts w:hint="eastAsia" w:ascii="宋体" w:hAnsi="宋体" w:cs="宋体"/>
                <w:sz w:val="24"/>
                <w:szCs w:val="24"/>
                <w:u w:val="single"/>
              </w:rPr>
              <w:t>快速卡扣</w:t>
            </w:r>
            <w:r>
              <w:rPr>
                <w:rFonts w:hint="eastAsia" w:ascii="MS Mincho" w:hAnsi="MS Mincho" w:eastAsia="MS Mincho" w:cs="MS Mincho"/>
                <w:sz w:val="24"/>
                <w:szCs w:val="24"/>
                <w:u w:val="single"/>
              </w:rPr>
              <w:t>‌</w:t>
            </w:r>
            <w:r>
              <w:rPr>
                <w:rFonts w:hint="eastAsia" w:ascii="宋体" w:hAnsi="宋体" w:cs="宋体"/>
                <w:sz w:val="24"/>
                <w:szCs w:val="24"/>
                <w:u w:val="single"/>
              </w:rPr>
              <w:t>与皮带机架连接，便于设备检修和清理。</w:t>
            </w:r>
          </w:p>
          <w:p w14:paraId="121D388C">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在密闭罩的合适位置开设</w:t>
            </w:r>
            <w:r>
              <w:rPr>
                <w:rFonts w:hint="eastAsia" w:ascii="MS Mincho" w:hAnsi="MS Mincho" w:eastAsia="MS Mincho" w:cs="MS Mincho"/>
                <w:sz w:val="24"/>
                <w:szCs w:val="24"/>
                <w:u w:val="single"/>
              </w:rPr>
              <w:t>‌</w:t>
            </w:r>
            <w:r>
              <w:rPr>
                <w:rFonts w:hint="eastAsia" w:ascii="宋体" w:hAnsi="宋体" w:cs="宋体"/>
                <w:sz w:val="24"/>
                <w:szCs w:val="24"/>
                <w:u w:val="single"/>
              </w:rPr>
              <w:t>观察窗</w:t>
            </w:r>
            <w:r>
              <w:rPr>
                <w:rFonts w:hint="eastAsia" w:ascii="MS Mincho" w:hAnsi="MS Mincho" w:eastAsia="MS Mincho" w:cs="MS Mincho"/>
                <w:sz w:val="24"/>
                <w:szCs w:val="24"/>
                <w:u w:val="single"/>
              </w:rPr>
              <w:t>‌</w:t>
            </w:r>
            <w:r>
              <w:rPr>
                <w:rFonts w:hint="eastAsia" w:ascii="宋体" w:hAnsi="宋体" w:cs="宋体"/>
                <w:sz w:val="24"/>
                <w:szCs w:val="24"/>
                <w:u w:val="single"/>
              </w:rPr>
              <w:t>，采用透明聚碳酸酯板制作，方便操作人员实时观察物料输送情况。同时，在密闭罩顶部设置</w:t>
            </w:r>
            <w:r>
              <w:rPr>
                <w:rFonts w:hint="eastAsia" w:ascii="MS Mincho" w:hAnsi="MS Mincho" w:eastAsia="MS Mincho" w:cs="MS Mincho"/>
                <w:sz w:val="24"/>
                <w:szCs w:val="24"/>
                <w:u w:val="single"/>
              </w:rPr>
              <w:t>‌</w:t>
            </w:r>
            <w:r>
              <w:rPr>
                <w:rFonts w:hint="eastAsia" w:ascii="宋体" w:hAnsi="宋体" w:cs="宋体"/>
                <w:sz w:val="24"/>
                <w:szCs w:val="24"/>
                <w:u w:val="single"/>
              </w:rPr>
              <w:t>集气口</w:t>
            </w:r>
            <w:r>
              <w:rPr>
                <w:rFonts w:hint="eastAsia" w:ascii="MS Mincho" w:hAnsi="MS Mincho" w:eastAsia="MS Mincho" w:cs="MS Mincho"/>
                <w:sz w:val="24"/>
                <w:szCs w:val="24"/>
                <w:u w:val="single"/>
              </w:rPr>
              <w:t>‌</w:t>
            </w:r>
            <w:r>
              <w:rPr>
                <w:rFonts w:hint="eastAsia" w:ascii="宋体" w:hAnsi="宋体" w:cs="宋体"/>
                <w:sz w:val="24"/>
                <w:szCs w:val="24"/>
                <w:u w:val="single"/>
              </w:rPr>
              <w:t>，通过管道连接至车间内的</w:t>
            </w:r>
            <w:r>
              <w:rPr>
                <w:rFonts w:hint="eastAsia" w:ascii="MS Mincho" w:hAnsi="MS Mincho" w:eastAsia="MS Mincho" w:cs="MS Mincho"/>
                <w:sz w:val="24"/>
                <w:szCs w:val="24"/>
                <w:u w:val="single"/>
              </w:rPr>
              <w:t>‌</w:t>
            </w:r>
            <w:r>
              <w:rPr>
                <w:rFonts w:hint="eastAsia" w:ascii="宋体" w:hAnsi="宋体" w:cs="宋体"/>
                <w:sz w:val="24"/>
                <w:szCs w:val="24"/>
                <w:u w:val="single"/>
              </w:rPr>
              <w:t>布袋除尘器</w:t>
            </w:r>
            <w:r>
              <w:rPr>
                <w:rFonts w:hint="eastAsia" w:ascii="MS Mincho" w:hAnsi="MS Mincho" w:eastAsia="MS Mincho" w:cs="MS Mincho"/>
                <w:sz w:val="24"/>
                <w:szCs w:val="24"/>
                <w:u w:val="single"/>
              </w:rPr>
              <w:t>‌</w:t>
            </w:r>
            <w:r>
              <w:rPr>
                <w:rFonts w:hint="eastAsia" w:ascii="宋体" w:hAnsi="宋体" w:cs="宋体"/>
                <w:sz w:val="24"/>
                <w:szCs w:val="24"/>
                <w:u w:val="single"/>
              </w:rPr>
              <w:t>，确保罩内始终保持微负压状态，有效收集扬尘，避免粉尘外溢。</w:t>
            </w:r>
          </w:p>
          <w:p w14:paraId="193B9F71">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皮带输送机的</w:t>
            </w:r>
            <w:r>
              <w:rPr>
                <w:rFonts w:hint="eastAsia" w:ascii="MS Mincho" w:hAnsi="MS Mincho" w:eastAsia="MS Mincho" w:cs="MS Mincho"/>
                <w:sz w:val="24"/>
                <w:szCs w:val="24"/>
                <w:u w:val="single"/>
              </w:rPr>
              <w:t>‌</w:t>
            </w:r>
            <w:r>
              <w:rPr>
                <w:rFonts w:hint="eastAsia" w:ascii="宋体" w:hAnsi="宋体" w:cs="宋体"/>
                <w:sz w:val="24"/>
                <w:szCs w:val="24"/>
                <w:u w:val="single"/>
              </w:rPr>
              <w:t>电机、减速机</w:t>
            </w:r>
            <w:r>
              <w:rPr>
                <w:rFonts w:hint="eastAsia" w:ascii="MS Mincho" w:hAnsi="MS Mincho" w:eastAsia="MS Mincho" w:cs="MS Mincho"/>
                <w:sz w:val="24"/>
                <w:szCs w:val="24"/>
                <w:u w:val="single"/>
              </w:rPr>
              <w:t>‌</w:t>
            </w:r>
            <w:r>
              <w:rPr>
                <w:rFonts w:hint="eastAsia" w:ascii="宋体" w:hAnsi="宋体" w:cs="宋体"/>
                <w:sz w:val="24"/>
                <w:szCs w:val="24"/>
                <w:u w:val="single"/>
              </w:rPr>
              <w:t>等电气设备，采用</w:t>
            </w:r>
            <w:r>
              <w:rPr>
                <w:rFonts w:hint="eastAsia" w:ascii="MS Mincho" w:hAnsi="MS Mincho" w:eastAsia="MS Mincho" w:cs="MS Mincho"/>
                <w:sz w:val="24"/>
                <w:szCs w:val="24"/>
                <w:u w:val="single"/>
              </w:rPr>
              <w:t>‌</w:t>
            </w:r>
            <w:r>
              <w:rPr>
                <w:rFonts w:hint="eastAsia" w:ascii="宋体" w:hAnsi="宋体" w:cs="宋体"/>
                <w:sz w:val="24"/>
                <w:szCs w:val="24"/>
                <w:u w:val="single"/>
              </w:rPr>
              <w:t>防爆型防护罩</w:t>
            </w:r>
            <w:r>
              <w:rPr>
                <w:rFonts w:hint="eastAsia" w:ascii="MS Mincho" w:hAnsi="MS Mincho" w:eastAsia="MS Mincho" w:cs="MS Mincho"/>
                <w:sz w:val="24"/>
                <w:szCs w:val="24"/>
                <w:u w:val="single"/>
              </w:rPr>
              <w:t>‌</w:t>
            </w:r>
            <w:r>
              <w:rPr>
                <w:rFonts w:hint="eastAsia" w:ascii="宋体" w:hAnsi="宋体" w:cs="宋体"/>
                <w:sz w:val="24"/>
                <w:szCs w:val="24"/>
                <w:u w:val="single"/>
              </w:rPr>
              <w:t>进行封闭。防护罩选用高强度铝合金材质，表面经过防腐处理，具备良好的散热性能。防护罩上开设</w:t>
            </w:r>
            <w:r>
              <w:rPr>
                <w:rFonts w:hint="eastAsia" w:ascii="MS Mincho" w:hAnsi="MS Mincho" w:eastAsia="MS Mincho" w:cs="MS Mincho"/>
                <w:sz w:val="24"/>
                <w:szCs w:val="24"/>
                <w:u w:val="single"/>
              </w:rPr>
              <w:t>‌</w:t>
            </w:r>
            <w:r>
              <w:rPr>
                <w:rFonts w:hint="eastAsia" w:ascii="宋体" w:hAnsi="宋体" w:cs="宋体"/>
                <w:sz w:val="24"/>
                <w:szCs w:val="24"/>
                <w:u w:val="single"/>
              </w:rPr>
              <w:t>百叶式散热孔</w:t>
            </w:r>
            <w:r>
              <w:rPr>
                <w:rFonts w:hint="eastAsia" w:ascii="MS Mincho" w:hAnsi="MS Mincho" w:eastAsia="MS Mincho" w:cs="MS Mincho"/>
                <w:sz w:val="24"/>
                <w:szCs w:val="24"/>
                <w:u w:val="single"/>
              </w:rPr>
              <w:t>‌</w:t>
            </w:r>
            <w:r>
              <w:rPr>
                <w:rFonts w:hint="eastAsia" w:ascii="宋体" w:hAnsi="宋体" w:cs="宋体"/>
                <w:sz w:val="24"/>
                <w:szCs w:val="24"/>
                <w:u w:val="single"/>
              </w:rPr>
              <w:t>，并安装</w:t>
            </w:r>
            <w:r>
              <w:rPr>
                <w:rFonts w:hint="eastAsia" w:ascii="MS Mincho" w:hAnsi="MS Mincho" w:eastAsia="MS Mincho" w:cs="MS Mincho"/>
                <w:sz w:val="24"/>
                <w:szCs w:val="24"/>
                <w:u w:val="single"/>
              </w:rPr>
              <w:t>‌</w:t>
            </w:r>
            <w:r>
              <w:rPr>
                <w:rFonts w:hint="eastAsia" w:ascii="宋体" w:hAnsi="宋体" w:cs="宋体"/>
                <w:sz w:val="24"/>
                <w:szCs w:val="24"/>
                <w:u w:val="single"/>
              </w:rPr>
              <w:t>防尘网</w:t>
            </w:r>
            <w:r>
              <w:rPr>
                <w:rFonts w:hint="eastAsia" w:ascii="MS Mincho" w:hAnsi="MS Mincho" w:eastAsia="MS Mincho" w:cs="MS Mincho"/>
                <w:sz w:val="24"/>
                <w:szCs w:val="24"/>
                <w:u w:val="single"/>
              </w:rPr>
              <w:t>‌</w:t>
            </w:r>
            <w:r>
              <w:rPr>
                <w:rFonts w:hint="eastAsia" w:ascii="宋体" w:hAnsi="宋体" w:cs="宋体"/>
                <w:sz w:val="24"/>
                <w:szCs w:val="24"/>
                <w:u w:val="single"/>
              </w:rPr>
              <w:t>，既保证设备正常散热，又能防止粉尘进入。</w:t>
            </w:r>
          </w:p>
          <w:p w14:paraId="7B7B507D">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对于皮带输送机的</w:t>
            </w:r>
            <w:r>
              <w:rPr>
                <w:rFonts w:hint="eastAsia" w:ascii="MS Mincho" w:hAnsi="MS Mincho" w:eastAsia="MS Mincho" w:cs="MS Mincho"/>
                <w:sz w:val="24"/>
                <w:szCs w:val="24"/>
                <w:u w:val="single"/>
              </w:rPr>
              <w:t>‌</w:t>
            </w:r>
            <w:r>
              <w:rPr>
                <w:rFonts w:hint="eastAsia" w:ascii="宋体" w:hAnsi="宋体" w:cs="宋体"/>
                <w:sz w:val="24"/>
                <w:szCs w:val="24"/>
                <w:u w:val="single"/>
              </w:rPr>
              <w:t>控制电缆、动力电缆</w:t>
            </w:r>
            <w:r>
              <w:rPr>
                <w:rFonts w:hint="eastAsia" w:ascii="MS Mincho" w:hAnsi="MS Mincho" w:eastAsia="MS Mincho" w:cs="MS Mincho"/>
                <w:sz w:val="24"/>
                <w:szCs w:val="24"/>
                <w:u w:val="single"/>
              </w:rPr>
              <w:t>‌</w:t>
            </w:r>
            <w:r>
              <w:rPr>
                <w:rFonts w:hint="eastAsia" w:ascii="宋体" w:hAnsi="宋体" w:cs="宋体"/>
                <w:sz w:val="24"/>
                <w:szCs w:val="24"/>
                <w:u w:val="single"/>
              </w:rPr>
              <w:t>，采用</w:t>
            </w:r>
            <w:r>
              <w:rPr>
                <w:rFonts w:hint="eastAsia" w:ascii="MS Mincho" w:hAnsi="MS Mincho" w:eastAsia="MS Mincho" w:cs="MS Mincho"/>
                <w:sz w:val="24"/>
                <w:szCs w:val="24"/>
                <w:u w:val="single"/>
              </w:rPr>
              <w:t>‌</w:t>
            </w:r>
            <w:r>
              <w:rPr>
                <w:rFonts w:hint="eastAsia" w:ascii="宋体" w:hAnsi="宋体" w:cs="宋体"/>
                <w:sz w:val="24"/>
                <w:szCs w:val="24"/>
                <w:u w:val="single"/>
              </w:rPr>
              <w:t>封闭式电缆桥架</w:t>
            </w:r>
            <w:r>
              <w:rPr>
                <w:rFonts w:hint="eastAsia" w:ascii="MS Mincho" w:hAnsi="MS Mincho" w:eastAsia="MS Mincho" w:cs="MS Mincho"/>
                <w:sz w:val="24"/>
                <w:szCs w:val="24"/>
                <w:u w:val="single"/>
              </w:rPr>
              <w:t>‌</w:t>
            </w:r>
            <w:r>
              <w:rPr>
                <w:rFonts w:hint="eastAsia" w:ascii="宋体" w:hAnsi="宋体" w:cs="宋体"/>
                <w:sz w:val="24"/>
                <w:szCs w:val="24"/>
                <w:u w:val="single"/>
              </w:rPr>
              <w:t>进行敷设。桥架选用镀锌钢板制作，盖板与桥架本体之间加装</w:t>
            </w:r>
            <w:r>
              <w:rPr>
                <w:rFonts w:hint="eastAsia" w:ascii="MS Mincho" w:hAnsi="MS Mincho" w:eastAsia="MS Mincho" w:cs="MS Mincho"/>
                <w:sz w:val="24"/>
                <w:szCs w:val="24"/>
                <w:u w:val="single"/>
              </w:rPr>
              <w:t>‌</w:t>
            </w:r>
            <w:r>
              <w:rPr>
                <w:rFonts w:hint="eastAsia" w:ascii="宋体" w:hAnsi="宋体" w:cs="宋体"/>
                <w:sz w:val="24"/>
                <w:szCs w:val="24"/>
                <w:u w:val="single"/>
              </w:rPr>
              <w:t>橡胶密封条</w:t>
            </w:r>
            <w:r>
              <w:rPr>
                <w:rFonts w:hint="eastAsia" w:ascii="MS Mincho" w:hAnsi="MS Mincho" w:eastAsia="MS Mincho" w:cs="MS Mincho"/>
                <w:sz w:val="24"/>
                <w:szCs w:val="24"/>
                <w:u w:val="single"/>
              </w:rPr>
              <w:t>‌</w:t>
            </w:r>
            <w:r>
              <w:rPr>
                <w:rFonts w:hint="eastAsia" w:ascii="宋体" w:hAnsi="宋体" w:cs="宋体"/>
                <w:sz w:val="24"/>
                <w:szCs w:val="24"/>
                <w:u w:val="single"/>
              </w:rPr>
              <w:t>，防止粉尘侵入。桥架每隔一定距离设置</w:t>
            </w:r>
            <w:r>
              <w:rPr>
                <w:rFonts w:hint="eastAsia" w:ascii="MS Mincho" w:hAnsi="MS Mincho" w:eastAsia="MS Mincho" w:cs="MS Mincho"/>
                <w:sz w:val="24"/>
                <w:szCs w:val="24"/>
                <w:u w:val="single"/>
              </w:rPr>
              <w:t>‌</w:t>
            </w:r>
            <w:r>
              <w:rPr>
                <w:rFonts w:hint="eastAsia" w:ascii="宋体" w:hAnsi="宋体" w:cs="宋体"/>
                <w:sz w:val="24"/>
                <w:szCs w:val="24"/>
                <w:u w:val="single"/>
              </w:rPr>
              <w:t>检修口</w:t>
            </w:r>
            <w:r>
              <w:rPr>
                <w:rFonts w:hint="eastAsia" w:ascii="MS Mincho" w:hAnsi="MS Mincho" w:eastAsia="MS Mincho" w:cs="MS Mincho"/>
                <w:sz w:val="24"/>
                <w:szCs w:val="24"/>
                <w:u w:val="single"/>
              </w:rPr>
              <w:t>‌</w:t>
            </w:r>
            <w:r>
              <w:rPr>
                <w:rFonts w:hint="eastAsia" w:ascii="宋体" w:hAnsi="宋体" w:cs="宋体"/>
                <w:sz w:val="24"/>
                <w:szCs w:val="24"/>
                <w:u w:val="single"/>
              </w:rPr>
              <w:t>，便于电缆的维护和更换。</w:t>
            </w:r>
          </w:p>
          <w:p w14:paraId="10ADC4C4">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车间外露天环境下的长距离皮带输送系统，采用</w:t>
            </w:r>
            <w:r>
              <w:rPr>
                <w:rFonts w:hint="eastAsia" w:ascii="MS Mincho" w:hAnsi="MS Mincho" w:eastAsia="MS Mincho" w:cs="MS Mincho"/>
                <w:sz w:val="24"/>
                <w:szCs w:val="24"/>
                <w:u w:val="single"/>
              </w:rPr>
              <w:t>‌</w:t>
            </w:r>
            <w:r>
              <w:rPr>
                <w:rFonts w:hint="eastAsia" w:ascii="宋体" w:hAnsi="宋体" w:cs="宋体"/>
                <w:sz w:val="24"/>
                <w:szCs w:val="24"/>
                <w:u w:val="single"/>
              </w:rPr>
              <w:t>钢结构骨架</w:t>
            </w:r>
            <w:r>
              <w:rPr>
                <w:rFonts w:ascii="宋体" w:hAnsi="宋体" w:cs="宋体"/>
                <w:sz w:val="24"/>
                <w:szCs w:val="24"/>
                <w:u w:val="single"/>
              </w:rPr>
              <w:t>+</w:t>
            </w:r>
            <w:r>
              <w:rPr>
                <w:rFonts w:hint="eastAsia" w:ascii="宋体" w:hAnsi="宋体" w:cs="宋体"/>
                <w:sz w:val="24"/>
                <w:szCs w:val="24"/>
                <w:u w:val="single"/>
              </w:rPr>
              <w:t>彩钢瓦面板</w:t>
            </w:r>
            <w:r>
              <w:rPr>
                <w:rFonts w:hint="eastAsia" w:ascii="MS Mincho" w:hAnsi="MS Mincho" w:eastAsia="MS Mincho" w:cs="MS Mincho"/>
                <w:sz w:val="24"/>
                <w:szCs w:val="24"/>
                <w:u w:val="single"/>
              </w:rPr>
              <w:t>‌</w:t>
            </w:r>
            <w:r>
              <w:rPr>
                <w:rFonts w:hint="eastAsia" w:ascii="宋体" w:hAnsi="宋体" w:cs="宋体"/>
                <w:sz w:val="24"/>
                <w:szCs w:val="24"/>
                <w:u w:val="single"/>
              </w:rPr>
              <w:t>的全封闭通廊。钢结构骨架选用</w:t>
            </w:r>
            <w:r>
              <w:rPr>
                <w:rFonts w:ascii="宋体" w:hAnsi="宋体" w:cs="宋体"/>
                <w:sz w:val="24"/>
                <w:szCs w:val="24"/>
                <w:u w:val="single"/>
              </w:rPr>
              <w:t>H</w:t>
            </w:r>
            <w:r>
              <w:rPr>
                <w:rFonts w:hint="eastAsia" w:ascii="宋体" w:hAnsi="宋体" w:cs="宋体"/>
                <w:sz w:val="24"/>
                <w:szCs w:val="24"/>
                <w:u w:val="single"/>
              </w:rPr>
              <w:t>型钢制作，经过热镀锌处理，具备优异的防腐性能，能抵御室外风吹日晒、雨雪侵蚀。彩钢瓦面板选用厚度不小于</w:t>
            </w:r>
            <w:r>
              <w:rPr>
                <w:rFonts w:ascii="宋体" w:hAnsi="宋体" w:cs="宋体"/>
                <w:sz w:val="24"/>
                <w:szCs w:val="24"/>
                <w:u w:val="single"/>
              </w:rPr>
              <w:t>0.6mm</w:t>
            </w:r>
            <w:r>
              <w:rPr>
                <w:rFonts w:hint="eastAsia" w:ascii="宋体" w:hAnsi="宋体" w:cs="宋体"/>
                <w:sz w:val="24"/>
                <w:szCs w:val="24"/>
                <w:u w:val="single"/>
              </w:rPr>
              <w:t>的彩色涂层钢板，表面涂有耐候性涂料，使用寿命长。</w:t>
            </w:r>
          </w:p>
          <w:p w14:paraId="7E9F993E">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通廊底部设置</w:t>
            </w:r>
            <w:r>
              <w:rPr>
                <w:rFonts w:hint="eastAsia" w:ascii="MS Mincho" w:hAnsi="MS Mincho" w:eastAsia="MS Mincho" w:cs="MS Mincho"/>
                <w:sz w:val="24"/>
                <w:szCs w:val="24"/>
                <w:u w:val="single"/>
              </w:rPr>
              <w:t>‌</w:t>
            </w:r>
            <w:r>
              <w:rPr>
                <w:rFonts w:hint="eastAsia" w:ascii="宋体" w:hAnsi="宋体" w:cs="宋体"/>
                <w:sz w:val="24"/>
                <w:szCs w:val="24"/>
                <w:u w:val="single"/>
              </w:rPr>
              <w:t>排水坡度</w:t>
            </w:r>
            <w:r>
              <w:rPr>
                <w:rFonts w:hint="eastAsia" w:ascii="MS Mincho" w:hAnsi="MS Mincho" w:eastAsia="MS Mincho" w:cs="MS Mincho"/>
                <w:sz w:val="24"/>
                <w:szCs w:val="24"/>
                <w:u w:val="single"/>
              </w:rPr>
              <w:t>‌</w:t>
            </w:r>
            <w:r>
              <w:rPr>
                <w:rFonts w:hint="eastAsia" w:ascii="宋体" w:hAnsi="宋体" w:cs="宋体"/>
                <w:sz w:val="24"/>
                <w:szCs w:val="24"/>
                <w:u w:val="single"/>
              </w:rPr>
              <w:t>，坡度不小于</w:t>
            </w:r>
            <w:r>
              <w:rPr>
                <w:rFonts w:ascii="宋体" w:hAnsi="宋体" w:cs="宋体"/>
                <w:sz w:val="24"/>
                <w:szCs w:val="24"/>
                <w:u w:val="single"/>
              </w:rPr>
              <w:t>3‰</w:t>
            </w:r>
            <w:r>
              <w:rPr>
                <w:rFonts w:hint="eastAsia" w:ascii="宋体" w:hAnsi="宋体" w:cs="宋体"/>
                <w:sz w:val="24"/>
                <w:szCs w:val="24"/>
                <w:u w:val="single"/>
              </w:rPr>
              <w:t>，并在通廊两侧设置</w:t>
            </w:r>
            <w:r>
              <w:rPr>
                <w:rFonts w:hint="eastAsia" w:ascii="MS Mincho" w:hAnsi="MS Mincho" w:eastAsia="MS Mincho" w:cs="MS Mincho"/>
                <w:sz w:val="24"/>
                <w:szCs w:val="24"/>
                <w:u w:val="single"/>
              </w:rPr>
              <w:t>‌</w:t>
            </w:r>
            <w:r>
              <w:rPr>
                <w:rFonts w:hint="eastAsia" w:ascii="宋体" w:hAnsi="宋体" w:cs="宋体"/>
                <w:sz w:val="24"/>
                <w:szCs w:val="24"/>
                <w:u w:val="single"/>
              </w:rPr>
              <w:t>排水槽</w:t>
            </w:r>
            <w:r>
              <w:rPr>
                <w:rFonts w:hint="eastAsia" w:ascii="MS Mincho" w:hAnsi="MS Mincho" w:eastAsia="MS Mincho" w:cs="MS Mincho"/>
                <w:sz w:val="24"/>
                <w:szCs w:val="24"/>
                <w:u w:val="single"/>
              </w:rPr>
              <w:t>‌</w:t>
            </w:r>
            <w:r>
              <w:rPr>
                <w:rFonts w:hint="eastAsia" w:ascii="宋体" w:hAnsi="宋体" w:cs="宋体"/>
                <w:sz w:val="24"/>
                <w:szCs w:val="24"/>
                <w:u w:val="single"/>
              </w:rPr>
              <w:t>，及时排出雨水，避免积水。通廊顶部每隔</w:t>
            </w:r>
            <w:r>
              <w:rPr>
                <w:rFonts w:ascii="宋体" w:hAnsi="宋体" w:cs="宋体"/>
                <w:sz w:val="24"/>
                <w:szCs w:val="24"/>
                <w:u w:val="single"/>
              </w:rPr>
              <w:t>30</w:t>
            </w:r>
            <w:r>
              <w:rPr>
                <w:rFonts w:hint="eastAsia" w:ascii="宋体" w:hAnsi="宋体" w:cs="宋体"/>
                <w:sz w:val="24"/>
                <w:szCs w:val="24"/>
                <w:u w:val="single"/>
              </w:rPr>
              <w:t>米设置一个</w:t>
            </w:r>
            <w:r>
              <w:rPr>
                <w:rFonts w:hint="eastAsia" w:ascii="MS Mincho" w:hAnsi="MS Mincho" w:eastAsia="MS Mincho" w:cs="MS Mincho"/>
                <w:sz w:val="24"/>
                <w:szCs w:val="24"/>
                <w:u w:val="single"/>
              </w:rPr>
              <w:t>‌</w:t>
            </w:r>
            <w:r>
              <w:rPr>
                <w:rFonts w:hint="eastAsia" w:ascii="宋体" w:hAnsi="宋体" w:cs="宋体"/>
                <w:sz w:val="24"/>
                <w:szCs w:val="24"/>
                <w:u w:val="single"/>
              </w:rPr>
              <w:t>避雷针</w:t>
            </w:r>
            <w:r>
              <w:rPr>
                <w:rFonts w:hint="eastAsia" w:ascii="MS Mincho" w:hAnsi="MS Mincho" w:eastAsia="MS Mincho" w:cs="MS Mincho"/>
                <w:sz w:val="24"/>
                <w:szCs w:val="24"/>
                <w:u w:val="single"/>
              </w:rPr>
              <w:t>‌</w:t>
            </w:r>
            <w:r>
              <w:rPr>
                <w:rFonts w:hint="eastAsia" w:ascii="宋体" w:hAnsi="宋体" w:cs="宋体"/>
                <w:sz w:val="24"/>
                <w:szCs w:val="24"/>
                <w:u w:val="single"/>
              </w:rPr>
              <w:t>，并与车间的接地系统相连，防止雷击对设备造成损坏。</w:t>
            </w:r>
          </w:p>
          <w:p w14:paraId="6BC733F3">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车间外皮带输送机的</w:t>
            </w:r>
            <w:r>
              <w:rPr>
                <w:rFonts w:hint="eastAsia" w:ascii="MS Mincho" w:hAnsi="MS Mincho" w:eastAsia="MS Mincho" w:cs="MS Mincho"/>
                <w:sz w:val="24"/>
                <w:szCs w:val="24"/>
                <w:u w:val="single"/>
              </w:rPr>
              <w:t>‌</w:t>
            </w:r>
            <w:r>
              <w:rPr>
                <w:rFonts w:hint="eastAsia" w:ascii="宋体" w:hAnsi="宋体" w:cs="宋体"/>
                <w:sz w:val="24"/>
                <w:szCs w:val="24"/>
                <w:u w:val="single"/>
              </w:rPr>
              <w:t>转运站、卸料点</w:t>
            </w:r>
            <w:r>
              <w:rPr>
                <w:rFonts w:hint="eastAsia" w:ascii="MS Mincho" w:hAnsi="MS Mincho" w:eastAsia="MS Mincho" w:cs="MS Mincho"/>
                <w:sz w:val="24"/>
                <w:szCs w:val="24"/>
                <w:u w:val="single"/>
              </w:rPr>
              <w:t>‌</w:t>
            </w:r>
            <w:r>
              <w:rPr>
                <w:rFonts w:hint="eastAsia" w:ascii="宋体" w:hAnsi="宋体" w:cs="宋体"/>
                <w:sz w:val="24"/>
                <w:szCs w:val="24"/>
                <w:u w:val="single"/>
              </w:rPr>
              <w:t>，采用</w:t>
            </w:r>
            <w:r>
              <w:rPr>
                <w:rFonts w:hint="eastAsia" w:ascii="MS Mincho" w:hAnsi="MS Mincho" w:eastAsia="MS Mincho" w:cs="MS Mincho"/>
                <w:sz w:val="24"/>
                <w:szCs w:val="24"/>
                <w:u w:val="single"/>
              </w:rPr>
              <w:t>‌</w:t>
            </w:r>
            <w:r>
              <w:rPr>
                <w:rFonts w:hint="eastAsia" w:ascii="宋体" w:hAnsi="宋体" w:cs="宋体"/>
                <w:sz w:val="24"/>
                <w:szCs w:val="24"/>
                <w:u w:val="single"/>
              </w:rPr>
              <w:t>全封闭钢结构厂房</w:t>
            </w:r>
            <w:r>
              <w:rPr>
                <w:rFonts w:hint="eastAsia" w:ascii="MS Mincho" w:hAnsi="MS Mincho" w:eastAsia="MS Mincho" w:cs="MS Mincho"/>
                <w:sz w:val="24"/>
                <w:szCs w:val="24"/>
                <w:u w:val="single"/>
              </w:rPr>
              <w:t>‌</w:t>
            </w:r>
            <w:r>
              <w:rPr>
                <w:rFonts w:hint="eastAsia" w:ascii="宋体" w:hAnsi="宋体" w:cs="宋体"/>
                <w:sz w:val="24"/>
                <w:szCs w:val="24"/>
                <w:u w:val="single"/>
              </w:rPr>
              <w:t>进行封闭。厂房主体采用钢结构框架，墙面和屋面采用彩钢夹芯板，具备良好的保温、隔热、防尘性能。厂房内设置</w:t>
            </w:r>
            <w:r>
              <w:rPr>
                <w:rFonts w:hint="eastAsia" w:ascii="MS Mincho" w:hAnsi="MS Mincho" w:eastAsia="MS Mincho" w:cs="MS Mincho"/>
                <w:sz w:val="24"/>
                <w:szCs w:val="24"/>
                <w:u w:val="single"/>
              </w:rPr>
              <w:t>‌</w:t>
            </w:r>
            <w:r>
              <w:rPr>
                <w:rFonts w:hint="eastAsia" w:ascii="宋体" w:hAnsi="宋体" w:cs="宋体"/>
                <w:sz w:val="24"/>
                <w:szCs w:val="24"/>
                <w:u w:val="single"/>
              </w:rPr>
              <w:t>通风系统</w:t>
            </w:r>
            <w:r>
              <w:rPr>
                <w:rFonts w:hint="eastAsia" w:ascii="MS Mincho" w:hAnsi="MS Mincho" w:eastAsia="MS Mincho" w:cs="MS Mincho"/>
                <w:sz w:val="24"/>
                <w:szCs w:val="24"/>
                <w:u w:val="single"/>
              </w:rPr>
              <w:t>‌</w:t>
            </w:r>
            <w:r>
              <w:rPr>
                <w:rFonts w:hint="eastAsia" w:ascii="宋体" w:hAnsi="宋体" w:cs="宋体"/>
                <w:sz w:val="24"/>
                <w:szCs w:val="24"/>
                <w:u w:val="single"/>
              </w:rPr>
              <w:t>，采用轴流风机进行强制通风，保持室内空气流通，降低粉尘浓度。</w:t>
            </w:r>
          </w:p>
          <w:p w14:paraId="7AB31573">
            <w:pPr>
              <w:spacing w:line="360" w:lineRule="auto"/>
              <w:ind w:firstLine="480" w:firstLineChars="200"/>
              <w:jc w:val="left"/>
              <w:rPr>
                <w:rFonts w:ascii="宋体" w:hAnsi="宋体" w:cs="宋体"/>
                <w:sz w:val="24"/>
                <w:szCs w:val="24"/>
                <w:u w:val="single"/>
              </w:rPr>
            </w:pPr>
            <w:r>
              <w:rPr>
                <w:rFonts w:hint="eastAsia" w:asciiTheme="minorEastAsia" w:hAnsiTheme="minorEastAsia" w:eastAsiaTheme="minorEastAsia"/>
                <w:sz w:val="24"/>
                <w:szCs w:val="24"/>
                <w:u w:val="single"/>
              </w:rPr>
              <w:t>在转运站的卸料口设置</w:t>
            </w:r>
            <w:r>
              <w:rPr>
                <w:rFonts w:hint="eastAsia" w:ascii="MS Mincho" w:hAnsi="MS Mincho" w:eastAsia="MS Mincho" w:cs="MS Mincho"/>
                <w:sz w:val="24"/>
                <w:szCs w:val="24"/>
                <w:u w:val="single"/>
              </w:rPr>
              <w:t>‌</w:t>
            </w:r>
            <w:r>
              <w:rPr>
                <w:rFonts w:hint="eastAsia" w:ascii="宋体" w:hAnsi="宋体" w:cs="宋体"/>
                <w:sz w:val="24"/>
                <w:szCs w:val="24"/>
                <w:u w:val="single"/>
              </w:rPr>
              <w:t>双层密封挡板</w:t>
            </w:r>
            <w:r>
              <w:rPr>
                <w:rFonts w:hint="eastAsia" w:ascii="MS Mincho" w:hAnsi="MS Mincho" w:eastAsia="MS Mincho" w:cs="MS Mincho"/>
                <w:sz w:val="24"/>
                <w:szCs w:val="24"/>
                <w:u w:val="single"/>
              </w:rPr>
              <w:t>‌</w:t>
            </w:r>
            <w:r>
              <w:rPr>
                <w:rFonts w:hint="eastAsia" w:ascii="宋体" w:hAnsi="宋体" w:cs="宋体"/>
                <w:sz w:val="24"/>
                <w:szCs w:val="24"/>
                <w:u w:val="single"/>
              </w:rPr>
              <w:t>，挡板采用耐磨橡胶材质，通过液压系统控制开合，确保卸料过程中粉尘不外溢。同时，在厂房内设置</w:t>
            </w:r>
            <w:r>
              <w:rPr>
                <w:rFonts w:hint="eastAsia" w:ascii="MS Mincho" w:hAnsi="MS Mincho" w:eastAsia="MS Mincho" w:cs="MS Mincho"/>
                <w:sz w:val="24"/>
                <w:szCs w:val="24"/>
                <w:u w:val="single"/>
              </w:rPr>
              <w:t>‌</w:t>
            </w:r>
            <w:r>
              <w:rPr>
                <w:rFonts w:hint="eastAsia" w:ascii="宋体" w:hAnsi="宋体" w:cs="宋体"/>
                <w:sz w:val="24"/>
                <w:szCs w:val="24"/>
                <w:u w:val="single"/>
              </w:rPr>
              <w:t>喷雾降尘装置</w:t>
            </w:r>
            <w:r>
              <w:rPr>
                <w:rFonts w:hint="eastAsia" w:ascii="MS Mincho" w:hAnsi="MS Mincho" w:eastAsia="MS Mincho" w:cs="MS Mincho"/>
                <w:sz w:val="24"/>
                <w:szCs w:val="24"/>
                <w:u w:val="single"/>
              </w:rPr>
              <w:t>‌</w:t>
            </w:r>
            <w:r>
              <w:rPr>
                <w:rFonts w:hint="eastAsia" w:ascii="宋体" w:hAnsi="宋体" w:cs="宋体"/>
                <w:sz w:val="24"/>
                <w:szCs w:val="24"/>
                <w:u w:val="single"/>
              </w:rPr>
              <w:t>，利用高压水雾吸附空气中的粉尘，进一步降低扬尘污染。</w:t>
            </w:r>
          </w:p>
          <w:p w14:paraId="38AF14F9">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针对室外皮带输送系统，在通廊两侧设置</w:t>
            </w:r>
            <w:r>
              <w:rPr>
                <w:rFonts w:hint="eastAsia" w:ascii="MS Mincho" w:hAnsi="MS Mincho" w:eastAsia="MS Mincho" w:cs="MS Mincho"/>
                <w:sz w:val="24"/>
                <w:szCs w:val="24"/>
                <w:u w:val="single"/>
              </w:rPr>
              <w:t>‌</w:t>
            </w:r>
            <w:r>
              <w:rPr>
                <w:rFonts w:hint="eastAsia" w:ascii="宋体" w:hAnsi="宋体" w:cs="宋体"/>
                <w:sz w:val="24"/>
                <w:szCs w:val="24"/>
                <w:u w:val="single"/>
              </w:rPr>
              <w:t>防风抑尘网</w:t>
            </w:r>
            <w:r>
              <w:rPr>
                <w:rFonts w:hint="eastAsia" w:ascii="MS Mincho" w:hAnsi="MS Mincho" w:eastAsia="MS Mincho" w:cs="MS Mincho"/>
                <w:sz w:val="24"/>
                <w:szCs w:val="24"/>
                <w:u w:val="single"/>
              </w:rPr>
              <w:t>‌</w:t>
            </w:r>
            <w:r>
              <w:rPr>
                <w:rFonts w:hint="eastAsia" w:ascii="宋体" w:hAnsi="宋体" w:cs="宋体"/>
                <w:sz w:val="24"/>
                <w:szCs w:val="24"/>
                <w:u w:val="single"/>
              </w:rPr>
              <w:t>。抑尘网采用高密度聚乙烯材质，网孔尺寸为</w:t>
            </w:r>
            <w:r>
              <w:rPr>
                <w:rFonts w:ascii="宋体" w:hAnsi="宋体" w:cs="宋体"/>
                <w:sz w:val="24"/>
                <w:szCs w:val="24"/>
                <w:u w:val="single"/>
              </w:rPr>
              <w:t>20mm×20mm</w:t>
            </w:r>
            <w:r>
              <w:rPr>
                <w:rFonts w:hint="eastAsia" w:ascii="宋体" w:hAnsi="宋体" w:cs="宋体"/>
                <w:sz w:val="24"/>
                <w:szCs w:val="24"/>
                <w:u w:val="single"/>
              </w:rPr>
              <w:t>，具有良好的防风性能，能有效降低风速，减少粉尘扩散。抑尘网通过金属支架固定在通廊两侧，高度不低于通廊顶部</w:t>
            </w:r>
            <w:r>
              <w:rPr>
                <w:rFonts w:ascii="宋体" w:hAnsi="宋体" w:cs="宋体"/>
                <w:sz w:val="24"/>
                <w:szCs w:val="24"/>
                <w:u w:val="single"/>
              </w:rPr>
              <w:t>1</w:t>
            </w:r>
            <w:r>
              <w:rPr>
                <w:rFonts w:hint="eastAsia" w:ascii="宋体" w:hAnsi="宋体" w:cs="宋体"/>
                <w:sz w:val="24"/>
                <w:szCs w:val="24"/>
                <w:u w:val="single"/>
              </w:rPr>
              <w:t>米。</w:t>
            </w:r>
          </w:p>
          <w:p w14:paraId="723FCA0C">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对室外皮带输送机的</w:t>
            </w:r>
            <w:r>
              <w:rPr>
                <w:rFonts w:hint="eastAsia" w:ascii="MS Mincho" w:hAnsi="MS Mincho" w:eastAsia="MS Mincho" w:cs="MS Mincho"/>
                <w:sz w:val="24"/>
                <w:szCs w:val="24"/>
                <w:u w:val="single"/>
              </w:rPr>
              <w:t>‌</w:t>
            </w:r>
            <w:r>
              <w:rPr>
                <w:rFonts w:hint="eastAsia" w:ascii="宋体" w:hAnsi="宋体" w:cs="宋体"/>
                <w:sz w:val="24"/>
                <w:szCs w:val="24"/>
                <w:u w:val="single"/>
              </w:rPr>
              <w:t>金属构件</w:t>
            </w:r>
            <w:r>
              <w:rPr>
                <w:rFonts w:hint="eastAsia" w:ascii="MS Mincho" w:hAnsi="MS Mincho" w:eastAsia="MS Mincho" w:cs="MS Mincho"/>
                <w:sz w:val="24"/>
                <w:szCs w:val="24"/>
                <w:u w:val="single"/>
              </w:rPr>
              <w:t>‌</w:t>
            </w:r>
            <w:r>
              <w:rPr>
                <w:rFonts w:hint="eastAsia" w:ascii="宋体" w:hAnsi="宋体" w:cs="宋体"/>
                <w:sz w:val="24"/>
                <w:szCs w:val="24"/>
                <w:u w:val="single"/>
              </w:rPr>
              <w:t>，定期进行防腐处理。采用环氧富锌底漆</w:t>
            </w:r>
            <w:r>
              <w:rPr>
                <w:rFonts w:ascii="宋体" w:hAnsi="宋体" w:cs="宋体"/>
                <w:sz w:val="24"/>
                <w:szCs w:val="24"/>
                <w:u w:val="single"/>
              </w:rPr>
              <w:t>+</w:t>
            </w:r>
            <w:r>
              <w:rPr>
                <w:rFonts w:hint="eastAsia" w:ascii="宋体" w:hAnsi="宋体" w:cs="宋体"/>
                <w:sz w:val="24"/>
                <w:szCs w:val="24"/>
                <w:u w:val="single"/>
              </w:rPr>
              <w:t>聚氨酯面漆的涂装方案，底漆厚度不小于</w:t>
            </w:r>
            <w:r>
              <w:rPr>
                <w:rFonts w:ascii="宋体" w:hAnsi="宋体" w:cs="宋体"/>
                <w:sz w:val="24"/>
                <w:szCs w:val="24"/>
                <w:u w:val="single"/>
              </w:rPr>
              <w:t>80μm</w:t>
            </w:r>
            <w:r>
              <w:rPr>
                <w:rFonts w:hint="eastAsia" w:ascii="宋体" w:hAnsi="宋体" w:cs="宋体"/>
                <w:sz w:val="24"/>
                <w:szCs w:val="24"/>
                <w:u w:val="single"/>
              </w:rPr>
              <w:t>，面漆厚度不小于</w:t>
            </w:r>
            <w:r>
              <w:rPr>
                <w:rFonts w:ascii="宋体" w:hAnsi="宋体" w:cs="宋体"/>
                <w:sz w:val="24"/>
                <w:szCs w:val="24"/>
                <w:u w:val="single"/>
              </w:rPr>
              <w:t>60μm</w:t>
            </w:r>
            <w:r>
              <w:rPr>
                <w:rFonts w:hint="eastAsia" w:ascii="宋体" w:hAnsi="宋体" w:cs="宋体"/>
                <w:sz w:val="24"/>
                <w:szCs w:val="24"/>
                <w:u w:val="single"/>
              </w:rPr>
              <w:t>，确保金属构件在室外环境下长期不生锈。</w:t>
            </w:r>
          </w:p>
          <w:p w14:paraId="72AFBF56">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建立每日巡检制度，安排专人对皮带输送带封闭系统进行检查。重点检查密封门、观察窗、集气口等部位的密封性能，以及通廊、密闭罩的结构完整性。发现密封不严、构件损坏等问题，及时进行维修和更换。</w:t>
            </w:r>
          </w:p>
          <w:p w14:paraId="2FAAA95D">
            <w:pPr>
              <w:spacing w:line="360" w:lineRule="auto"/>
              <w:ind w:firstLine="480" w:firstLineChars="200"/>
              <w:jc w:val="left"/>
              <w:rPr>
                <w:rFonts w:asciiTheme="minorEastAsia" w:hAnsiTheme="minorEastAsia" w:eastAsiaTheme="minorEastAsia"/>
                <w:sz w:val="24"/>
                <w:szCs w:val="24"/>
              </w:rPr>
            </w:pPr>
            <w:r>
              <w:rPr>
                <w:rFonts w:hint="eastAsia" w:ascii="宋体" w:hAnsi="宋体" w:cs="宋体"/>
                <w:sz w:val="24"/>
                <w:szCs w:val="24"/>
                <w:u w:val="single"/>
              </w:rPr>
              <w:t>每月对封闭系统进行一次全面清洁。清理通廊内、密闭罩内的积尘，检查并更换老化的密封条。对电机、减速机等设备进行润滑保养，确保设备运行顺畅。每季度对封闭系统的钢结构骨架、金属支架进行一次防腐检查，发现锈蚀及时进行补漆处理。</w:t>
            </w:r>
          </w:p>
        </w:tc>
      </w:tr>
      <w:tr w14:paraId="5A39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720" w:type="dxa"/>
          </w:tcPr>
          <w:p w14:paraId="57898C27">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与项目有关的原有环境污染问题</w:t>
            </w:r>
          </w:p>
          <w:p w14:paraId="7A4B817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租用白山市浑江区胜利煤业有限公司闲置厂房进行建设。经核实，该公司厂区已停业停产多年，现场仅保留既有厂房及场地，无任何生产经营活动，且不属塌陷区。根据现场踏查，不存在与项目有关的原有环境污染问题，无遗留环保隐患。</w:t>
            </w:r>
          </w:p>
          <w:p w14:paraId="6F125EBC">
            <w:pPr>
              <w:spacing w:line="360" w:lineRule="auto"/>
              <w:ind w:firstLine="480" w:firstLineChars="200"/>
              <w:jc w:val="left"/>
              <w:rPr>
                <w:rFonts w:asciiTheme="minorEastAsia" w:hAnsiTheme="minorEastAsia" w:eastAsiaTheme="minorEastAsia"/>
                <w:sz w:val="24"/>
                <w:szCs w:val="24"/>
              </w:rPr>
            </w:pPr>
          </w:p>
          <w:p w14:paraId="1579BE4A">
            <w:pPr>
              <w:spacing w:line="360" w:lineRule="auto"/>
              <w:ind w:firstLine="480" w:firstLineChars="200"/>
              <w:jc w:val="left"/>
              <w:rPr>
                <w:rFonts w:asciiTheme="minorEastAsia" w:hAnsiTheme="minorEastAsia" w:eastAsiaTheme="minorEastAsia"/>
                <w:sz w:val="24"/>
                <w:szCs w:val="24"/>
              </w:rPr>
            </w:pPr>
          </w:p>
          <w:p w14:paraId="02297D9A">
            <w:pPr>
              <w:spacing w:line="360" w:lineRule="auto"/>
              <w:ind w:firstLine="480" w:firstLineChars="200"/>
              <w:jc w:val="left"/>
              <w:rPr>
                <w:rFonts w:asciiTheme="minorEastAsia" w:hAnsiTheme="minorEastAsia" w:eastAsiaTheme="minorEastAsia"/>
                <w:sz w:val="24"/>
                <w:szCs w:val="24"/>
              </w:rPr>
            </w:pPr>
          </w:p>
          <w:p w14:paraId="3E43AA82">
            <w:pPr>
              <w:spacing w:line="360" w:lineRule="auto"/>
              <w:ind w:firstLine="480" w:firstLineChars="200"/>
              <w:jc w:val="left"/>
              <w:rPr>
                <w:rFonts w:asciiTheme="minorEastAsia" w:hAnsiTheme="minorEastAsia" w:eastAsiaTheme="minorEastAsia"/>
                <w:sz w:val="24"/>
                <w:szCs w:val="24"/>
              </w:rPr>
            </w:pPr>
          </w:p>
          <w:p w14:paraId="41146B34">
            <w:pPr>
              <w:spacing w:line="360" w:lineRule="auto"/>
              <w:ind w:firstLine="480" w:firstLineChars="200"/>
              <w:jc w:val="left"/>
              <w:rPr>
                <w:rFonts w:asciiTheme="minorEastAsia" w:hAnsiTheme="minorEastAsia" w:eastAsiaTheme="minorEastAsia"/>
                <w:sz w:val="24"/>
                <w:szCs w:val="24"/>
              </w:rPr>
            </w:pPr>
          </w:p>
        </w:tc>
      </w:tr>
    </w:tbl>
    <w:p w14:paraId="1253FCBC">
      <w:pPr>
        <w:pStyle w:val="2"/>
        <w:keepLines w:val="0"/>
        <w:spacing w:before="0" w:after="0" w:line="240" w:lineRule="auto"/>
        <w:ind w:firstLine="148" w:firstLineChars="49"/>
        <w:jc w:val="center"/>
        <w:rPr>
          <w:rFonts w:asciiTheme="minorEastAsia" w:hAnsiTheme="minorEastAsia" w:eastAsiaTheme="minorEastAsia"/>
          <w:bCs w:val="0"/>
          <w:kern w:val="2"/>
          <w:sz w:val="30"/>
          <w:szCs w:val="20"/>
        </w:rPr>
      </w:pPr>
      <w:bookmarkStart w:id="11" w:name="_Toc27755"/>
      <w:r>
        <w:rPr>
          <w:rFonts w:asciiTheme="minorEastAsia" w:hAnsiTheme="minorEastAsia" w:eastAsiaTheme="minorEastAsia"/>
          <w:snapToGrid w:val="0"/>
          <w:sz w:val="30"/>
          <w:szCs w:val="30"/>
        </w:rPr>
        <w:t>三、区域环境质量现状、环境保护目标及评价标准</w:t>
      </w:r>
      <w:bookmarkEnd w:id="11"/>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02A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Pr>
          <w:p w14:paraId="1B7BD20B">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区域环境质量现状</w:t>
            </w:r>
          </w:p>
          <w:p w14:paraId="1041A69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一、地表水环境</w:t>
            </w:r>
          </w:p>
          <w:p w14:paraId="0A6D687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的有关规定，引用与建设项目距离近的有效数据，包括近3年的规划环境影响评价的监测数据，所在流域控制单元内国家、地方控制断面监测数据，生态环境主管部门发布的水环境质量数据或地表水达标情况的结论。</w:t>
            </w:r>
          </w:p>
          <w:p w14:paraId="451920F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2024年吉林省生态环境状况公报》可知，全省109个国家考核断面，Ⅰ～Ⅲ类水质断面97个，占89.0%，同比上升2.8个百分点；Ⅳ类水质断面12个，占11.0%，同比下降0.9个百分点；无Ⅴ类水质断面，同比下降1.8个百分点；无劣Ⅴ类水质断面，同比持平。全省49条江河104个国控河流断面，其中Ⅰ～Ⅲ类水质断面94个，占90.4%，Ⅳ类水质断面10个，占9.6%，无Ⅴ类、劣Ⅴ类水质断面。</w:t>
            </w:r>
          </w:p>
          <w:p w14:paraId="656501AF">
            <w:pPr>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drawing>
                <wp:inline distT="0" distB="0" distL="0" distR="0">
                  <wp:extent cx="5394960" cy="2385060"/>
                  <wp:effectExtent l="19050" t="0" r="0" b="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noChangeArrowheads="1"/>
                          </pic:cNvPicPr>
                        </pic:nvPicPr>
                        <pic:blipFill>
                          <a:blip r:embed="rId11" cstate="print"/>
                          <a:srcRect/>
                          <a:stretch>
                            <a:fillRect/>
                          </a:stretch>
                        </pic:blipFill>
                        <pic:spPr>
                          <a:xfrm>
                            <a:off x="0" y="0"/>
                            <a:ext cx="5394960" cy="2385060"/>
                          </a:xfrm>
                          <a:prstGeom prst="rect">
                            <a:avLst/>
                          </a:prstGeom>
                          <a:noFill/>
                          <a:ln w="9525">
                            <a:noFill/>
                            <a:miter lim="800000"/>
                            <a:headEnd/>
                            <a:tailEnd/>
                          </a:ln>
                        </pic:spPr>
                      </pic:pic>
                    </a:graphicData>
                  </a:graphic>
                </wp:inline>
              </w:drawing>
            </w:r>
          </w:p>
          <w:p w14:paraId="69B510B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据此可知，项目所在</w:t>
            </w:r>
            <w:r>
              <w:rPr>
                <w:rFonts w:hint="eastAsia" w:asciiTheme="minorEastAsia" w:hAnsiTheme="minorEastAsia" w:eastAsiaTheme="minorEastAsia"/>
                <w:sz w:val="24"/>
                <w:szCs w:val="24"/>
              </w:rPr>
              <w:t>鸭绿江</w:t>
            </w:r>
            <w:r>
              <w:rPr>
                <w:rFonts w:asciiTheme="minorEastAsia" w:hAnsiTheme="minorEastAsia" w:eastAsiaTheme="minorEastAsia"/>
                <w:sz w:val="24"/>
                <w:szCs w:val="24"/>
              </w:rPr>
              <w:t>水系水质良好。</w:t>
            </w:r>
          </w:p>
          <w:p w14:paraId="48AF5034">
            <w:pPr>
              <w:adjustRightInd w:val="0"/>
              <w:snapToGrid w:val="0"/>
              <w:spacing w:line="360" w:lineRule="auto"/>
              <w:ind w:firstLine="480" w:firstLineChars="200"/>
              <w:rPr>
                <w:rFonts w:ascii="宋体" w:hAnsi="宋体"/>
                <w:sz w:val="24"/>
              </w:rPr>
            </w:pPr>
            <w:r>
              <w:rPr>
                <w:rFonts w:hint="eastAsia" w:ascii="宋体" w:hAnsi="宋体"/>
                <w:sz w:val="24"/>
              </w:rPr>
              <w:t>本项目位于白山市浑江区胜利煤业厂区内，</w:t>
            </w:r>
            <w:r>
              <w:rPr>
                <w:sz w:val="24"/>
              </w:rPr>
              <w:t>根据吉林省生态环境厅网站发布的《吉林省202</w:t>
            </w:r>
            <w:r>
              <w:rPr>
                <w:rFonts w:hint="eastAsia"/>
                <w:sz w:val="24"/>
              </w:rPr>
              <w:t>5</w:t>
            </w:r>
            <w:r>
              <w:rPr>
                <w:sz w:val="24"/>
              </w:rPr>
              <w:t>年1月-12月份吉林省江河国控断面水质月报》得知，</w:t>
            </w:r>
            <w:r>
              <w:rPr>
                <w:rFonts w:hint="eastAsia"/>
                <w:sz w:val="24"/>
              </w:rPr>
              <w:t>浑江-</w:t>
            </w:r>
            <w:r>
              <w:rPr>
                <w:sz w:val="24"/>
              </w:rPr>
              <w:t>西村断面在202</w:t>
            </w:r>
            <w:r>
              <w:rPr>
                <w:rFonts w:hint="eastAsia"/>
                <w:sz w:val="24"/>
              </w:rPr>
              <w:t>5</w:t>
            </w:r>
            <w:r>
              <w:rPr>
                <w:sz w:val="24"/>
              </w:rPr>
              <w:t>年1月份-202</w:t>
            </w:r>
            <w:r>
              <w:rPr>
                <w:rFonts w:hint="eastAsia"/>
                <w:sz w:val="24"/>
              </w:rPr>
              <w:t>5</w:t>
            </w:r>
            <w:r>
              <w:rPr>
                <w:sz w:val="24"/>
              </w:rPr>
              <w:t>年12月份水质情况均可以满足202</w:t>
            </w:r>
            <w:r>
              <w:rPr>
                <w:rFonts w:hint="eastAsia"/>
                <w:sz w:val="24"/>
              </w:rPr>
              <w:t>5</w:t>
            </w:r>
            <w:r>
              <w:rPr>
                <w:sz w:val="24"/>
              </w:rPr>
              <w:t>年水质目标</w:t>
            </w:r>
            <w:r>
              <w:rPr>
                <w:rFonts w:hint="eastAsia"/>
                <w:sz w:val="24"/>
              </w:rPr>
              <w:t>（Ⅲ类水质）</w:t>
            </w:r>
            <w:r>
              <w:rPr>
                <w:rFonts w:hint="eastAsia" w:ascii="宋体" w:hAnsi="宋体"/>
                <w:sz w:val="24"/>
              </w:rPr>
              <w:t>，白山市内浑江国控断面水质情况如下：</w:t>
            </w:r>
          </w:p>
          <w:p w14:paraId="146065B7">
            <w:pPr>
              <w:adjustRightInd w:val="0"/>
              <w:snapToGrid w:val="0"/>
              <w:spacing w:line="360" w:lineRule="auto"/>
              <w:ind w:firstLine="480" w:firstLineChars="200"/>
              <w:rPr>
                <w:rFonts w:ascii="宋体" w:hAnsi="宋体"/>
                <w:sz w:val="24"/>
              </w:rPr>
            </w:pPr>
          </w:p>
          <w:p w14:paraId="3A4B9105">
            <w:pPr>
              <w:spacing w:line="360" w:lineRule="auto"/>
              <w:jc w:val="center"/>
              <w:rPr>
                <w:rFonts w:ascii="宋体" w:hAnsi="宋体"/>
                <w:b/>
                <w:bCs/>
                <w:sz w:val="24"/>
              </w:rPr>
            </w:pPr>
            <w:r>
              <w:rPr>
                <w:rFonts w:ascii="宋体" w:hAnsi="宋体"/>
                <w:b/>
                <w:bCs/>
                <w:sz w:val="24"/>
              </w:rPr>
              <w:t>表</w:t>
            </w:r>
            <w:r>
              <w:rPr>
                <w:rFonts w:hint="eastAsia" w:ascii="宋体" w:hAnsi="宋体"/>
                <w:b/>
                <w:bCs/>
                <w:sz w:val="24"/>
              </w:rPr>
              <w:t>3-1</w:t>
            </w:r>
            <w:r>
              <w:rPr>
                <w:rFonts w:ascii="宋体" w:hAnsi="宋体"/>
                <w:b/>
                <w:bCs/>
                <w:sz w:val="24"/>
              </w:rPr>
              <w:t xml:space="preserve">  地表水水质情况表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3"/>
              <w:gridCol w:w="1202"/>
              <w:gridCol w:w="1022"/>
              <w:gridCol w:w="722"/>
              <w:gridCol w:w="722"/>
              <w:gridCol w:w="1209"/>
              <w:gridCol w:w="722"/>
              <w:gridCol w:w="734"/>
            </w:tblGrid>
            <w:tr w14:paraId="1CE9A5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restart"/>
                  <w:vAlign w:val="center"/>
                </w:tcPr>
                <w:p w14:paraId="4030DEC8">
                  <w:pPr>
                    <w:jc w:val="center"/>
                    <w:rPr>
                      <w:rFonts w:asciiTheme="minorEastAsia" w:hAnsiTheme="minorEastAsia" w:eastAsiaTheme="minorEastAsia"/>
                      <w:szCs w:val="21"/>
                      <w:lang w:val="zh-CN"/>
                    </w:rPr>
                  </w:pPr>
                  <w:r>
                    <w:rPr>
                      <w:rFonts w:asciiTheme="minorEastAsia" w:hAnsiTheme="minorEastAsia" w:eastAsiaTheme="minorEastAsia"/>
                      <w:szCs w:val="21"/>
                      <w:lang w:val="zh-CN"/>
                    </w:rPr>
                    <w:t>地市</w:t>
                  </w:r>
                </w:p>
              </w:tc>
              <w:tc>
                <w:tcPr>
                  <w:tcW w:w="802" w:type="pct"/>
                  <w:vMerge w:val="restart"/>
                  <w:vAlign w:val="center"/>
                </w:tcPr>
                <w:p w14:paraId="3A523DB7">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所在水体</w:t>
                  </w:r>
                </w:p>
              </w:tc>
              <w:tc>
                <w:tcPr>
                  <w:tcW w:w="707" w:type="pct"/>
                  <w:vMerge w:val="restart"/>
                  <w:vAlign w:val="center"/>
                </w:tcPr>
                <w:p w14:paraId="5BFE70BC">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断面名称</w:t>
                  </w:r>
                </w:p>
              </w:tc>
              <w:tc>
                <w:tcPr>
                  <w:tcW w:w="601" w:type="pct"/>
                  <w:vMerge w:val="restart"/>
                  <w:vAlign w:val="center"/>
                </w:tcPr>
                <w:p w14:paraId="503A8C38">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时间</w:t>
                  </w:r>
                </w:p>
              </w:tc>
              <w:tc>
                <w:tcPr>
                  <w:tcW w:w="1561" w:type="pct"/>
                  <w:gridSpan w:val="3"/>
                  <w:vAlign w:val="center"/>
                </w:tcPr>
                <w:p w14:paraId="5B24E5AB">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水质类别</w:t>
                  </w:r>
                </w:p>
              </w:tc>
              <w:tc>
                <w:tcPr>
                  <w:tcW w:w="425" w:type="pct"/>
                  <w:vMerge w:val="restart"/>
                  <w:vAlign w:val="center"/>
                </w:tcPr>
                <w:p w14:paraId="3883168D">
                  <w:pPr>
                    <w:jc w:val="center"/>
                    <w:rPr>
                      <w:rFonts w:asciiTheme="minorEastAsia" w:hAnsiTheme="minorEastAsia" w:eastAsiaTheme="minorEastAsia"/>
                      <w:szCs w:val="21"/>
                      <w:lang w:val="zh-CN"/>
                    </w:rPr>
                  </w:pPr>
                  <w:r>
                    <w:rPr>
                      <w:rFonts w:asciiTheme="minorEastAsia" w:hAnsiTheme="minorEastAsia" w:eastAsiaTheme="minorEastAsia"/>
                      <w:szCs w:val="21"/>
                      <w:lang w:val="zh-CN"/>
                    </w:rPr>
                    <w:t>环比</w:t>
                  </w:r>
                </w:p>
              </w:tc>
              <w:tc>
                <w:tcPr>
                  <w:tcW w:w="432" w:type="pct"/>
                  <w:vMerge w:val="restart"/>
                  <w:vAlign w:val="center"/>
                </w:tcPr>
                <w:p w14:paraId="571207BF">
                  <w:pPr>
                    <w:jc w:val="center"/>
                    <w:rPr>
                      <w:rFonts w:ascii="宋体" w:hAnsi="宋体"/>
                      <w:szCs w:val="21"/>
                      <w:lang w:val="zh-CN"/>
                    </w:rPr>
                  </w:pPr>
                  <w:r>
                    <w:rPr>
                      <w:rFonts w:ascii="宋体" w:hAnsi="宋体"/>
                      <w:szCs w:val="21"/>
                      <w:lang w:val="zh-CN"/>
                    </w:rPr>
                    <w:t>同比</w:t>
                  </w:r>
                </w:p>
              </w:tc>
            </w:tr>
            <w:tr w14:paraId="0770FB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2D4A82A3">
                  <w:pPr>
                    <w:jc w:val="center"/>
                    <w:rPr>
                      <w:rFonts w:asciiTheme="minorEastAsia" w:hAnsiTheme="minorEastAsia" w:eastAsiaTheme="minorEastAsia"/>
                      <w:szCs w:val="21"/>
                      <w:lang w:val="zh-CN"/>
                    </w:rPr>
                  </w:pPr>
                </w:p>
              </w:tc>
              <w:tc>
                <w:tcPr>
                  <w:tcW w:w="802" w:type="pct"/>
                  <w:vMerge w:val="continue"/>
                  <w:vAlign w:val="center"/>
                </w:tcPr>
                <w:p w14:paraId="18E3EDBC">
                  <w:pPr>
                    <w:jc w:val="center"/>
                    <w:rPr>
                      <w:rFonts w:asciiTheme="minorEastAsia" w:hAnsiTheme="minorEastAsia" w:eastAsiaTheme="minorEastAsia"/>
                      <w:szCs w:val="21"/>
                      <w:lang w:val="zh-CN"/>
                    </w:rPr>
                  </w:pPr>
                </w:p>
              </w:tc>
              <w:tc>
                <w:tcPr>
                  <w:tcW w:w="707" w:type="pct"/>
                  <w:vMerge w:val="continue"/>
                  <w:vAlign w:val="center"/>
                </w:tcPr>
                <w:p w14:paraId="208DA442">
                  <w:pPr>
                    <w:jc w:val="center"/>
                    <w:rPr>
                      <w:rFonts w:asciiTheme="minorEastAsia" w:hAnsiTheme="minorEastAsia" w:eastAsiaTheme="minorEastAsia"/>
                      <w:szCs w:val="21"/>
                      <w:lang w:val="zh-CN"/>
                    </w:rPr>
                  </w:pPr>
                </w:p>
              </w:tc>
              <w:tc>
                <w:tcPr>
                  <w:tcW w:w="601" w:type="pct"/>
                  <w:vMerge w:val="continue"/>
                  <w:vAlign w:val="center"/>
                </w:tcPr>
                <w:p w14:paraId="1473FCC0">
                  <w:pPr>
                    <w:jc w:val="center"/>
                    <w:rPr>
                      <w:rFonts w:asciiTheme="minorEastAsia" w:hAnsiTheme="minorEastAsia" w:eastAsiaTheme="minorEastAsia"/>
                      <w:szCs w:val="21"/>
                      <w:lang w:val="zh-CN"/>
                    </w:rPr>
                  </w:pPr>
                </w:p>
              </w:tc>
              <w:tc>
                <w:tcPr>
                  <w:tcW w:w="425" w:type="pct"/>
                  <w:vAlign w:val="center"/>
                </w:tcPr>
                <w:p w14:paraId="4DB12BF9">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本月</w:t>
                  </w:r>
                </w:p>
              </w:tc>
              <w:tc>
                <w:tcPr>
                  <w:tcW w:w="425" w:type="pct"/>
                  <w:vAlign w:val="center"/>
                </w:tcPr>
                <w:p w14:paraId="7EBE2D9E">
                  <w:pPr>
                    <w:jc w:val="center"/>
                    <w:rPr>
                      <w:rFonts w:asciiTheme="minorEastAsia" w:hAnsiTheme="minorEastAsia" w:eastAsiaTheme="minorEastAsia"/>
                      <w:szCs w:val="21"/>
                      <w:lang w:val="zh-CN"/>
                    </w:rPr>
                  </w:pPr>
                  <w:r>
                    <w:rPr>
                      <w:rFonts w:asciiTheme="minorEastAsia" w:hAnsiTheme="minorEastAsia" w:eastAsiaTheme="minorEastAsia"/>
                      <w:szCs w:val="21"/>
                      <w:lang w:val="zh-CN"/>
                    </w:rPr>
                    <w:t>上月</w:t>
                  </w:r>
                </w:p>
              </w:tc>
              <w:tc>
                <w:tcPr>
                  <w:tcW w:w="711" w:type="pct"/>
                  <w:vAlign w:val="center"/>
                </w:tcPr>
                <w:p w14:paraId="4198DDA3">
                  <w:pPr>
                    <w:jc w:val="center"/>
                    <w:rPr>
                      <w:rFonts w:asciiTheme="minorEastAsia" w:hAnsiTheme="minorEastAsia" w:eastAsiaTheme="minorEastAsia"/>
                      <w:szCs w:val="21"/>
                      <w:lang w:val="zh-CN"/>
                    </w:rPr>
                  </w:pPr>
                  <w:r>
                    <w:rPr>
                      <w:rFonts w:asciiTheme="minorEastAsia" w:hAnsiTheme="minorEastAsia" w:eastAsiaTheme="minorEastAsia"/>
                      <w:szCs w:val="21"/>
                      <w:lang w:val="zh-CN"/>
                    </w:rPr>
                    <w:t>去年同期</w:t>
                  </w:r>
                </w:p>
              </w:tc>
              <w:tc>
                <w:tcPr>
                  <w:tcW w:w="425" w:type="pct"/>
                  <w:vMerge w:val="continue"/>
                  <w:vAlign w:val="center"/>
                </w:tcPr>
                <w:p w14:paraId="1F38FDE9">
                  <w:pPr>
                    <w:jc w:val="center"/>
                    <w:rPr>
                      <w:rFonts w:asciiTheme="minorEastAsia" w:hAnsiTheme="minorEastAsia" w:eastAsiaTheme="minorEastAsia"/>
                      <w:szCs w:val="21"/>
                      <w:lang w:val="zh-CN"/>
                    </w:rPr>
                  </w:pPr>
                </w:p>
              </w:tc>
              <w:tc>
                <w:tcPr>
                  <w:tcW w:w="432" w:type="pct"/>
                  <w:vMerge w:val="continue"/>
                  <w:vAlign w:val="center"/>
                </w:tcPr>
                <w:p w14:paraId="6EFAC0C6">
                  <w:pPr>
                    <w:jc w:val="center"/>
                    <w:rPr>
                      <w:rFonts w:ascii="宋体" w:hAnsi="宋体"/>
                      <w:szCs w:val="21"/>
                      <w:lang w:val="zh-CN"/>
                    </w:rPr>
                  </w:pPr>
                </w:p>
              </w:tc>
            </w:tr>
            <w:tr w14:paraId="2643FF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restart"/>
                  <w:vAlign w:val="center"/>
                </w:tcPr>
                <w:p w14:paraId="2067A8A0">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白山市</w:t>
                  </w:r>
                </w:p>
              </w:tc>
              <w:tc>
                <w:tcPr>
                  <w:tcW w:w="802" w:type="pct"/>
                  <w:vMerge w:val="restart"/>
                  <w:vAlign w:val="center"/>
                </w:tcPr>
                <w:p w14:paraId="600B6CB5">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浑江</w:t>
                  </w:r>
                </w:p>
              </w:tc>
              <w:tc>
                <w:tcPr>
                  <w:tcW w:w="707" w:type="pct"/>
                  <w:vMerge w:val="restart"/>
                  <w:vAlign w:val="center"/>
                </w:tcPr>
                <w:p w14:paraId="4FFE3B9F">
                  <w:pPr>
                    <w:jc w:val="center"/>
                    <w:rPr>
                      <w:rFonts w:asciiTheme="minorEastAsia" w:hAnsiTheme="minorEastAsia" w:eastAsiaTheme="minorEastAsia"/>
                      <w:szCs w:val="21"/>
                      <w:lang w:val="zh-CN"/>
                    </w:rPr>
                  </w:pPr>
                  <w:r>
                    <w:rPr>
                      <w:rFonts w:asciiTheme="minorEastAsia" w:hAnsiTheme="minorEastAsia" w:eastAsiaTheme="minorEastAsia"/>
                      <w:szCs w:val="21"/>
                      <w:lang w:val="zh-CN"/>
                    </w:rPr>
                    <w:t>西村</w:t>
                  </w:r>
                </w:p>
              </w:tc>
              <w:tc>
                <w:tcPr>
                  <w:tcW w:w="601" w:type="pct"/>
                </w:tcPr>
                <w:p w14:paraId="65E838F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2025.1</w:t>
                  </w:r>
                </w:p>
              </w:tc>
              <w:tc>
                <w:tcPr>
                  <w:tcW w:w="425" w:type="pct"/>
                  <w:vAlign w:val="center"/>
                </w:tcPr>
                <w:p w14:paraId="36A49B3B">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714332EE">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vAlign w:val="center"/>
                </w:tcPr>
                <w:p w14:paraId="3C43C567">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450D3974">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4F837DD8">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714E6B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436B109D">
                  <w:pPr>
                    <w:jc w:val="center"/>
                    <w:rPr>
                      <w:rFonts w:asciiTheme="minorEastAsia" w:hAnsiTheme="minorEastAsia" w:eastAsiaTheme="minorEastAsia"/>
                      <w:szCs w:val="21"/>
                      <w:lang w:val="zh-CN"/>
                    </w:rPr>
                  </w:pPr>
                </w:p>
              </w:tc>
              <w:tc>
                <w:tcPr>
                  <w:tcW w:w="802" w:type="pct"/>
                  <w:vMerge w:val="continue"/>
                  <w:vAlign w:val="center"/>
                </w:tcPr>
                <w:p w14:paraId="0C350167">
                  <w:pPr>
                    <w:jc w:val="center"/>
                    <w:rPr>
                      <w:rFonts w:asciiTheme="minorEastAsia" w:hAnsiTheme="minorEastAsia" w:eastAsiaTheme="minorEastAsia"/>
                      <w:szCs w:val="21"/>
                      <w:lang w:val="zh-CN"/>
                    </w:rPr>
                  </w:pPr>
                </w:p>
              </w:tc>
              <w:tc>
                <w:tcPr>
                  <w:tcW w:w="707" w:type="pct"/>
                  <w:vMerge w:val="continue"/>
                  <w:vAlign w:val="center"/>
                </w:tcPr>
                <w:p w14:paraId="56E7DF08">
                  <w:pPr>
                    <w:jc w:val="center"/>
                    <w:rPr>
                      <w:rFonts w:asciiTheme="minorEastAsia" w:hAnsiTheme="minorEastAsia" w:eastAsiaTheme="minorEastAsia"/>
                      <w:szCs w:val="21"/>
                      <w:lang w:val="zh-CN"/>
                    </w:rPr>
                  </w:pPr>
                </w:p>
              </w:tc>
              <w:tc>
                <w:tcPr>
                  <w:tcW w:w="601" w:type="pct"/>
                </w:tcPr>
                <w:p w14:paraId="64C6B549">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2025.2</w:t>
                  </w:r>
                </w:p>
              </w:tc>
              <w:tc>
                <w:tcPr>
                  <w:tcW w:w="425" w:type="pct"/>
                  <w:vAlign w:val="center"/>
                </w:tcPr>
                <w:p w14:paraId="17A76DEB">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53A018B6">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711" w:type="pct"/>
                  <w:vAlign w:val="center"/>
                </w:tcPr>
                <w:p w14:paraId="4A84A05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5C996E28">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65B5C8F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56B9C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879F0B2">
                  <w:pPr>
                    <w:jc w:val="center"/>
                    <w:rPr>
                      <w:rFonts w:asciiTheme="minorEastAsia" w:hAnsiTheme="minorEastAsia" w:eastAsiaTheme="minorEastAsia"/>
                      <w:szCs w:val="21"/>
                      <w:lang w:val="zh-CN"/>
                    </w:rPr>
                  </w:pPr>
                </w:p>
              </w:tc>
              <w:tc>
                <w:tcPr>
                  <w:tcW w:w="802" w:type="pct"/>
                  <w:vMerge w:val="continue"/>
                  <w:vAlign w:val="center"/>
                </w:tcPr>
                <w:p w14:paraId="07553F5D">
                  <w:pPr>
                    <w:jc w:val="center"/>
                    <w:rPr>
                      <w:rFonts w:asciiTheme="minorEastAsia" w:hAnsiTheme="minorEastAsia" w:eastAsiaTheme="minorEastAsia"/>
                      <w:szCs w:val="21"/>
                      <w:lang w:val="zh-CN"/>
                    </w:rPr>
                  </w:pPr>
                </w:p>
              </w:tc>
              <w:tc>
                <w:tcPr>
                  <w:tcW w:w="707" w:type="pct"/>
                  <w:vMerge w:val="continue"/>
                  <w:vAlign w:val="center"/>
                </w:tcPr>
                <w:p w14:paraId="7D6E4867">
                  <w:pPr>
                    <w:jc w:val="center"/>
                    <w:rPr>
                      <w:rFonts w:asciiTheme="minorEastAsia" w:hAnsiTheme="minorEastAsia" w:eastAsiaTheme="minorEastAsia"/>
                      <w:szCs w:val="21"/>
                      <w:lang w:val="zh-CN"/>
                    </w:rPr>
                  </w:pPr>
                </w:p>
              </w:tc>
              <w:tc>
                <w:tcPr>
                  <w:tcW w:w="601" w:type="pct"/>
                </w:tcPr>
                <w:p w14:paraId="05486663">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2025.3</w:t>
                  </w:r>
                </w:p>
              </w:tc>
              <w:tc>
                <w:tcPr>
                  <w:tcW w:w="425" w:type="pct"/>
                  <w:vAlign w:val="center"/>
                </w:tcPr>
                <w:p w14:paraId="4282C75D">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72412168">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711" w:type="pct"/>
                  <w:vAlign w:val="center"/>
                </w:tcPr>
                <w:p w14:paraId="7FFA051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425" w:type="pct"/>
                  <w:vAlign w:val="center"/>
                </w:tcPr>
                <w:p w14:paraId="3F066C1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4022637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3A696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B43FB48">
                  <w:pPr>
                    <w:jc w:val="center"/>
                    <w:rPr>
                      <w:rFonts w:asciiTheme="minorEastAsia" w:hAnsiTheme="minorEastAsia" w:eastAsiaTheme="minorEastAsia"/>
                      <w:szCs w:val="21"/>
                      <w:lang w:val="zh-CN"/>
                    </w:rPr>
                  </w:pPr>
                </w:p>
              </w:tc>
              <w:tc>
                <w:tcPr>
                  <w:tcW w:w="802" w:type="pct"/>
                  <w:vMerge w:val="continue"/>
                  <w:vAlign w:val="center"/>
                </w:tcPr>
                <w:p w14:paraId="6E6AAB30">
                  <w:pPr>
                    <w:jc w:val="center"/>
                    <w:rPr>
                      <w:rFonts w:asciiTheme="minorEastAsia" w:hAnsiTheme="minorEastAsia" w:eastAsiaTheme="minorEastAsia"/>
                      <w:szCs w:val="21"/>
                      <w:lang w:val="zh-CN"/>
                    </w:rPr>
                  </w:pPr>
                </w:p>
              </w:tc>
              <w:tc>
                <w:tcPr>
                  <w:tcW w:w="707" w:type="pct"/>
                  <w:vMerge w:val="continue"/>
                  <w:vAlign w:val="center"/>
                </w:tcPr>
                <w:p w14:paraId="4B4E35D9">
                  <w:pPr>
                    <w:jc w:val="center"/>
                    <w:rPr>
                      <w:rFonts w:asciiTheme="minorEastAsia" w:hAnsiTheme="minorEastAsia" w:eastAsiaTheme="minorEastAsia"/>
                      <w:szCs w:val="21"/>
                      <w:lang w:val="zh-CN"/>
                    </w:rPr>
                  </w:pPr>
                </w:p>
              </w:tc>
              <w:tc>
                <w:tcPr>
                  <w:tcW w:w="601" w:type="pct"/>
                </w:tcPr>
                <w:p w14:paraId="7356351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2025.4</w:t>
                  </w:r>
                </w:p>
              </w:tc>
              <w:tc>
                <w:tcPr>
                  <w:tcW w:w="425" w:type="pct"/>
                </w:tcPr>
                <w:p w14:paraId="46281859">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2BB06544">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Ⅲ</w:t>
                  </w:r>
                </w:p>
              </w:tc>
              <w:tc>
                <w:tcPr>
                  <w:tcW w:w="711" w:type="pct"/>
                </w:tcPr>
                <w:p w14:paraId="362CB700">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38D09437">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3A01EE99">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4413B5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1E1F4680">
                  <w:pPr>
                    <w:jc w:val="center"/>
                    <w:rPr>
                      <w:rFonts w:asciiTheme="minorEastAsia" w:hAnsiTheme="minorEastAsia" w:eastAsiaTheme="minorEastAsia"/>
                      <w:szCs w:val="21"/>
                      <w:lang w:val="zh-CN"/>
                    </w:rPr>
                  </w:pPr>
                </w:p>
              </w:tc>
              <w:tc>
                <w:tcPr>
                  <w:tcW w:w="802" w:type="pct"/>
                  <w:vMerge w:val="continue"/>
                  <w:vAlign w:val="center"/>
                </w:tcPr>
                <w:p w14:paraId="06A19DCD">
                  <w:pPr>
                    <w:jc w:val="center"/>
                    <w:rPr>
                      <w:rFonts w:asciiTheme="minorEastAsia" w:hAnsiTheme="minorEastAsia" w:eastAsiaTheme="minorEastAsia"/>
                      <w:szCs w:val="21"/>
                      <w:lang w:val="zh-CN"/>
                    </w:rPr>
                  </w:pPr>
                </w:p>
              </w:tc>
              <w:tc>
                <w:tcPr>
                  <w:tcW w:w="707" w:type="pct"/>
                  <w:vMerge w:val="continue"/>
                  <w:vAlign w:val="center"/>
                </w:tcPr>
                <w:p w14:paraId="11AB60C9">
                  <w:pPr>
                    <w:jc w:val="center"/>
                    <w:rPr>
                      <w:rFonts w:asciiTheme="minorEastAsia" w:hAnsiTheme="minorEastAsia" w:eastAsiaTheme="minorEastAsia"/>
                      <w:szCs w:val="21"/>
                      <w:lang w:val="zh-CN"/>
                    </w:rPr>
                  </w:pPr>
                </w:p>
              </w:tc>
              <w:tc>
                <w:tcPr>
                  <w:tcW w:w="601" w:type="pct"/>
                </w:tcPr>
                <w:p w14:paraId="655F17C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2025.5</w:t>
                  </w:r>
                </w:p>
              </w:tc>
              <w:tc>
                <w:tcPr>
                  <w:tcW w:w="425" w:type="pct"/>
                </w:tcPr>
                <w:p w14:paraId="3FB932E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21C6198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3C347554">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7D57F46D">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27E2B7F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654670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9C859C3">
                  <w:pPr>
                    <w:jc w:val="center"/>
                    <w:rPr>
                      <w:rFonts w:asciiTheme="minorEastAsia" w:hAnsiTheme="minorEastAsia" w:eastAsiaTheme="minorEastAsia"/>
                      <w:szCs w:val="21"/>
                      <w:lang w:val="zh-CN"/>
                    </w:rPr>
                  </w:pPr>
                </w:p>
              </w:tc>
              <w:tc>
                <w:tcPr>
                  <w:tcW w:w="802" w:type="pct"/>
                  <w:vMerge w:val="continue"/>
                  <w:vAlign w:val="center"/>
                </w:tcPr>
                <w:p w14:paraId="51005563">
                  <w:pPr>
                    <w:jc w:val="center"/>
                    <w:rPr>
                      <w:rFonts w:asciiTheme="minorEastAsia" w:hAnsiTheme="minorEastAsia" w:eastAsiaTheme="minorEastAsia"/>
                      <w:szCs w:val="21"/>
                      <w:lang w:val="zh-CN"/>
                    </w:rPr>
                  </w:pPr>
                </w:p>
              </w:tc>
              <w:tc>
                <w:tcPr>
                  <w:tcW w:w="707" w:type="pct"/>
                  <w:vMerge w:val="continue"/>
                  <w:vAlign w:val="center"/>
                </w:tcPr>
                <w:p w14:paraId="3D5C3CF0">
                  <w:pPr>
                    <w:jc w:val="center"/>
                    <w:rPr>
                      <w:rFonts w:asciiTheme="minorEastAsia" w:hAnsiTheme="minorEastAsia" w:eastAsiaTheme="minorEastAsia"/>
                      <w:szCs w:val="21"/>
                      <w:lang w:val="zh-CN"/>
                    </w:rPr>
                  </w:pPr>
                </w:p>
              </w:tc>
              <w:tc>
                <w:tcPr>
                  <w:tcW w:w="601" w:type="pct"/>
                </w:tcPr>
                <w:p w14:paraId="7696CCF7">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2025.6</w:t>
                  </w:r>
                </w:p>
              </w:tc>
              <w:tc>
                <w:tcPr>
                  <w:tcW w:w="425" w:type="pct"/>
                </w:tcPr>
                <w:p w14:paraId="39E8011E">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569FC06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20D4051D">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42ECE59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4C3ED09C">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7C1B2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4227EAD">
                  <w:pPr>
                    <w:jc w:val="center"/>
                    <w:rPr>
                      <w:rFonts w:asciiTheme="minorEastAsia" w:hAnsiTheme="minorEastAsia" w:eastAsiaTheme="minorEastAsia"/>
                      <w:szCs w:val="21"/>
                      <w:lang w:val="zh-CN"/>
                    </w:rPr>
                  </w:pPr>
                </w:p>
              </w:tc>
              <w:tc>
                <w:tcPr>
                  <w:tcW w:w="802" w:type="pct"/>
                  <w:vMerge w:val="continue"/>
                  <w:vAlign w:val="center"/>
                </w:tcPr>
                <w:p w14:paraId="2F40754B">
                  <w:pPr>
                    <w:jc w:val="center"/>
                    <w:rPr>
                      <w:rFonts w:asciiTheme="minorEastAsia" w:hAnsiTheme="minorEastAsia" w:eastAsiaTheme="minorEastAsia"/>
                      <w:szCs w:val="21"/>
                      <w:lang w:val="zh-CN"/>
                    </w:rPr>
                  </w:pPr>
                </w:p>
              </w:tc>
              <w:tc>
                <w:tcPr>
                  <w:tcW w:w="707" w:type="pct"/>
                  <w:vMerge w:val="continue"/>
                  <w:vAlign w:val="center"/>
                </w:tcPr>
                <w:p w14:paraId="71175748">
                  <w:pPr>
                    <w:jc w:val="center"/>
                    <w:rPr>
                      <w:rFonts w:asciiTheme="minorEastAsia" w:hAnsiTheme="minorEastAsia" w:eastAsiaTheme="minorEastAsia"/>
                      <w:szCs w:val="21"/>
                      <w:lang w:val="zh-CN"/>
                    </w:rPr>
                  </w:pPr>
                </w:p>
              </w:tc>
              <w:tc>
                <w:tcPr>
                  <w:tcW w:w="601" w:type="pct"/>
                </w:tcPr>
                <w:p w14:paraId="2E738BE3">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2025.7</w:t>
                  </w:r>
                </w:p>
              </w:tc>
              <w:tc>
                <w:tcPr>
                  <w:tcW w:w="425" w:type="pct"/>
                </w:tcPr>
                <w:p w14:paraId="7E9C0CB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7EFD8D28">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36204E9F">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4A30E3B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6663FF7F">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1AD7C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7D936A80">
                  <w:pPr>
                    <w:jc w:val="center"/>
                    <w:rPr>
                      <w:rFonts w:asciiTheme="minorEastAsia" w:hAnsiTheme="minorEastAsia" w:eastAsiaTheme="minorEastAsia"/>
                      <w:szCs w:val="21"/>
                      <w:lang w:val="zh-CN"/>
                    </w:rPr>
                  </w:pPr>
                </w:p>
              </w:tc>
              <w:tc>
                <w:tcPr>
                  <w:tcW w:w="802" w:type="pct"/>
                  <w:vMerge w:val="continue"/>
                  <w:vAlign w:val="center"/>
                </w:tcPr>
                <w:p w14:paraId="0ACD7AEB">
                  <w:pPr>
                    <w:jc w:val="center"/>
                    <w:rPr>
                      <w:rFonts w:asciiTheme="minorEastAsia" w:hAnsiTheme="minorEastAsia" w:eastAsiaTheme="minorEastAsia"/>
                      <w:szCs w:val="21"/>
                      <w:lang w:val="zh-CN"/>
                    </w:rPr>
                  </w:pPr>
                </w:p>
              </w:tc>
              <w:tc>
                <w:tcPr>
                  <w:tcW w:w="707" w:type="pct"/>
                  <w:vMerge w:val="continue"/>
                  <w:vAlign w:val="center"/>
                </w:tcPr>
                <w:p w14:paraId="363D4107">
                  <w:pPr>
                    <w:jc w:val="center"/>
                    <w:rPr>
                      <w:rFonts w:asciiTheme="minorEastAsia" w:hAnsiTheme="minorEastAsia" w:eastAsiaTheme="minorEastAsia"/>
                      <w:szCs w:val="21"/>
                      <w:lang w:val="zh-CN"/>
                    </w:rPr>
                  </w:pPr>
                </w:p>
              </w:tc>
              <w:tc>
                <w:tcPr>
                  <w:tcW w:w="601" w:type="pct"/>
                </w:tcPr>
                <w:p w14:paraId="13A599F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2025.8</w:t>
                  </w:r>
                </w:p>
              </w:tc>
              <w:tc>
                <w:tcPr>
                  <w:tcW w:w="425" w:type="pct"/>
                </w:tcPr>
                <w:p w14:paraId="29FBBACB">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045E6058">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607DE7E6">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79925800">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2645BE8B">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5EF2B0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3C36823">
                  <w:pPr>
                    <w:jc w:val="center"/>
                    <w:rPr>
                      <w:rFonts w:asciiTheme="minorEastAsia" w:hAnsiTheme="minorEastAsia" w:eastAsiaTheme="minorEastAsia"/>
                      <w:szCs w:val="21"/>
                      <w:lang w:val="zh-CN"/>
                    </w:rPr>
                  </w:pPr>
                </w:p>
              </w:tc>
              <w:tc>
                <w:tcPr>
                  <w:tcW w:w="802" w:type="pct"/>
                  <w:vMerge w:val="continue"/>
                  <w:vAlign w:val="center"/>
                </w:tcPr>
                <w:p w14:paraId="48238888">
                  <w:pPr>
                    <w:jc w:val="center"/>
                    <w:rPr>
                      <w:rFonts w:asciiTheme="minorEastAsia" w:hAnsiTheme="minorEastAsia" w:eastAsiaTheme="minorEastAsia"/>
                      <w:szCs w:val="21"/>
                      <w:lang w:val="zh-CN"/>
                    </w:rPr>
                  </w:pPr>
                </w:p>
              </w:tc>
              <w:tc>
                <w:tcPr>
                  <w:tcW w:w="707" w:type="pct"/>
                  <w:vMerge w:val="continue"/>
                  <w:vAlign w:val="center"/>
                </w:tcPr>
                <w:p w14:paraId="17400CA1">
                  <w:pPr>
                    <w:jc w:val="center"/>
                    <w:rPr>
                      <w:rFonts w:asciiTheme="minorEastAsia" w:hAnsiTheme="minorEastAsia" w:eastAsiaTheme="minorEastAsia"/>
                      <w:szCs w:val="21"/>
                      <w:lang w:val="zh-CN"/>
                    </w:rPr>
                  </w:pPr>
                </w:p>
              </w:tc>
              <w:tc>
                <w:tcPr>
                  <w:tcW w:w="601" w:type="pct"/>
                </w:tcPr>
                <w:p w14:paraId="6D0E2D83">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2025.9</w:t>
                  </w:r>
                </w:p>
              </w:tc>
              <w:tc>
                <w:tcPr>
                  <w:tcW w:w="425" w:type="pct"/>
                </w:tcPr>
                <w:p w14:paraId="3D36358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2A3452B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18E130D9">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20834C7E">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69090C1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3685B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2" w:type="pct"/>
                  <w:vMerge w:val="continue"/>
                  <w:vAlign w:val="center"/>
                </w:tcPr>
                <w:p w14:paraId="6360776E">
                  <w:pPr>
                    <w:jc w:val="center"/>
                    <w:rPr>
                      <w:rFonts w:asciiTheme="minorEastAsia" w:hAnsiTheme="minorEastAsia" w:eastAsiaTheme="minorEastAsia"/>
                      <w:szCs w:val="21"/>
                      <w:lang w:val="zh-CN"/>
                    </w:rPr>
                  </w:pPr>
                </w:p>
              </w:tc>
              <w:tc>
                <w:tcPr>
                  <w:tcW w:w="802" w:type="pct"/>
                  <w:vMerge w:val="continue"/>
                  <w:vAlign w:val="center"/>
                </w:tcPr>
                <w:p w14:paraId="752331F3">
                  <w:pPr>
                    <w:jc w:val="center"/>
                    <w:rPr>
                      <w:rFonts w:asciiTheme="minorEastAsia" w:hAnsiTheme="minorEastAsia" w:eastAsiaTheme="minorEastAsia"/>
                      <w:szCs w:val="21"/>
                      <w:lang w:val="zh-CN"/>
                    </w:rPr>
                  </w:pPr>
                </w:p>
              </w:tc>
              <w:tc>
                <w:tcPr>
                  <w:tcW w:w="707" w:type="pct"/>
                  <w:vMerge w:val="continue"/>
                  <w:vAlign w:val="center"/>
                </w:tcPr>
                <w:p w14:paraId="48F95D0A">
                  <w:pPr>
                    <w:jc w:val="center"/>
                    <w:rPr>
                      <w:rFonts w:asciiTheme="minorEastAsia" w:hAnsiTheme="minorEastAsia" w:eastAsiaTheme="minorEastAsia"/>
                      <w:szCs w:val="21"/>
                      <w:lang w:val="zh-CN"/>
                    </w:rPr>
                  </w:pPr>
                </w:p>
              </w:tc>
              <w:tc>
                <w:tcPr>
                  <w:tcW w:w="601" w:type="pct"/>
                </w:tcPr>
                <w:p w14:paraId="7269FFC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2025.10</w:t>
                  </w:r>
                </w:p>
              </w:tc>
              <w:tc>
                <w:tcPr>
                  <w:tcW w:w="425" w:type="pct"/>
                </w:tcPr>
                <w:p w14:paraId="5A44E05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20D1A363">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25518994">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73572CC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3DC31C8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4F761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EAC3338">
                  <w:pPr>
                    <w:jc w:val="center"/>
                    <w:rPr>
                      <w:rFonts w:asciiTheme="minorEastAsia" w:hAnsiTheme="minorEastAsia" w:eastAsiaTheme="minorEastAsia"/>
                      <w:szCs w:val="21"/>
                      <w:lang w:val="zh-CN"/>
                    </w:rPr>
                  </w:pPr>
                </w:p>
              </w:tc>
              <w:tc>
                <w:tcPr>
                  <w:tcW w:w="802" w:type="pct"/>
                  <w:vMerge w:val="continue"/>
                  <w:vAlign w:val="center"/>
                </w:tcPr>
                <w:p w14:paraId="2DC14ADE">
                  <w:pPr>
                    <w:jc w:val="center"/>
                    <w:rPr>
                      <w:rFonts w:asciiTheme="minorEastAsia" w:hAnsiTheme="minorEastAsia" w:eastAsiaTheme="minorEastAsia"/>
                      <w:szCs w:val="21"/>
                      <w:lang w:val="zh-CN"/>
                    </w:rPr>
                  </w:pPr>
                </w:p>
              </w:tc>
              <w:tc>
                <w:tcPr>
                  <w:tcW w:w="707" w:type="pct"/>
                  <w:vMerge w:val="continue"/>
                  <w:vAlign w:val="center"/>
                </w:tcPr>
                <w:p w14:paraId="5A69CD86">
                  <w:pPr>
                    <w:jc w:val="center"/>
                    <w:rPr>
                      <w:rFonts w:asciiTheme="minorEastAsia" w:hAnsiTheme="minorEastAsia" w:eastAsiaTheme="minorEastAsia"/>
                      <w:szCs w:val="21"/>
                      <w:lang w:val="zh-CN"/>
                    </w:rPr>
                  </w:pPr>
                </w:p>
              </w:tc>
              <w:tc>
                <w:tcPr>
                  <w:tcW w:w="601" w:type="pct"/>
                </w:tcPr>
                <w:p w14:paraId="6D71D74E">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2025.11</w:t>
                  </w:r>
                </w:p>
              </w:tc>
              <w:tc>
                <w:tcPr>
                  <w:tcW w:w="425" w:type="pct"/>
                </w:tcPr>
                <w:p w14:paraId="083C36F6">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5D52D1D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41432D6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49B44A6A">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5366F8A1">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28D3A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063AB66">
                  <w:pPr>
                    <w:jc w:val="center"/>
                    <w:rPr>
                      <w:rFonts w:asciiTheme="minorEastAsia" w:hAnsiTheme="minorEastAsia" w:eastAsiaTheme="minorEastAsia"/>
                      <w:szCs w:val="21"/>
                      <w:lang w:val="zh-CN"/>
                    </w:rPr>
                  </w:pPr>
                </w:p>
              </w:tc>
              <w:tc>
                <w:tcPr>
                  <w:tcW w:w="802" w:type="pct"/>
                  <w:vMerge w:val="continue"/>
                  <w:vAlign w:val="center"/>
                </w:tcPr>
                <w:p w14:paraId="630DE936">
                  <w:pPr>
                    <w:jc w:val="center"/>
                    <w:rPr>
                      <w:rFonts w:asciiTheme="minorEastAsia" w:hAnsiTheme="minorEastAsia" w:eastAsiaTheme="minorEastAsia"/>
                      <w:szCs w:val="21"/>
                      <w:lang w:val="zh-CN"/>
                    </w:rPr>
                  </w:pPr>
                </w:p>
              </w:tc>
              <w:tc>
                <w:tcPr>
                  <w:tcW w:w="707" w:type="pct"/>
                  <w:vMerge w:val="continue"/>
                  <w:vAlign w:val="center"/>
                </w:tcPr>
                <w:p w14:paraId="176DDA37">
                  <w:pPr>
                    <w:jc w:val="center"/>
                    <w:rPr>
                      <w:rFonts w:asciiTheme="minorEastAsia" w:hAnsiTheme="minorEastAsia" w:eastAsiaTheme="minorEastAsia"/>
                      <w:szCs w:val="21"/>
                      <w:lang w:val="zh-CN"/>
                    </w:rPr>
                  </w:pPr>
                </w:p>
              </w:tc>
              <w:tc>
                <w:tcPr>
                  <w:tcW w:w="601" w:type="pct"/>
                </w:tcPr>
                <w:p w14:paraId="73A4C125">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2025.12</w:t>
                  </w:r>
                </w:p>
              </w:tc>
              <w:tc>
                <w:tcPr>
                  <w:tcW w:w="425" w:type="pct"/>
                </w:tcPr>
                <w:p w14:paraId="3FEA6372">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tcPr>
                <w:p w14:paraId="4A2C1844">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711" w:type="pct"/>
                </w:tcPr>
                <w:p w14:paraId="3F1C8DA7">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Ⅱ</w:t>
                  </w:r>
                </w:p>
              </w:tc>
              <w:tc>
                <w:tcPr>
                  <w:tcW w:w="425" w:type="pct"/>
                  <w:vAlign w:val="center"/>
                </w:tcPr>
                <w:p w14:paraId="64E85F06">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432" w:type="pct"/>
                  <w:vAlign w:val="center"/>
                </w:tcPr>
                <w:p w14:paraId="3523615C">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r>
            <w:tr w14:paraId="69BD75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vAlign w:val="center"/>
                </w:tcPr>
                <w:p w14:paraId="2BC75EEE">
                  <w:pPr>
                    <w:jc w:val="center"/>
                    <w:rPr>
                      <w:rFonts w:asciiTheme="minorEastAsia" w:hAnsiTheme="minorEastAsia" w:eastAsiaTheme="minorEastAsia"/>
                      <w:szCs w:val="21"/>
                      <w:lang w:val="zh-CN"/>
                    </w:rPr>
                  </w:pPr>
                  <w:r>
                    <w:rPr>
                      <w:rFonts w:asciiTheme="minorEastAsia" w:hAnsiTheme="minorEastAsia" w:eastAsiaTheme="minorEastAsia"/>
                      <w:szCs w:val="21"/>
                      <w:lang w:val="zh-CN"/>
                    </w:rPr>
                    <w:t>注：“</w:t>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”未监测，</w:t>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水质有所好转，</w:t>
                  </w:r>
                  <w:bookmarkStart w:id="12" w:name="_Hlk65885556"/>
                  <w:r>
                    <w:rPr>
                      <w:rFonts w:asciiTheme="minorEastAsia" w:hAnsiTheme="minorEastAsia" w:eastAsiaTheme="minorEastAsia"/>
                      <w:szCs w:val="21"/>
                      <w:lang w:val="zh-CN"/>
                    </w:rPr>
                    <w:fldChar w:fldCharType="begin"/>
                  </w:r>
                  <w:r>
                    <w:rPr>
                      <w:rFonts w:asciiTheme="minorEastAsia" w:hAnsiTheme="minorEastAsia" w:eastAsiaTheme="minorEastAsia"/>
                      <w:szCs w:val="21"/>
                      <w:lang w:val="zh-CN"/>
                    </w:rPr>
                    <w:instrText xml:space="preserve"> HYPERLINK "javascript:void(0)" \o "\“↑↑\”水质明显好转，\“→\”水质无明显变化，" </w:instrText>
                  </w:r>
                  <w:r>
                    <w:rPr>
                      <w:rFonts w:asciiTheme="minorEastAsia" w:hAnsiTheme="minorEastAsia" w:eastAsiaTheme="minorEastAsia"/>
                      <w:szCs w:val="21"/>
                      <w:lang w:val="zh-CN"/>
                    </w:rPr>
                    <w:fldChar w:fldCharType="separate"/>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水质明显好转，</w:t>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水质无明显变化，</w:t>
                  </w:r>
                  <w:bookmarkEnd w:id="12"/>
                  <w:r>
                    <w:rPr>
                      <w:rFonts w:asciiTheme="minorEastAsia" w:hAnsiTheme="minorEastAsia" w:eastAsiaTheme="minorEastAsia"/>
                      <w:szCs w:val="21"/>
                      <w:lang w:val="zh-CN"/>
                    </w:rPr>
                    <w:fldChar w:fldCharType="end"/>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水质有所下降，</w:t>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水质明显下降，“</w:t>
                  </w:r>
                  <w:r>
                    <w:rPr>
                      <w:rFonts w:hint="eastAsia" w:asciiTheme="minorEastAsia" w:hAnsiTheme="minorEastAsia" w:eastAsiaTheme="minorEastAsia"/>
                      <w:szCs w:val="21"/>
                      <w:lang w:val="zh-CN"/>
                    </w:rPr>
                    <w:t>○</w:t>
                  </w:r>
                  <w:r>
                    <w:rPr>
                      <w:rFonts w:asciiTheme="minorEastAsia" w:hAnsiTheme="minorEastAsia" w:eastAsiaTheme="minorEastAsia"/>
                      <w:szCs w:val="21"/>
                      <w:lang w:val="zh-CN"/>
                    </w:rPr>
                    <w:t>”没有数据无法比较。</w:t>
                  </w:r>
                </w:p>
              </w:tc>
            </w:tr>
          </w:tbl>
          <w:p w14:paraId="4DD6E18A">
            <w:pPr>
              <w:spacing w:line="360" w:lineRule="auto"/>
              <w:ind w:firstLine="480" w:firstLineChars="200"/>
              <w:rPr>
                <w:rFonts w:asciiTheme="minorEastAsia" w:hAnsiTheme="minorEastAsia" w:eastAsiaTheme="minorEastAsia"/>
                <w:sz w:val="24"/>
                <w:szCs w:val="24"/>
              </w:rPr>
            </w:pPr>
            <w:r>
              <w:rPr>
                <w:rFonts w:hint="eastAsia" w:ascii="宋体" w:hAnsi="宋体"/>
                <w:sz w:val="24"/>
              </w:rPr>
              <w:t>由上述内容可知，调查期内浑江国控断面监测结果可以满足《地表水环境质量标准》（GB3838-2002）Ⅲ类标准要求</w:t>
            </w:r>
            <w:r>
              <w:rPr>
                <w:kern w:val="0"/>
                <w:sz w:val="24"/>
              </w:rPr>
              <w:t>。</w:t>
            </w:r>
          </w:p>
          <w:p w14:paraId="7A20202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二、大气环境</w:t>
            </w:r>
          </w:p>
          <w:p w14:paraId="18F0E92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1、常规污染物</w:t>
            </w:r>
          </w:p>
          <w:p w14:paraId="16CF3E1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的有关规定，项目所在地大气环境质量现状常规污染物引用于建设项目距离近的有效数据，包括近3年的规划环境影响评价的监测数据，国家、地方环境空气质量监测网络或生态环境主管部门公开发布的质量数据等。</w:t>
            </w:r>
          </w:p>
          <w:p w14:paraId="598C6BE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2024年吉林省生态环境状况公报》可知，全省9个地级及以上城市（以下简称9个城市）环境空气质量平均优良天数比例为92.9%，高于全国平均水平5.7个百分点，同比上升0.5个百分点；平均重度及以上污染天数比例为0.5%（扣除沙尘异常天气影响），同比下降0.1个百分点。六项污染物平均浓度均达到国家二级标准，其中可吸入颗粒物（PM</w:t>
            </w:r>
            <w:r>
              <w:rPr>
                <w:rFonts w:asciiTheme="minorEastAsia" w:hAnsiTheme="minorEastAsia" w:eastAsiaTheme="minorEastAsia"/>
                <w:sz w:val="24"/>
                <w:szCs w:val="24"/>
                <w:vertAlign w:val="subscript"/>
              </w:rPr>
              <w:t>10</w:t>
            </w:r>
            <w:r>
              <w:rPr>
                <w:rFonts w:asciiTheme="minorEastAsia" w:hAnsiTheme="minorEastAsia" w:eastAsiaTheme="minorEastAsia"/>
                <w:sz w:val="24"/>
                <w:szCs w:val="24"/>
              </w:rPr>
              <w:t>）年平均浓度为45微克/立方米；细颗粒物（PM</w:t>
            </w:r>
            <w:r>
              <w:rPr>
                <w:rFonts w:asciiTheme="minorEastAsia" w:hAnsiTheme="minorEastAsia" w:eastAsiaTheme="minorEastAsia"/>
                <w:sz w:val="24"/>
                <w:szCs w:val="24"/>
                <w:vertAlign w:val="subscript"/>
              </w:rPr>
              <w:t>2.5</w:t>
            </w:r>
            <w:r>
              <w:rPr>
                <w:rFonts w:asciiTheme="minorEastAsia" w:hAnsiTheme="minorEastAsia" w:eastAsiaTheme="minorEastAsia"/>
                <w:sz w:val="24"/>
                <w:szCs w:val="24"/>
              </w:rPr>
              <w:t>）年平均浓度为26.9微克/立方米；二氧化硫（SO</w:t>
            </w:r>
            <w:r>
              <w:rPr>
                <w:rFonts w:asciiTheme="minorEastAsia" w:hAnsiTheme="minorEastAsia" w:eastAsiaTheme="minorEastAsia"/>
                <w:sz w:val="24"/>
                <w:szCs w:val="24"/>
                <w:vertAlign w:val="subscript"/>
              </w:rPr>
              <w:t>2</w:t>
            </w:r>
            <w:r>
              <w:rPr>
                <w:rFonts w:asciiTheme="minorEastAsia" w:hAnsiTheme="minorEastAsia" w:eastAsiaTheme="minorEastAsia"/>
                <w:sz w:val="24"/>
                <w:szCs w:val="24"/>
              </w:rPr>
              <w:t>）年平均浓度为8微克/立方米；二氧化氮（NO</w:t>
            </w:r>
            <w:r>
              <w:rPr>
                <w:rFonts w:asciiTheme="minorEastAsia" w:hAnsiTheme="minorEastAsia" w:eastAsiaTheme="minorEastAsia"/>
                <w:sz w:val="24"/>
                <w:szCs w:val="24"/>
                <w:vertAlign w:val="subscript"/>
              </w:rPr>
              <w:t>2</w:t>
            </w:r>
            <w:r>
              <w:rPr>
                <w:rFonts w:asciiTheme="minorEastAsia" w:hAnsiTheme="minorEastAsia" w:eastAsiaTheme="minorEastAsia"/>
                <w:sz w:val="24"/>
                <w:szCs w:val="24"/>
              </w:rPr>
              <w:t>）年平均浓度为20微克/立方米；一氧化碳（CO）年平均浓度为1.0毫克/立方米；臭氧（O</w:t>
            </w:r>
            <w:r>
              <w:rPr>
                <w:rFonts w:asciiTheme="minorEastAsia" w:hAnsiTheme="minorEastAsia" w:eastAsiaTheme="minorEastAsia"/>
                <w:sz w:val="24"/>
                <w:szCs w:val="24"/>
                <w:vertAlign w:val="subscript"/>
              </w:rPr>
              <w:t>3</w:t>
            </w:r>
            <w:r>
              <w:rPr>
                <w:rFonts w:asciiTheme="minorEastAsia" w:hAnsiTheme="minorEastAsia" w:eastAsiaTheme="minorEastAsia"/>
                <w:sz w:val="24"/>
                <w:szCs w:val="24"/>
              </w:rPr>
              <w:t>）年平均浓度为130微克/立方米。</w:t>
            </w:r>
          </w:p>
          <w:p w14:paraId="7AB7C65F">
            <w:pPr>
              <w:jc w:val="left"/>
              <w:rPr>
                <w:rFonts w:asciiTheme="minorEastAsia" w:hAnsiTheme="minorEastAsia" w:eastAsiaTheme="minorEastAsia"/>
              </w:rPr>
            </w:pPr>
            <w:r>
              <w:rPr>
                <w:rFonts w:asciiTheme="minorEastAsia" w:hAnsiTheme="minorEastAsia" w:eastAsiaTheme="minorEastAsia"/>
              </w:rPr>
              <w:drawing>
                <wp:inline distT="0" distB="0" distL="0" distR="0">
                  <wp:extent cx="5402580" cy="3352800"/>
                  <wp:effectExtent l="19050" t="0" r="7620" b="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2" cstate="print"/>
                          <a:srcRect/>
                          <a:stretch>
                            <a:fillRect/>
                          </a:stretch>
                        </pic:blipFill>
                        <pic:spPr>
                          <a:xfrm>
                            <a:off x="0" y="0"/>
                            <a:ext cx="5402580" cy="3352800"/>
                          </a:xfrm>
                          <a:prstGeom prst="rect">
                            <a:avLst/>
                          </a:prstGeom>
                          <a:noFill/>
                          <a:ln w="9525">
                            <a:noFill/>
                            <a:miter lim="800000"/>
                            <a:headEnd/>
                            <a:tailEnd/>
                          </a:ln>
                        </pic:spPr>
                      </pic:pic>
                    </a:graphicData>
                  </a:graphic>
                </wp:inline>
              </w:drawing>
            </w:r>
          </w:p>
          <w:p w14:paraId="1FFEDF0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区域环境空气质量现状评价详见表</w:t>
            </w:r>
            <w:r>
              <w:rPr>
                <w:rFonts w:hint="eastAsia" w:asciiTheme="minorEastAsia" w:hAnsiTheme="minorEastAsia" w:eastAsiaTheme="minorEastAsia"/>
                <w:sz w:val="24"/>
                <w:szCs w:val="24"/>
              </w:rPr>
              <w:t>3-2</w:t>
            </w:r>
            <w:r>
              <w:rPr>
                <w:rFonts w:asciiTheme="minorEastAsia" w:hAnsiTheme="minorEastAsia" w:eastAsiaTheme="minorEastAsia"/>
                <w:sz w:val="24"/>
                <w:szCs w:val="24"/>
              </w:rPr>
              <w:t>。</w:t>
            </w:r>
          </w:p>
          <w:p w14:paraId="35CC249D">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3-2</w:t>
            </w:r>
            <w:r>
              <w:rPr>
                <w:rFonts w:asciiTheme="minorEastAsia" w:hAnsiTheme="minorEastAsia" w:eastAsiaTheme="minorEastAsia"/>
                <w:b/>
                <w:bCs/>
                <w:sz w:val="24"/>
                <w:szCs w:val="24"/>
              </w:rPr>
              <w:t xml:space="preserve">  区域环境空气质量现状评价表</w:t>
            </w:r>
          </w:p>
          <w:tbl>
            <w:tblPr>
              <w:tblStyle w:val="22"/>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7"/>
              <w:gridCol w:w="2440"/>
              <w:gridCol w:w="822"/>
              <w:gridCol w:w="1228"/>
              <w:gridCol w:w="925"/>
              <w:gridCol w:w="948"/>
              <w:gridCol w:w="1219"/>
            </w:tblGrid>
            <w:tr w14:paraId="0D4A3C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3A0DF442">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污染物</w:t>
                  </w:r>
                </w:p>
              </w:tc>
              <w:tc>
                <w:tcPr>
                  <w:tcW w:w="1434" w:type="pct"/>
                  <w:tcBorders>
                    <w:tl2br w:val="nil"/>
                    <w:tr2bl w:val="nil"/>
                  </w:tcBorders>
                  <w:vAlign w:val="center"/>
                </w:tcPr>
                <w:p w14:paraId="1D189FC7">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年评价指标</w:t>
                  </w:r>
                </w:p>
              </w:tc>
              <w:tc>
                <w:tcPr>
                  <w:tcW w:w="483" w:type="pct"/>
                  <w:tcBorders>
                    <w:tl2br w:val="nil"/>
                    <w:tr2bl w:val="nil"/>
                  </w:tcBorders>
                  <w:vAlign w:val="center"/>
                </w:tcPr>
                <w:p w14:paraId="4745B99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单位</w:t>
                  </w:r>
                </w:p>
              </w:tc>
              <w:tc>
                <w:tcPr>
                  <w:tcW w:w="722" w:type="pct"/>
                  <w:tcBorders>
                    <w:tl2br w:val="nil"/>
                    <w:tr2bl w:val="nil"/>
                  </w:tcBorders>
                  <w:vAlign w:val="center"/>
                </w:tcPr>
                <w:p w14:paraId="6CC79448">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现状浓度</w:t>
                  </w:r>
                </w:p>
              </w:tc>
              <w:tc>
                <w:tcPr>
                  <w:tcW w:w="544" w:type="pct"/>
                  <w:tcBorders>
                    <w:tl2br w:val="nil"/>
                    <w:tr2bl w:val="nil"/>
                  </w:tcBorders>
                  <w:vAlign w:val="center"/>
                </w:tcPr>
                <w:p w14:paraId="3CA04593">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标准值</w:t>
                  </w:r>
                </w:p>
              </w:tc>
              <w:tc>
                <w:tcPr>
                  <w:tcW w:w="558" w:type="pct"/>
                  <w:tcBorders>
                    <w:tl2br w:val="nil"/>
                    <w:tr2bl w:val="nil"/>
                  </w:tcBorders>
                  <w:vAlign w:val="center"/>
                </w:tcPr>
                <w:p w14:paraId="7DA25F86">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占标率</w:t>
                  </w:r>
                </w:p>
              </w:tc>
              <w:tc>
                <w:tcPr>
                  <w:tcW w:w="717" w:type="pct"/>
                  <w:tcBorders>
                    <w:tl2br w:val="nil"/>
                    <w:tr2bl w:val="nil"/>
                  </w:tcBorders>
                  <w:vAlign w:val="center"/>
                </w:tcPr>
                <w:p w14:paraId="6E165624">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达标情况</w:t>
                  </w:r>
                </w:p>
              </w:tc>
            </w:tr>
            <w:tr w14:paraId="7ACCC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20191704">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SO</w:t>
                  </w:r>
                  <w:r>
                    <w:rPr>
                      <w:rFonts w:asciiTheme="minorEastAsia" w:hAnsiTheme="minorEastAsia" w:eastAsiaTheme="minorEastAsia"/>
                      <w:szCs w:val="21"/>
                      <w:vertAlign w:val="subscript"/>
                      <w:lang w:val="zh-CN"/>
                    </w:rPr>
                    <w:t>2</w:t>
                  </w:r>
                </w:p>
              </w:tc>
              <w:tc>
                <w:tcPr>
                  <w:tcW w:w="1434" w:type="pct"/>
                  <w:tcBorders>
                    <w:tl2br w:val="nil"/>
                    <w:tr2bl w:val="nil"/>
                  </w:tcBorders>
                  <w:vAlign w:val="center"/>
                </w:tcPr>
                <w:p w14:paraId="07599220">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年平均质量浓度</w:t>
                  </w:r>
                </w:p>
              </w:tc>
              <w:tc>
                <w:tcPr>
                  <w:tcW w:w="483" w:type="pct"/>
                  <w:tcBorders>
                    <w:tl2br w:val="nil"/>
                    <w:tr2bl w:val="nil"/>
                  </w:tcBorders>
                  <w:vAlign w:val="center"/>
                </w:tcPr>
                <w:p w14:paraId="5C8B72C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lang w:val="zh-CN"/>
                    </w:rPr>
                    <w:t>µg/m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1732556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544" w:type="pct"/>
                  <w:tcBorders>
                    <w:tl2br w:val="nil"/>
                    <w:tr2bl w:val="nil"/>
                  </w:tcBorders>
                  <w:vAlign w:val="center"/>
                </w:tcPr>
                <w:p w14:paraId="6ACB474A">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60</w:t>
                  </w:r>
                </w:p>
              </w:tc>
              <w:tc>
                <w:tcPr>
                  <w:tcW w:w="946" w:type="dxa"/>
                  <w:tcBorders>
                    <w:tl2br w:val="nil"/>
                    <w:tr2bl w:val="nil"/>
                  </w:tcBorders>
                  <w:vAlign w:val="center"/>
                </w:tcPr>
                <w:p w14:paraId="3A3812B0">
                  <w:pPr>
                    <w:adjustRightInd w:val="0"/>
                    <w:snapToGri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20%</w:t>
                  </w:r>
                </w:p>
              </w:tc>
              <w:tc>
                <w:tcPr>
                  <w:tcW w:w="717" w:type="pct"/>
                  <w:tcBorders>
                    <w:tl2br w:val="nil"/>
                    <w:tr2bl w:val="nil"/>
                  </w:tcBorders>
                  <w:vAlign w:val="center"/>
                </w:tcPr>
                <w:p w14:paraId="0C2D066E">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r w14:paraId="48F486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00C4A390">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NO</w:t>
                  </w:r>
                  <w:r>
                    <w:rPr>
                      <w:rFonts w:asciiTheme="minorEastAsia" w:hAnsiTheme="minorEastAsia" w:eastAsiaTheme="minorEastAsia"/>
                      <w:szCs w:val="21"/>
                      <w:vertAlign w:val="subscript"/>
                      <w:lang w:val="zh-CN"/>
                    </w:rPr>
                    <w:t>2</w:t>
                  </w:r>
                </w:p>
              </w:tc>
              <w:tc>
                <w:tcPr>
                  <w:tcW w:w="1434" w:type="pct"/>
                  <w:tcBorders>
                    <w:tl2br w:val="nil"/>
                    <w:tr2bl w:val="nil"/>
                  </w:tcBorders>
                  <w:vAlign w:val="center"/>
                </w:tcPr>
                <w:p w14:paraId="37473997">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年平均质量浓度</w:t>
                  </w:r>
                </w:p>
              </w:tc>
              <w:tc>
                <w:tcPr>
                  <w:tcW w:w="483" w:type="pct"/>
                  <w:tcBorders>
                    <w:tl2br w:val="nil"/>
                    <w:tr2bl w:val="nil"/>
                  </w:tcBorders>
                  <w:vAlign w:val="center"/>
                </w:tcPr>
                <w:p w14:paraId="12F3BE6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lang w:val="zh-CN"/>
                    </w:rPr>
                    <w:t>µg/m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1922384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544" w:type="pct"/>
                  <w:tcBorders>
                    <w:tl2br w:val="nil"/>
                    <w:tr2bl w:val="nil"/>
                  </w:tcBorders>
                  <w:vAlign w:val="center"/>
                </w:tcPr>
                <w:p w14:paraId="33072B58">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40</w:t>
                  </w:r>
                </w:p>
              </w:tc>
              <w:tc>
                <w:tcPr>
                  <w:tcW w:w="946" w:type="dxa"/>
                  <w:tcBorders>
                    <w:tl2br w:val="nil"/>
                    <w:tr2bl w:val="nil"/>
                  </w:tcBorders>
                  <w:vAlign w:val="center"/>
                </w:tcPr>
                <w:p w14:paraId="70BE3822">
                  <w:pPr>
                    <w:adjustRightInd w:val="0"/>
                    <w:snapToGri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50%</w:t>
                  </w:r>
                </w:p>
              </w:tc>
              <w:tc>
                <w:tcPr>
                  <w:tcW w:w="717" w:type="pct"/>
                  <w:tcBorders>
                    <w:tl2br w:val="nil"/>
                    <w:tr2bl w:val="nil"/>
                  </w:tcBorders>
                  <w:vAlign w:val="center"/>
                </w:tcPr>
                <w:p w14:paraId="2F76FF12">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r w14:paraId="5EC0EC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1913148C">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CO</w:t>
                  </w:r>
                </w:p>
              </w:tc>
              <w:tc>
                <w:tcPr>
                  <w:tcW w:w="1434" w:type="pct"/>
                  <w:tcBorders>
                    <w:tl2br w:val="nil"/>
                    <w:tr2bl w:val="nil"/>
                  </w:tcBorders>
                  <w:vAlign w:val="center"/>
                </w:tcPr>
                <w:p w14:paraId="2CD8E41C">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百分位数日平均</w:t>
                  </w:r>
                </w:p>
              </w:tc>
              <w:tc>
                <w:tcPr>
                  <w:tcW w:w="483" w:type="pct"/>
                  <w:tcBorders>
                    <w:tl2br w:val="nil"/>
                    <w:tr2bl w:val="nil"/>
                  </w:tcBorders>
                  <w:vAlign w:val="center"/>
                </w:tcPr>
                <w:p w14:paraId="35770B6B">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rPr>
                    <w:t>m</w:t>
                  </w:r>
                  <w:r>
                    <w:rPr>
                      <w:rFonts w:asciiTheme="minorEastAsia" w:hAnsiTheme="minorEastAsia" w:eastAsiaTheme="minorEastAsia"/>
                      <w:szCs w:val="21"/>
                      <w:lang w:val="zh-CN"/>
                    </w:rPr>
                    <w:t>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7927E6D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544" w:type="pct"/>
                  <w:tcBorders>
                    <w:tl2br w:val="nil"/>
                    <w:tr2bl w:val="nil"/>
                  </w:tcBorders>
                  <w:vAlign w:val="center"/>
                </w:tcPr>
                <w:p w14:paraId="2C6F6F5E">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4</w:t>
                  </w:r>
                </w:p>
              </w:tc>
              <w:tc>
                <w:tcPr>
                  <w:tcW w:w="946" w:type="dxa"/>
                  <w:tcBorders>
                    <w:tl2br w:val="nil"/>
                    <w:tr2bl w:val="nil"/>
                  </w:tcBorders>
                  <w:vAlign w:val="center"/>
                </w:tcPr>
                <w:p w14:paraId="30535C6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lang w:val="zh-CN"/>
                    </w:rPr>
                    <w:t>30%</w:t>
                  </w:r>
                </w:p>
              </w:tc>
              <w:tc>
                <w:tcPr>
                  <w:tcW w:w="717" w:type="pct"/>
                  <w:tcBorders>
                    <w:tl2br w:val="nil"/>
                    <w:tr2bl w:val="nil"/>
                  </w:tcBorders>
                  <w:vAlign w:val="center"/>
                </w:tcPr>
                <w:p w14:paraId="054B999C">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r w14:paraId="256F61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4E845FCF">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O</w:t>
                  </w:r>
                  <w:r>
                    <w:rPr>
                      <w:rFonts w:asciiTheme="minorEastAsia" w:hAnsiTheme="minorEastAsia" w:eastAsiaTheme="minorEastAsia"/>
                      <w:szCs w:val="21"/>
                      <w:vertAlign w:val="subscript"/>
                      <w:lang w:val="zh-CN"/>
                    </w:rPr>
                    <w:t>3</w:t>
                  </w:r>
                </w:p>
              </w:tc>
              <w:tc>
                <w:tcPr>
                  <w:tcW w:w="1434" w:type="pct"/>
                  <w:tcBorders>
                    <w:tl2br w:val="nil"/>
                    <w:tr2bl w:val="nil"/>
                  </w:tcBorders>
                  <w:vAlign w:val="center"/>
                </w:tcPr>
                <w:p w14:paraId="2D43D3F5">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日最大8小时平均</w:t>
                  </w:r>
                </w:p>
              </w:tc>
              <w:tc>
                <w:tcPr>
                  <w:tcW w:w="483" w:type="pct"/>
                  <w:tcBorders>
                    <w:tl2br w:val="nil"/>
                    <w:tr2bl w:val="nil"/>
                  </w:tcBorders>
                  <w:vAlign w:val="center"/>
                </w:tcPr>
                <w:p w14:paraId="1C9AC72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lang w:val="zh-CN"/>
                    </w:rPr>
                    <w:t>µg/m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331B31F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129</w:t>
                  </w:r>
                </w:p>
              </w:tc>
              <w:tc>
                <w:tcPr>
                  <w:tcW w:w="544" w:type="pct"/>
                  <w:tcBorders>
                    <w:tl2br w:val="nil"/>
                    <w:tr2bl w:val="nil"/>
                  </w:tcBorders>
                  <w:vAlign w:val="center"/>
                </w:tcPr>
                <w:p w14:paraId="47675AF3">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160</w:t>
                  </w:r>
                </w:p>
              </w:tc>
              <w:tc>
                <w:tcPr>
                  <w:tcW w:w="946" w:type="dxa"/>
                  <w:tcBorders>
                    <w:tl2br w:val="nil"/>
                    <w:tr2bl w:val="nil"/>
                  </w:tcBorders>
                  <w:vAlign w:val="center"/>
                </w:tcPr>
                <w:p w14:paraId="0FE7CC8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lang w:val="zh-CN"/>
                    </w:rPr>
                    <w:t>80.6%</w:t>
                  </w:r>
                </w:p>
              </w:tc>
              <w:tc>
                <w:tcPr>
                  <w:tcW w:w="717" w:type="pct"/>
                  <w:tcBorders>
                    <w:tl2br w:val="nil"/>
                    <w:tr2bl w:val="nil"/>
                  </w:tcBorders>
                  <w:vAlign w:val="center"/>
                </w:tcPr>
                <w:p w14:paraId="0255B761">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r w14:paraId="04D2D8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21FE3AB5">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PM</w:t>
                  </w:r>
                  <w:r>
                    <w:rPr>
                      <w:rFonts w:asciiTheme="minorEastAsia" w:hAnsiTheme="minorEastAsia" w:eastAsiaTheme="minorEastAsia"/>
                      <w:szCs w:val="21"/>
                      <w:vertAlign w:val="subscript"/>
                      <w:lang w:val="zh-CN"/>
                    </w:rPr>
                    <w:t>10</w:t>
                  </w:r>
                </w:p>
              </w:tc>
              <w:tc>
                <w:tcPr>
                  <w:tcW w:w="1434" w:type="pct"/>
                  <w:tcBorders>
                    <w:tl2br w:val="nil"/>
                    <w:tr2bl w:val="nil"/>
                  </w:tcBorders>
                  <w:vAlign w:val="center"/>
                </w:tcPr>
                <w:p w14:paraId="680B8554">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年平均质量浓度</w:t>
                  </w:r>
                </w:p>
              </w:tc>
              <w:tc>
                <w:tcPr>
                  <w:tcW w:w="483" w:type="pct"/>
                  <w:tcBorders>
                    <w:tl2br w:val="nil"/>
                    <w:tr2bl w:val="nil"/>
                  </w:tcBorders>
                  <w:vAlign w:val="center"/>
                </w:tcPr>
                <w:p w14:paraId="02125AD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lang w:val="zh-CN"/>
                    </w:rPr>
                    <w:t>µg/m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70CF12A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54</w:t>
                  </w:r>
                </w:p>
              </w:tc>
              <w:tc>
                <w:tcPr>
                  <w:tcW w:w="544" w:type="pct"/>
                  <w:tcBorders>
                    <w:tl2br w:val="nil"/>
                    <w:tr2bl w:val="nil"/>
                  </w:tcBorders>
                  <w:vAlign w:val="center"/>
                </w:tcPr>
                <w:p w14:paraId="4FF8DB6C">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70</w:t>
                  </w:r>
                </w:p>
              </w:tc>
              <w:tc>
                <w:tcPr>
                  <w:tcW w:w="946" w:type="dxa"/>
                  <w:tcBorders>
                    <w:tl2br w:val="nil"/>
                    <w:tr2bl w:val="nil"/>
                  </w:tcBorders>
                  <w:vAlign w:val="center"/>
                </w:tcPr>
                <w:p w14:paraId="5DADFB8A">
                  <w:pPr>
                    <w:adjustRightInd w:val="0"/>
                    <w:snapToGri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77.1%</w:t>
                  </w:r>
                </w:p>
              </w:tc>
              <w:tc>
                <w:tcPr>
                  <w:tcW w:w="717" w:type="pct"/>
                  <w:tcBorders>
                    <w:tl2br w:val="nil"/>
                    <w:tr2bl w:val="nil"/>
                  </w:tcBorders>
                  <w:vAlign w:val="center"/>
                </w:tcPr>
                <w:p w14:paraId="70260547">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r w14:paraId="6E5C40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539" w:type="pct"/>
                  <w:tcBorders>
                    <w:tl2br w:val="nil"/>
                    <w:tr2bl w:val="nil"/>
                  </w:tcBorders>
                  <w:vAlign w:val="center"/>
                </w:tcPr>
                <w:p w14:paraId="46D786B4">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PM</w:t>
                  </w:r>
                  <w:r>
                    <w:rPr>
                      <w:rFonts w:asciiTheme="minorEastAsia" w:hAnsiTheme="minorEastAsia" w:eastAsiaTheme="minorEastAsia"/>
                      <w:szCs w:val="21"/>
                      <w:vertAlign w:val="subscript"/>
                      <w:lang w:val="zh-CN"/>
                    </w:rPr>
                    <w:t>2.5</w:t>
                  </w:r>
                </w:p>
              </w:tc>
              <w:tc>
                <w:tcPr>
                  <w:tcW w:w="1434" w:type="pct"/>
                  <w:tcBorders>
                    <w:tl2br w:val="nil"/>
                    <w:tr2bl w:val="nil"/>
                  </w:tcBorders>
                  <w:vAlign w:val="center"/>
                </w:tcPr>
                <w:p w14:paraId="3D0795CA">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年平均质量浓度</w:t>
                  </w:r>
                </w:p>
              </w:tc>
              <w:tc>
                <w:tcPr>
                  <w:tcW w:w="483" w:type="pct"/>
                  <w:tcBorders>
                    <w:tl2br w:val="nil"/>
                    <w:tr2bl w:val="nil"/>
                  </w:tcBorders>
                  <w:vAlign w:val="center"/>
                </w:tcPr>
                <w:p w14:paraId="5404A35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lang w:val="zh-CN"/>
                    </w:rPr>
                    <w:t>µg/m</w:t>
                  </w:r>
                  <w:r>
                    <w:rPr>
                      <w:rFonts w:asciiTheme="minorEastAsia" w:hAnsiTheme="minorEastAsia" w:eastAsiaTheme="minorEastAsia"/>
                      <w:szCs w:val="21"/>
                      <w:vertAlign w:val="superscript"/>
                      <w:lang w:val="zh-CN"/>
                    </w:rPr>
                    <w:t>3</w:t>
                  </w:r>
                </w:p>
              </w:tc>
              <w:tc>
                <w:tcPr>
                  <w:tcW w:w="722" w:type="pct"/>
                  <w:tcBorders>
                    <w:tl2br w:val="nil"/>
                    <w:tr2bl w:val="nil"/>
                  </w:tcBorders>
                  <w:vAlign w:val="center"/>
                </w:tcPr>
                <w:p w14:paraId="371747B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544" w:type="pct"/>
                  <w:tcBorders>
                    <w:tl2br w:val="nil"/>
                    <w:tr2bl w:val="nil"/>
                  </w:tcBorders>
                  <w:vAlign w:val="center"/>
                </w:tcPr>
                <w:p w14:paraId="110B3209">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35</w:t>
                  </w:r>
                </w:p>
              </w:tc>
              <w:tc>
                <w:tcPr>
                  <w:tcW w:w="946" w:type="dxa"/>
                  <w:tcBorders>
                    <w:tl2br w:val="nil"/>
                    <w:tr2bl w:val="nil"/>
                  </w:tcBorders>
                  <w:vAlign w:val="center"/>
                </w:tcPr>
                <w:p w14:paraId="0DA93AC9">
                  <w:pPr>
                    <w:adjustRightInd w:val="0"/>
                    <w:snapToGri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65.7%</w:t>
                  </w:r>
                </w:p>
              </w:tc>
              <w:tc>
                <w:tcPr>
                  <w:tcW w:w="717" w:type="pct"/>
                  <w:tcBorders>
                    <w:tl2br w:val="nil"/>
                    <w:tr2bl w:val="nil"/>
                  </w:tcBorders>
                  <w:vAlign w:val="center"/>
                </w:tcPr>
                <w:p w14:paraId="1BCAF5FD">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达标</w:t>
                  </w:r>
                </w:p>
              </w:tc>
            </w:tr>
          </w:tbl>
          <w:p w14:paraId="11618E7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根据《2024年吉林省生态环境状况公报》，</w:t>
            </w:r>
            <w:r>
              <w:rPr>
                <w:rFonts w:hint="eastAsia" w:asciiTheme="minorEastAsia" w:hAnsiTheme="minorEastAsia" w:eastAsiaTheme="minorEastAsia"/>
                <w:sz w:val="24"/>
                <w:szCs w:val="24"/>
              </w:rPr>
              <w:t>白山地区</w:t>
            </w:r>
            <w:r>
              <w:rPr>
                <w:rFonts w:asciiTheme="minorEastAsia" w:hAnsiTheme="minorEastAsia" w:eastAsiaTheme="minorEastAsia"/>
                <w:sz w:val="24"/>
                <w:szCs w:val="24"/>
              </w:rPr>
              <w:t>环境空气质量现状可以满足《环境空气质量标准》（GB3095-20</w:t>
            </w:r>
            <w:r>
              <w:rPr>
                <w:rFonts w:hint="eastAsia" w:asciiTheme="minorEastAsia" w:hAnsiTheme="minorEastAsia" w:eastAsiaTheme="minorEastAsia"/>
                <w:sz w:val="24"/>
                <w:szCs w:val="24"/>
              </w:rPr>
              <w:t>26</w:t>
            </w:r>
            <w:r>
              <w:rPr>
                <w:rFonts w:asciiTheme="minorEastAsia" w:hAnsiTheme="minorEastAsia" w:eastAsiaTheme="minorEastAsia"/>
                <w:sz w:val="24"/>
                <w:szCs w:val="24"/>
              </w:rPr>
              <w:t>）二级标准。因此，项目所在区域为环境空气质量达标区。</w:t>
            </w:r>
          </w:p>
          <w:p w14:paraId="61A474A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2、特征污染物</w:t>
            </w:r>
          </w:p>
          <w:p w14:paraId="75DBEBE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w:t>
            </w:r>
          </w:p>
          <w:p w14:paraId="01738FE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本项目引用《白山市固体废弃物综合利用项目环境影响报告表》中环境空气监测数据，该项目所在位置与本项目所在位置均位于白山市浑江区，距离本项目600m。</w:t>
            </w:r>
          </w:p>
          <w:p w14:paraId="7AE83B3A">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《白山市固体废弃物综合利用项目环境影响报告表》环境空气监测日期为2026年3月10日-2026年3月12日，自监测日期以来，区域内未建设影响环境空气质量的建设项目，区域环境空气质量未发生变化，引用数据合理。</w:t>
            </w:r>
          </w:p>
          <w:p w14:paraId="2C5D15D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（1）监测点位及监测项目</w:t>
            </w:r>
          </w:p>
          <w:p w14:paraId="6CC8400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本次评价共选择1个监测点，监测点位布设情况详见表</w:t>
            </w:r>
            <w:r>
              <w:rPr>
                <w:rFonts w:hint="eastAsia" w:asciiTheme="minorEastAsia" w:hAnsiTheme="minorEastAsia" w:eastAsiaTheme="minorEastAsia"/>
                <w:sz w:val="24"/>
                <w:szCs w:val="24"/>
              </w:rPr>
              <w:t>3-3</w:t>
            </w:r>
            <w:r>
              <w:rPr>
                <w:rFonts w:asciiTheme="minorEastAsia" w:hAnsiTheme="minorEastAsia" w:eastAsiaTheme="minorEastAsia"/>
                <w:sz w:val="24"/>
                <w:szCs w:val="24"/>
              </w:rPr>
              <w:t>。</w:t>
            </w:r>
          </w:p>
          <w:p w14:paraId="458F0DB2">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3-3</w:t>
            </w:r>
            <w:r>
              <w:rPr>
                <w:rFonts w:asciiTheme="minorEastAsia" w:hAnsiTheme="minorEastAsia" w:eastAsiaTheme="minorEastAsia"/>
                <w:b/>
                <w:bCs/>
                <w:sz w:val="24"/>
                <w:szCs w:val="24"/>
              </w:rPr>
              <w:t xml:space="preserve">  环境空气监测点位布设及监测项目表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5386"/>
              <w:gridCol w:w="1131"/>
            </w:tblGrid>
            <w:tr w14:paraId="199BA1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07437FED">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序号</w:t>
                  </w:r>
                </w:p>
              </w:tc>
              <w:tc>
                <w:tcPr>
                  <w:tcW w:w="750" w:type="pct"/>
                  <w:vAlign w:val="center"/>
                </w:tcPr>
                <w:p w14:paraId="036915AA">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监测点名称</w:t>
                  </w:r>
                </w:p>
              </w:tc>
              <w:tc>
                <w:tcPr>
                  <w:tcW w:w="3168" w:type="pct"/>
                  <w:vAlign w:val="center"/>
                </w:tcPr>
                <w:p w14:paraId="637EBDBD">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位置</w:t>
                  </w:r>
                </w:p>
              </w:tc>
              <w:tc>
                <w:tcPr>
                  <w:tcW w:w="665" w:type="pct"/>
                  <w:vAlign w:val="center"/>
                </w:tcPr>
                <w:p w14:paraId="6A7B1238">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功能类别</w:t>
                  </w:r>
                </w:p>
              </w:tc>
            </w:tr>
            <w:tr w14:paraId="77A81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206B8F7E">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1#</w:t>
                  </w:r>
                </w:p>
              </w:tc>
              <w:tc>
                <w:tcPr>
                  <w:tcW w:w="750" w:type="pct"/>
                  <w:vAlign w:val="center"/>
                </w:tcPr>
                <w:p w14:paraId="27FAF3B6">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监测点位1</w:t>
                  </w:r>
                </w:p>
              </w:tc>
              <w:tc>
                <w:tcPr>
                  <w:tcW w:w="3168" w:type="pct"/>
                  <w:vAlign w:val="center"/>
                </w:tcPr>
                <w:p w14:paraId="74F8F30B">
                  <w:pPr>
                    <w:adjustRightInd w:val="0"/>
                    <w:snapToGrid w:val="0"/>
                    <w:jc w:val="center"/>
                    <w:rPr>
                      <w:rFonts w:asciiTheme="minorEastAsia" w:hAnsiTheme="minorEastAsia" w:eastAsiaTheme="minorEastAsia"/>
                      <w:szCs w:val="21"/>
                      <w:lang w:val="zh-CN"/>
                    </w:rPr>
                  </w:pPr>
                  <w:r>
                    <w:rPr>
                      <w:rFonts w:hint="eastAsia"/>
                      <w:szCs w:val="21"/>
                    </w:rPr>
                    <w:t>六道江镇胜利一小学</w:t>
                  </w:r>
                </w:p>
              </w:tc>
              <w:tc>
                <w:tcPr>
                  <w:tcW w:w="665" w:type="pct"/>
                  <w:vAlign w:val="center"/>
                </w:tcPr>
                <w:p w14:paraId="0C33720D">
                  <w:pPr>
                    <w:adjustRightInd w:val="0"/>
                    <w:snapToGri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二类区</w:t>
                  </w:r>
                </w:p>
              </w:tc>
            </w:tr>
          </w:tbl>
          <w:p w14:paraId="446D102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（2）监测项目及频次</w:t>
            </w:r>
          </w:p>
          <w:p w14:paraId="16E5DA2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TSP</w:t>
            </w:r>
            <w:r>
              <w:rPr>
                <w:sz w:val="24"/>
              </w:rPr>
              <w:t>连续3天，日均值</w:t>
            </w:r>
            <w:r>
              <w:rPr>
                <w:rFonts w:asciiTheme="minorEastAsia" w:hAnsiTheme="minorEastAsia" w:eastAsiaTheme="minorEastAsia"/>
                <w:sz w:val="24"/>
                <w:szCs w:val="24"/>
              </w:rPr>
              <w:t>。</w:t>
            </w:r>
          </w:p>
          <w:p w14:paraId="2900E53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（3）监测单位及监测时间</w:t>
            </w:r>
          </w:p>
          <w:p w14:paraId="108F2F2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吉林省永源环保科技有限公司</w:t>
            </w:r>
            <w:r>
              <w:rPr>
                <w:rFonts w:asciiTheme="minorEastAsia" w:hAnsiTheme="minorEastAsia" w:eastAsiaTheme="minorEastAsia"/>
                <w:sz w:val="24"/>
                <w:szCs w:val="24"/>
              </w:rPr>
              <w:t>于202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rPr>
              <w:t>3</w:t>
            </w:r>
            <w:r>
              <w:rPr>
                <w:rFonts w:asciiTheme="minorEastAsia" w:hAnsiTheme="minorEastAsia" w:eastAsiaTheme="minorEastAsia"/>
                <w:sz w:val="24"/>
                <w:szCs w:val="24"/>
              </w:rPr>
              <w:t>月</w:t>
            </w:r>
            <w:r>
              <w:rPr>
                <w:rFonts w:hint="eastAsia" w:asciiTheme="minorEastAsia" w:hAnsiTheme="minorEastAsia" w:eastAsiaTheme="minorEastAsia"/>
                <w:sz w:val="24"/>
                <w:szCs w:val="24"/>
              </w:rPr>
              <w:t>10</w:t>
            </w:r>
            <w:r>
              <w:rPr>
                <w:rFonts w:asciiTheme="minorEastAsia" w:hAnsiTheme="minorEastAsia" w:eastAsiaTheme="minorEastAsia"/>
                <w:sz w:val="24"/>
                <w:szCs w:val="24"/>
              </w:rPr>
              <w:t>日-</w:t>
            </w:r>
            <w:r>
              <w:rPr>
                <w:rFonts w:hint="eastAsia" w:asciiTheme="minorEastAsia" w:hAnsiTheme="minorEastAsia" w:eastAsiaTheme="minorEastAsia"/>
                <w:sz w:val="24"/>
                <w:szCs w:val="24"/>
              </w:rPr>
              <w:t>3</w:t>
            </w:r>
            <w:r>
              <w:rPr>
                <w:rFonts w:asciiTheme="minorEastAsia" w:hAnsiTheme="minorEastAsia" w:eastAsiaTheme="minorEastAsia"/>
                <w:sz w:val="24"/>
                <w:szCs w:val="24"/>
              </w:rPr>
              <w:t>月</w:t>
            </w:r>
            <w:r>
              <w:rPr>
                <w:rFonts w:hint="eastAsia" w:asciiTheme="minorEastAsia" w:hAnsiTheme="minorEastAsia" w:eastAsiaTheme="minorEastAsia"/>
                <w:sz w:val="24"/>
                <w:szCs w:val="24"/>
              </w:rPr>
              <w:t>12</w:t>
            </w:r>
            <w:r>
              <w:rPr>
                <w:rFonts w:asciiTheme="minorEastAsia" w:hAnsiTheme="minorEastAsia" w:eastAsiaTheme="minorEastAsia"/>
                <w:sz w:val="24"/>
                <w:szCs w:val="24"/>
              </w:rPr>
              <w:t>日连续3天进行采样监测。</w:t>
            </w:r>
          </w:p>
          <w:p w14:paraId="06C3816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（4）评价标准</w:t>
            </w:r>
          </w:p>
          <w:p w14:paraId="27690B6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TSP评价标准采用《环境空气质量标准》（GB3095-20</w:t>
            </w:r>
            <w:r>
              <w:rPr>
                <w:rFonts w:hint="eastAsia" w:asciiTheme="minorEastAsia" w:hAnsiTheme="minorEastAsia" w:eastAsiaTheme="minorEastAsia"/>
                <w:sz w:val="24"/>
                <w:szCs w:val="24"/>
              </w:rPr>
              <w:t>26</w:t>
            </w:r>
            <w:r>
              <w:rPr>
                <w:rFonts w:asciiTheme="minorEastAsia" w:hAnsiTheme="minorEastAsia" w:eastAsiaTheme="minorEastAsia"/>
                <w:sz w:val="24"/>
                <w:szCs w:val="24"/>
              </w:rPr>
              <w:t>）中的二级标准。</w:t>
            </w:r>
          </w:p>
          <w:p w14:paraId="5A9C192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（5）评价方法</w:t>
            </w:r>
          </w:p>
          <w:p w14:paraId="5793AF1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采用占标率对环境空气质量现状进行评价。</w:t>
            </w:r>
          </w:p>
          <w:p w14:paraId="3DD8656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（6）监测结果</w:t>
            </w:r>
          </w:p>
          <w:p w14:paraId="2E201BF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评价区环境空气监测数据结果详见表</w:t>
            </w:r>
            <w:r>
              <w:rPr>
                <w:rFonts w:hint="eastAsia" w:asciiTheme="minorEastAsia" w:hAnsiTheme="minorEastAsia" w:eastAsiaTheme="minorEastAsia"/>
                <w:sz w:val="24"/>
                <w:szCs w:val="24"/>
              </w:rPr>
              <w:t>3-4</w:t>
            </w:r>
            <w:r>
              <w:rPr>
                <w:rFonts w:asciiTheme="minorEastAsia" w:hAnsiTheme="minorEastAsia" w:eastAsiaTheme="minorEastAsia"/>
                <w:sz w:val="24"/>
                <w:szCs w:val="24"/>
              </w:rPr>
              <w:t>。</w:t>
            </w:r>
          </w:p>
          <w:p w14:paraId="41A086F0">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3-4</w:t>
            </w:r>
            <w:r>
              <w:rPr>
                <w:rFonts w:asciiTheme="minorEastAsia" w:hAnsiTheme="minorEastAsia" w:eastAsiaTheme="minorEastAsia"/>
                <w:b/>
                <w:bCs/>
                <w:sz w:val="24"/>
                <w:szCs w:val="24"/>
              </w:rPr>
              <w:t xml:space="preserve">  环境空气质量监测结果</w:t>
            </w:r>
          </w:p>
          <w:tbl>
            <w:tblPr>
              <w:tblStyle w:val="22"/>
              <w:tblW w:w="47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026"/>
              <w:gridCol w:w="1417"/>
              <w:gridCol w:w="1968"/>
            </w:tblGrid>
            <w:tr w14:paraId="00DC0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1" w:type="pct"/>
                  <w:tcBorders>
                    <w:tl2br w:val="nil"/>
                    <w:tr2bl w:val="nil"/>
                  </w:tcBorders>
                  <w:vAlign w:val="center"/>
                </w:tcPr>
                <w:p w14:paraId="4208027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采样点位</w:t>
                  </w:r>
                </w:p>
              </w:tc>
              <w:tc>
                <w:tcPr>
                  <w:tcW w:w="1854" w:type="pct"/>
                  <w:tcBorders>
                    <w:tl2br w:val="nil"/>
                    <w:tr2bl w:val="nil"/>
                  </w:tcBorders>
                  <w:vAlign w:val="center"/>
                </w:tcPr>
                <w:p w14:paraId="2C8BF5A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采样日期</w:t>
                  </w:r>
                </w:p>
              </w:tc>
              <w:tc>
                <w:tcPr>
                  <w:tcW w:w="868" w:type="pct"/>
                  <w:tcBorders>
                    <w:tl2br w:val="nil"/>
                    <w:tr2bl w:val="nil"/>
                  </w:tcBorders>
                  <w:vAlign w:val="center"/>
                </w:tcPr>
                <w:p w14:paraId="5AF076E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采样</w:t>
                  </w:r>
                </w:p>
                <w:p w14:paraId="0737CB0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频次</w:t>
                  </w:r>
                </w:p>
              </w:tc>
              <w:tc>
                <w:tcPr>
                  <w:tcW w:w="1206" w:type="pct"/>
                  <w:tcBorders>
                    <w:tl2br w:val="nil"/>
                    <w:tr2bl w:val="nil"/>
                  </w:tcBorders>
                  <w:vAlign w:val="center"/>
                </w:tcPr>
                <w:p w14:paraId="3147E4D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TSP</w:t>
                  </w:r>
                </w:p>
                <w:p w14:paraId="256A217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（mg/m³）</w:t>
                  </w:r>
                </w:p>
              </w:tc>
            </w:tr>
            <w:tr w14:paraId="5C7D4F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71" w:type="pct"/>
                  <w:vMerge w:val="restart"/>
                  <w:tcBorders>
                    <w:tl2br w:val="nil"/>
                    <w:tr2bl w:val="nil"/>
                  </w:tcBorders>
                  <w:vAlign w:val="center"/>
                </w:tcPr>
                <w:p w14:paraId="3E48123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六道江镇</w:t>
                  </w:r>
                  <w:r>
                    <w:rPr>
                      <w:rFonts w:asciiTheme="minorEastAsia" w:hAnsiTheme="minorEastAsia" w:eastAsiaTheme="minorEastAsia"/>
                      <w:szCs w:val="21"/>
                    </w:rPr>
                    <w:t>胜利小学</w:t>
                  </w:r>
                </w:p>
              </w:tc>
              <w:tc>
                <w:tcPr>
                  <w:tcW w:w="1854" w:type="pct"/>
                  <w:vMerge w:val="restart"/>
                  <w:tcBorders>
                    <w:tl2br w:val="nil"/>
                    <w:tr2bl w:val="nil"/>
                  </w:tcBorders>
                  <w:vAlign w:val="center"/>
                </w:tcPr>
                <w:p w14:paraId="736C76A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202</w:t>
                  </w:r>
                  <w:r>
                    <w:rPr>
                      <w:rFonts w:hint="eastAsia" w:asciiTheme="minorEastAsia" w:hAnsiTheme="minorEastAsia" w:eastAsiaTheme="minorEastAsia"/>
                      <w:szCs w:val="21"/>
                    </w:rPr>
                    <w:t>6</w:t>
                  </w:r>
                  <w:r>
                    <w:rPr>
                      <w:rFonts w:asciiTheme="minorEastAsia" w:hAnsiTheme="minorEastAsia" w:eastAsiaTheme="minorEastAsia"/>
                      <w:szCs w:val="21"/>
                    </w:rPr>
                    <w:t>年</w:t>
                  </w:r>
                  <w:r>
                    <w:rPr>
                      <w:rFonts w:hint="eastAsia" w:asciiTheme="minorEastAsia" w:hAnsiTheme="minorEastAsia" w:eastAsiaTheme="minorEastAsia"/>
                      <w:szCs w:val="21"/>
                    </w:rPr>
                    <w:t>3</w:t>
                  </w:r>
                  <w:r>
                    <w:rPr>
                      <w:rFonts w:asciiTheme="minorEastAsia" w:hAnsiTheme="minorEastAsia" w:eastAsiaTheme="minorEastAsia"/>
                      <w:szCs w:val="21"/>
                    </w:rPr>
                    <w:t>月</w:t>
                  </w:r>
                  <w:r>
                    <w:rPr>
                      <w:rFonts w:hint="eastAsia" w:asciiTheme="minorEastAsia" w:hAnsiTheme="minorEastAsia" w:eastAsiaTheme="minorEastAsia"/>
                      <w:szCs w:val="21"/>
                    </w:rPr>
                    <w:t>10</w:t>
                  </w:r>
                  <w:r>
                    <w:rPr>
                      <w:rFonts w:asciiTheme="minorEastAsia" w:hAnsiTheme="minorEastAsia" w:eastAsiaTheme="minorEastAsia"/>
                      <w:szCs w:val="21"/>
                    </w:rPr>
                    <w:t>日</w:t>
                  </w:r>
                </w:p>
              </w:tc>
              <w:tc>
                <w:tcPr>
                  <w:tcW w:w="868" w:type="pct"/>
                  <w:tcBorders>
                    <w:tl2br w:val="nil"/>
                    <w:tr2bl w:val="nil"/>
                  </w:tcBorders>
                  <w:vAlign w:val="center"/>
                </w:tcPr>
                <w:p w14:paraId="2AED4AA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第1次</w:t>
                  </w:r>
                </w:p>
              </w:tc>
              <w:tc>
                <w:tcPr>
                  <w:tcW w:w="1206" w:type="pct"/>
                  <w:vMerge w:val="restart"/>
                  <w:tcBorders>
                    <w:tl2br w:val="nil"/>
                    <w:tr2bl w:val="nil"/>
                  </w:tcBorders>
                  <w:vAlign w:val="center"/>
                </w:tcPr>
                <w:p w14:paraId="106460A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0.084</w:t>
                  </w:r>
                </w:p>
              </w:tc>
            </w:tr>
            <w:tr w14:paraId="08678D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55B4CDA3">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60C91D20">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3EE794A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第2次</w:t>
                  </w:r>
                </w:p>
              </w:tc>
              <w:tc>
                <w:tcPr>
                  <w:tcW w:w="1206" w:type="pct"/>
                  <w:vMerge w:val="continue"/>
                  <w:tcBorders>
                    <w:tl2br w:val="nil"/>
                    <w:tr2bl w:val="nil"/>
                  </w:tcBorders>
                  <w:vAlign w:val="center"/>
                </w:tcPr>
                <w:p w14:paraId="7081AB97">
                  <w:pPr>
                    <w:adjustRightInd w:val="0"/>
                    <w:snapToGrid w:val="0"/>
                    <w:jc w:val="center"/>
                    <w:rPr>
                      <w:rFonts w:asciiTheme="minorEastAsia" w:hAnsiTheme="minorEastAsia" w:eastAsiaTheme="minorEastAsia"/>
                      <w:szCs w:val="21"/>
                    </w:rPr>
                  </w:pPr>
                </w:p>
              </w:tc>
            </w:tr>
            <w:tr w14:paraId="46E14F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49DE41F4">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493A9F49">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41606A0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第3次</w:t>
                  </w:r>
                </w:p>
              </w:tc>
              <w:tc>
                <w:tcPr>
                  <w:tcW w:w="1206" w:type="pct"/>
                  <w:vMerge w:val="continue"/>
                  <w:tcBorders>
                    <w:tl2br w:val="nil"/>
                    <w:tr2bl w:val="nil"/>
                  </w:tcBorders>
                  <w:vAlign w:val="center"/>
                </w:tcPr>
                <w:p w14:paraId="65E48103">
                  <w:pPr>
                    <w:adjustRightInd w:val="0"/>
                    <w:snapToGrid w:val="0"/>
                    <w:jc w:val="center"/>
                    <w:rPr>
                      <w:rFonts w:asciiTheme="minorEastAsia" w:hAnsiTheme="minorEastAsia" w:eastAsiaTheme="minorEastAsia"/>
                      <w:szCs w:val="21"/>
                    </w:rPr>
                  </w:pPr>
                </w:p>
              </w:tc>
            </w:tr>
            <w:tr w14:paraId="2FE55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2FA8A542">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5DC85F25">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630596F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第4次</w:t>
                  </w:r>
                </w:p>
              </w:tc>
              <w:tc>
                <w:tcPr>
                  <w:tcW w:w="1206" w:type="pct"/>
                  <w:vMerge w:val="continue"/>
                  <w:tcBorders>
                    <w:tl2br w:val="nil"/>
                    <w:tr2bl w:val="nil"/>
                  </w:tcBorders>
                  <w:vAlign w:val="center"/>
                </w:tcPr>
                <w:p w14:paraId="0DB98905">
                  <w:pPr>
                    <w:adjustRightInd w:val="0"/>
                    <w:snapToGrid w:val="0"/>
                    <w:jc w:val="center"/>
                    <w:rPr>
                      <w:rFonts w:asciiTheme="minorEastAsia" w:hAnsiTheme="minorEastAsia" w:eastAsiaTheme="minorEastAsia"/>
                      <w:szCs w:val="21"/>
                    </w:rPr>
                  </w:pPr>
                </w:p>
              </w:tc>
            </w:tr>
            <w:tr w14:paraId="5C074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4F1CDDC6">
                  <w:pPr>
                    <w:adjustRightInd w:val="0"/>
                    <w:snapToGrid w:val="0"/>
                    <w:jc w:val="center"/>
                    <w:rPr>
                      <w:rFonts w:asciiTheme="minorEastAsia" w:hAnsiTheme="minorEastAsia" w:eastAsiaTheme="minorEastAsia"/>
                      <w:szCs w:val="21"/>
                    </w:rPr>
                  </w:pPr>
                </w:p>
              </w:tc>
              <w:tc>
                <w:tcPr>
                  <w:tcW w:w="1854" w:type="pct"/>
                  <w:vMerge w:val="restart"/>
                  <w:tcBorders>
                    <w:tl2br w:val="nil"/>
                    <w:tr2bl w:val="nil"/>
                  </w:tcBorders>
                  <w:vAlign w:val="center"/>
                </w:tcPr>
                <w:p w14:paraId="041DACB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202</w:t>
                  </w:r>
                  <w:r>
                    <w:rPr>
                      <w:rFonts w:hint="eastAsia" w:asciiTheme="minorEastAsia" w:hAnsiTheme="minorEastAsia" w:eastAsiaTheme="minorEastAsia"/>
                      <w:szCs w:val="21"/>
                    </w:rPr>
                    <w:t>6</w:t>
                  </w:r>
                  <w:r>
                    <w:rPr>
                      <w:rFonts w:asciiTheme="minorEastAsia" w:hAnsiTheme="minorEastAsia" w:eastAsiaTheme="minorEastAsia"/>
                      <w:szCs w:val="21"/>
                    </w:rPr>
                    <w:t>年</w:t>
                  </w:r>
                  <w:r>
                    <w:rPr>
                      <w:rFonts w:hint="eastAsia" w:asciiTheme="minorEastAsia" w:hAnsiTheme="minorEastAsia" w:eastAsiaTheme="minorEastAsia"/>
                      <w:szCs w:val="21"/>
                    </w:rPr>
                    <w:t>3</w:t>
                  </w:r>
                  <w:r>
                    <w:rPr>
                      <w:rFonts w:asciiTheme="minorEastAsia" w:hAnsiTheme="minorEastAsia" w:eastAsiaTheme="minorEastAsia"/>
                      <w:szCs w:val="21"/>
                    </w:rPr>
                    <w:t>月</w:t>
                  </w:r>
                  <w:r>
                    <w:rPr>
                      <w:rFonts w:hint="eastAsia" w:asciiTheme="minorEastAsia" w:hAnsiTheme="minorEastAsia" w:eastAsiaTheme="minorEastAsia"/>
                      <w:szCs w:val="21"/>
                    </w:rPr>
                    <w:t>11</w:t>
                  </w:r>
                  <w:r>
                    <w:rPr>
                      <w:rFonts w:asciiTheme="minorEastAsia" w:hAnsiTheme="minorEastAsia" w:eastAsiaTheme="minorEastAsia"/>
                      <w:szCs w:val="21"/>
                    </w:rPr>
                    <w:t>日</w:t>
                  </w:r>
                </w:p>
              </w:tc>
              <w:tc>
                <w:tcPr>
                  <w:tcW w:w="868" w:type="pct"/>
                  <w:tcBorders>
                    <w:tl2br w:val="nil"/>
                    <w:tr2bl w:val="nil"/>
                  </w:tcBorders>
                  <w:vAlign w:val="center"/>
                </w:tcPr>
                <w:p w14:paraId="7F8654A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第1次</w:t>
                  </w:r>
                </w:p>
              </w:tc>
              <w:tc>
                <w:tcPr>
                  <w:tcW w:w="1206" w:type="pct"/>
                  <w:vMerge w:val="restart"/>
                  <w:tcBorders>
                    <w:tl2br w:val="nil"/>
                    <w:tr2bl w:val="nil"/>
                  </w:tcBorders>
                  <w:vAlign w:val="center"/>
                </w:tcPr>
                <w:p w14:paraId="30E3D9F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0.083</w:t>
                  </w:r>
                </w:p>
              </w:tc>
            </w:tr>
            <w:tr w14:paraId="68D0A3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12C6563C">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0E0CFB94">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718B6CF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第2次</w:t>
                  </w:r>
                </w:p>
              </w:tc>
              <w:tc>
                <w:tcPr>
                  <w:tcW w:w="1206" w:type="pct"/>
                  <w:vMerge w:val="continue"/>
                  <w:tcBorders>
                    <w:tl2br w:val="nil"/>
                    <w:tr2bl w:val="nil"/>
                  </w:tcBorders>
                  <w:vAlign w:val="center"/>
                </w:tcPr>
                <w:p w14:paraId="6E3C0BD9">
                  <w:pPr>
                    <w:adjustRightInd w:val="0"/>
                    <w:snapToGrid w:val="0"/>
                    <w:jc w:val="center"/>
                    <w:rPr>
                      <w:rFonts w:asciiTheme="minorEastAsia" w:hAnsiTheme="minorEastAsia" w:eastAsiaTheme="minorEastAsia"/>
                      <w:szCs w:val="21"/>
                    </w:rPr>
                  </w:pPr>
                </w:p>
              </w:tc>
            </w:tr>
            <w:tr w14:paraId="31D17C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63797AC4">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424A1C00">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4535B70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第3次</w:t>
                  </w:r>
                </w:p>
              </w:tc>
              <w:tc>
                <w:tcPr>
                  <w:tcW w:w="1206" w:type="pct"/>
                  <w:vMerge w:val="continue"/>
                  <w:tcBorders>
                    <w:tl2br w:val="nil"/>
                    <w:tr2bl w:val="nil"/>
                  </w:tcBorders>
                  <w:vAlign w:val="center"/>
                </w:tcPr>
                <w:p w14:paraId="6EC2BF7E">
                  <w:pPr>
                    <w:adjustRightInd w:val="0"/>
                    <w:snapToGrid w:val="0"/>
                    <w:jc w:val="center"/>
                    <w:rPr>
                      <w:rFonts w:asciiTheme="minorEastAsia" w:hAnsiTheme="minorEastAsia" w:eastAsiaTheme="minorEastAsia"/>
                      <w:szCs w:val="21"/>
                    </w:rPr>
                  </w:pPr>
                </w:p>
              </w:tc>
            </w:tr>
            <w:tr w14:paraId="42DB20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0E021B02">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6E829083">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681CFA3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第4次</w:t>
                  </w:r>
                </w:p>
              </w:tc>
              <w:tc>
                <w:tcPr>
                  <w:tcW w:w="1206" w:type="pct"/>
                  <w:vMerge w:val="continue"/>
                  <w:tcBorders>
                    <w:tl2br w:val="nil"/>
                    <w:tr2bl w:val="nil"/>
                  </w:tcBorders>
                  <w:vAlign w:val="center"/>
                </w:tcPr>
                <w:p w14:paraId="2279D298">
                  <w:pPr>
                    <w:adjustRightInd w:val="0"/>
                    <w:snapToGrid w:val="0"/>
                    <w:jc w:val="center"/>
                    <w:rPr>
                      <w:rFonts w:asciiTheme="minorEastAsia" w:hAnsiTheme="minorEastAsia" w:eastAsiaTheme="minorEastAsia"/>
                      <w:szCs w:val="21"/>
                    </w:rPr>
                  </w:pPr>
                </w:p>
              </w:tc>
            </w:tr>
            <w:tr w14:paraId="5A86A3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30997736">
                  <w:pPr>
                    <w:adjustRightInd w:val="0"/>
                    <w:snapToGrid w:val="0"/>
                    <w:jc w:val="center"/>
                    <w:rPr>
                      <w:rFonts w:asciiTheme="minorEastAsia" w:hAnsiTheme="minorEastAsia" w:eastAsiaTheme="minorEastAsia"/>
                      <w:szCs w:val="21"/>
                    </w:rPr>
                  </w:pPr>
                </w:p>
              </w:tc>
              <w:tc>
                <w:tcPr>
                  <w:tcW w:w="1854" w:type="pct"/>
                  <w:vMerge w:val="restart"/>
                  <w:tcBorders>
                    <w:tl2br w:val="nil"/>
                    <w:tr2bl w:val="nil"/>
                  </w:tcBorders>
                  <w:vAlign w:val="center"/>
                </w:tcPr>
                <w:p w14:paraId="1E4AE08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202</w:t>
                  </w:r>
                  <w:r>
                    <w:rPr>
                      <w:rFonts w:hint="eastAsia" w:asciiTheme="minorEastAsia" w:hAnsiTheme="minorEastAsia" w:eastAsiaTheme="minorEastAsia"/>
                      <w:szCs w:val="21"/>
                    </w:rPr>
                    <w:t>6</w:t>
                  </w:r>
                  <w:r>
                    <w:rPr>
                      <w:rFonts w:asciiTheme="minorEastAsia" w:hAnsiTheme="minorEastAsia" w:eastAsiaTheme="minorEastAsia"/>
                      <w:szCs w:val="21"/>
                    </w:rPr>
                    <w:t>年</w:t>
                  </w:r>
                  <w:r>
                    <w:rPr>
                      <w:rFonts w:hint="eastAsia" w:asciiTheme="minorEastAsia" w:hAnsiTheme="minorEastAsia" w:eastAsiaTheme="minorEastAsia"/>
                      <w:szCs w:val="21"/>
                    </w:rPr>
                    <w:t>3</w:t>
                  </w:r>
                  <w:r>
                    <w:rPr>
                      <w:rFonts w:asciiTheme="minorEastAsia" w:hAnsiTheme="minorEastAsia" w:eastAsiaTheme="minorEastAsia"/>
                      <w:szCs w:val="21"/>
                    </w:rPr>
                    <w:t>月</w:t>
                  </w:r>
                  <w:r>
                    <w:rPr>
                      <w:rFonts w:hint="eastAsia" w:asciiTheme="minorEastAsia" w:hAnsiTheme="minorEastAsia" w:eastAsiaTheme="minorEastAsia"/>
                      <w:szCs w:val="21"/>
                    </w:rPr>
                    <w:t>12</w:t>
                  </w:r>
                  <w:r>
                    <w:rPr>
                      <w:rFonts w:asciiTheme="minorEastAsia" w:hAnsiTheme="minorEastAsia" w:eastAsiaTheme="minorEastAsia"/>
                      <w:szCs w:val="21"/>
                    </w:rPr>
                    <w:t>日</w:t>
                  </w:r>
                </w:p>
              </w:tc>
              <w:tc>
                <w:tcPr>
                  <w:tcW w:w="868" w:type="pct"/>
                  <w:tcBorders>
                    <w:tl2br w:val="nil"/>
                    <w:tr2bl w:val="nil"/>
                  </w:tcBorders>
                  <w:vAlign w:val="center"/>
                </w:tcPr>
                <w:p w14:paraId="658EF09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第1次</w:t>
                  </w:r>
                </w:p>
              </w:tc>
              <w:tc>
                <w:tcPr>
                  <w:tcW w:w="1206" w:type="pct"/>
                  <w:vMerge w:val="restart"/>
                  <w:tcBorders>
                    <w:tl2br w:val="nil"/>
                    <w:tr2bl w:val="nil"/>
                  </w:tcBorders>
                  <w:vAlign w:val="center"/>
                </w:tcPr>
                <w:p w14:paraId="7575276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0.086</w:t>
                  </w:r>
                </w:p>
              </w:tc>
            </w:tr>
            <w:tr w14:paraId="2C399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14B7FBC2">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7FC9FE11">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1485376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第2次</w:t>
                  </w:r>
                </w:p>
              </w:tc>
              <w:tc>
                <w:tcPr>
                  <w:tcW w:w="1206" w:type="pct"/>
                  <w:vMerge w:val="continue"/>
                  <w:tcBorders>
                    <w:tl2br w:val="nil"/>
                    <w:tr2bl w:val="nil"/>
                  </w:tcBorders>
                  <w:vAlign w:val="center"/>
                </w:tcPr>
                <w:p w14:paraId="006E032A">
                  <w:pPr>
                    <w:adjustRightInd w:val="0"/>
                    <w:snapToGrid w:val="0"/>
                    <w:jc w:val="center"/>
                    <w:rPr>
                      <w:rFonts w:asciiTheme="minorEastAsia" w:hAnsiTheme="minorEastAsia" w:eastAsiaTheme="minorEastAsia"/>
                      <w:szCs w:val="21"/>
                    </w:rPr>
                  </w:pPr>
                </w:p>
              </w:tc>
            </w:tr>
            <w:tr w14:paraId="390EEA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665E00ED">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477297E2">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561B61A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第3次</w:t>
                  </w:r>
                </w:p>
              </w:tc>
              <w:tc>
                <w:tcPr>
                  <w:tcW w:w="1206" w:type="pct"/>
                  <w:vMerge w:val="continue"/>
                  <w:tcBorders>
                    <w:tl2br w:val="nil"/>
                    <w:tr2bl w:val="nil"/>
                  </w:tcBorders>
                  <w:vAlign w:val="center"/>
                </w:tcPr>
                <w:p w14:paraId="0743C517">
                  <w:pPr>
                    <w:adjustRightInd w:val="0"/>
                    <w:snapToGrid w:val="0"/>
                    <w:jc w:val="center"/>
                    <w:rPr>
                      <w:rFonts w:asciiTheme="minorEastAsia" w:hAnsiTheme="minorEastAsia" w:eastAsiaTheme="minorEastAsia"/>
                      <w:szCs w:val="21"/>
                    </w:rPr>
                  </w:pPr>
                </w:p>
              </w:tc>
            </w:tr>
            <w:tr w14:paraId="35DBA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071" w:type="pct"/>
                  <w:vMerge w:val="continue"/>
                  <w:tcBorders>
                    <w:tl2br w:val="nil"/>
                    <w:tr2bl w:val="nil"/>
                  </w:tcBorders>
                  <w:vAlign w:val="center"/>
                </w:tcPr>
                <w:p w14:paraId="77FA4E2C">
                  <w:pPr>
                    <w:adjustRightInd w:val="0"/>
                    <w:snapToGrid w:val="0"/>
                    <w:jc w:val="center"/>
                    <w:rPr>
                      <w:rFonts w:asciiTheme="minorEastAsia" w:hAnsiTheme="minorEastAsia" w:eastAsiaTheme="minorEastAsia"/>
                      <w:szCs w:val="21"/>
                    </w:rPr>
                  </w:pPr>
                </w:p>
              </w:tc>
              <w:tc>
                <w:tcPr>
                  <w:tcW w:w="1854" w:type="pct"/>
                  <w:vMerge w:val="continue"/>
                  <w:tcBorders>
                    <w:tl2br w:val="nil"/>
                    <w:tr2bl w:val="nil"/>
                  </w:tcBorders>
                  <w:vAlign w:val="center"/>
                </w:tcPr>
                <w:p w14:paraId="74FA2BFA">
                  <w:pPr>
                    <w:adjustRightInd w:val="0"/>
                    <w:snapToGrid w:val="0"/>
                    <w:jc w:val="center"/>
                    <w:rPr>
                      <w:rFonts w:asciiTheme="minorEastAsia" w:hAnsiTheme="minorEastAsia" w:eastAsiaTheme="minorEastAsia"/>
                      <w:szCs w:val="21"/>
                    </w:rPr>
                  </w:pPr>
                </w:p>
              </w:tc>
              <w:tc>
                <w:tcPr>
                  <w:tcW w:w="868" w:type="pct"/>
                  <w:tcBorders>
                    <w:tl2br w:val="nil"/>
                    <w:tr2bl w:val="nil"/>
                  </w:tcBorders>
                  <w:vAlign w:val="center"/>
                </w:tcPr>
                <w:p w14:paraId="4568AB8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第4次</w:t>
                  </w:r>
                </w:p>
              </w:tc>
              <w:tc>
                <w:tcPr>
                  <w:tcW w:w="1206" w:type="pct"/>
                  <w:vMerge w:val="continue"/>
                  <w:tcBorders>
                    <w:tl2br w:val="nil"/>
                    <w:tr2bl w:val="nil"/>
                  </w:tcBorders>
                  <w:vAlign w:val="center"/>
                </w:tcPr>
                <w:p w14:paraId="15876695">
                  <w:pPr>
                    <w:adjustRightInd w:val="0"/>
                    <w:snapToGrid w:val="0"/>
                    <w:jc w:val="center"/>
                    <w:rPr>
                      <w:rFonts w:asciiTheme="minorEastAsia" w:hAnsiTheme="minorEastAsia" w:eastAsiaTheme="minorEastAsia"/>
                      <w:szCs w:val="21"/>
                    </w:rPr>
                  </w:pPr>
                </w:p>
              </w:tc>
            </w:tr>
          </w:tbl>
          <w:p w14:paraId="0987462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（7）评价结果及分析</w:t>
            </w:r>
          </w:p>
          <w:p w14:paraId="45CA94C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评价区环境空气监测数据统计结果详见表</w:t>
            </w:r>
            <w:r>
              <w:rPr>
                <w:rFonts w:hint="eastAsia" w:asciiTheme="minorEastAsia" w:hAnsiTheme="minorEastAsia" w:eastAsiaTheme="minorEastAsia"/>
                <w:sz w:val="24"/>
                <w:szCs w:val="24"/>
              </w:rPr>
              <w:t>3-5</w:t>
            </w:r>
            <w:r>
              <w:rPr>
                <w:rFonts w:asciiTheme="minorEastAsia" w:hAnsiTheme="minorEastAsia" w:eastAsiaTheme="minorEastAsia"/>
                <w:sz w:val="24"/>
                <w:szCs w:val="24"/>
              </w:rPr>
              <w:t>。</w:t>
            </w:r>
          </w:p>
          <w:p w14:paraId="0D4821FD">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3-5</w:t>
            </w:r>
            <w:r>
              <w:rPr>
                <w:rFonts w:asciiTheme="minorEastAsia" w:hAnsiTheme="minorEastAsia" w:eastAsiaTheme="minorEastAsia"/>
                <w:b/>
                <w:bCs/>
                <w:sz w:val="24"/>
                <w:szCs w:val="24"/>
              </w:rPr>
              <w:t xml:space="preserve">  评价区内各测点的大气质量指数</w:t>
            </w:r>
          </w:p>
          <w:tbl>
            <w:tblPr>
              <w:tblStyle w:val="22"/>
              <w:tblW w:w="466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3979"/>
              <w:gridCol w:w="1772"/>
            </w:tblGrid>
            <w:tr w14:paraId="46319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375" w:type="pct"/>
                  <w:vMerge w:val="restart"/>
                  <w:vAlign w:val="center"/>
                </w:tcPr>
                <w:p w14:paraId="674B162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监测点位</w:t>
                  </w:r>
                </w:p>
              </w:tc>
              <w:tc>
                <w:tcPr>
                  <w:tcW w:w="2508" w:type="pct"/>
                  <w:vMerge w:val="restart"/>
                  <w:vAlign w:val="center"/>
                </w:tcPr>
                <w:p w14:paraId="1F34B0B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项目</w:t>
                  </w:r>
                </w:p>
              </w:tc>
              <w:tc>
                <w:tcPr>
                  <w:tcW w:w="1117" w:type="pct"/>
                  <w:vAlign w:val="center"/>
                </w:tcPr>
                <w:p w14:paraId="19E7CF0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TSP</w:t>
                  </w:r>
                </w:p>
              </w:tc>
            </w:tr>
            <w:tr w14:paraId="68F17B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375" w:type="pct"/>
                  <w:vMerge w:val="continue"/>
                  <w:vAlign w:val="center"/>
                </w:tcPr>
                <w:p w14:paraId="3BFACFBF">
                  <w:pPr>
                    <w:adjustRightInd w:val="0"/>
                    <w:snapToGrid w:val="0"/>
                    <w:jc w:val="center"/>
                    <w:rPr>
                      <w:rFonts w:asciiTheme="minorEastAsia" w:hAnsiTheme="minorEastAsia" w:eastAsiaTheme="minorEastAsia"/>
                      <w:szCs w:val="21"/>
                    </w:rPr>
                  </w:pPr>
                </w:p>
              </w:tc>
              <w:tc>
                <w:tcPr>
                  <w:tcW w:w="2508" w:type="pct"/>
                  <w:vMerge w:val="continue"/>
                  <w:vAlign w:val="center"/>
                </w:tcPr>
                <w:p w14:paraId="37C5DCC1">
                  <w:pPr>
                    <w:adjustRightInd w:val="0"/>
                    <w:snapToGrid w:val="0"/>
                    <w:jc w:val="center"/>
                    <w:rPr>
                      <w:rFonts w:asciiTheme="minorEastAsia" w:hAnsiTheme="minorEastAsia" w:eastAsiaTheme="minorEastAsia"/>
                      <w:szCs w:val="21"/>
                    </w:rPr>
                  </w:pPr>
                </w:p>
              </w:tc>
              <w:tc>
                <w:tcPr>
                  <w:tcW w:w="1117" w:type="pct"/>
                  <w:vAlign w:val="center"/>
                </w:tcPr>
                <w:p w14:paraId="4F4E4B8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日均值</w:t>
                  </w:r>
                </w:p>
              </w:tc>
            </w:tr>
            <w:tr w14:paraId="6BC17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375" w:type="pct"/>
                  <w:vMerge w:val="continue"/>
                  <w:vAlign w:val="center"/>
                </w:tcPr>
                <w:p w14:paraId="3304BF8F">
                  <w:pPr>
                    <w:adjustRightInd w:val="0"/>
                    <w:snapToGrid w:val="0"/>
                    <w:jc w:val="center"/>
                    <w:rPr>
                      <w:rFonts w:asciiTheme="minorEastAsia" w:hAnsiTheme="minorEastAsia" w:eastAsiaTheme="minorEastAsia"/>
                      <w:szCs w:val="21"/>
                    </w:rPr>
                  </w:pPr>
                </w:p>
              </w:tc>
              <w:tc>
                <w:tcPr>
                  <w:tcW w:w="2508" w:type="pct"/>
                  <w:vAlign w:val="center"/>
                </w:tcPr>
                <w:p w14:paraId="0829F24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标准(μg/m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117" w:type="pct"/>
                  <w:vAlign w:val="center"/>
                </w:tcPr>
                <w:p w14:paraId="30E8D8D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300</w:t>
                  </w:r>
                </w:p>
              </w:tc>
            </w:tr>
            <w:tr w14:paraId="43831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375" w:type="pct"/>
                  <w:vMerge w:val="restart"/>
                  <w:vAlign w:val="center"/>
                </w:tcPr>
                <w:p w14:paraId="3A67FC0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2508" w:type="pct"/>
                  <w:vAlign w:val="center"/>
                </w:tcPr>
                <w:p w14:paraId="4243325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浓度值范围(μg/m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117" w:type="pct"/>
                  <w:vAlign w:val="center"/>
                </w:tcPr>
                <w:p w14:paraId="1CB29FD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83-86</w:t>
                  </w:r>
                </w:p>
              </w:tc>
            </w:tr>
            <w:tr w14:paraId="4485F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1375" w:type="pct"/>
                  <w:vMerge w:val="continue"/>
                  <w:vAlign w:val="center"/>
                </w:tcPr>
                <w:p w14:paraId="1A446EC4">
                  <w:pPr>
                    <w:adjustRightInd w:val="0"/>
                    <w:snapToGrid w:val="0"/>
                    <w:jc w:val="center"/>
                    <w:rPr>
                      <w:rFonts w:asciiTheme="minorEastAsia" w:hAnsiTheme="minorEastAsia" w:eastAsiaTheme="minorEastAsia"/>
                      <w:szCs w:val="21"/>
                    </w:rPr>
                  </w:pPr>
                </w:p>
              </w:tc>
              <w:tc>
                <w:tcPr>
                  <w:tcW w:w="2508" w:type="pct"/>
                  <w:vAlign w:val="center"/>
                </w:tcPr>
                <w:p w14:paraId="695E413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超标率（%）</w:t>
                  </w:r>
                </w:p>
              </w:tc>
              <w:tc>
                <w:tcPr>
                  <w:tcW w:w="1117" w:type="pct"/>
                  <w:vAlign w:val="center"/>
                </w:tcPr>
                <w:p w14:paraId="456FC6C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14:paraId="33577A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375" w:type="pct"/>
                  <w:vMerge w:val="continue"/>
                  <w:vAlign w:val="center"/>
                </w:tcPr>
                <w:p w14:paraId="7ACE1A51">
                  <w:pPr>
                    <w:adjustRightInd w:val="0"/>
                    <w:snapToGrid w:val="0"/>
                    <w:jc w:val="center"/>
                    <w:rPr>
                      <w:rFonts w:asciiTheme="minorEastAsia" w:hAnsiTheme="minorEastAsia" w:eastAsiaTheme="minorEastAsia"/>
                      <w:szCs w:val="21"/>
                    </w:rPr>
                  </w:pPr>
                </w:p>
              </w:tc>
              <w:tc>
                <w:tcPr>
                  <w:tcW w:w="2508" w:type="pct"/>
                  <w:vAlign w:val="center"/>
                </w:tcPr>
                <w:p w14:paraId="77FFF9B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最大浓度值</w:t>
                  </w:r>
                </w:p>
              </w:tc>
              <w:tc>
                <w:tcPr>
                  <w:tcW w:w="1117" w:type="pct"/>
                  <w:vAlign w:val="center"/>
                </w:tcPr>
                <w:p w14:paraId="3EF4039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86</w:t>
                  </w:r>
                </w:p>
              </w:tc>
            </w:tr>
            <w:tr w14:paraId="368FE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375" w:type="pct"/>
                  <w:vMerge w:val="continue"/>
                  <w:vAlign w:val="center"/>
                </w:tcPr>
                <w:p w14:paraId="6D585707">
                  <w:pPr>
                    <w:adjustRightInd w:val="0"/>
                    <w:snapToGrid w:val="0"/>
                    <w:jc w:val="center"/>
                    <w:rPr>
                      <w:rFonts w:asciiTheme="minorEastAsia" w:hAnsiTheme="minorEastAsia" w:eastAsiaTheme="minorEastAsia"/>
                      <w:szCs w:val="21"/>
                    </w:rPr>
                  </w:pPr>
                </w:p>
              </w:tc>
              <w:tc>
                <w:tcPr>
                  <w:tcW w:w="2508" w:type="pct"/>
                  <w:vAlign w:val="center"/>
                </w:tcPr>
                <w:p w14:paraId="2ABA188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最大浓度占标率%</w:t>
                  </w:r>
                </w:p>
              </w:tc>
              <w:tc>
                <w:tcPr>
                  <w:tcW w:w="1117" w:type="pct"/>
                  <w:vAlign w:val="center"/>
                </w:tcPr>
                <w:p w14:paraId="0C9499F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28.7</w:t>
                  </w:r>
                </w:p>
              </w:tc>
            </w:tr>
          </w:tbl>
          <w:p w14:paraId="737BA0B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环境空气现状评价结果表明，区域内空气环境中TSP的最大浓度占标率均小于100%。能够满足《环境空气质量标准》（GB3095-2026）中二级标准要求，环境空气质量现状较好。</w:t>
            </w:r>
          </w:p>
          <w:p w14:paraId="0A2BA28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三、声环境</w:t>
            </w:r>
          </w:p>
          <w:p w14:paraId="188C684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根据《建设项目环境影响报告表编制技术指南（污染影响类）》（试行）的规定，厂界外50m范围内存在声环境保护目标的建设项目，应监测保护目标声环境质量现状并评价达标情况。</w:t>
            </w:r>
          </w:p>
          <w:p w14:paraId="2882590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本项目厂界外50m范围内不存在声环境保护目标，无需进行声环境质量现状评价。</w:t>
            </w:r>
          </w:p>
          <w:p w14:paraId="6F60857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四、地下水、土壤</w:t>
            </w:r>
          </w:p>
          <w:p w14:paraId="7ACA59D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中规定，地下水、土壤环境原则上不开展环境质量现状调查，建设项目存在地下水、土壤环境污染途径的，应结合污染源、保护目标分布情况开展现状调查留作背景值。</w:t>
            </w:r>
          </w:p>
          <w:p w14:paraId="7259D1D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本项目场区及厂房内部地面全部采用水泥硬化，不存在地下水、土壤环境污染途径，因此，本项目无需开展地下水、土壤环境现状调查</w:t>
            </w:r>
            <w:r>
              <w:rPr>
                <w:rFonts w:hint="eastAsia" w:asciiTheme="minorEastAsia" w:hAnsiTheme="minorEastAsia" w:eastAsiaTheme="minorEastAsia"/>
                <w:sz w:val="24"/>
                <w:szCs w:val="24"/>
              </w:rPr>
              <w:t>。</w:t>
            </w:r>
          </w:p>
          <w:p w14:paraId="7FE6E1A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、生态环境</w:t>
            </w:r>
          </w:p>
          <w:p w14:paraId="1CB917F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根据《建设项目环境影响报告表编制技术指南（污染影响类）》（试行）的规定，产业园区外建设项目新增用地且用地范围内含有生态环境保护目标时，应进行生态现状调查。</w:t>
            </w:r>
          </w:p>
          <w:p w14:paraId="79A4C573">
            <w:pPr>
              <w:spacing w:line="360" w:lineRule="auto"/>
              <w:ind w:firstLine="480" w:firstLineChars="200"/>
              <w:jc w:val="left"/>
              <w:rPr>
                <w:rFonts w:asciiTheme="minorEastAsia" w:hAnsiTheme="minorEastAsia" w:eastAsiaTheme="minorEastAsia"/>
              </w:rPr>
            </w:pPr>
            <w:r>
              <w:rPr>
                <w:rFonts w:asciiTheme="minorEastAsia" w:hAnsiTheme="minorEastAsia" w:eastAsiaTheme="minorEastAsia"/>
                <w:sz w:val="24"/>
                <w:szCs w:val="24"/>
              </w:rPr>
              <w:t>本项目建址不位于产业园区，项目用地范围内没有生态环境保护目标，根据《建设项目环境影响报告表编制技术指南（污染影响类）》（试行），本项目无需开展生态环境质量现状调查。</w:t>
            </w:r>
          </w:p>
        </w:tc>
      </w:tr>
      <w:tr w14:paraId="4DFD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67BAE35">
            <w:pPr>
              <w:jc w:val="left"/>
              <w:rPr>
                <w:rFonts w:asciiTheme="minorEastAsia" w:hAnsiTheme="minorEastAsia" w:eastAsiaTheme="minorEastAsia"/>
                <w:b/>
                <w:bCs/>
              </w:rPr>
            </w:pPr>
            <w:r>
              <w:rPr>
                <w:rFonts w:asciiTheme="minorEastAsia" w:hAnsiTheme="minorEastAsia" w:eastAsiaTheme="minorEastAsia"/>
                <w:b/>
                <w:bCs/>
              </w:rPr>
              <w:t>环境保护目标</w:t>
            </w:r>
          </w:p>
          <w:p w14:paraId="0A955D4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根据《建设项目环境影响报告表编制技术指南（污染影响类）》（试行）的规定，环境保护目标定义如下。</w:t>
            </w:r>
          </w:p>
          <w:p w14:paraId="04C2B13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1、大气环境。明确厂界外500m范围内的自然保护区、风景名胜区、居住区、文化区和农村地区中人群较集中的区域等保护目标的名称及与建设项目厂界位置关系。</w:t>
            </w:r>
          </w:p>
          <w:p w14:paraId="2BB2571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2、声环境。明确厂界外50m范围内声环境保护目标。</w:t>
            </w:r>
          </w:p>
          <w:p w14:paraId="6E18420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3、地下水环境。明确厂界外500m范围内的地下水集中式饮用水水源和热水、矿泉水、温泉等特殊地下水资源。</w:t>
            </w:r>
          </w:p>
          <w:p w14:paraId="65E2743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4、生态环境。产业园区外建设项目新增用地的，应明确新增用地范围内生态环境保护目标。</w:t>
            </w:r>
          </w:p>
          <w:p w14:paraId="47F4793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据此，根据现场踏查情况，本项目环境保护目标详见表</w:t>
            </w:r>
            <w:r>
              <w:rPr>
                <w:rFonts w:hint="eastAsia" w:asciiTheme="minorEastAsia" w:hAnsiTheme="minorEastAsia" w:eastAsiaTheme="minorEastAsia"/>
                <w:sz w:val="24"/>
                <w:szCs w:val="24"/>
              </w:rPr>
              <w:t>3-6</w:t>
            </w:r>
            <w:r>
              <w:rPr>
                <w:rFonts w:asciiTheme="minorEastAsia" w:hAnsiTheme="minorEastAsia" w:eastAsiaTheme="minorEastAsia"/>
                <w:sz w:val="24"/>
                <w:szCs w:val="24"/>
              </w:rPr>
              <w:t>。</w:t>
            </w:r>
          </w:p>
          <w:p w14:paraId="0EB15A69">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 xml:space="preserve">3-6 </w:t>
            </w:r>
            <w:r>
              <w:rPr>
                <w:rFonts w:asciiTheme="minorEastAsia" w:hAnsiTheme="minorEastAsia" w:eastAsiaTheme="minorEastAsia"/>
                <w:b/>
                <w:bCs/>
                <w:sz w:val="24"/>
                <w:szCs w:val="24"/>
              </w:rPr>
              <w:t xml:space="preserve"> 环境保护目标一览表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2"/>
              <w:gridCol w:w="996"/>
              <w:gridCol w:w="1134"/>
              <w:gridCol w:w="7"/>
              <w:gridCol w:w="1134"/>
              <w:gridCol w:w="1311"/>
              <w:gridCol w:w="1511"/>
            </w:tblGrid>
            <w:tr w14:paraId="23D10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0" w:type="pct"/>
                  <w:vAlign w:val="center"/>
                </w:tcPr>
                <w:p w14:paraId="146E2C6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环境要素</w:t>
                  </w:r>
                </w:p>
              </w:tc>
              <w:tc>
                <w:tcPr>
                  <w:tcW w:w="666" w:type="pct"/>
                  <w:vAlign w:val="center"/>
                </w:tcPr>
                <w:p w14:paraId="798CDF0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环境保护目标</w:t>
                  </w:r>
                </w:p>
              </w:tc>
              <w:tc>
                <w:tcPr>
                  <w:tcW w:w="586" w:type="pct"/>
                  <w:vAlign w:val="center"/>
                </w:tcPr>
                <w:p w14:paraId="5EEE507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保护对象</w:t>
                  </w:r>
                </w:p>
              </w:tc>
              <w:tc>
                <w:tcPr>
                  <w:tcW w:w="667" w:type="pct"/>
                  <w:vAlign w:val="center"/>
                </w:tcPr>
                <w:p w14:paraId="2CF500A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保护内容</w:t>
                  </w:r>
                </w:p>
                <w:p w14:paraId="4FEC1E0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户/人</w:t>
                  </w:r>
                </w:p>
              </w:tc>
              <w:tc>
                <w:tcPr>
                  <w:tcW w:w="671" w:type="pct"/>
                  <w:gridSpan w:val="2"/>
                  <w:vAlign w:val="center"/>
                </w:tcPr>
                <w:p w14:paraId="4B3F9AF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环境功能区</w:t>
                  </w:r>
                </w:p>
              </w:tc>
              <w:tc>
                <w:tcPr>
                  <w:tcW w:w="771" w:type="pct"/>
                  <w:vAlign w:val="center"/>
                </w:tcPr>
                <w:p w14:paraId="609D823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相对厂址方向</w:t>
                  </w:r>
                </w:p>
              </w:tc>
              <w:tc>
                <w:tcPr>
                  <w:tcW w:w="889" w:type="pct"/>
                  <w:vAlign w:val="center"/>
                </w:tcPr>
                <w:p w14:paraId="70B497C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相对厂界距离/m</w:t>
                  </w:r>
                </w:p>
              </w:tc>
            </w:tr>
            <w:tr w14:paraId="320964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50" w:type="pct"/>
                  <w:vAlign w:val="center"/>
                </w:tcPr>
                <w:p w14:paraId="6B35154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大气环境</w:t>
                  </w:r>
                </w:p>
              </w:tc>
              <w:tc>
                <w:tcPr>
                  <w:tcW w:w="666" w:type="pct"/>
                  <w:vAlign w:val="center"/>
                </w:tcPr>
                <w:p w14:paraId="176B72F0">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后山村村民</w:t>
                  </w:r>
                </w:p>
              </w:tc>
              <w:tc>
                <w:tcPr>
                  <w:tcW w:w="586" w:type="pct"/>
                  <w:vAlign w:val="center"/>
                </w:tcPr>
                <w:p w14:paraId="05F140D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居民</w:t>
                  </w:r>
                </w:p>
              </w:tc>
              <w:tc>
                <w:tcPr>
                  <w:tcW w:w="667" w:type="pct"/>
                  <w:vAlign w:val="center"/>
                </w:tcPr>
                <w:p w14:paraId="415C395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6/12</w:t>
                  </w:r>
                </w:p>
              </w:tc>
              <w:tc>
                <w:tcPr>
                  <w:tcW w:w="671" w:type="pct"/>
                  <w:gridSpan w:val="2"/>
                  <w:vAlign w:val="center"/>
                </w:tcPr>
                <w:p w14:paraId="406680C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二级</w:t>
                  </w:r>
                </w:p>
              </w:tc>
              <w:tc>
                <w:tcPr>
                  <w:tcW w:w="771" w:type="pct"/>
                  <w:vAlign w:val="center"/>
                </w:tcPr>
                <w:p w14:paraId="579F90E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西南</w:t>
                  </w:r>
                </w:p>
              </w:tc>
              <w:tc>
                <w:tcPr>
                  <w:tcW w:w="889" w:type="pct"/>
                  <w:vAlign w:val="center"/>
                </w:tcPr>
                <w:p w14:paraId="6AF7AD1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75</w:t>
                  </w:r>
                </w:p>
              </w:tc>
            </w:tr>
            <w:tr w14:paraId="03B44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0" w:type="pct"/>
                  <w:vAlign w:val="center"/>
                </w:tcPr>
                <w:p w14:paraId="6874CF4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声环境</w:t>
                  </w:r>
                </w:p>
              </w:tc>
              <w:tc>
                <w:tcPr>
                  <w:tcW w:w="4250" w:type="pct"/>
                  <w:gridSpan w:val="7"/>
                  <w:vAlign w:val="center"/>
                </w:tcPr>
                <w:p w14:paraId="60F4524A">
                  <w:pPr>
                    <w:adjustRightInd w:val="0"/>
                    <w:snapToGrid w:val="0"/>
                    <w:rPr>
                      <w:rFonts w:asciiTheme="minorEastAsia" w:hAnsiTheme="minorEastAsia" w:eastAsiaTheme="minorEastAsia"/>
                      <w:szCs w:val="21"/>
                    </w:rPr>
                  </w:pPr>
                  <w:r>
                    <w:rPr>
                      <w:rFonts w:asciiTheme="minorEastAsia" w:hAnsiTheme="minorEastAsia" w:eastAsiaTheme="minorEastAsia"/>
                      <w:szCs w:val="21"/>
                    </w:rPr>
                    <w:t>本项目厂界外50m范围内无声环境保护目标。</w:t>
                  </w:r>
                </w:p>
              </w:tc>
            </w:tr>
            <w:tr w14:paraId="36BF1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0" w:type="pct"/>
                  <w:vAlign w:val="center"/>
                </w:tcPr>
                <w:p w14:paraId="22738DF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地表水环境</w:t>
                  </w:r>
                </w:p>
              </w:tc>
              <w:tc>
                <w:tcPr>
                  <w:tcW w:w="1252" w:type="pct"/>
                  <w:gridSpan w:val="2"/>
                  <w:vAlign w:val="center"/>
                </w:tcPr>
                <w:p w14:paraId="2467CF9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浑江</w:t>
                  </w:r>
                </w:p>
              </w:tc>
              <w:tc>
                <w:tcPr>
                  <w:tcW w:w="671" w:type="pct"/>
                  <w:gridSpan w:val="2"/>
                  <w:vAlign w:val="center"/>
                </w:tcPr>
                <w:p w14:paraId="1E5C138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667" w:type="pct"/>
                  <w:vAlign w:val="center"/>
                </w:tcPr>
                <w:p w14:paraId="75A52993">
                  <w:pPr>
                    <w:adjustRightInd w:val="0"/>
                    <w:snapToGrid w:val="0"/>
                    <w:jc w:val="center"/>
                    <w:rPr>
                      <w:rFonts w:asciiTheme="minorEastAsia" w:hAnsiTheme="minorEastAsia" w:eastAsiaTheme="minorEastAsia"/>
                      <w:szCs w:val="21"/>
                    </w:rPr>
                  </w:pPr>
                  <w:r>
                    <w:rPr>
                      <w:rFonts w:hint="eastAsia" w:ascii="宋体" w:hAnsi="宋体" w:cs="宋体"/>
                      <w:bCs/>
                      <w:kern w:val="0"/>
                      <w:szCs w:val="21"/>
                    </w:rPr>
                    <w:t>Ⅲ</w:t>
                  </w:r>
                  <w:r>
                    <w:rPr>
                      <w:bCs/>
                      <w:szCs w:val="21"/>
                    </w:rPr>
                    <w:t>类</w:t>
                  </w:r>
                </w:p>
              </w:tc>
              <w:tc>
                <w:tcPr>
                  <w:tcW w:w="771" w:type="pct"/>
                  <w:vAlign w:val="center"/>
                </w:tcPr>
                <w:p w14:paraId="70BA44E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南</w:t>
                  </w:r>
                </w:p>
              </w:tc>
              <w:tc>
                <w:tcPr>
                  <w:tcW w:w="889" w:type="pct"/>
                  <w:vAlign w:val="center"/>
                </w:tcPr>
                <w:p w14:paraId="3A52DB3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880</w:t>
                  </w:r>
                </w:p>
              </w:tc>
            </w:tr>
            <w:tr w14:paraId="5C627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pct"/>
                  <w:vAlign w:val="center"/>
                </w:tcPr>
                <w:p w14:paraId="6B38545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地下水环境</w:t>
                  </w:r>
                </w:p>
              </w:tc>
              <w:tc>
                <w:tcPr>
                  <w:tcW w:w="4250" w:type="pct"/>
                  <w:gridSpan w:val="7"/>
                  <w:vAlign w:val="center"/>
                </w:tcPr>
                <w:p w14:paraId="464B6FFF">
                  <w:pPr>
                    <w:adjustRightInd w:val="0"/>
                    <w:snapToGrid w:val="0"/>
                    <w:rPr>
                      <w:rFonts w:asciiTheme="minorEastAsia" w:hAnsiTheme="minorEastAsia" w:eastAsiaTheme="minorEastAsia"/>
                      <w:szCs w:val="21"/>
                    </w:rPr>
                  </w:pPr>
                  <w:r>
                    <w:rPr>
                      <w:rFonts w:asciiTheme="minorEastAsia" w:hAnsiTheme="minorEastAsia" w:eastAsiaTheme="minorEastAsia"/>
                      <w:szCs w:val="21"/>
                    </w:rPr>
                    <w:t>本项目厂界外500m范围内无地下水集中式饮用水水源和热水、矿泉水、温泉等特殊地下水资源。</w:t>
                  </w:r>
                </w:p>
              </w:tc>
            </w:tr>
            <w:tr w14:paraId="6C0048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pct"/>
                  <w:vAlign w:val="center"/>
                </w:tcPr>
                <w:p w14:paraId="5796E1A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生态环境</w:t>
                  </w:r>
                </w:p>
              </w:tc>
              <w:tc>
                <w:tcPr>
                  <w:tcW w:w="4250" w:type="pct"/>
                  <w:gridSpan w:val="7"/>
                  <w:vAlign w:val="center"/>
                </w:tcPr>
                <w:p w14:paraId="123CCB8E">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本项目位于吉林浑江经济开发区内，不位于已有控规范围内</w:t>
                  </w:r>
                  <w:r>
                    <w:rPr>
                      <w:rFonts w:asciiTheme="minorEastAsia" w:hAnsiTheme="minorEastAsia" w:eastAsiaTheme="minorEastAsia"/>
                      <w:szCs w:val="21"/>
                    </w:rPr>
                    <w:t>，项目用地范围内没有生态环境保护目标。</w:t>
                  </w:r>
                </w:p>
              </w:tc>
            </w:tr>
          </w:tbl>
          <w:p w14:paraId="4E2A496B">
            <w:pPr>
              <w:rPr>
                <w:rFonts w:asciiTheme="minorEastAsia" w:hAnsiTheme="minorEastAsia" w:eastAsiaTheme="minorEastAsia"/>
              </w:rPr>
            </w:pPr>
          </w:p>
        </w:tc>
      </w:tr>
      <w:tr w14:paraId="701D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9D4F20F">
            <w:pPr>
              <w:jc w:val="left"/>
              <w:rPr>
                <w:rFonts w:asciiTheme="minorEastAsia" w:hAnsiTheme="minorEastAsia" w:eastAsiaTheme="minorEastAsia"/>
                <w:b/>
                <w:bCs/>
              </w:rPr>
            </w:pPr>
            <w:r>
              <w:rPr>
                <w:rFonts w:asciiTheme="minorEastAsia" w:hAnsiTheme="minorEastAsia" w:eastAsiaTheme="minorEastAsia"/>
                <w:b/>
                <w:bCs/>
              </w:rPr>
              <w:t>污染物排放控制标准</w:t>
            </w:r>
          </w:p>
          <w:p w14:paraId="668D0DE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1、噪声排放标准</w:t>
            </w:r>
          </w:p>
          <w:p w14:paraId="5EEBDE8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施工期采用《</w:t>
            </w:r>
            <w:r>
              <w:rPr>
                <w:rFonts w:hint="eastAsia" w:asciiTheme="minorEastAsia" w:hAnsiTheme="minorEastAsia" w:eastAsiaTheme="minorEastAsia"/>
                <w:sz w:val="24"/>
                <w:szCs w:val="24"/>
              </w:rPr>
              <w:t>建筑施工噪声排放标准</w:t>
            </w:r>
            <w:r>
              <w:rPr>
                <w:rFonts w:asciiTheme="minorEastAsia" w:hAnsiTheme="minorEastAsia" w:eastAsiaTheme="minorEastAsia"/>
                <w:sz w:val="24"/>
                <w:szCs w:val="24"/>
              </w:rPr>
              <w:t>》（GB12523-20</w:t>
            </w:r>
            <w:r>
              <w:rPr>
                <w:rFonts w:hint="eastAsia" w:asciiTheme="minorEastAsia" w:hAnsiTheme="minorEastAsia" w:eastAsiaTheme="minorEastAsia"/>
                <w:sz w:val="24"/>
                <w:szCs w:val="24"/>
              </w:rPr>
              <w:t>25</w:t>
            </w:r>
            <w:r>
              <w:rPr>
                <w:rFonts w:asciiTheme="minorEastAsia" w:hAnsiTheme="minorEastAsia" w:eastAsiaTheme="minorEastAsia"/>
                <w:sz w:val="24"/>
                <w:szCs w:val="24"/>
              </w:rPr>
              <w:t>）进行评价。详见表</w:t>
            </w:r>
            <w:r>
              <w:rPr>
                <w:rFonts w:hint="eastAsia" w:asciiTheme="minorEastAsia" w:hAnsiTheme="minorEastAsia" w:eastAsiaTheme="minorEastAsia"/>
                <w:sz w:val="24"/>
                <w:szCs w:val="24"/>
              </w:rPr>
              <w:t>3-7</w:t>
            </w:r>
            <w:r>
              <w:rPr>
                <w:rFonts w:asciiTheme="minorEastAsia" w:hAnsiTheme="minorEastAsia" w:eastAsiaTheme="minorEastAsia"/>
                <w:sz w:val="24"/>
                <w:szCs w:val="24"/>
              </w:rPr>
              <w:t>。</w:t>
            </w:r>
          </w:p>
          <w:p w14:paraId="7B290615">
            <w:pPr>
              <w:spacing w:line="360" w:lineRule="auto"/>
              <w:ind w:firstLine="480" w:firstLineChars="200"/>
              <w:rPr>
                <w:rFonts w:ascii="宋体" w:hAnsi="宋体"/>
                <w:sz w:val="24"/>
              </w:rPr>
            </w:pPr>
            <w:r>
              <w:rPr>
                <w:rFonts w:hint="eastAsia" w:asciiTheme="minorEastAsia" w:hAnsiTheme="minorEastAsia" w:eastAsiaTheme="minorEastAsia"/>
                <w:sz w:val="24"/>
                <w:szCs w:val="24"/>
              </w:rPr>
              <w:t>本项目位于白山市浑江区胜利煤业厂区内，</w:t>
            </w:r>
            <w:r>
              <w:rPr>
                <w:rFonts w:ascii="宋体" w:hAnsi="宋体"/>
                <w:sz w:val="24"/>
              </w:rPr>
              <w:t>根据《</w:t>
            </w:r>
            <w:r>
              <w:rPr>
                <w:rFonts w:hint="eastAsia" w:ascii="宋体" w:hAnsi="宋体"/>
                <w:sz w:val="24"/>
              </w:rPr>
              <w:t>白山市</w:t>
            </w:r>
            <w:r>
              <w:rPr>
                <w:rFonts w:ascii="宋体" w:hAnsi="宋体"/>
                <w:sz w:val="24"/>
              </w:rPr>
              <w:t>声环境功能区划分技术报告》，</w:t>
            </w:r>
            <w:r>
              <w:rPr>
                <w:rFonts w:hint="eastAsia" w:ascii="宋体" w:hAnsi="宋体"/>
                <w:sz w:val="24"/>
              </w:rPr>
              <w:t>本项目所在区域执行《工业企业厂界环境噪声排放标准》（GB12348-2008）中3类标准</w:t>
            </w:r>
          </w:p>
          <w:p w14:paraId="373D8508">
            <w:pPr>
              <w:spacing w:line="360" w:lineRule="auto"/>
              <w:ind w:firstLine="480" w:firstLineChars="200"/>
              <w:rPr>
                <w:rFonts w:asciiTheme="minorEastAsia" w:hAnsiTheme="minorEastAsia" w:eastAsiaTheme="minorEastAsia"/>
                <w:sz w:val="24"/>
                <w:szCs w:val="24"/>
              </w:rPr>
            </w:pPr>
          </w:p>
          <w:p w14:paraId="2E2179A1">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3-7</w:t>
            </w:r>
            <w:r>
              <w:rPr>
                <w:rFonts w:asciiTheme="minorEastAsia" w:hAnsiTheme="minorEastAsia" w:eastAsiaTheme="minorEastAsia"/>
                <w:b/>
                <w:bCs/>
                <w:sz w:val="24"/>
                <w:szCs w:val="24"/>
              </w:rPr>
              <w:t xml:space="preserve">  建筑施工场界环境噪声排放标准限值</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834"/>
              <w:gridCol w:w="2834"/>
            </w:tblGrid>
            <w:tr w14:paraId="0D15D4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pct"/>
                </w:tcPr>
                <w:p w14:paraId="341D8C1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昼间</w:t>
                  </w:r>
                </w:p>
              </w:tc>
              <w:tc>
                <w:tcPr>
                  <w:tcW w:w="1666" w:type="pct"/>
                </w:tcPr>
                <w:p w14:paraId="11C8119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夜间</w:t>
                  </w:r>
                </w:p>
              </w:tc>
              <w:tc>
                <w:tcPr>
                  <w:tcW w:w="1666" w:type="pct"/>
                </w:tcPr>
                <w:p w14:paraId="2E642A2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标准来源</w:t>
                  </w:r>
                </w:p>
              </w:tc>
            </w:tr>
            <w:tr w14:paraId="5C1DE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Pr>
                <w:p w14:paraId="37CBF7F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70dB（A）</w:t>
                  </w:r>
                </w:p>
              </w:tc>
              <w:tc>
                <w:tcPr>
                  <w:tcW w:w="1666" w:type="pct"/>
                </w:tcPr>
                <w:p w14:paraId="6F2AF83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55dB（A）</w:t>
                  </w:r>
                </w:p>
              </w:tc>
              <w:tc>
                <w:tcPr>
                  <w:tcW w:w="1666" w:type="pct"/>
                </w:tcPr>
                <w:p w14:paraId="4A2D220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GB12523-20</w:t>
                  </w:r>
                  <w:r>
                    <w:rPr>
                      <w:rFonts w:hint="eastAsia" w:asciiTheme="minorEastAsia" w:hAnsiTheme="minorEastAsia" w:eastAsiaTheme="minorEastAsia"/>
                      <w:szCs w:val="21"/>
                    </w:rPr>
                    <w:t>25</w:t>
                  </w:r>
                </w:p>
              </w:tc>
            </w:tr>
          </w:tbl>
          <w:p w14:paraId="7831F182">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3-8</w:t>
            </w:r>
            <w:r>
              <w:rPr>
                <w:rFonts w:asciiTheme="minorEastAsia" w:hAnsiTheme="minorEastAsia" w:eastAsiaTheme="minorEastAsia"/>
                <w:b/>
                <w:bCs/>
                <w:sz w:val="24"/>
                <w:szCs w:val="24"/>
              </w:rPr>
              <w:t xml:space="preserve">  工业企业厂界环境噪声排放标准</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924"/>
              <w:gridCol w:w="2100"/>
              <w:gridCol w:w="2975"/>
            </w:tblGrid>
            <w:tr w14:paraId="617EE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4" w:type="pct"/>
                  <w:vMerge w:val="restart"/>
                  <w:vAlign w:val="center"/>
                </w:tcPr>
                <w:p w14:paraId="0B9DE48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类  别</w:t>
                  </w:r>
                </w:p>
              </w:tc>
              <w:tc>
                <w:tcPr>
                  <w:tcW w:w="2366" w:type="pct"/>
                  <w:gridSpan w:val="2"/>
                  <w:vAlign w:val="center"/>
                </w:tcPr>
                <w:p w14:paraId="3D33AA3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标  准  值</w:t>
                  </w:r>
                </w:p>
              </w:tc>
              <w:tc>
                <w:tcPr>
                  <w:tcW w:w="1748" w:type="pct"/>
                  <w:vMerge w:val="restart"/>
                  <w:vAlign w:val="center"/>
                </w:tcPr>
                <w:p w14:paraId="04DDA07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标准来源</w:t>
                  </w:r>
                </w:p>
              </w:tc>
            </w:tr>
            <w:tr w14:paraId="73CB3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84" w:type="pct"/>
                  <w:vMerge w:val="continue"/>
                  <w:vAlign w:val="center"/>
                </w:tcPr>
                <w:p w14:paraId="3777FEAD">
                  <w:pPr>
                    <w:adjustRightInd w:val="0"/>
                    <w:snapToGrid w:val="0"/>
                    <w:jc w:val="center"/>
                    <w:rPr>
                      <w:rFonts w:asciiTheme="minorEastAsia" w:hAnsiTheme="minorEastAsia" w:eastAsiaTheme="minorEastAsia"/>
                      <w:szCs w:val="21"/>
                    </w:rPr>
                  </w:pPr>
                </w:p>
              </w:tc>
              <w:tc>
                <w:tcPr>
                  <w:tcW w:w="1131" w:type="pct"/>
                  <w:vAlign w:val="center"/>
                </w:tcPr>
                <w:p w14:paraId="4FB3EE2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昼  间</w:t>
                  </w:r>
                </w:p>
              </w:tc>
              <w:tc>
                <w:tcPr>
                  <w:tcW w:w="1235" w:type="pct"/>
                  <w:vAlign w:val="center"/>
                </w:tcPr>
                <w:p w14:paraId="6BF23E1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夜  间</w:t>
                  </w:r>
                </w:p>
              </w:tc>
              <w:tc>
                <w:tcPr>
                  <w:tcW w:w="1748" w:type="pct"/>
                  <w:vMerge w:val="continue"/>
                  <w:vAlign w:val="center"/>
                </w:tcPr>
                <w:p w14:paraId="5F14DEE7">
                  <w:pPr>
                    <w:adjustRightInd w:val="0"/>
                    <w:snapToGrid w:val="0"/>
                    <w:jc w:val="center"/>
                    <w:rPr>
                      <w:rFonts w:asciiTheme="minorEastAsia" w:hAnsiTheme="minorEastAsia" w:eastAsiaTheme="minorEastAsia"/>
                      <w:szCs w:val="21"/>
                    </w:rPr>
                  </w:pPr>
                </w:p>
              </w:tc>
            </w:tr>
            <w:tr w14:paraId="2A5F7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48DF862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类</w:t>
                  </w:r>
                </w:p>
              </w:tc>
              <w:tc>
                <w:tcPr>
                  <w:tcW w:w="1131" w:type="pct"/>
                  <w:vAlign w:val="center"/>
                </w:tcPr>
                <w:p w14:paraId="7F5EF20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5</w:t>
                  </w:r>
                  <w:r>
                    <w:rPr>
                      <w:rFonts w:asciiTheme="minorEastAsia" w:hAnsiTheme="minorEastAsia" w:eastAsiaTheme="minorEastAsia"/>
                      <w:szCs w:val="21"/>
                    </w:rPr>
                    <w:t>dB（A）</w:t>
                  </w:r>
                </w:p>
              </w:tc>
              <w:tc>
                <w:tcPr>
                  <w:tcW w:w="1235" w:type="pct"/>
                  <w:vAlign w:val="center"/>
                </w:tcPr>
                <w:p w14:paraId="20BC86E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5</w:t>
                  </w:r>
                  <w:r>
                    <w:rPr>
                      <w:rFonts w:asciiTheme="minorEastAsia" w:hAnsiTheme="minorEastAsia" w:eastAsiaTheme="minorEastAsia"/>
                      <w:szCs w:val="21"/>
                    </w:rPr>
                    <w:t>dB（A）</w:t>
                  </w:r>
                </w:p>
              </w:tc>
              <w:tc>
                <w:tcPr>
                  <w:tcW w:w="1748" w:type="pct"/>
                  <w:vAlign w:val="center"/>
                </w:tcPr>
                <w:p w14:paraId="56EC1AF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GB12348-2008</w:t>
                  </w:r>
                </w:p>
              </w:tc>
            </w:tr>
          </w:tbl>
          <w:p w14:paraId="2EAD14C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2、废气污染物排放标准</w:t>
            </w:r>
          </w:p>
          <w:p w14:paraId="0A5368A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（1）有组织废气</w:t>
            </w:r>
          </w:p>
          <w:p w14:paraId="57ADBE2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本项目有组织废气颗粒物排放标准执行《大气污染物综合排放标准》（GB16297-1996）中的二级标准要求，详见表</w:t>
            </w:r>
            <w:r>
              <w:rPr>
                <w:rFonts w:hint="eastAsia" w:asciiTheme="minorEastAsia" w:hAnsiTheme="minorEastAsia" w:eastAsiaTheme="minorEastAsia"/>
                <w:sz w:val="24"/>
                <w:szCs w:val="24"/>
              </w:rPr>
              <w:t>3-9</w:t>
            </w:r>
            <w:r>
              <w:rPr>
                <w:rFonts w:asciiTheme="minorEastAsia" w:hAnsiTheme="minorEastAsia" w:eastAsiaTheme="minorEastAsia"/>
                <w:sz w:val="24"/>
                <w:szCs w:val="24"/>
              </w:rPr>
              <w:t>。</w:t>
            </w:r>
          </w:p>
          <w:p w14:paraId="6F8E0EC3">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3-9</w:t>
            </w:r>
            <w:r>
              <w:rPr>
                <w:rFonts w:asciiTheme="minorEastAsia" w:hAnsiTheme="minorEastAsia" w:eastAsiaTheme="minorEastAsia"/>
                <w:b/>
                <w:bCs/>
                <w:sz w:val="24"/>
                <w:szCs w:val="24"/>
              </w:rPr>
              <w:t xml:space="preserve"> 《大气污染物综合排放标准》（GB16297-1996）</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23"/>
              <w:gridCol w:w="3156"/>
            </w:tblGrid>
            <w:tr w14:paraId="59712A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1" w:type="pct"/>
                  <w:vMerge w:val="restart"/>
                  <w:tcBorders>
                    <w:top w:val="single" w:color="auto" w:sz="12" w:space="0"/>
                  </w:tcBorders>
                  <w:vAlign w:val="center"/>
                </w:tcPr>
                <w:p w14:paraId="3888990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w:t>
                  </w:r>
                </w:p>
              </w:tc>
              <w:tc>
                <w:tcPr>
                  <w:tcW w:w="3928" w:type="pct"/>
                  <w:gridSpan w:val="2"/>
                  <w:tcBorders>
                    <w:top w:val="single" w:color="auto" w:sz="12" w:space="0"/>
                  </w:tcBorders>
                  <w:vAlign w:val="center"/>
                </w:tcPr>
                <w:p w14:paraId="7364638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二级，15m高排气筒</w:t>
                  </w:r>
                </w:p>
              </w:tc>
            </w:tr>
            <w:tr w14:paraId="53841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1" w:type="pct"/>
                  <w:vMerge w:val="continue"/>
                  <w:vAlign w:val="center"/>
                </w:tcPr>
                <w:p w14:paraId="52123FAC">
                  <w:pPr>
                    <w:adjustRightInd w:val="0"/>
                    <w:snapToGrid w:val="0"/>
                    <w:jc w:val="center"/>
                    <w:rPr>
                      <w:rFonts w:asciiTheme="minorEastAsia" w:hAnsiTheme="minorEastAsia" w:eastAsiaTheme="minorEastAsia"/>
                      <w:szCs w:val="21"/>
                    </w:rPr>
                  </w:pPr>
                </w:p>
              </w:tc>
              <w:tc>
                <w:tcPr>
                  <w:tcW w:w="2072" w:type="pct"/>
                  <w:vAlign w:val="center"/>
                </w:tcPr>
                <w:p w14:paraId="46A0EDD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排放浓度（mg/m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856" w:type="pct"/>
                  <w:vAlign w:val="center"/>
                </w:tcPr>
                <w:p w14:paraId="79B2715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排放速率（kg/h）</w:t>
                  </w:r>
                </w:p>
              </w:tc>
            </w:tr>
            <w:tr w14:paraId="0336C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1" w:type="pct"/>
                  <w:vAlign w:val="center"/>
                </w:tcPr>
                <w:p w14:paraId="1CD9122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颗粒物</w:t>
                  </w:r>
                </w:p>
              </w:tc>
              <w:tc>
                <w:tcPr>
                  <w:tcW w:w="2072" w:type="pct"/>
                  <w:vAlign w:val="center"/>
                </w:tcPr>
                <w:p w14:paraId="5475F2E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120</w:t>
                  </w:r>
                </w:p>
              </w:tc>
              <w:tc>
                <w:tcPr>
                  <w:tcW w:w="1856" w:type="pct"/>
                  <w:vAlign w:val="center"/>
                </w:tcPr>
                <w:p w14:paraId="086D591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3.5</w:t>
                  </w:r>
                </w:p>
              </w:tc>
            </w:tr>
          </w:tbl>
          <w:p w14:paraId="2F0BCF1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（2）无组织废气</w:t>
            </w:r>
          </w:p>
          <w:p w14:paraId="4E9E65B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本项目厂界无组织废气颗粒物排放标准执行《大气污染物综合排放标准》（GB16297-1996）中无组织排放监控浓度限值要求，详见表</w:t>
            </w:r>
            <w:r>
              <w:rPr>
                <w:rFonts w:hint="eastAsia" w:asciiTheme="minorEastAsia" w:hAnsiTheme="minorEastAsia" w:eastAsiaTheme="minorEastAsia"/>
                <w:sz w:val="24"/>
                <w:szCs w:val="24"/>
              </w:rPr>
              <w:t>3-10</w:t>
            </w:r>
            <w:r>
              <w:rPr>
                <w:rFonts w:asciiTheme="minorEastAsia" w:hAnsiTheme="minorEastAsia" w:eastAsiaTheme="minorEastAsia"/>
                <w:sz w:val="24"/>
                <w:szCs w:val="24"/>
              </w:rPr>
              <w:t>。</w:t>
            </w:r>
          </w:p>
          <w:p w14:paraId="7B4CE876">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3-10</w:t>
            </w:r>
            <w:r>
              <w:rPr>
                <w:rFonts w:asciiTheme="minorEastAsia" w:hAnsiTheme="minorEastAsia" w:eastAsiaTheme="minorEastAsia"/>
                <w:b/>
                <w:bCs/>
                <w:sz w:val="24"/>
                <w:szCs w:val="24"/>
              </w:rPr>
              <w:t xml:space="preserve">  《大气污染物综合排放标准》（GB16297-1996）</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785"/>
              <w:gridCol w:w="3252"/>
              <w:gridCol w:w="2263"/>
            </w:tblGrid>
            <w:tr w14:paraId="459AF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6" w:type="pct"/>
                  <w:vMerge w:val="restart"/>
                  <w:tcBorders>
                    <w:tl2br w:val="nil"/>
                    <w:tr2bl w:val="nil"/>
                  </w:tcBorders>
                  <w:vAlign w:val="center"/>
                </w:tcPr>
                <w:p w14:paraId="6ABE67D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w:t>
                  </w:r>
                </w:p>
              </w:tc>
              <w:tc>
                <w:tcPr>
                  <w:tcW w:w="2963" w:type="pct"/>
                  <w:gridSpan w:val="2"/>
                  <w:tcBorders>
                    <w:tl2br w:val="nil"/>
                    <w:tr2bl w:val="nil"/>
                  </w:tcBorders>
                  <w:vAlign w:val="center"/>
                </w:tcPr>
                <w:p w14:paraId="7579648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无组织排放浓度监控限值</w:t>
                  </w:r>
                </w:p>
              </w:tc>
              <w:tc>
                <w:tcPr>
                  <w:tcW w:w="1332" w:type="pct"/>
                  <w:tcBorders>
                    <w:tl2br w:val="nil"/>
                    <w:tr2bl w:val="nil"/>
                  </w:tcBorders>
                  <w:vAlign w:val="center"/>
                </w:tcPr>
                <w:p w14:paraId="4F1C965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无组织排放监控位置</w:t>
                  </w:r>
                </w:p>
              </w:tc>
            </w:tr>
            <w:tr w14:paraId="4F6F3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6" w:type="pct"/>
                  <w:vMerge w:val="continue"/>
                  <w:tcBorders>
                    <w:tl2br w:val="nil"/>
                    <w:tr2bl w:val="nil"/>
                  </w:tcBorders>
                  <w:vAlign w:val="center"/>
                </w:tcPr>
                <w:p w14:paraId="5BB6E67A">
                  <w:pPr>
                    <w:adjustRightInd w:val="0"/>
                    <w:snapToGrid w:val="0"/>
                    <w:jc w:val="center"/>
                    <w:rPr>
                      <w:rFonts w:asciiTheme="minorEastAsia" w:hAnsiTheme="minorEastAsia" w:eastAsiaTheme="minorEastAsia"/>
                      <w:szCs w:val="21"/>
                    </w:rPr>
                  </w:pPr>
                </w:p>
              </w:tc>
              <w:tc>
                <w:tcPr>
                  <w:tcW w:w="1050" w:type="pct"/>
                  <w:tcBorders>
                    <w:tl2br w:val="nil"/>
                    <w:tr2bl w:val="nil"/>
                  </w:tcBorders>
                  <w:vAlign w:val="center"/>
                </w:tcPr>
                <w:p w14:paraId="4EDB512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监控点</w:t>
                  </w:r>
                </w:p>
              </w:tc>
              <w:tc>
                <w:tcPr>
                  <w:tcW w:w="1912" w:type="pct"/>
                  <w:tcBorders>
                    <w:tl2br w:val="nil"/>
                    <w:tr2bl w:val="nil"/>
                  </w:tcBorders>
                  <w:vAlign w:val="center"/>
                </w:tcPr>
                <w:p w14:paraId="78164ED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浓度（mg/m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332" w:type="pct"/>
                  <w:vMerge w:val="restart"/>
                  <w:tcBorders>
                    <w:tl2br w:val="nil"/>
                    <w:tr2bl w:val="nil"/>
                  </w:tcBorders>
                  <w:vAlign w:val="center"/>
                </w:tcPr>
                <w:p w14:paraId="131981F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厂界外10m范围内</w:t>
                  </w:r>
                </w:p>
                <w:p w14:paraId="78374DB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下风向设4个监控点</w:t>
                  </w:r>
                </w:p>
              </w:tc>
            </w:tr>
            <w:tr w14:paraId="6E0FF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06" w:type="pct"/>
                  <w:tcBorders>
                    <w:tl2br w:val="nil"/>
                    <w:tr2bl w:val="nil"/>
                  </w:tcBorders>
                  <w:vAlign w:val="center"/>
                </w:tcPr>
                <w:p w14:paraId="577438B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颗粒物</w:t>
                  </w:r>
                </w:p>
              </w:tc>
              <w:tc>
                <w:tcPr>
                  <w:tcW w:w="1050" w:type="pct"/>
                  <w:tcBorders>
                    <w:tl2br w:val="nil"/>
                    <w:tr2bl w:val="nil"/>
                  </w:tcBorders>
                  <w:shd w:val="clear" w:color="auto" w:fill="auto"/>
                  <w:vAlign w:val="center"/>
                </w:tcPr>
                <w:p w14:paraId="44C0078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周界外浓度最高点</w:t>
                  </w:r>
                </w:p>
              </w:tc>
              <w:tc>
                <w:tcPr>
                  <w:tcW w:w="1912" w:type="pct"/>
                  <w:tcBorders>
                    <w:tl2br w:val="nil"/>
                    <w:tr2bl w:val="nil"/>
                  </w:tcBorders>
                  <w:shd w:val="clear" w:color="auto" w:fill="auto"/>
                  <w:vAlign w:val="center"/>
                </w:tcPr>
                <w:p w14:paraId="3CA1FC6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1.0</w:t>
                  </w:r>
                </w:p>
              </w:tc>
              <w:tc>
                <w:tcPr>
                  <w:tcW w:w="1332" w:type="pct"/>
                  <w:vMerge w:val="continue"/>
                  <w:tcBorders>
                    <w:tl2br w:val="nil"/>
                    <w:tr2bl w:val="nil"/>
                  </w:tcBorders>
                  <w:vAlign w:val="center"/>
                </w:tcPr>
                <w:p w14:paraId="73E9D24B">
                  <w:pPr>
                    <w:adjustRightInd w:val="0"/>
                    <w:snapToGrid w:val="0"/>
                    <w:jc w:val="center"/>
                    <w:rPr>
                      <w:sz w:val="18"/>
                      <w:szCs w:val="18"/>
                    </w:rPr>
                  </w:pPr>
                </w:p>
              </w:tc>
            </w:tr>
          </w:tbl>
          <w:p w14:paraId="12C42A9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、固体废物</w:t>
            </w:r>
          </w:p>
          <w:p w14:paraId="51BF5E00">
            <w:pPr>
              <w:spacing w:line="360" w:lineRule="auto"/>
              <w:ind w:firstLine="480" w:firstLineChars="200"/>
              <w:jc w:val="left"/>
              <w:rPr>
                <w:rFonts w:asciiTheme="minorEastAsia" w:hAnsiTheme="minorEastAsia" w:eastAsiaTheme="minorEastAsia"/>
                <w:sz w:val="24"/>
                <w:szCs w:val="24"/>
              </w:rPr>
            </w:pPr>
            <w:r>
              <w:rPr>
                <w:rFonts w:hint="eastAsia"/>
                <w:sz w:val="24"/>
              </w:rPr>
              <w:t>本项目运营期一般固体废物执行《一般工业固体废物贮存和填埋污染控制标准》(GB18599-2020)中的有关标准。</w:t>
            </w:r>
          </w:p>
        </w:tc>
      </w:tr>
      <w:tr w14:paraId="3911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6" w:hRule="atLeast"/>
        </w:trPr>
        <w:tc>
          <w:tcPr>
            <w:tcW w:w="5000" w:type="pct"/>
          </w:tcPr>
          <w:p w14:paraId="15AB627B">
            <w:pPr>
              <w:spacing w:line="360" w:lineRule="auto"/>
              <w:jc w:val="left"/>
              <w:rPr>
                <w:rFonts w:asciiTheme="minorEastAsia" w:hAnsiTheme="minorEastAsia" w:eastAsiaTheme="minorEastAsia"/>
                <w:b/>
                <w:bCs/>
              </w:rPr>
            </w:pPr>
            <w:r>
              <w:rPr>
                <w:rFonts w:asciiTheme="minorEastAsia" w:hAnsiTheme="minorEastAsia" w:eastAsiaTheme="minorEastAsia"/>
                <w:b/>
                <w:bCs/>
              </w:rPr>
              <w:t>总量控制指标</w:t>
            </w:r>
          </w:p>
          <w:p w14:paraId="47E67A0C">
            <w:pPr>
              <w:wordWrap w:val="0"/>
              <w:spacing w:line="360" w:lineRule="auto"/>
              <w:ind w:firstLine="480" w:firstLineChars="20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rPr>
              <w:t>吉林省生态环境厅《关于进一步明确建设项目主要污染物排放总量审核有关事宜的复函》指出“按照行业排污绩效，将建设项目污染物排放总量分为重点行业排放管理、一般行业排放管理和其他行业排放管理三类管理方式。执行重点行业排放管理的建设项目包括石化、煤化工、燃煤发电、钢铁、有色金属冶炼、建材、造纸制浆、印染、集中供热等行业含有按照《排污许可证申请与核发技术规范》确定的主要排放口的涉及新增污染物排放的建设项目。执行一般行业排放管理的建设项目包括除重点行业外、含有按照《排污许可证申请与核发技术规范》确定的主要排放口的涉及新增污染物排放的建设项目。执行其他行业排放管理的建设项目包括除重点行业外、仅含有按照《排污许可证申请与核发技术规范》确定的一般排放口或无排污口的建设项目” 本项目为执行其他行业排放管理的建设项目，其他行业因排污量很少或基本不新增排污量，在环评审批过程中予以豁免主要污染物总量审核。各级环评审批部门应自行建立统计台账，纳入环境管理。故本项目无需申请主要污染物质量控制指标</w:t>
            </w:r>
            <w:r>
              <w:rPr>
                <w:rFonts w:asciiTheme="minorEastAsia" w:hAnsiTheme="minorEastAsia" w:eastAsiaTheme="minorEastAsia"/>
              </w:rPr>
              <w:t>。</w:t>
            </w:r>
          </w:p>
        </w:tc>
      </w:tr>
    </w:tbl>
    <w:p w14:paraId="184B9F9C">
      <w:pPr>
        <w:pStyle w:val="2"/>
        <w:keepLines w:val="0"/>
        <w:spacing w:before="0" w:after="0" w:line="240" w:lineRule="auto"/>
        <w:ind w:firstLine="148" w:firstLineChars="49"/>
        <w:jc w:val="center"/>
        <w:rPr>
          <w:rFonts w:asciiTheme="minorEastAsia" w:hAnsiTheme="minorEastAsia" w:eastAsiaTheme="minorEastAsia"/>
          <w:bCs w:val="0"/>
          <w:kern w:val="2"/>
          <w:sz w:val="30"/>
          <w:szCs w:val="20"/>
        </w:rPr>
      </w:pPr>
      <w:bookmarkStart w:id="13" w:name="_Toc3005"/>
      <w:r>
        <w:rPr>
          <w:rFonts w:asciiTheme="minorEastAsia" w:hAnsiTheme="minorEastAsia" w:eastAsiaTheme="minorEastAsia"/>
          <w:snapToGrid w:val="0"/>
          <w:sz w:val="30"/>
          <w:szCs w:val="30"/>
        </w:rPr>
        <w:t>四、主要环境影响和保护措施</w:t>
      </w:r>
      <w:bookmarkEnd w:id="13"/>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869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64379B9">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施工期环境保护措施</w:t>
            </w:r>
          </w:p>
          <w:p w14:paraId="21660BA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租赁现有闲置厂房进行建设，不涉及新增占地和大型土建工程。施工期主要活动为厂房内部适应性改造（如地面硬化修补、隔断设置）、设备基础施工、生产及环保设备的安装与调试。施工规模较小，周期较短（预计1个月）。施工期产生的环境影响主要为扬尘、废水、噪声和固体废物，且随施工结束而消失。为最大限度减少施工期对环境的影响，提出以下环境保护措施。</w:t>
            </w:r>
          </w:p>
          <w:p w14:paraId="76E2096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一、施工期废气污染防治措施</w:t>
            </w:r>
          </w:p>
          <w:p w14:paraId="195DECC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施工期废气主要来源于厂房内部清理、设备基础施工产生的少量扬尘，以及施工机械和运输车辆产生的燃油尾气。</w:t>
            </w:r>
          </w:p>
          <w:p w14:paraId="10BC439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1、施工扬尘控制</w:t>
            </w:r>
          </w:p>
          <w:p w14:paraId="152BAB0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封闭作业：厂房内部改造及设备安装均在现有建筑物内进行，利用厂房墙体作为天然屏障，可有效阻隔施工扬尘向外扩散。</w:t>
            </w:r>
          </w:p>
          <w:p w14:paraId="536132B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洒水降尘：在设备基础开挖、物料装卸等易产生扬尘的作业点，采用移动式洒水设备进行洒水降尘，保持作业面湿润。干燥、大风天气应加密洒水频次。</w:t>
            </w:r>
          </w:p>
          <w:p w14:paraId="11AC3B8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物料遮盖：施工过程中临时堆存的砂石、水泥等散装物料，应使用密目防尘网进行覆盖。水泥等细颗粒物料应采用密闭袋装，严禁露天堆放。</w:t>
            </w:r>
          </w:p>
          <w:p w14:paraId="7DD46E1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运输管理：运输建筑垃圾、土方及散装物料的车辆，必须采取密闭运输或加盖篷布，严禁超载。车辆出场前应对轮胎进行清扫，避免带泥上路。</w:t>
            </w:r>
          </w:p>
          <w:p w14:paraId="709262A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2、施工机械尾气控制</w:t>
            </w:r>
          </w:p>
          <w:p w14:paraId="53F75DF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选用符合国家排放标准的施工机械和运输车辆，使用合格的燃油。加强对机械设备的维护保养，确保其处于良好运行状态，减少尾气污染物排放。</w:t>
            </w:r>
          </w:p>
          <w:p w14:paraId="350670D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二、施工期废水污染防治措施</w:t>
            </w:r>
          </w:p>
          <w:p w14:paraId="4244C8B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施工期废水主要为施工人员生活污水和设备清洗水。</w:t>
            </w:r>
          </w:p>
          <w:p w14:paraId="4481CD8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1、施工废水处理</w:t>
            </w:r>
          </w:p>
          <w:p w14:paraId="5A3363D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设备清洗水等施工废水，水量较小，可经临时沉淀桶沉淀处理后，上清液回用于施工场地洒水降尘，不外排。</w:t>
            </w:r>
          </w:p>
          <w:p w14:paraId="13514FB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2、生活污水处理</w:t>
            </w:r>
          </w:p>
          <w:p w14:paraId="7AF71CC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施工人员生活污水依托厂区内现有已建成的防渗旱厕，</w:t>
            </w:r>
            <w:r>
              <w:rPr>
                <w:rFonts w:hint="eastAsia" w:asciiTheme="minorEastAsia" w:hAnsiTheme="minorEastAsia" w:eastAsiaTheme="minorEastAsia"/>
                <w:sz w:val="24"/>
                <w:szCs w:val="24"/>
              </w:rPr>
              <w:t>定期委托环卫部门清掏</w:t>
            </w:r>
            <w:r>
              <w:rPr>
                <w:rFonts w:asciiTheme="minorEastAsia" w:hAnsiTheme="minorEastAsia" w:eastAsiaTheme="minorEastAsia"/>
                <w:sz w:val="24"/>
                <w:szCs w:val="24"/>
              </w:rPr>
              <w:t>，严禁直接排放。</w:t>
            </w:r>
          </w:p>
          <w:p w14:paraId="1524EF1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、施工期噪声污染防治措施</w:t>
            </w:r>
          </w:p>
          <w:p w14:paraId="43B16E7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施工期噪声主要来源于电钻、切割机、电焊机等设备安装工具及运输车辆。</w:t>
            </w:r>
          </w:p>
          <w:p w14:paraId="62E4BFB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1、设备选型与管理</w:t>
            </w:r>
          </w:p>
          <w:p w14:paraId="4D95663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优先选用低噪声、低振动的施工机械设备，并定期维护，避免因设备老化产生额外噪声。</w:t>
            </w:r>
          </w:p>
          <w:p w14:paraId="5D970F2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2、施工时间控制</w:t>
            </w:r>
          </w:p>
          <w:p w14:paraId="5EF1E05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合理安排施工时间，严禁在夜间（22:00至次日6:00）及午间休息时段（12:00至14:00）进行高噪声作业。如因工艺需要必须连续作业的，应提前向当地生态环境主管部门申报，获批准后方可施工，并公告附近居民。</w:t>
            </w:r>
          </w:p>
          <w:p w14:paraId="0DAE970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3、隔声减震</w:t>
            </w:r>
          </w:p>
          <w:p w14:paraId="5015884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对固定的高噪声设备（如风机、空压机等）采取基础减振措施，并尽量布置在室内或远离厂界的位置。车辆进入施工区后应减速慢行，严禁鸣笛。</w:t>
            </w:r>
          </w:p>
          <w:p w14:paraId="34DDB43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、施工期固体废物污染防治措施</w:t>
            </w:r>
          </w:p>
          <w:p w14:paraId="761F0C7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施工期固体废物主要为建筑垃圾（废包装材料、废混凝土块等）和施工人员生活垃圾。</w:t>
            </w:r>
          </w:p>
          <w:p w14:paraId="4F2416D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1、建筑垃圾处置</w:t>
            </w:r>
          </w:p>
          <w:p w14:paraId="38C5A59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分类收集：对施工产生的废包装材料、废混凝土块等实行分类收集。</w:t>
            </w:r>
          </w:p>
          <w:p w14:paraId="66DBC3C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合理利用：废混凝土块经破碎后可考虑作为场地平整或临时道路垫层材料，实现废物减量化。</w:t>
            </w:r>
          </w:p>
          <w:p w14:paraId="6DE66AB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规范清运：不可回用的建筑垃圾（如废包装材料等）应集中堆放，及时清运至当地住建部门指定的建筑垃圾消纳场所，严禁随意倾倒或混入生活垃圾。</w:t>
            </w:r>
          </w:p>
          <w:p w14:paraId="37FFA8E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2、生活垃圾处置</w:t>
            </w:r>
          </w:p>
          <w:p w14:paraId="290B0B0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在施工人员集中活动区域设置临时垃圾桶，生活垃圾实行袋装化收集，依托厂区现有垃圾箱，由当地环卫部门定期清运处理，日产日清。</w:t>
            </w:r>
          </w:p>
          <w:p w14:paraId="7257976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、施工期环境管理要求</w:t>
            </w:r>
          </w:p>
          <w:p w14:paraId="0B5681C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宣传教育：施工前应对施工人员进行环境保护宣传教育，提高环保意识，明确各项环保措施的要求和责任。</w:t>
            </w:r>
          </w:p>
          <w:p w14:paraId="4E108BF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监督检查：建设单位应设专人对施工期环保措施的落实情况进行监督检查，确保各项措施执行到位。对发现的问题及时整改。</w:t>
            </w:r>
          </w:p>
          <w:p w14:paraId="6FA12FEE">
            <w:pPr>
              <w:spacing w:line="360" w:lineRule="auto"/>
              <w:ind w:firstLine="480" w:firstLineChars="200"/>
              <w:jc w:val="left"/>
              <w:rPr>
                <w:rFonts w:asciiTheme="minorEastAsia" w:hAnsiTheme="minorEastAsia" w:eastAsiaTheme="minorEastAsia"/>
              </w:rPr>
            </w:pPr>
            <w:r>
              <w:rPr>
                <w:rFonts w:asciiTheme="minorEastAsia" w:hAnsiTheme="minorEastAsia" w:eastAsiaTheme="minorEastAsia"/>
                <w:sz w:val="24"/>
                <w:szCs w:val="24"/>
              </w:rPr>
              <w:t>通过以上措施的实施，可将本项目施工期对周围环境的影响降至最低。由于施工期短暂，且均在现有厂区内进行，上述影响将随施工结束而完全消失。</w:t>
            </w:r>
          </w:p>
        </w:tc>
      </w:tr>
    </w:tbl>
    <w:p w14:paraId="0D06D3F6">
      <w:pPr>
        <w:spacing w:line="360" w:lineRule="auto"/>
        <w:jc w:val="left"/>
        <w:rPr>
          <w:rFonts w:asciiTheme="minorEastAsia" w:hAnsiTheme="minorEastAsia" w:eastAsiaTheme="minorEastAsia"/>
          <w:b/>
          <w:bCs/>
          <w:sz w:val="24"/>
          <w:szCs w:val="24"/>
        </w:rPr>
        <w:sectPr>
          <w:pgSz w:w="11906" w:h="16838"/>
          <w:pgMar w:top="1701" w:right="1701" w:bottom="1701" w:left="1701" w:header="851" w:footer="992" w:gutter="0"/>
          <w:cols w:space="0" w:num="1"/>
          <w:docGrid w:type="lines" w:linePitch="312" w:charSpace="0"/>
        </w:sect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2946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1" w:hRule="atLeast"/>
        </w:trPr>
        <w:tc>
          <w:tcPr>
            <w:tcW w:w="5000" w:type="pct"/>
          </w:tcPr>
          <w:p w14:paraId="312644AF">
            <w:pPr>
              <w:spacing w:line="360" w:lineRule="auto"/>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运营期环境影响和保护措施</w:t>
            </w:r>
          </w:p>
          <w:p w14:paraId="2E0ED9A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一、废水</w:t>
            </w:r>
          </w:p>
          <w:p w14:paraId="5406DF9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1、源强核算</w:t>
            </w:r>
          </w:p>
          <w:p w14:paraId="7E24859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根据前文分析，本项目废水主要为生活污水、初期雨水以及洗车废水。</w:t>
            </w:r>
          </w:p>
          <w:p w14:paraId="2A21966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其中</w:t>
            </w:r>
            <w:r>
              <w:rPr>
                <w:rFonts w:asciiTheme="minorEastAsia" w:hAnsiTheme="minorEastAsia" w:eastAsiaTheme="minorEastAsia"/>
                <w:sz w:val="24"/>
                <w:szCs w:val="24"/>
              </w:rPr>
              <w:t>生活污水量为</w:t>
            </w:r>
            <w:r>
              <w:rPr>
                <w:rFonts w:hint="eastAsia" w:asciiTheme="minorEastAsia" w:hAnsiTheme="minorEastAsia" w:eastAsiaTheme="minorEastAsia"/>
                <w:sz w:val="24"/>
                <w:szCs w:val="24"/>
              </w:rPr>
              <w:t>45</w:t>
            </w:r>
            <w:r>
              <w:rPr>
                <w:rFonts w:asciiTheme="minorEastAsia" w:hAnsiTheme="minorEastAsia" w:eastAsiaTheme="minorEastAsia"/>
                <w:sz w:val="24"/>
                <w:szCs w:val="24"/>
              </w:rPr>
              <w:t>t/a。</w:t>
            </w:r>
            <w:r>
              <w:rPr>
                <w:rFonts w:asciiTheme="minorEastAsia" w:hAnsiTheme="minorEastAsia" w:eastAsiaTheme="minorEastAsia"/>
                <w:sz w:val="24"/>
                <w:szCs w:val="24"/>
                <w:lang w:val="zh-CN"/>
              </w:rPr>
              <w:t>本项目生活污水产生情况详见表</w:t>
            </w:r>
            <w:r>
              <w:rPr>
                <w:rFonts w:hint="eastAsia" w:asciiTheme="minorEastAsia" w:hAnsiTheme="minorEastAsia" w:eastAsiaTheme="minorEastAsia"/>
                <w:sz w:val="24"/>
                <w:szCs w:val="24"/>
              </w:rPr>
              <w:t>4-1</w:t>
            </w:r>
            <w:r>
              <w:rPr>
                <w:rFonts w:asciiTheme="minorEastAsia" w:hAnsiTheme="minorEastAsia" w:eastAsiaTheme="minorEastAsia"/>
                <w:sz w:val="24"/>
                <w:szCs w:val="24"/>
              </w:rPr>
              <w:t>。</w:t>
            </w:r>
          </w:p>
          <w:p w14:paraId="4E97E3DD">
            <w:pPr>
              <w:spacing w:line="360" w:lineRule="auto"/>
              <w:jc w:val="center"/>
              <w:rPr>
                <w:rFonts w:asciiTheme="minorEastAsia" w:hAnsiTheme="minorEastAsia" w:eastAsiaTheme="minorEastAsia"/>
                <w:b/>
                <w:bCs/>
                <w:sz w:val="24"/>
                <w:szCs w:val="24"/>
                <w:lang w:val="zh-CN"/>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4-1</w:t>
            </w:r>
            <w:r>
              <w:rPr>
                <w:rFonts w:asciiTheme="minorEastAsia" w:hAnsiTheme="minorEastAsia" w:eastAsiaTheme="minorEastAsia"/>
                <w:b/>
                <w:bCs/>
                <w:sz w:val="24"/>
                <w:szCs w:val="24"/>
              </w:rPr>
              <w:t xml:space="preserve">  </w:t>
            </w:r>
            <w:r>
              <w:rPr>
                <w:rFonts w:asciiTheme="minorEastAsia" w:hAnsiTheme="minorEastAsia" w:eastAsiaTheme="minorEastAsia"/>
                <w:b/>
                <w:bCs/>
                <w:sz w:val="24"/>
                <w:szCs w:val="24"/>
                <w:lang w:val="zh-CN"/>
              </w:rPr>
              <w:t>本项目废水产生情况一览表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927"/>
              <w:gridCol w:w="568"/>
              <w:gridCol w:w="707"/>
              <w:gridCol w:w="570"/>
              <w:gridCol w:w="706"/>
              <w:gridCol w:w="852"/>
              <w:gridCol w:w="991"/>
              <w:gridCol w:w="991"/>
              <w:gridCol w:w="1132"/>
            </w:tblGrid>
            <w:tr w14:paraId="795C5A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restart"/>
                  <w:vAlign w:val="center"/>
                </w:tcPr>
                <w:p w14:paraId="2B495239">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废水类型</w:t>
                  </w:r>
                </w:p>
              </w:tc>
              <w:tc>
                <w:tcPr>
                  <w:tcW w:w="545" w:type="pct"/>
                  <w:vMerge w:val="restart"/>
                  <w:vAlign w:val="center"/>
                </w:tcPr>
                <w:p w14:paraId="2F550AD7">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废水量</w:t>
                  </w:r>
                </w:p>
                <w:p w14:paraId="19C3E594">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t/a</w:t>
                  </w:r>
                </w:p>
              </w:tc>
              <w:tc>
                <w:tcPr>
                  <w:tcW w:w="1500" w:type="pct"/>
                  <w:gridSpan w:val="4"/>
                  <w:vAlign w:val="center"/>
                </w:tcPr>
                <w:p w14:paraId="210419D4">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污染物产生浓度mg/L</w:t>
                  </w:r>
                </w:p>
              </w:tc>
              <w:tc>
                <w:tcPr>
                  <w:tcW w:w="2333" w:type="pct"/>
                  <w:gridSpan w:val="4"/>
                  <w:vAlign w:val="center"/>
                </w:tcPr>
                <w:p w14:paraId="647AF2F3">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污染物产生量t/a</w:t>
                  </w:r>
                </w:p>
              </w:tc>
            </w:tr>
            <w:tr w14:paraId="0B767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Merge w:val="continue"/>
                  <w:vAlign w:val="center"/>
                </w:tcPr>
                <w:p w14:paraId="6FB64BB9">
                  <w:pPr>
                    <w:adjustRightInd w:val="0"/>
                    <w:snapToGrid w:val="0"/>
                    <w:jc w:val="center"/>
                    <w:rPr>
                      <w:rFonts w:asciiTheme="minorEastAsia" w:hAnsiTheme="minorEastAsia" w:eastAsiaTheme="minorEastAsia"/>
                      <w:szCs w:val="21"/>
                      <w:lang w:eastAsia="zh-TW"/>
                    </w:rPr>
                  </w:pPr>
                </w:p>
              </w:tc>
              <w:tc>
                <w:tcPr>
                  <w:tcW w:w="545" w:type="pct"/>
                  <w:vMerge w:val="continue"/>
                  <w:vAlign w:val="center"/>
                </w:tcPr>
                <w:p w14:paraId="6956A5EA">
                  <w:pPr>
                    <w:adjustRightInd w:val="0"/>
                    <w:snapToGrid w:val="0"/>
                    <w:jc w:val="center"/>
                    <w:rPr>
                      <w:rFonts w:asciiTheme="minorEastAsia" w:hAnsiTheme="minorEastAsia" w:eastAsiaTheme="minorEastAsia"/>
                      <w:szCs w:val="21"/>
                      <w:lang w:eastAsia="zh-TW"/>
                    </w:rPr>
                  </w:pPr>
                </w:p>
              </w:tc>
              <w:tc>
                <w:tcPr>
                  <w:tcW w:w="334" w:type="pct"/>
                  <w:vAlign w:val="center"/>
                </w:tcPr>
                <w:p w14:paraId="2FE9A902">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COD</w:t>
                  </w:r>
                </w:p>
              </w:tc>
              <w:tc>
                <w:tcPr>
                  <w:tcW w:w="416" w:type="pct"/>
                  <w:vAlign w:val="center"/>
                </w:tcPr>
                <w:p w14:paraId="55AF8745">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BOD</w:t>
                  </w:r>
                  <w:r>
                    <w:rPr>
                      <w:rFonts w:asciiTheme="minorEastAsia" w:hAnsiTheme="minorEastAsia" w:eastAsiaTheme="minorEastAsia"/>
                      <w:szCs w:val="21"/>
                      <w:vertAlign w:val="subscript"/>
                      <w:lang w:eastAsia="zh-TW"/>
                    </w:rPr>
                    <w:t>5</w:t>
                  </w:r>
                </w:p>
              </w:tc>
              <w:tc>
                <w:tcPr>
                  <w:tcW w:w="335" w:type="pct"/>
                  <w:vAlign w:val="center"/>
                </w:tcPr>
                <w:p w14:paraId="78BC1981">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SS</w:t>
                  </w:r>
                </w:p>
              </w:tc>
              <w:tc>
                <w:tcPr>
                  <w:tcW w:w="415" w:type="pct"/>
                  <w:vAlign w:val="center"/>
                </w:tcPr>
                <w:p w14:paraId="2418A9D0">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NH</w:t>
                  </w:r>
                  <w:r>
                    <w:rPr>
                      <w:rFonts w:asciiTheme="minorEastAsia" w:hAnsiTheme="minorEastAsia" w:eastAsiaTheme="minorEastAsia"/>
                      <w:szCs w:val="21"/>
                      <w:vertAlign w:val="subscript"/>
                      <w:lang w:eastAsia="zh-TW"/>
                    </w:rPr>
                    <w:t>3</w:t>
                  </w:r>
                  <w:r>
                    <w:rPr>
                      <w:rFonts w:asciiTheme="minorEastAsia" w:hAnsiTheme="minorEastAsia" w:eastAsiaTheme="minorEastAsia"/>
                      <w:szCs w:val="21"/>
                      <w:lang w:eastAsia="zh-TW"/>
                    </w:rPr>
                    <w:t>-N</w:t>
                  </w:r>
                </w:p>
              </w:tc>
              <w:tc>
                <w:tcPr>
                  <w:tcW w:w="501" w:type="pct"/>
                  <w:vAlign w:val="center"/>
                </w:tcPr>
                <w:p w14:paraId="09459E37">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COD</w:t>
                  </w:r>
                </w:p>
              </w:tc>
              <w:tc>
                <w:tcPr>
                  <w:tcW w:w="583" w:type="pct"/>
                  <w:vAlign w:val="center"/>
                </w:tcPr>
                <w:p w14:paraId="1E076083">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BOD</w:t>
                  </w:r>
                  <w:r>
                    <w:rPr>
                      <w:rFonts w:asciiTheme="minorEastAsia" w:hAnsiTheme="minorEastAsia" w:eastAsiaTheme="minorEastAsia"/>
                      <w:szCs w:val="21"/>
                      <w:vertAlign w:val="subscript"/>
                      <w:lang w:eastAsia="zh-TW"/>
                    </w:rPr>
                    <w:t>5</w:t>
                  </w:r>
                </w:p>
              </w:tc>
              <w:tc>
                <w:tcPr>
                  <w:tcW w:w="583" w:type="pct"/>
                  <w:vAlign w:val="center"/>
                </w:tcPr>
                <w:p w14:paraId="4EEC4AD8">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SS</w:t>
                  </w:r>
                </w:p>
              </w:tc>
              <w:tc>
                <w:tcPr>
                  <w:tcW w:w="666" w:type="pct"/>
                  <w:vAlign w:val="center"/>
                </w:tcPr>
                <w:p w14:paraId="246B9600">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NH</w:t>
                  </w:r>
                  <w:r>
                    <w:rPr>
                      <w:rFonts w:asciiTheme="minorEastAsia" w:hAnsiTheme="minorEastAsia" w:eastAsiaTheme="minorEastAsia"/>
                      <w:szCs w:val="21"/>
                      <w:vertAlign w:val="subscript"/>
                      <w:lang w:eastAsia="zh-TW"/>
                    </w:rPr>
                    <w:t>3</w:t>
                  </w:r>
                  <w:r>
                    <w:rPr>
                      <w:rFonts w:asciiTheme="minorEastAsia" w:hAnsiTheme="minorEastAsia" w:eastAsiaTheme="minorEastAsia"/>
                      <w:szCs w:val="21"/>
                      <w:lang w:eastAsia="zh-TW"/>
                    </w:rPr>
                    <w:t>-N</w:t>
                  </w:r>
                </w:p>
              </w:tc>
            </w:tr>
            <w:tr w14:paraId="4DF253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0204651D">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生活污水</w:t>
                  </w:r>
                </w:p>
              </w:tc>
              <w:tc>
                <w:tcPr>
                  <w:tcW w:w="545" w:type="pct"/>
                  <w:vAlign w:val="center"/>
                </w:tcPr>
                <w:p w14:paraId="71AA27C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45</w:t>
                  </w:r>
                </w:p>
              </w:tc>
              <w:tc>
                <w:tcPr>
                  <w:tcW w:w="334" w:type="pct"/>
                  <w:vAlign w:val="center"/>
                </w:tcPr>
                <w:p w14:paraId="0125A2C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250</w:t>
                  </w:r>
                </w:p>
              </w:tc>
              <w:tc>
                <w:tcPr>
                  <w:tcW w:w="416" w:type="pct"/>
                  <w:vAlign w:val="center"/>
                </w:tcPr>
                <w:p w14:paraId="64B6791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200</w:t>
                  </w:r>
                </w:p>
              </w:tc>
              <w:tc>
                <w:tcPr>
                  <w:tcW w:w="335" w:type="pct"/>
                  <w:vAlign w:val="center"/>
                </w:tcPr>
                <w:p w14:paraId="7B4F303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150</w:t>
                  </w:r>
                </w:p>
              </w:tc>
              <w:tc>
                <w:tcPr>
                  <w:tcW w:w="415" w:type="pct"/>
                  <w:vAlign w:val="center"/>
                </w:tcPr>
                <w:p w14:paraId="08BDCE3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30</w:t>
                  </w:r>
                </w:p>
              </w:tc>
              <w:tc>
                <w:tcPr>
                  <w:tcW w:w="501" w:type="pct"/>
                  <w:vAlign w:val="center"/>
                </w:tcPr>
                <w:p w14:paraId="2D53891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0.0113</w:t>
                  </w:r>
                </w:p>
              </w:tc>
              <w:tc>
                <w:tcPr>
                  <w:tcW w:w="583" w:type="pct"/>
                  <w:vAlign w:val="center"/>
                </w:tcPr>
                <w:p w14:paraId="7229EFC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0.0090</w:t>
                  </w:r>
                </w:p>
              </w:tc>
              <w:tc>
                <w:tcPr>
                  <w:tcW w:w="583" w:type="pct"/>
                  <w:vAlign w:val="center"/>
                </w:tcPr>
                <w:p w14:paraId="249C90C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0.0068</w:t>
                  </w:r>
                </w:p>
              </w:tc>
              <w:tc>
                <w:tcPr>
                  <w:tcW w:w="666" w:type="pct"/>
                  <w:vAlign w:val="center"/>
                </w:tcPr>
                <w:p w14:paraId="5EAFD3B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0.0014</w:t>
                  </w:r>
                </w:p>
              </w:tc>
            </w:tr>
            <w:tr w14:paraId="3E344C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54D77488">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初期雨水</w:t>
                  </w:r>
                </w:p>
              </w:tc>
              <w:tc>
                <w:tcPr>
                  <w:tcW w:w="545" w:type="pct"/>
                  <w:vAlign w:val="center"/>
                </w:tcPr>
                <w:p w14:paraId="2C9950A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2700</w:t>
                  </w:r>
                </w:p>
              </w:tc>
              <w:tc>
                <w:tcPr>
                  <w:tcW w:w="334" w:type="pct"/>
                  <w:vAlign w:val="center"/>
                </w:tcPr>
                <w:p w14:paraId="3D8AAD4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416" w:type="pct"/>
                  <w:vAlign w:val="center"/>
                </w:tcPr>
                <w:p w14:paraId="4A1DDF8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335" w:type="pct"/>
                  <w:vAlign w:val="center"/>
                </w:tcPr>
                <w:p w14:paraId="33B3BEF0">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415" w:type="pct"/>
                  <w:vAlign w:val="center"/>
                </w:tcPr>
                <w:p w14:paraId="52E4BA5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01" w:type="pct"/>
                  <w:vAlign w:val="center"/>
                </w:tcPr>
                <w:p w14:paraId="56A047C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0.27</w:t>
                  </w:r>
                </w:p>
              </w:tc>
              <w:tc>
                <w:tcPr>
                  <w:tcW w:w="583" w:type="pct"/>
                  <w:vAlign w:val="center"/>
                </w:tcPr>
                <w:p w14:paraId="2570E5F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0.135</w:t>
                  </w:r>
                </w:p>
              </w:tc>
              <w:tc>
                <w:tcPr>
                  <w:tcW w:w="583" w:type="pct"/>
                  <w:vAlign w:val="center"/>
                </w:tcPr>
                <w:p w14:paraId="1388D48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0.27</w:t>
                  </w:r>
                </w:p>
              </w:tc>
              <w:tc>
                <w:tcPr>
                  <w:tcW w:w="666" w:type="pct"/>
                  <w:vAlign w:val="center"/>
                </w:tcPr>
                <w:p w14:paraId="75F34B9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0.0135</w:t>
                  </w:r>
                </w:p>
              </w:tc>
            </w:tr>
            <w:tr w14:paraId="1D6C09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01FB2421">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洗车废水</w:t>
                  </w:r>
                </w:p>
              </w:tc>
              <w:tc>
                <w:tcPr>
                  <w:tcW w:w="545" w:type="pct"/>
                  <w:vAlign w:val="center"/>
                </w:tcPr>
                <w:p w14:paraId="40E592C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405</w:t>
                  </w:r>
                </w:p>
              </w:tc>
              <w:tc>
                <w:tcPr>
                  <w:tcW w:w="334" w:type="pct"/>
                  <w:vAlign w:val="center"/>
                </w:tcPr>
                <w:p w14:paraId="2DF2C77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416" w:type="pct"/>
                  <w:vAlign w:val="center"/>
                </w:tcPr>
                <w:p w14:paraId="10552A1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150</w:t>
                  </w:r>
                </w:p>
              </w:tc>
              <w:tc>
                <w:tcPr>
                  <w:tcW w:w="335" w:type="pct"/>
                  <w:vAlign w:val="center"/>
                </w:tcPr>
                <w:p w14:paraId="1A3907D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500</w:t>
                  </w:r>
                </w:p>
              </w:tc>
              <w:tc>
                <w:tcPr>
                  <w:tcW w:w="415" w:type="pct"/>
                  <w:vAlign w:val="center"/>
                </w:tcPr>
                <w:p w14:paraId="5EDF1057">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501" w:type="pct"/>
                  <w:vAlign w:val="center"/>
                </w:tcPr>
                <w:p w14:paraId="70877AB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0.0405</w:t>
                  </w:r>
                </w:p>
              </w:tc>
              <w:tc>
                <w:tcPr>
                  <w:tcW w:w="583" w:type="pct"/>
                  <w:vAlign w:val="center"/>
                </w:tcPr>
                <w:p w14:paraId="567B6FB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0.06075</w:t>
                  </w:r>
                </w:p>
              </w:tc>
              <w:tc>
                <w:tcPr>
                  <w:tcW w:w="583" w:type="pct"/>
                  <w:vAlign w:val="center"/>
                </w:tcPr>
                <w:p w14:paraId="132D43C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0.2025</w:t>
                  </w:r>
                </w:p>
              </w:tc>
              <w:tc>
                <w:tcPr>
                  <w:tcW w:w="666" w:type="pct"/>
                  <w:vAlign w:val="center"/>
                </w:tcPr>
                <w:p w14:paraId="6B8C02F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0.006075</w:t>
                  </w:r>
                </w:p>
              </w:tc>
            </w:tr>
          </w:tbl>
          <w:p w14:paraId="70D6AD4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2、治理措施及效果</w:t>
            </w:r>
          </w:p>
          <w:p w14:paraId="343FD9F9">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本项目生活污水排入防渗旱厕</w:t>
            </w:r>
            <w:r>
              <w:rPr>
                <w:rFonts w:hint="eastAsia" w:asciiTheme="minorEastAsia" w:hAnsiTheme="minorEastAsia" w:eastAsiaTheme="minorEastAsia"/>
                <w:sz w:val="24"/>
                <w:szCs w:val="24"/>
                <w:u w:val="single"/>
              </w:rPr>
              <w:t>定期委托环卫部门清掏，初期雨水及洗车废水经三级沉淀池沉淀后上清液用于厂区降尘，不排放</w:t>
            </w:r>
            <w:r>
              <w:rPr>
                <w:rFonts w:asciiTheme="minorEastAsia" w:hAnsiTheme="minorEastAsia" w:eastAsiaTheme="minorEastAsia"/>
                <w:sz w:val="24"/>
                <w:szCs w:val="24"/>
                <w:u w:val="single"/>
              </w:rPr>
              <w:t>。</w:t>
            </w:r>
          </w:p>
          <w:p w14:paraId="7C2A64F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3、可行技术</w:t>
            </w:r>
          </w:p>
          <w:p w14:paraId="4A9E5BC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由于本项目所在位置位于农村地区，根据《东北地区农村生活污水处理技术指南（试行）》，本项目生活污水处理措施属于东北地区农村生活污水可行处理技术。</w:t>
            </w:r>
            <w:r>
              <w:rPr>
                <w:rFonts w:hint="eastAsia" w:asciiTheme="minorEastAsia" w:hAnsiTheme="minorEastAsia" w:eastAsiaTheme="minorEastAsia"/>
                <w:sz w:val="24"/>
                <w:szCs w:val="24"/>
              </w:rPr>
              <w:t>参考《排污许可证申请与核发技术规范 陶瓷砖瓦工业》—循环回用、综合利用—生产过程废水处理的可行技术为“均质、絮凝、沉淀”，本项目初期雨水及洗车废水通过三级沉淀池处理后用于厂区降尘，为可行技术。</w:t>
            </w:r>
          </w:p>
          <w:p w14:paraId="3335C539">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4、监测要求</w:t>
            </w:r>
          </w:p>
          <w:p w14:paraId="5EC8080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本项目无生产废水排放，参照《排污单位自行监测技术指南 总则》（HJ819-2017）中的相关内容，故不提出监测要求。</w:t>
            </w:r>
          </w:p>
          <w:p w14:paraId="0C880F2D">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二、废气</w:t>
            </w:r>
          </w:p>
          <w:p w14:paraId="14F6FBB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1、有组织废气</w:t>
            </w:r>
            <w:r>
              <w:rPr>
                <w:rFonts w:asciiTheme="minorEastAsia" w:hAnsiTheme="minorEastAsia" w:eastAsiaTheme="minorEastAsia"/>
                <w:sz w:val="24"/>
                <w:szCs w:val="24"/>
              </w:rPr>
              <w:t xml:space="preserve"> </w:t>
            </w:r>
          </w:p>
          <w:p w14:paraId="2EDA9AE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（1）源强核算</w:t>
            </w:r>
          </w:p>
          <w:p w14:paraId="6926EFB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u w:val="single"/>
              </w:rPr>
              <w:t>本项目破碎厂房内设置有直线给料机、锤式破碎机、振动筛、皮带输送机，源强核算系数采用</w:t>
            </w:r>
            <w:r>
              <w:rPr>
                <w:rFonts w:hint="eastAsia" w:asciiTheme="minorEastAsia" w:hAnsiTheme="minorEastAsia" w:eastAsiaTheme="minorEastAsia"/>
                <w:sz w:val="24"/>
                <w:szCs w:val="24"/>
                <w:u w:val="single"/>
              </w:rPr>
              <w:t>国家推荐的、用于环境统计和环评的标准化核算方法，具有权威性和普遍适用性的</w:t>
            </w:r>
            <w:r>
              <w:rPr>
                <w:rFonts w:asciiTheme="minorEastAsia" w:hAnsiTheme="minorEastAsia" w:eastAsiaTheme="minorEastAsia"/>
                <w:sz w:val="24"/>
                <w:szCs w:val="24"/>
                <w:u w:val="single"/>
              </w:rPr>
              <w:t>《排放源统计调查产排污核算方法和系数手册》进行计算。</w:t>
            </w:r>
            <w:r>
              <w:rPr>
                <w:rFonts w:asciiTheme="minorEastAsia" w:hAnsiTheme="minorEastAsia" w:eastAsiaTheme="minorEastAsia"/>
                <w:sz w:val="24"/>
                <w:szCs w:val="24"/>
              </w:rPr>
              <w:t>根据《排放源统计调查产排污核算方法和系数手册》中&lt;303 砖瓦、石材等建筑材料制造行业系数手册&gt;中“3039 其他建筑材料制造行业”，工艺名称为“破碎、筛分”，废气产生量为1215标立方米/吨-产品，颗粒物产生量为1.89千克/吨-产品</w:t>
            </w:r>
            <w:r>
              <w:rPr>
                <w:rFonts w:hint="eastAsia" w:asciiTheme="minorEastAsia" w:hAnsiTheme="minorEastAsia" w:eastAsiaTheme="minorEastAsia"/>
                <w:sz w:val="24"/>
                <w:szCs w:val="24"/>
              </w:rPr>
              <w:t>。</w:t>
            </w:r>
          </w:p>
          <w:p w14:paraId="2D0C105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根据前文，</w:t>
            </w: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产品年产量合计为30万t</w:t>
            </w:r>
            <w:r>
              <w:rPr>
                <w:rFonts w:asciiTheme="minorEastAsia" w:hAnsiTheme="minorEastAsia" w:eastAsiaTheme="minorEastAsia"/>
                <w:sz w:val="24"/>
                <w:szCs w:val="24"/>
              </w:rPr>
              <w:t>，</w:t>
            </w:r>
            <w:r>
              <w:rPr>
                <w:rFonts w:hint="eastAsia" w:asciiTheme="minorEastAsia" w:hAnsiTheme="minorEastAsia" w:eastAsiaTheme="minorEastAsia"/>
                <w:sz w:val="24"/>
                <w:szCs w:val="24"/>
              </w:rPr>
              <w:t>经计算，本项目破碎</w:t>
            </w:r>
            <w:r>
              <w:rPr>
                <w:rFonts w:asciiTheme="minorEastAsia" w:hAnsiTheme="minorEastAsia" w:eastAsiaTheme="minorEastAsia"/>
                <w:sz w:val="24"/>
                <w:szCs w:val="24"/>
              </w:rPr>
              <w:t>废气产生量364500000m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/a，颗粒物产生量为</w:t>
            </w:r>
            <w:r>
              <w:rPr>
                <w:rFonts w:hint="eastAsia" w:asciiTheme="minorEastAsia" w:hAnsiTheme="minorEastAsia" w:eastAsiaTheme="minorEastAsia"/>
                <w:sz w:val="24"/>
                <w:szCs w:val="24"/>
              </w:rPr>
              <w:t>567</w:t>
            </w:r>
            <w:r>
              <w:rPr>
                <w:rFonts w:asciiTheme="minorEastAsia" w:hAnsiTheme="minorEastAsia" w:eastAsiaTheme="minorEastAsia"/>
                <w:sz w:val="24"/>
                <w:szCs w:val="24"/>
              </w:rPr>
              <w:t>t/a。</w:t>
            </w:r>
          </w:p>
          <w:p w14:paraId="37664D8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（2）治理措施及效果</w:t>
            </w:r>
          </w:p>
          <w:p w14:paraId="7700A97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破碎厂房采用密闭设计，破碎筛分设备上连接集气罩（集气效率</w:t>
            </w:r>
            <w:r>
              <w:rPr>
                <w:rFonts w:hint="eastAsia" w:asciiTheme="minorEastAsia" w:hAnsiTheme="minorEastAsia" w:eastAsiaTheme="minorEastAsia"/>
                <w:sz w:val="24"/>
                <w:szCs w:val="24"/>
              </w:rPr>
              <w:t>9</w:t>
            </w:r>
            <w:r>
              <w:rPr>
                <w:rFonts w:asciiTheme="minorEastAsia" w:hAnsiTheme="minorEastAsia" w:eastAsiaTheme="minorEastAsia"/>
                <w:sz w:val="24"/>
                <w:szCs w:val="24"/>
              </w:rPr>
              <w:t>0%），通过风机（</w:t>
            </w:r>
            <w:r>
              <w:rPr>
                <w:rFonts w:hint="eastAsia" w:asciiTheme="minorEastAsia" w:hAnsiTheme="minorEastAsia" w:eastAsiaTheme="minorEastAsia"/>
                <w:sz w:val="24"/>
                <w:szCs w:val="24"/>
              </w:rPr>
              <w:t>40</w:t>
            </w:r>
            <w:r>
              <w:rPr>
                <w:rFonts w:asciiTheme="minorEastAsia" w:hAnsiTheme="minorEastAsia" w:eastAsiaTheme="minorEastAsia"/>
                <w:sz w:val="24"/>
                <w:szCs w:val="24"/>
              </w:rPr>
              <w:t>000m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/h）收集至布袋除尘器（去除效率99%）去除颗粒物，最终通过15m高，内径0.3m排气筒排放。经计算，本项目</w:t>
            </w:r>
            <w:r>
              <w:rPr>
                <w:rFonts w:hint="eastAsia" w:asciiTheme="minorEastAsia" w:hAnsiTheme="minorEastAsia" w:eastAsiaTheme="minorEastAsia"/>
                <w:sz w:val="24"/>
                <w:szCs w:val="24"/>
              </w:rPr>
              <w:t>有组织</w:t>
            </w:r>
            <w:r>
              <w:rPr>
                <w:rFonts w:asciiTheme="minorEastAsia" w:hAnsiTheme="minorEastAsia" w:eastAsiaTheme="minorEastAsia"/>
                <w:sz w:val="24"/>
                <w:szCs w:val="24"/>
              </w:rPr>
              <w:t>废气产生量为</w:t>
            </w:r>
            <w:r>
              <w:rPr>
                <w:rFonts w:hint="eastAsia" w:asciiTheme="minorEastAsia" w:hAnsiTheme="minorEastAsia" w:eastAsiaTheme="minorEastAsia"/>
                <w:sz w:val="24"/>
                <w:szCs w:val="24"/>
              </w:rPr>
              <w:t>510.3t/a，产生浓度为1400</w:t>
            </w:r>
            <w:r>
              <w:rPr>
                <w:rFonts w:asciiTheme="minorEastAsia" w:hAnsiTheme="minorEastAsia" w:eastAsiaTheme="minorEastAsia"/>
                <w:sz w:val="24"/>
                <w:szCs w:val="24"/>
              </w:rPr>
              <w:t>mg/m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，产生速率为（</w:t>
            </w:r>
            <w:r>
              <w:rPr>
                <w:rFonts w:hint="eastAsia" w:asciiTheme="minorEastAsia" w:hAnsiTheme="minorEastAsia" w:eastAsiaTheme="minorEastAsia"/>
                <w:sz w:val="24"/>
                <w:szCs w:val="24"/>
              </w:rPr>
              <w:t>150d*10h=1500h</w:t>
            </w:r>
            <w:r>
              <w:rPr>
                <w:rFonts w:asciiTheme="minorEastAsia" w:hAnsiTheme="minorEastAsia" w:eastAsiaTheme="minorEastAsia"/>
                <w:sz w:val="24"/>
                <w:szCs w:val="24"/>
              </w:rPr>
              <w:t>）</w:t>
            </w:r>
            <w:r>
              <w:rPr>
                <w:rFonts w:hint="eastAsia" w:asciiTheme="minorEastAsia" w:hAnsiTheme="minorEastAsia" w:eastAsiaTheme="minorEastAsia"/>
                <w:sz w:val="24"/>
                <w:szCs w:val="24"/>
              </w:rPr>
              <w:t>340.2kg/h。</w:t>
            </w:r>
            <w:r>
              <w:rPr>
                <w:rFonts w:asciiTheme="minorEastAsia" w:hAnsiTheme="minorEastAsia" w:eastAsiaTheme="minorEastAsia"/>
                <w:sz w:val="24"/>
                <w:szCs w:val="24"/>
              </w:rPr>
              <w:t>经布袋除尘器处理后，颗粒物排放量为</w:t>
            </w:r>
            <w:r>
              <w:rPr>
                <w:rFonts w:hint="eastAsia" w:asciiTheme="minorEastAsia" w:hAnsiTheme="minorEastAsia" w:eastAsiaTheme="minorEastAsia"/>
                <w:sz w:val="24"/>
                <w:szCs w:val="24"/>
              </w:rPr>
              <w:t>5.103</w:t>
            </w:r>
            <w:r>
              <w:rPr>
                <w:rFonts w:asciiTheme="minorEastAsia" w:hAnsiTheme="minorEastAsia" w:eastAsiaTheme="minorEastAsia"/>
                <w:sz w:val="24"/>
                <w:szCs w:val="24"/>
              </w:rPr>
              <w:t>t/a，排放速率为</w:t>
            </w:r>
            <w:r>
              <w:rPr>
                <w:rFonts w:hint="eastAsia" w:asciiTheme="minorEastAsia" w:hAnsiTheme="minorEastAsia" w:eastAsiaTheme="minorEastAsia"/>
                <w:sz w:val="24"/>
                <w:szCs w:val="24"/>
              </w:rPr>
              <w:t>3.402</w:t>
            </w:r>
            <w:r>
              <w:rPr>
                <w:rFonts w:asciiTheme="minorEastAsia" w:hAnsiTheme="minorEastAsia" w:eastAsiaTheme="minorEastAsia"/>
                <w:sz w:val="24"/>
                <w:szCs w:val="24"/>
              </w:rPr>
              <w:t>kg/h，排放浓度为</w:t>
            </w:r>
            <w:r>
              <w:rPr>
                <w:rFonts w:hint="eastAsia" w:asciiTheme="minorEastAsia" w:hAnsiTheme="minorEastAsia" w:eastAsiaTheme="minorEastAsia"/>
                <w:sz w:val="24"/>
                <w:szCs w:val="24"/>
              </w:rPr>
              <w:t>14</w:t>
            </w:r>
            <w:r>
              <w:rPr>
                <w:rFonts w:asciiTheme="minorEastAsia" w:hAnsiTheme="minorEastAsia" w:eastAsiaTheme="minorEastAsia"/>
                <w:sz w:val="24"/>
                <w:szCs w:val="24"/>
              </w:rPr>
              <w:t>mg/m</w:t>
            </w:r>
            <w:r>
              <w:rPr>
                <w:rFonts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满足《大气污染物综合排放标准》（GB16297-1996）相关限值要求。</w:t>
            </w:r>
          </w:p>
          <w:p w14:paraId="378CE84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（3）可行技术相符性分析</w:t>
            </w:r>
          </w:p>
          <w:p w14:paraId="058262CF">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根据</w:t>
            </w:r>
            <w:r>
              <w:rPr>
                <w:rFonts w:hint="eastAsia" w:asciiTheme="minorEastAsia" w:hAnsiTheme="minorEastAsia" w:eastAsiaTheme="minorEastAsia"/>
                <w:sz w:val="24"/>
                <w:szCs w:val="24"/>
                <w:u w:val="single"/>
              </w:rPr>
              <w:t>《排放源统计调查产排污核算方法和系数手册》-</w:t>
            </w:r>
            <w:r>
              <w:rPr>
                <w:rFonts w:hint="eastAsia"/>
                <w:u w:val="single"/>
              </w:rPr>
              <w:t xml:space="preserve"> </w:t>
            </w:r>
            <w:r>
              <w:rPr>
                <w:rFonts w:hint="eastAsia" w:asciiTheme="minorEastAsia" w:hAnsiTheme="minorEastAsia" w:eastAsiaTheme="minorEastAsia"/>
                <w:sz w:val="24"/>
                <w:szCs w:val="24"/>
                <w:u w:val="single"/>
              </w:rPr>
              <w:t>3039 其他建筑材料制造行业</w:t>
            </w:r>
            <w:r>
              <w:rPr>
                <w:rFonts w:asciiTheme="minorEastAsia" w:hAnsiTheme="minorEastAsia" w:eastAsiaTheme="minorEastAsia"/>
                <w:sz w:val="24"/>
                <w:szCs w:val="24"/>
                <w:u w:val="single"/>
              </w:rPr>
              <w:t>系数手册，石灰石破碎筛分过程中使用袋式除尘末端治理技术平均去除效率为</w:t>
            </w:r>
            <w:r>
              <w:rPr>
                <w:rFonts w:hint="eastAsia" w:asciiTheme="minorEastAsia" w:hAnsiTheme="minorEastAsia" w:eastAsiaTheme="minorEastAsia"/>
                <w:sz w:val="24"/>
                <w:szCs w:val="24"/>
                <w:u w:val="single"/>
              </w:rPr>
              <w:t>99%。本项目在传送、进出料口等产尘点设置局部密闭罩</w:t>
            </w:r>
            <w:r>
              <w:rPr>
                <w:rFonts w:hint="eastAsia" w:ascii="MS Mincho" w:hAnsi="MS Mincho" w:eastAsia="MS Mincho" w:cs="MS Mincho"/>
                <w:sz w:val="24"/>
                <w:szCs w:val="24"/>
                <w:u w:val="single"/>
              </w:rPr>
              <w:t>‌</w:t>
            </w:r>
            <w:r>
              <w:rPr>
                <w:rFonts w:hint="eastAsia" w:ascii="宋体" w:hAnsi="宋体" w:cs="宋体"/>
                <w:sz w:val="24"/>
                <w:szCs w:val="24"/>
                <w:u w:val="single"/>
              </w:rPr>
              <w:t>或</w:t>
            </w:r>
            <w:r>
              <w:rPr>
                <w:rFonts w:hint="eastAsia" w:ascii="MS Mincho" w:hAnsi="MS Mincho" w:eastAsia="MS Mincho" w:cs="MS Mincho"/>
                <w:sz w:val="24"/>
                <w:szCs w:val="24"/>
                <w:u w:val="single"/>
              </w:rPr>
              <w:t>‌</w:t>
            </w:r>
            <w:r>
              <w:rPr>
                <w:rFonts w:hint="eastAsia" w:ascii="宋体" w:hAnsi="宋体" w:cs="宋体"/>
                <w:sz w:val="24"/>
                <w:szCs w:val="24"/>
                <w:u w:val="single"/>
              </w:rPr>
              <w:t>双层软帘式密闭罩</w:t>
            </w:r>
            <w:r>
              <w:rPr>
                <w:rFonts w:hint="eastAsia" w:ascii="MS Mincho" w:hAnsi="MS Mincho" w:eastAsia="MS Mincho" w:cs="MS Mincho"/>
                <w:sz w:val="24"/>
                <w:szCs w:val="24"/>
                <w:u w:val="single"/>
              </w:rPr>
              <w:t>‌</w:t>
            </w:r>
            <w:r>
              <w:rPr>
                <w:rFonts w:hint="eastAsia" w:asciiTheme="minorEastAsia" w:hAnsiTheme="minorEastAsia" w:eastAsiaTheme="minorEastAsia"/>
                <w:sz w:val="24"/>
                <w:szCs w:val="24"/>
                <w:u w:val="single"/>
              </w:rPr>
              <w:t>，在粉碎、筛分等扬尘点上方设置</w:t>
            </w:r>
            <w:r>
              <w:rPr>
                <w:rFonts w:hint="eastAsia" w:ascii="MS Mincho" w:hAnsi="MS Mincho" w:eastAsia="MS Mincho" w:cs="MS Mincho"/>
                <w:sz w:val="24"/>
                <w:szCs w:val="24"/>
                <w:u w:val="single"/>
              </w:rPr>
              <w:t>‌</w:t>
            </w:r>
            <w:r>
              <w:rPr>
                <w:rFonts w:hint="eastAsia" w:ascii="宋体" w:hAnsi="宋体" w:cs="宋体"/>
                <w:sz w:val="24"/>
                <w:szCs w:val="24"/>
                <w:u w:val="single"/>
              </w:rPr>
              <w:t>外部顶吸式集气罩</w:t>
            </w:r>
            <w:r>
              <w:rPr>
                <w:rFonts w:hint="eastAsia" w:ascii="MS Mincho" w:hAnsi="MS Mincho" w:eastAsia="MS Mincho" w:cs="MS Mincho"/>
                <w:sz w:val="24"/>
                <w:szCs w:val="24"/>
                <w:u w:val="single"/>
              </w:rPr>
              <w:t>‌</w:t>
            </w:r>
            <w:r>
              <w:rPr>
                <w:rFonts w:hint="eastAsia" w:ascii="宋体" w:hAnsi="宋体" w:cs="宋体"/>
                <w:sz w:val="24"/>
                <w:szCs w:val="24"/>
                <w:u w:val="single"/>
              </w:rPr>
              <w:t>，</w:t>
            </w:r>
            <w:r>
              <w:rPr>
                <w:rFonts w:hint="eastAsia" w:asciiTheme="minorEastAsia" w:hAnsiTheme="minorEastAsia" w:eastAsiaTheme="minorEastAsia"/>
                <w:sz w:val="24"/>
                <w:szCs w:val="24"/>
                <w:u w:val="single"/>
              </w:rPr>
              <w:t>并可根据扬尘特性，在落料点侧方增设‌侧吸罩‌，集气罩的开口应尽可能靠近粉尘扩散源，并在不影响设备检修和物料转运的前提下，最大程度地缩小与尘源的距离。破碎车间门窗全封闭，对墙体、屋顶的缝隙进行</w:t>
            </w:r>
            <w:r>
              <w:rPr>
                <w:rFonts w:hint="eastAsia" w:ascii="MS Mincho" w:hAnsi="MS Mincho" w:eastAsia="MS Mincho" w:cs="MS Mincho"/>
                <w:sz w:val="24"/>
                <w:szCs w:val="24"/>
                <w:u w:val="single"/>
              </w:rPr>
              <w:t>‌</w:t>
            </w:r>
            <w:r>
              <w:rPr>
                <w:rFonts w:hint="eastAsia" w:ascii="宋体" w:hAnsi="宋体" w:cs="宋体"/>
                <w:sz w:val="24"/>
                <w:szCs w:val="24"/>
                <w:u w:val="single"/>
              </w:rPr>
              <w:t>密封处理</w:t>
            </w:r>
            <w:r>
              <w:rPr>
                <w:rFonts w:hint="eastAsia" w:ascii="MS Mincho" w:hAnsi="MS Mincho" w:eastAsia="MS Mincho" w:cs="MS Mincho"/>
                <w:sz w:val="24"/>
                <w:szCs w:val="24"/>
                <w:u w:val="single"/>
              </w:rPr>
              <w:t>‌</w:t>
            </w:r>
            <w:r>
              <w:rPr>
                <w:rFonts w:hint="eastAsia" w:ascii="宋体" w:hAnsi="宋体" w:cs="宋体"/>
                <w:sz w:val="24"/>
                <w:szCs w:val="24"/>
                <w:u w:val="single"/>
              </w:rPr>
              <w:t>，防止气流短路。</w:t>
            </w:r>
            <w:r>
              <w:rPr>
                <w:rFonts w:hint="eastAsia" w:asciiTheme="minorEastAsia" w:hAnsiTheme="minorEastAsia" w:eastAsiaTheme="minorEastAsia"/>
                <w:sz w:val="24"/>
                <w:szCs w:val="24"/>
                <w:u w:val="single"/>
              </w:rPr>
              <w:t>集气设施直接针对主要产尘点，有利于废气捕集，在石材加工、破碎筛分等行业的环评实践中，对于采取了厂房密闭+产尘点集气措施的工况，集气效率取90%是一个常见且被广泛接受的保守估值。实际在良好设计和运行维护下，效率可能更高，本次按90%计算。参考《排污许可证申请与核发技术规范 陶瓷砖瓦工业》（HJ954-2018），本项目粉尘采用布袋除尘进行治理属于可行技术</w:t>
            </w:r>
            <w:r>
              <w:rPr>
                <w:rFonts w:asciiTheme="minorEastAsia" w:hAnsiTheme="minorEastAsia" w:eastAsiaTheme="minorEastAsia"/>
                <w:sz w:val="24"/>
                <w:szCs w:val="24"/>
                <w:u w:val="single"/>
              </w:rPr>
              <w:t>。</w:t>
            </w:r>
          </w:p>
          <w:p w14:paraId="66882AC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2、无组织废气</w:t>
            </w:r>
          </w:p>
          <w:p w14:paraId="0665BB7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（1）破碎厂房</w:t>
            </w:r>
          </w:p>
          <w:p w14:paraId="41A0B68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破碎筛分厂房采用密闭设计，厂房顶部设置集气罩（集气效率</w:t>
            </w:r>
            <w:r>
              <w:rPr>
                <w:rFonts w:hint="eastAsia" w:asciiTheme="minorEastAsia" w:hAnsiTheme="minorEastAsia" w:eastAsiaTheme="minorEastAsia"/>
                <w:sz w:val="24"/>
                <w:szCs w:val="24"/>
              </w:rPr>
              <w:t>9</w:t>
            </w:r>
            <w:r>
              <w:rPr>
                <w:rFonts w:asciiTheme="minorEastAsia" w:hAnsiTheme="minorEastAsia" w:eastAsiaTheme="minorEastAsia"/>
                <w:sz w:val="24"/>
                <w:szCs w:val="24"/>
              </w:rPr>
              <w:t>0%）对废气进行收集，收集的废气经布袋除尘器处理后，通过15m高，内径0.3m排气筒排放。未被捕集的废气以无组织形式逸散。根据前文源强核算，破碎筛分厂房颗粒物无组织产生量约为</w:t>
            </w:r>
            <w:r>
              <w:rPr>
                <w:rFonts w:hint="eastAsia" w:asciiTheme="minorEastAsia" w:hAnsiTheme="minorEastAsia" w:eastAsiaTheme="minorEastAsia"/>
                <w:sz w:val="24"/>
                <w:szCs w:val="24"/>
              </w:rPr>
              <w:t>56.7</w:t>
            </w:r>
            <w:r>
              <w:rPr>
                <w:rFonts w:asciiTheme="minorEastAsia" w:hAnsiTheme="minorEastAsia" w:eastAsiaTheme="minorEastAsia"/>
                <w:sz w:val="24"/>
                <w:szCs w:val="24"/>
              </w:rPr>
              <w:t>t/a，产生速率为</w:t>
            </w:r>
            <w:r>
              <w:rPr>
                <w:rFonts w:hint="eastAsia" w:asciiTheme="minorEastAsia" w:hAnsiTheme="minorEastAsia" w:eastAsiaTheme="minorEastAsia"/>
                <w:sz w:val="24"/>
                <w:szCs w:val="24"/>
              </w:rPr>
              <w:t>37.8</w:t>
            </w:r>
            <w:r>
              <w:rPr>
                <w:rFonts w:asciiTheme="minorEastAsia" w:hAnsiTheme="minorEastAsia" w:eastAsiaTheme="minorEastAsia"/>
                <w:sz w:val="24"/>
                <w:szCs w:val="24"/>
              </w:rPr>
              <w:t>kg/h。经厂房密闭阻隔及自然沉降后，实际无组织排放量进一步降低。</w:t>
            </w:r>
          </w:p>
          <w:p w14:paraId="3E0F3DC9">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通过保持厂房密闭、维持微负压状态、定期检查维护集气系统、</w:t>
            </w:r>
            <w:r>
              <w:rPr>
                <w:rFonts w:hint="eastAsia" w:asciiTheme="minorEastAsia" w:hAnsiTheme="minorEastAsia" w:eastAsiaTheme="minorEastAsia"/>
                <w:sz w:val="24"/>
                <w:szCs w:val="24"/>
                <w:u w:val="single"/>
              </w:rPr>
              <w:t>破碎车间物料进出口设置</w:t>
            </w:r>
            <w:r>
              <w:rPr>
                <w:rFonts w:hint="eastAsia" w:ascii="MS Mincho" w:hAnsi="MS Mincho" w:eastAsia="MS Mincho" w:cs="MS Mincho"/>
                <w:sz w:val="24"/>
                <w:szCs w:val="24"/>
                <w:u w:val="single"/>
              </w:rPr>
              <w:t>‌</w:t>
            </w:r>
            <w:r>
              <w:rPr>
                <w:rFonts w:hint="eastAsia" w:ascii="宋体" w:hAnsi="宋体" w:cs="宋体"/>
                <w:sz w:val="24"/>
                <w:szCs w:val="24"/>
                <w:u w:val="single"/>
              </w:rPr>
              <w:t>软帘或快速卷帘门</w:t>
            </w:r>
            <w:r>
              <w:rPr>
                <w:rFonts w:hint="eastAsia" w:ascii="MS Mincho" w:hAnsi="MS Mincho" w:eastAsia="MS Mincho" w:cs="MS Mincho"/>
                <w:sz w:val="24"/>
                <w:szCs w:val="24"/>
                <w:u w:val="single"/>
              </w:rPr>
              <w:t>‌</w:t>
            </w:r>
            <w:r>
              <w:rPr>
                <w:rFonts w:hint="eastAsia" w:ascii="宋体" w:hAnsi="宋体" w:cs="宋体"/>
                <w:sz w:val="24"/>
                <w:szCs w:val="24"/>
                <w:u w:val="single"/>
              </w:rPr>
              <w:t>，车辆通过后及时关闭，减少开门时间和面积</w:t>
            </w:r>
            <w:r>
              <w:rPr>
                <w:rFonts w:asciiTheme="minorEastAsia" w:hAnsiTheme="minorEastAsia" w:eastAsiaTheme="minorEastAsia"/>
                <w:sz w:val="24"/>
                <w:szCs w:val="24"/>
                <w:u w:val="single"/>
              </w:rPr>
              <w:t>等措施，可有效控制无组织废气排放，确保厂界无组织排放浓度满足《大气污染物综合排放标准》（GB16297-1996）相关限值要求。</w:t>
            </w:r>
          </w:p>
          <w:p w14:paraId="1F4112A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（2）堆场扬尘</w:t>
            </w:r>
          </w:p>
          <w:p w14:paraId="686ACB52">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堆场扬尘采用</w:t>
            </w:r>
            <w:r>
              <w:rPr>
                <w:rFonts w:hint="eastAsia" w:ascii="MS Mincho" w:hAnsi="MS Mincho" w:eastAsia="MS Mincho" w:cs="MS Mincho"/>
                <w:sz w:val="24"/>
                <w:szCs w:val="24"/>
                <w:u w:val="single"/>
              </w:rPr>
              <w:t>‌</w:t>
            </w:r>
            <w:r>
              <w:rPr>
                <w:rFonts w:asciiTheme="minorEastAsia" w:hAnsiTheme="minorEastAsia" w:eastAsiaTheme="minorEastAsia"/>
                <w:sz w:val="24"/>
                <w:szCs w:val="24"/>
                <w:u w:val="single"/>
              </w:rPr>
              <w:t>R.A</w:t>
            </w:r>
            <w:r>
              <w:rPr>
                <w:rFonts w:hint="eastAsia" w:asciiTheme="minorEastAsia" w:hAnsiTheme="minorEastAsia" w:eastAsiaTheme="minorEastAsia"/>
                <w:sz w:val="24"/>
                <w:szCs w:val="24"/>
                <w:u w:val="single"/>
              </w:rPr>
              <w:t>拜格尔经验公式</w:t>
            </w:r>
            <w:r>
              <w:rPr>
                <w:rFonts w:hint="eastAsia" w:ascii="MS Mincho" w:hAnsi="MS Mincho" w:eastAsia="MS Mincho" w:cs="MS Mincho"/>
                <w:sz w:val="24"/>
                <w:szCs w:val="24"/>
                <w:u w:val="single"/>
              </w:rPr>
              <w:t>‌</w:t>
            </w:r>
            <w:r>
              <w:rPr>
                <w:rFonts w:hint="eastAsia" w:ascii="宋体" w:hAnsi="宋体" w:cs="宋体"/>
                <w:sz w:val="24"/>
                <w:szCs w:val="24"/>
                <w:u w:val="single"/>
              </w:rPr>
              <w:t>进行理论计算。该方法综合考虑了堆场面积</w:t>
            </w:r>
            <w:r>
              <w:rPr>
                <w:rFonts w:hint="eastAsia" w:asciiTheme="minorEastAsia" w:hAnsiTheme="minorEastAsia" w:eastAsiaTheme="minorEastAsia"/>
                <w:sz w:val="24"/>
                <w:szCs w:val="24"/>
                <w:u w:val="single"/>
              </w:rPr>
              <w:t>、物料含水率和地区风速条件等，是计算露天堆场风蚀起尘量的常用科学模型。</w:t>
            </w:r>
          </w:p>
          <w:p w14:paraId="58C38A8E">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项目原料堆场占地面积</w:t>
            </w:r>
            <w:r>
              <w:rPr>
                <w:rFonts w:hint="eastAsia" w:asciiTheme="minorEastAsia" w:hAnsiTheme="minorEastAsia" w:eastAsiaTheme="minorEastAsia"/>
                <w:sz w:val="24"/>
                <w:szCs w:val="24"/>
              </w:rPr>
              <w:t>3</w:t>
            </w:r>
            <w:r>
              <w:rPr>
                <w:rFonts w:asciiTheme="minorEastAsia" w:hAnsiTheme="minorEastAsia" w:eastAsiaTheme="minorEastAsia"/>
                <w:sz w:val="24"/>
                <w:szCs w:val="24"/>
              </w:rPr>
              <w:t>000m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。采用R.A拜格尔经验公式计算扬尘量。按最不利情况考虑，在没有采取措施，堆场起尘量计算公式为：</w:t>
            </w:r>
          </w:p>
          <w:p w14:paraId="05676BE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object>
                <v:shape id="_x0000_i1027" o:spt="75" type="#_x0000_t75" style="height:19.8pt;width:132.6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p>
          <w:p w14:paraId="6C35E16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式中：Qp—起尘量，mg/s；</w:t>
            </w:r>
          </w:p>
          <w:p w14:paraId="12E0D80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Ap—堆场起尘面积，m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；取</w:t>
            </w:r>
            <w:r>
              <w:rPr>
                <w:rFonts w:hint="eastAsia" w:asciiTheme="minorEastAsia" w:hAnsiTheme="minorEastAsia" w:eastAsiaTheme="minorEastAsia"/>
                <w:sz w:val="24"/>
                <w:szCs w:val="24"/>
              </w:rPr>
              <w:t>3000</w:t>
            </w:r>
            <w:r>
              <w:rPr>
                <w:rFonts w:asciiTheme="minorEastAsia" w:hAnsiTheme="minorEastAsia" w:eastAsiaTheme="minorEastAsia"/>
                <w:sz w:val="24"/>
                <w:szCs w:val="24"/>
              </w:rPr>
              <w:t>。</w:t>
            </w:r>
          </w:p>
          <w:p w14:paraId="7FC084C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U—平均风速，m/s，其中，启动风速U=1.93×W+3.02，W为含水率，取10%；则U=3.213m/s。</w:t>
            </w:r>
          </w:p>
          <w:p w14:paraId="6DCA5F7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由此计算，堆场起尘量为</w:t>
            </w:r>
            <w:r>
              <w:rPr>
                <w:rFonts w:hint="eastAsia" w:asciiTheme="minorEastAsia" w:hAnsiTheme="minorEastAsia" w:eastAsiaTheme="minorEastAsia"/>
                <w:sz w:val="24"/>
                <w:szCs w:val="24"/>
              </w:rPr>
              <w:t>394.88</w:t>
            </w:r>
            <w:r>
              <w:rPr>
                <w:rFonts w:asciiTheme="minorEastAsia" w:hAnsiTheme="minorEastAsia" w:eastAsiaTheme="minorEastAsia"/>
                <w:sz w:val="24"/>
                <w:szCs w:val="24"/>
              </w:rPr>
              <w:t>mg/s，全年大风持续时间按400h计，则堆场起尘量约为0.</w:t>
            </w:r>
            <w:r>
              <w:rPr>
                <w:rFonts w:hint="eastAsia" w:asciiTheme="minorEastAsia" w:hAnsiTheme="minorEastAsia" w:eastAsiaTheme="minorEastAsia"/>
                <w:sz w:val="24"/>
                <w:szCs w:val="24"/>
              </w:rPr>
              <w:t>57</w:t>
            </w:r>
            <w:r>
              <w:rPr>
                <w:rFonts w:asciiTheme="minorEastAsia" w:hAnsiTheme="minorEastAsia" w:eastAsiaTheme="minorEastAsia"/>
                <w:sz w:val="24"/>
                <w:szCs w:val="24"/>
              </w:rPr>
              <w:t>t/a（</w:t>
            </w:r>
            <w:r>
              <w:rPr>
                <w:rFonts w:hint="eastAsia" w:asciiTheme="minorEastAsia" w:hAnsiTheme="minorEastAsia" w:eastAsiaTheme="minorEastAsia"/>
                <w:sz w:val="24"/>
                <w:szCs w:val="24"/>
              </w:rPr>
              <w:t>0.001</w:t>
            </w:r>
            <w:r>
              <w:rPr>
                <w:rFonts w:asciiTheme="minorEastAsia" w:hAnsiTheme="minorEastAsia" w:eastAsiaTheme="minorEastAsia"/>
                <w:sz w:val="24"/>
                <w:szCs w:val="24"/>
              </w:rPr>
              <w:t>kg/h）。</w:t>
            </w:r>
          </w:p>
          <w:p w14:paraId="15786DE4">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本项目堆场采用洒水（雾炮及洒水车）、绿化</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苫布</w:t>
            </w:r>
            <w:r>
              <w:rPr>
                <w:rFonts w:hint="eastAsia" w:asciiTheme="minorEastAsia" w:hAnsiTheme="minorEastAsia" w:eastAsiaTheme="minorEastAsia"/>
                <w:sz w:val="24"/>
                <w:szCs w:val="24"/>
                <w:u w:val="single"/>
              </w:rPr>
              <w:t>及抑尘网</w:t>
            </w:r>
            <w:r>
              <w:rPr>
                <w:rFonts w:asciiTheme="minorEastAsia" w:hAnsiTheme="minorEastAsia" w:eastAsiaTheme="minorEastAsia"/>
                <w:sz w:val="24"/>
                <w:szCs w:val="24"/>
                <w:u w:val="single"/>
              </w:rPr>
              <w:t>覆盖等降尘抑尘措施，</w:t>
            </w:r>
            <w:r>
              <w:rPr>
                <w:rFonts w:hint="eastAsia" w:asciiTheme="minorEastAsia" w:hAnsiTheme="minorEastAsia" w:eastAsiaTheme="minorEastAsia"/>
                <w:sz w:val="24"/>
                <w:szCs w:val="24"/>
                <w:u w:val="single"/>
              </w:rPr>
              <w:t>所有物料</w:t>
            </w:r>
            <w:r>
              <w:rPr>
                <w:rFonts w:hint="eastAsia" w:ascii="MS Mincho" w:hAnsi="MS Mincho" w:eastAsia="MS Mincho" w:cs="MS Mincho"/>
                <w:sz w:val="24"/>
                <w:szCs w:val="24"/>
                <w:u w:val="single"/>
              </w:rPr>
              <w:t>‌</w:t>
            </w:r>
            <w:r>
              <w:rPr>
                <w:rFonts w:hint="eastAsia" w:ascii="宋体" w:hAnsi="宋体" w:cs="宋体"/>
                <w:sz w:val="24"/>
                <w:szCs w:val="24"/>
                <w:u w:val="single"/>
              </w:rPr>
              <w:t>转运、装卸</w:t>
            </w:r>
            <w:r>
              <w:rPr>
                <w:rFonts w:hint="eastAsia" w:ascii="MS Mincho" w:hAnsi="MS Mincho" w:eastAsia="MS Mincho" w:cs="MS Mincho"/>
                <w:sz w:val="24"/>
                <w:szCs w:val="24"/>
                <w:u w:val="single"/>
              </w:rPr>
              <w:t>‌</w:t>
            </w:r>
            <w:r>
              <w:rPr>
                <w:rFonts w:hint="eastAsia" w:ascii="宋体" w:hAnsi="宋体" w:cs="宋体"/>
                <w:sz w:val="24"/>
                <w:szCs w:val="24"/>
                <w:u w:val="single"/>
              </w:rPr>
              <w:t>作业点，尽可能降低物料落差</w:t>
            </w:r>
            <w:r>
              <w:rPr>
                <w:rFonts w:hint="eastAsia" w:asciiTheme="minorEastAsia" w:hAnsiTheme="minorEastAsia" w:eastAsiaTheme="minorEastAsia"/>
                <w:sz w:val="24"/>
                <w:szCs w:val="24"/>
                <w:u w:val="single"/>
              </w:rPr>
              <w:t>，并增设</w:t>
            </w:r>
            <w:r>
              <w:rPr>
                <w:rFonts w:hint="eastAsia" w:ascii="MS Mincho" w:hAnsi="MS Mincho" w:eastAsia="MS Mincho" w:cs="MS Mincho"/>
                <w:sz w:val="24"/>
                <w:szCs w:val="24"/>
                <w:u w:val="single"/>
              </w:rPr>
              <w:t>‌</w:t>
            </w:r>
            <w:r>
              <w:rPr>
                <w:rFonts w:hint="eastAsia" w:ascii="宋体" w:hAnsi="宋体" w:cs="宋体"/>
                <w:sz w:val="24"/>
                <w:szCs w:val="24"/>
                <w:u w:val="single"/>
              </w:rPr>
              <w:t>缓冲溜槽、导料槽</w:t>
            </w:r>
            <w:r>
              <w:rPr>
                <w:rFonts w:hint="eastAsia" w:ascii="MS Mincho" w:hAnsi="MS Mincho" w:eastAsia="MS Mincho" w:cs="MS Mincho"/>
                <w:sz w:val="24"/>
                <w:szCs w:val="24"/>
                <w:u w:val="single"/>
              </w:rPr>
              <w:t>‌</w:t>
            </w:r>
            <w:r>
              <w:rPr>
                <w:rFonts w:hint="eastAsia" w:ascii="宋体" w:hAnsi="宋体" w:cs="宋体"/>
                <w:sz w:val="24"/>
                <w:szCs w:val="24"/>
                <w:u w:val="single"/>
              </w:rPr>
              <w:t>，减少冲击扬尘。</w:t>
            </w:r>
            <w:r>
              <w:rPr>
                <w:rFonts w:asciiTheme="minorEastAsia" w:hAnsiTheme="minorEastAsia" w:eastAsiaTheme="minorEastAsia"/>
                <w:sz w:val="24"/>
                <w:szCs w:val="24"/>
                <w:u w:val="single"/>
              </w:rPr>
              <w:t>抑尘效率约为90%，堆场风蚀扬尘排放量为0.</w:t>
            </w:r>
            <w:r>
              <w:rPr>
                <w:rFonts w:hint="eastAsia" w:asciiTheme="minorEastAsia" w:hAnsiTheme="minorEastAsia" w:eastAsiaTheme="minorEastAsia"/>
                <w:sz w:val="24"/>
                <w:szCs w:val="24"/>
                <w:u w:val="single"/>
              </w:rPr>
              <w:t>057</w:t>
            </w:r>
            <w:r>
              <w:rPr>
                <w:rFonts w:asciiTheme="minorEastAsia" w:hAnsiTheme="minorEastAsia" w:eastAsiaTheme="minorEastAsia"/>
                <w:sz w:val="24"/>
                <w:szCs w:val="24"/>
                <w:u w:val="single"/>
              </w:rPr>
              <w:t>t/a（0.0</w:t>
            </w:r>
            <w:r>
              <w:rPr>
                <w:rFonts w:hint="eastAsia" w:asciiTheme="minorEastAsia" w:hAnsiTheme="minorEastAsia" w:eastAsiaTheme="minorEastAsia"/>
                <w:sz w:val="24"/>
                <w:szCs w:val="24"/>
                <w:u w:val="single"/>
              </w:rPr>
              <w:t>001</w:t>
            </w:r>
            <w:r>
              <w:rPr>
                <w:rFonts w:asciiTheme="minorEastAsia" w:hAnsiTheme="minorEastAsia" w:eastAsiaTheme="minorEastAsia"/>
                <w:sz w:val="24"/>
                <w:szCs w:val="24"/>
                <w:u w:val="single"/>
              </w:rPr>
              <w:t>kg/h）。</w:t>
            </w:r>
          </w:p>
          <w:p w14:paraId="29CF603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（3）场内运输扬尘</w:t>
            </w:r>
          </w:p>
          <w:p w14:paraId="76EA3417">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场内运输扬尘源强核算</w:t>
            </w:r>
            <w:r>
              <w:rPr>
                <w:rFonts w:hint="eastAsia" w:asciiTheme="minorEastAsia" w:hAnsiTheme="minorEastAsia" w:eastAsiaTheme="minorEastAsia"/>
                <w:sz w:val="24"/>
                <w:szCs w:val="24"/>
                <w:u w:val="single"/>
              </w:rPr>
              <w:t>采用车辆运输扬尘的</w:t>
            </w:r>
            <w:r>
              <w:rPr>
                <w:rFonts w:hint="eastAsia" w:ascii="MS Mincho" w:hAnsi="MS Mincho" w:eastAsia="MS Mincho" w:cs="MS Mincho"/>
                <w:sz w:val="24"/>
                <w:szCs w:val="24"/>
                <w:u w:val="single"/>
              </w:rPr>
              <w:t>‌</w:t>
            </w:r>
            <w:r>
              <w:rPr>
                <w:rFonts w:hint="eastAsia" w:ascii="宋体" w:hAnsi="宋体" w:cs="宋体"/>
                <w:sz w:val="24"/>
                <w:szCs w:val="24"/>
                <w:u w:val="single"/>
              </w:rPr>
              <w:t>经验公式</w:t>
            </w:r>
            <w:r>
              <w:rPr>
                <w:rFonts w:hint="eastAsia" w:ascii="MS Mincho" w:hAnsi="MS Mincho" w:eastAsia="MS Mincho" w:cs="MS Mincho"/>
                <w:sz w:val="24"/>
                <w:szCs w:val="24"/>
                <w:u w:val="single"/>
              </w:rPr>
              <w:t>‌</w:t>
            </w:r>
            <w:r>
              <w:rPr>
                <w:rFonts w:hint="eastAsia" w:ascii="宋体" w:hAnsi="宋体" w:cs="宋体"/>
                <w:sz w:val="24"/>
                <w:szCs w:val="24"/>
                <w:u w:val="single"/>
              </w:rPr>
              <w:t>进行计算</w:t>
            </w:r>
            <w:r>
              <w:rPr>
                <w:rFonts w:hint="eastAsia" w:asciiTheme="minorEastAsia" w:hAnsiTheme="minorEastAsia" w:eastAsiaTheme="minorEastAsia"/>
                <w:sz w:val="24"/>
                <w:szCs w:val="24"/>
                <w:u w:val="single"/>
              </w:rPr>
              <w:t>，公式中考虑了车流量、行驶距离、车速等关键因素。这种方法能够相对客观地估算因车辆行驶带起的道路扬尘量。</w:t>
            </w:r>
          </w:p>
          <w:p w14:paraId="12D2041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项目场内运载车辆来往将产生一定量的道路扬尘，在道路完全干燥的情况下，</w:t>
            </w:r>
            <w:r>
              <w:rPr>
                <w:rFonts w:hint="eastAsia" w:asciiTheme="minorEastAsia" w:hAnsiTheme="minorEastAsia" w:eastAsiaTheme="minorEastAsia"/>
                <w:sz w:val="24"/>
                <w:szCs w:val="24"/>
              </w:rPr>
              <w:t>运输车辆产生的扬尘采用以下经验公式进行计算：</w:t>
            </w:r>
          </w:p>
          <w:p w14:paraId="3C580E1D">
            <w:pPr>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drawing>
                <wp:inline distT="0" distB="0" distL="0" distR="0">
                  <wp:extent cx="3547110" cy="2265680"/>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5" cstate="print"/>
                          <a:srcRect/>
                          <a:stretch>
                            <a:fillRect/>
                          </a:stretch>
                        </pic:blipFill>
                        <pic:spPr>
                          <a:xfrm>
                            <a:off x="0" y="0"/>
                            <a:ext cx="3553182" cy="2270168"/>
                          </a:xfrm>
                          <a:prstGeom prst="rect">
                            <a:avLst/>
                          </a:prstGeom>
                          <a:noFill/>
                          <a:ln w="9525">
                            <a:noFill/>
                            <a:miter lim="800000"/>
                            <a:headEnd/>
                            <a:tailEnd/>
                          </a:ln>
                        </pic:spPr>
                      </pic:pic>
                    </a:graphicData>
                  </a:graphic>
                </wp:inline>
              </w:drawing>
            </w:r>
          </w:p>
          <w:p w14:paraId="77886BA8">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车辆在厂区内行驶距离按100m计，行驶速度为20km/h，总的运输量为600567t/a（原料及产品），运输时间按每天4h计算，则运输过程在厂区的起尘量约为1.61t/a（2.68kg/h），通过采取在运输车辆使用全密闭式车厢</w:t>
            </w:r>
            <w:r>
              <w:rPr>
                <w:rFonts w:hint="eastAsia" w:ascii="MS Mincho" w:hAnsi="MS Mincho" w:eastAsia="MS Mincho" w:cs="MS Mincho"/>
                <w:sz w:val="24"/>
                <w:szCs w:val="24"/>
                <w:u w:val="single"/>
              </w:rPr>
              <w:t>‌</w:t>
            </w:r>
            <w:r>
              <w:rPr>
                <w:rFonts w:hint="eastAsia" w:ascii="宋体" w:hAnsi="宋体" w:cs="宋体"/>
                <w:sz w:val="24"/>
                <w:szCs w:val="24"/>
                <w:u w:val="single"/>
              </w:rPr>
              <w:t>，或确保篷布严密覆盖至车厢底部，杜绝沿路抛洒</w:t>
            </w:r>
            <w:r>
              <w:rPr>
                <w:rFonts w:hint="eastAsia" w:asciiTheme="minorEastAsia" w:hAnsiTheme="minorEastAsia" w:eastAsiaTheme="minorEastAsia"/>
                <w:sz w:val="24"/>
                <w:szCs w:val="24"/>
                <w:u w:val="single"/>
              </w:rPr>
              <w:t>，封闭运输，控制运输车辆不得超载，厂内运输道路</w:t>
            </w:r>
            <w:r>
              <w:rPr>
                <w:rFonts w:hint="eastAsia" w:ascii="MS Mincho" w:hAnsi="MS Mincho" w:eastAsia="MS Mincho" w:cs="MS Mincho"/>
                <w:sz w:val="24"/>
                <w:szCs w:val="24"/>
                <w:u w:val="single"/>
              </w:rPr>
              <w:t>‌</w:t>
            </w:r>
            <w:r>
              <w:rPr>
                <w:rFonts w:hint="eastAsia" w:ascii="宋体" w:hAnsi="宋体" w:cs="宋体"/>
                <w:sz w:val="24"/>
                <w:szCs w:val="24"/>
                <w:u w:val="single"/>
              </w:rPr>
              <w:t>全部硬化并保持平整、无积尘</w:t>
            </w:r>
            <w:r>
              <w:rPr>
                <w:rFonts w:hint="eastAsia" w:ascii="MS Mincho" w:hAnsi="MS Mincho" w:eastAsia="MS Mincho" w:cs="MS Mincho"/>
                <w:sz w:val="24"/>
                <w:szCs w:val="24"/>
                <w:u w:val="single"/>
              </w:rPr>
              <w:t>‌</w:t>
            </w:r>
            <w:r>
              <w:rPr>
                <w:rFonts w:hint="eastAsia" w:ascii="宋体" w:hAnsi="宋体" w:cs="宋体"/>
                <w:sz w:val="24"/>
                <w:szCs w:val="24"/>
                <w:u w:val="single"/>
              </w:rPr>
              <w:t>。在厂区</w:t>
            </w:r>
            <w:r>
              <w:rPr>
                <w:rFonts w:hint="eastAsia" w:ascii="MS Mincho" w:hAnsi="MS Mincho" w:eastAsia="MS Mincho" w:cs="MS Mincho"/>
                <w:sz w:val="24"/>
                <w:szCs w:val="24"/>
                <w:u w:val="single"/>
              </w:rPr>
              <w:t>‌</w:t>
            </w:r>
            <w:r>
              <w:rPr>
                <w:rFonts w:hint="eastAsia" w:ascii="宋体" w:hAnsi="宋体" w:cs="宋体"/>
                <w:sz w:val="24"/>
                <w:szCs w:val="24"/>
                <w:u w:val="single"/>
              </w:rPr>
              <w:t>主要出口处设置高</w:t>
            </w:r>
            <w:r>
              <w:rPr>
                <w:rFonts w:hint="eastAsia" w:asciiTheme="minorEastAsia" w:hAnsiTheme="minorEastAsia" w:eastAsiaTheme="minorEastAsia"/>
                <w:sz w:val="24"/>
                <w:szCs w:val="24"/>
                <w:u w:val="single"/>
              </w:rPr>
              <w:t>标准车辆冲洗平台</w:t>
            </w:r>
            <w:r>
              <w:rPr>
                <w:rFonts w:hint="eastAsia" w:ascii="MS Mincho" w:hAnsi="MS Mincho" w:eastAsia="MS Mincho" w:cs="MS Mincho"/>
                <w:sz w:val="24"/>
                <w:szCs w:val="24"/>
                <w:u w:val="single"/>
              </w:rPr>
              <w:t>‌</w:t>
            </w:r>
            <w:r>
              <w:rPr>
                <w:rFonts w:hint="eastAsia" w:ascii="宋体" w:hAnsi="宋体" w:cs="宋体"/>
                <w:sz w:val="24"/>
                <w:szCs w:val="24"/>
                <w:u w:val="single"/>
              </w:rPr>
              <w:t>，确保出场车辆轮胎、车身清洁。配备</w:t>
            </w:r>
            <w:r>
              <w:rPr>
                <w:rFonts w:hint="eastAsia" w:ascii="MS Mincho" w:hAnsi="MS Mincho" w:eastAsia="MS Mincho" w:cs="MS Mincho"/>
                <w:sz w:val="24"/>
                <w:szCs w:val="24"/>
                <w:u w:val="single"/>
              </w:rPr>
              <w:t>‌</w:t>
            </w:r>
            <w:r>
              <w:rPr>
                <w:rFonts w:hint="eastAsia" w:ascii="宋体" w:hAnsi="宋体" w:cs="宋体"/>
                <w:sz w:val="24"/>
                <w:szCs w:val="24"/>
                <w:u w:val="single"/>
              </w:rPr>
              <w:t>湿式扫路车或高压清洗车</w:t>
            </w:r>
            <w:r>
              <w:rPr>
                <w:rFonts w:hint="eastAsia" w:ascii="MS Mincho" w:hAnsi="MS Mincho" w:eastAsia="MS Mincho" w:cs="MS Mincho"/>
                <w:sz w:val="24"/>
                <w:szCs w:val="24"/>
                <w:u w:val="single"/>
              </w:rPr>
              <w:t>‌</w:t>
            </w:r>
            <w:r>
              <w:rPr>
                <w:rFonts w:hint="eastAsia" w:ascii="宋体" w:hAnsi="宋体" w:cs="宋体"/>
                <w:sz w:val="24"/>
                <w:szCs w:val="24"/>
                <w:u w:val="single"/>
              </w:rPr>
              <w:t>，定时对道路进行清扫和洒水</w:t>
            </w:r>
            <w:r>
              <w:rPr>
                <w:rFonts w:hint="eastAsia" w:asciiTheme="minorEastAsia" w:hAnsiTheme="minorEastAsia" w:eastAsiaTheme="minorEastAsia"/>
                <w:sz w:val="24"/>
                <w:szCs w:val="24"/>
                <w:u w:val="single"/>
              </w:rPr>
              <w:t>，可以有效抑尘80%以上，车辆运输起尘排放量约为0.322t/a（0.54kg/h）。</w:t>
            </w:r>
          </w:p>
          <w:p w14:paraId="2AC0F6A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（4）石粉筒仓粉尘</w:t>
            </w:r>
          </w:p>
          <w:p w14:paraId="3CF42D5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本项目产品建筑用碎石及建筑用砂粒径较大，遇风不易起尘，存放于全封闭厂房内，产品中石粉粒径较小，设置2座石粉筒仓，用于暂存生产过程中产生的粒径较小的石粉，筒仓</w:t>
            </w:r>
            <w:r>
              <w:rPr>
                <w:rFonts w:asciiTheme="minorEastAsia" w:hAnsiTheme="minorEastAsia" w:eastAsiaTheme="minorEastAsia"/>
                <w:sz w:val="24"/>
                <w:szCs w:val="24"/>
              </w:rPr>
              <w:t>采用全封闭进仓方式，通过气泵吹入筒仓，筒仓自带仓顶除尘设施，产生的粉尘经自带的仓顶布袋除尘器处理后经仓顶排放。</w:t>
            </w:r>
          </w:p>
          <w:p w14:paraId="7FD0CB9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参照《逸散性工业粉尘控制技术》中推荐的</w:t>
            </w:r>
            <w:r>
              <w:rPr>
                <w:rFonts w:hint="eastAsia" w:ascii="MS Mincho" w:hAnsi="MS Mincho" w:eastAsia="MS Mincho" w:cs="MS Mincho"/>
                <w:sz w:val="24"/>
                <w:szCs w:val="24"/>
                <w:u w:val="single"/>
              </w:rPr>
              <w:t>‌</w:t>
            </w:r>
            <w:r>
              <w:rPr>
                <w:rFonts w:hint="eastAsia" w:ascii="宋体" w:hAnsi="宋体" w:cs="宋体"/>
                <w:sz w:val="24"/>
                <w:szCs w:val="24"/>
                <w:u w:val="single"/>
              </w:rPr>
              <w:t>产污系数</w:t>
            </w:r>
            <w:r>
              <w:rPr>
                <w:rFonts w:hint="eastAsia" w:asciiTheme="minorEastAsia" w:hAnsiTheme="minorEastAsia" w:eastAsiaTheme="minorEastAsia"/>
                <w:sz w:val="24"/>
                <w:szCs w:val="24"/>
                <w:u w:val="single"/>
              </w:rPr>
              <w:t>进行估算。该系数是针对物料装卸（尤其是粉状物料）环节逸散粉尘的通用参考值，适用于本项目石粉入仓环节的源强分析。</w:t>
            </w:r>
            <w:r>
              <w:rPr>
                <w:rFonts w:hint="eastAsia"/>
                <w:sz w:val="24"/>
              </w:rPr>
              <w:t>上述</w:t>
            </w:r>
            <w:r>
              <w:rPr>
                <w:sz w:val="24"/>
              </w:rPr>
              <w:t>筒仓粉尘产生量</w:t>
            </w:r>
            <w:r>
              <w:rPr>
                <w:rFonts w:hint="eastAsia"/>
                <w:sz w:val="24"/>
              </w:rPr>
              <w:t>根据</w:t>
            </w:r>
            <w:r>
              <w:rPr>
                <w:sz w:val="24"/>
              </w:rPr>
              <w:t>《逸散性工业粉尘控制技术》中产污系数0.12kg/t-卸料计算，本项目</w:t>
            </w:r>
            <w:r>
              <w:rPr>
                <w:rFonts w:hint="eastAsia"/>
                <w:sz w:val="24"/>
              </w:rPr>
              <w:t>年产</w:t>
            </w:r>
            <w:r>
              <w:rPr>
                <w:sz w:val="24"/>
              </w:rPr>
              <w:t>石粉约</w:t>
            </w:r>
            <w:r>
              <w:rPr>
                <w:rFonts w:hint="eastAsia"/>
                <w:sz w:val="24"/>
              </w:rPr>
              <w:t>0.5万</w:t>
            </w:r>
            <w:r>
              <w:rPr>
                <w:sz w:val="24"/>
              </w:rPr>
              <w:t>t/a，则筒仓粉尘产生量为</w:t>
            </w:r>
            <w:r>
              <w:rPr>
                <w:rFonts w:hint="eastAsia"/>
                <w:sz w:val="24"/>
              </w:rPr>
              <w:t>0.6</w:t>
            </w:r>
            <w:r>
              <w:rPr>
                <w:sz w:val="24"/>
              </w:rPr>
              <w:t>t/a，筒仓粉尘经顶部自带袋式除尘器（设计去除率 99.</w:t>
            </w:r>
            <w:r>
              <w:rPr>
                <w:rFonts w:hint="eastAsia"/>
                <w:sz w:val="24"/>
              </w:rPr>
              <w:t>5</w:t>
            </w:r>
            <w:r>
              <w:rPr>
                <w:sz w:val="24"/>
              </w:rPr>
              <w:t>%</w:t>
            </w:r>
            <w:r>
              <w:rPr>
                <w:rFonts w:hint="eastAsia"/>
                <w:sz w:val="24"/>
              </w:rPr>
              <w:t>，处理风量为3000m</w:t>
            </w:r>
            <w:r>
              <w:rPr>
                <w:rFonts w:hint="eastAsia"/>
                <w:sz w:val="24"/>
                <w:vertAlign w:val="superscript"/>
              </w:rPr>
              <w:t>3</w:t>
            </w:r>
            <w:r>
              <w:rPr>
                <w:rFonts w:hint="eastAsia"/>
                <w:sz w:val="24"/>
              </w:rPr>
              <w:t>/h，清灰方式为</w:t>
            </w:r>
            <w:r>
              <w:rPr>
                <w:sz w:val="24"/>
              </w:rPr>
              <w:t>脉冲喷吹清灰方式）处理后从呼吸孔排入环境空气，则</w:t>
            </w:r>
            <w:r>
              <w:rPr>
                <w:rFonts w:hint="eastAsia"/>
                <w:sz w:val="24"/>
              </w:rPr>
              <w:t>上述</w:t>
            </w:r>
            <w:r>
              <w:rPr>
                <w:sz w:val="24"/>
              </w:rPr>
              <w:t>筒仓粉尘排放量为</w:t>
            </w:r>
            <w:r>
              <w:rPr>
                <w:rFonts w:hint="eastAsia"/>
                <w:sz w:val="24"/>
              </w:rPr>
              <w:t>0.003</w:t>
            </w:r>
            <w:r>
              <w:rPr>
                <w:sz w:val="24"/>
              </w:rPr>
              <w:t>t/a</w:t>
            </w:r>
            <w:r>
              <w:rPr>
                <w:rFonts w:hint="eastAsia"/>
                <w:sz w:val="24"/>
              </w:rPr>
              <w:t>，排放速率为0.002kg/h，排放浓度为0.67mg/m</w:t>
            </w:r>
            <w:r>
              <w:rPr>
                <w:rFonts w:hint="eastAsia" w:ascii="宋体" w:hAnsi="宋体" w:cs="宋体"/>
                <w:sz w:val="24"/>
              </w:rPr>
              <w:t>³</w:t>
            </w:r>
            <w:r>
              <w:rPr>
                <w:rFonts w:hint="eastAsia" w:ascii="楷体" w:hAnsi="楷体" w:eastAsia="楷体" w:cs="楷体"/>
                <w:sz w:val="24"/>
              </w:rPr>
              <w:t>，</w:t>
            </w:r>
            <w:r>
              <w:rPr>
                <w:rFonts w:hint="eastAsia" w:asciiTheme="minorEastAsia" w:hAnsiTheme="minorEastAsia" w:eastAsiaTheme="minorEastAsia"/>
                <w:sz w:val="24"/>
                <w:szCs w:val="24"/>
              </w:rPr>
              <w:t>满足</w:t>
            </w:r>
            <w:r>
              <w:rPr>
                <w:rFonts w:asciiTheme="minorEastAsia" w:hAnsiTheme="minorEastAsia" w:eastAsiaTheme="minorEastAsia"/>
                <w:sz w:val="24"/>
                <w:szCs w:val="24"/>
              </w:rPr>
              <w:t>《大气污染物综合排放标准》（GB16297-1996）相关限值要求。</w:t>
            </w:r>
          </w:p>
          <w:p w14:paraId="5CEF25C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仓顶除尘器原理：仓顶除尘器的滤尘是通过滤芯进行的，滤芯材料玻纤，当含尘空气通过时，即可有效的使用固相与气相分离开来，玻纤的滤芯是一种多孔性的滤尘材料，当气流通过时，由于震动作用、使气流中的微粒吸附在滤芯上或沉降下来，净化后的空气即可排出，为了清除附着和沉入滤芯的灰尘，在每班通风机停止运行时（每隔约2-4小时）顺序振动除尘器，每次振动5下左右。</w:t>
            </w:r>
          </w:p>
          <w:p w14:paraId="2093C62A">
            <w:pPr>
              <w:adjustRightInd w:val="0"/>
              <w:snapToGrid w:val="0"/>
              <w:spacing w:line="360" w:lineRule="auto"/>
              <w:ind w:firstLine="480" w:firstLineChars="200"/>
              <w:rPr>
                <w:rFonts w:ascii="宋体" w:hAnsi="宋体"/>
                <w:bCs/>
                <w:sz w:val="24"/>
              </w:rPr>
            </w:pPr>
            <w:r>
              <w:rPr>
                <w:rFonts w:hint="eastAsia" w:asciiTheme="minorEastAsia" w:hAnsiTheme="minorEastAsia" w:eastAsiaTheme="minorEastAsia"/>
                <w:sz w:val="24"/>
                <w:szCs w:val="24"/>
              </w:rPr>
              <w:t>参考《排污许可证申请与核发技术规范 陶瓷砖瓦工业》（HJ954-2018），本项目筒仓粉尘采用布袋除尘进行治理属于可行技术</w:t>
            </w:r>
            <w:r>
              <w:rPr>
                <w:rFonts w:asciiTheme="minorEastAsia" w:hAnsiTheme="minorEastAsia" w:eastAsiaTheme="minorEastAsia"/>
                <w:sz w:val="24"/>
                <w:szCs w:val="24"/>
              </w:rPr>
              <w:t>。</w:t>
            </w:r>
          </w:p>
          <w:p w14:paraId="49E6FF7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、非正常工况分析</w:t>
            </w:r>
          </w:p>
          <w:p w14:paraId="7D5E60B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本项目的非正常工况主要发生在袋式除尘设施的事故运行，主要原因包括：滤袋破损等。本次非正常工况以净化效率分别降低至70%、50%、0%进行计算。污染源非正常排放量核算见表</w:t>
            </w:r>
            <w:r>
              <w:rPr>
                <w:rFonts w:hint="eastAsia" w:asciiTheme="minorEastAsia" w:hAnsiTheme="minorEastAsia" w:eastAsiaTheme="minorEastAsia"/>
                <w:sz w:val="24"/>
                <w:szCs w:val="24"/>
              </w:rPr>
              <w:t>4-2</w:t>
            </w:r>
            <w:r>
              <w:rPr>
                <w:rFonts w:asciiTheme="minorEastAsia" w:hAnsiTheme="minorEastAsia" w:eastAsiaTheme="minorEastAsia"/>
                <w:sz w:val="24"/>
                <w:szCs w:val="24"/>
              </w:rPr>
              <w:t>。</w:t>
            </w:r>
          </w:p>
          <w:p w14:paraId="003D1BFC">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4-2</w:t>
            </w:r>
            <w:r>
              <w:rPr>
                <w:rFonts w:asciiTheme="minorEastAsia" w:hAnsiTheme="minorEastAsia" w:eastAsiaTheme="minorEastAsia"/>
                <w:b/>
                <w:bCs/>
                <w:sz w:val="24"/>
                <w:szCs w:val="24"/>
              </w:rPr>
              <w:t xml:space="preserve">  污染源非正常排放量核算一览表</w:t>
            </w:r>
          </w:p>
          <w:tbl>
            <w:tblPr>
              <w:tblStyle w:val="22"/>
              <w:tblW w:w="86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7"/>
              <w:gridCol w:w="1133"/>
              <w:gridCol w:w="849"/>
              <w:gridCol w:w="1843"/>
              <w:gridCol w:w="1133"/>
              <w:gridCol w:w="1487"/>
            </w:tblGrid>
            <w:tr w14:paraId="0FF0A5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Align w:val="center"/>
                </w:tcPr>
                <w:p w14:paraId="4D64A5F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类别</w:t>
                  </w:r>
                </w:p>
              </w:tc>
              <w:tc>
                <w:tcPr>
                  <w:tcW w:w="738" w:type="pct"/>
                  <w:vAlign w:val="center"/>
                </w:tcPr>
                <w:p w14:paraId="260F7E5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污染物名称</w:t>
                  </w:r>
                </w:p>
              </w:tc>
              <w:tc>
                <w:tcPr>
                  <w:tcW w:w="655" w:type="pct"/>
                  <w:vAlign w:val="center"/>
                </w:tcPr>
                <w:p w14:paraId="1BB71A9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去除效率</w:t>
                  </w:r>
                </w:p>
              </w:tc>
              <w:tc>
                <w:tcPr>
                  <w:tcW w:w="491" w:type="pct"/>
                  <w:vAlign w:val="center"/>
                </w:tcPr>
                <w:p w14:paraId="688C791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频次</w:t>
                  </w:r>
                </w:p>
              </w:tc>
              <w:tc>
                <w:tcPr>
                  <w:tcW w:w="1066" w:type="pct"/>
                  <w:vAlign w:val="center"/>
                </w:tcPr>
                <w:p w14:paraId="35BF140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排放浓度（mg/m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655" w:type="pct"/>
                  <w:vAlign w:val="center"/>
                </w:tcPr>
                <w:p w14:paraId="20CD94B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持续时间</w:t>
                  </w:r>
                </w:p>
              </w:tc>
              <w:tc>
                <w:tcPr>
                  <w:tcW w:w="860" w:type="pct"/>
                  <w:vAlign w:val="center"/>
                </w:tcPr>
                <w:p w14:paraId="31655A2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排放量（t/a）</w:t>
                  </w:r>
                </w:p>
              </w:tc>
            </w:tr>
            <w:tr w14:paraId="608F93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restart"/>
                  <w:vAlign w:val="center"/>
                </w:tcPr>
                <w:p w14:paraId="5064D45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破碎筛分</w:t>
                  </w:r>
                </w:p>
              </w:tc>
              <w:tc>
                <w:tcPr>
                  <w:tcW w:w="738" w:type="pct"/>
                  <w:vMerge w:val="restart"/>
                  <w:vAlign w:val="center"/>
                </w:tcPr>
                <w:p w14:paraId="3F6D308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颗粒物</w:t>
                  </w:r>
                </w:p>
              </w:tc>
              <w:tc>
                <w:tcPr>
                  <w:tcW w:w="655" w:type="pct"/>
                  <w:vAlign w:val="center"/>
                </w:tcPr>
                <w:p w14:paraId="0F83AA5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70%</w:t>
                  </w:r>
                </w:p>
              </w:tc>
              <w:tc>
                <w:tcPr>
                  <w:tcW w:w="491" w:type="pct"/>
                  <w:vAlign w:val="center"/>
                </w:tcPr>
                <w:p w14:paraId="093E509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1次/a</w:t>
                  </w:r>
                </w:p>
              </w:tc>
              <w:tc>
                <w:tcPr>
                  <w:tcW w:w="1066" w:type="pct"/>
                  <w:vAlign w:val="center"/>
                </w:tcPr>
                <w:p w14:paraId="3644A34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420</w:t>
                  </w:r>
                </w:p>
              </w:tc>
              <w:tc>
                <w:tcPr>
                  <w:tcW w:w="655" w:type="pct"/>
                  <w:vAlign w:val="center"/>
                </w:tcPr>
                <w:p w14:paraId="1497F53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2h</w:t>
                  </w:r>
                </w:p>
              </w:tc>
              <w:tc>
                <w:tcPr>
                  <w:tcW w:w="860" w:type="pct"/>
                  <w:vAlign w:val="center"/>
                </w:tcPr>
                <w:p w14:paraId="4425428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150.09</w:t>
                  </w:r>
                </w:p>
              </w:tc>
            </w:tr>
            <w:tr w14:paraId="4A93C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continue"/>
                  <w:vAlign w:val="center"/>
                </w:tcPr>
                <w:p w14:paraId="378725EF">
                  <w:pPr>
                    <w:adjustRightInd w:val="0"/>
                    <w:snapToGrid w:val="0"/>
                    <w:jc w:val="center"/>
                    <w:rPr>
                      <w:rFonts w:asciiTheme="minorEastAsia" w:hAnsiTheme="minorEastAsia" w:eastAsiaTheme="minorEastAsia"/>
                      <w:szCs w:val="21"/>
                    </w:rPr>
                  </w:pPr>
                </w:p>
              </w:tc>
              <w:tc>
                <w:tcPr>
                  <w:tcW w:w="738" w:type="pct"/>
                  <w:vMerge w:val="continue"/>
                  <w:vAlign w:val="center"/>
                </w:tcPr>
                <w:p w14:paraId="3B611BC8">
                  <w:pPr>
                    <w:adjustRightInd w:val="0"/>
                    <w:snapToGrid w:val="0"/>
                    <w:jc w:val="center"/>
                    <w:rPr>
                      <w:rFonts w:asciiTheme="minorEastAsia" w:hAnsiTheme="minorEastAsia" w:eastAsiaTheme="minorEastAsia"/>
                      <w:szCs w:val="21"/>
                    </w:rPr>
                  </w:pPr>
                </w:p>
              </w:tc>
              <w:tc>
                <w:tcPr>
                  <w:tcW w:w="655" w:type="pct"/>
                  <w:vAlign w:val="center"/>
                </w:tcPr>
                <w:p w14:paraId="28D0EE4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50%</w:t>
                  </w:r>
                </w:p>
              </w:tc>
              <w:tc>
                <w:tcPr>
                  <w:tcW w:w="491" w:type="pct"/>
                  <w:vAlign w:val="center"/>
                </w:tcPr>
                <w:p w14:paraId="65659AB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1次/a</w:t>
                  </w:r>
                </w:p>
              </w:tc>
              <w:tc>
                <w:tcPr>
                  <w:tcW w:w="1066" w:type="pct"/>
                  <w:vAlign w:val="center"/>
                </w:tcPr>
                <w:p w14:paraId="20EC8B4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700</w:t>
                  </w:r>
                </w:p>
              </w:tc>
              <w:tc>
                <w:tcPr>
                  <w:tcW w:w="655" w:type="pct"/>
                  <w:vAlign w:val="center"/>
                </w:tcPr>
                <w:p w14:paraId="75662B2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2h</w:t>
                  </w:r>
                </w:p>
              </w:tc>
              <w:tc>
                <w:tcPr>
                  <w:tcW w:w="860" w:type="pct"/>
                  <w:vAlign w:val="center"/>
                </w:tcPr>
                <w:p w14:paraId="6BCE7F2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255.15</w:t>
                  </w:r>
                </w:p>
              </w:tc>
            </w:tr>
            <w:tr w14:paraId="4C59C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4" w:type="pct"/>
                  <w:vMerge w:val="continue"/>
                  <w:vAlign w:val="center"/>
                </w:tcPr>
                <w:p w14:paraId="632E3E8A">
                  <w:pPr>
                    <w:adjustRightInd w:val="0"/>
                    <w:snapToGrid w:val="0"/>
                    <w:jc w:val="center"/>
                    <w:rPr>
                      <w:rFonts w:asciiTheme="minorEastAsia" w:hAnsiTheme="minorEastAsia" w:eastAsiaTheme="minorEastAsia"/>
                      <w:szCs w:val="21"/>
                    </w:rPr>
                  </w:pPr>
                </w:p>
              </w:tc>
              <w:tc>
                <w:tcPr>
                  <w:tcW w:w="738" w:type="pct"/>
                  <w:vMerge w:val="continue"/>
                  <w:vAlign w:val="center"/>
                </w:tcPr>
                <w:p w14:paraId="0959F972">
                  <w:pPr>
                    <w:adjustRightInd w:val="0"/>
                    <w:snapToGrid w:val="0"/>
                    <w:jc w:val="center"/>
                    <w:rPr>
                      <w:rFonts w:asciiTheme="minorEastAsia" w:hAnsiTheme="minorEastAsia" w:eastAsiaTheme="minorEastAsia"/>
                      <w:szCs w:val="21"/>
                    </w:rPr>
                  </w:pPr>
                </w:p>
              </w:tc>
              <w:tc>
                <w:tcPr>
                  <w:tcW w:w="655" w:type="pct"/>
                  <w:vAlign w:val="center"/>
                </w:tcPr>
                <w:p w14:paraId="033B7AB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w:t>
                  </w:r>
                </w:p>
              </w:tc>
              <w:tc>
                <w:tcPr>
                  <w:tcW w:w="491" w:type="pct"/>
                  <w:vAlign w:val="center"/>
                </w:tcPr>
                <w:p w14:paraId="5C7780B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1次/a</w:t>
                  </w:r>
                </w:p>
              </w:tc>
              <w:tc>
                <w:tcPr>
                  <w:tcW w:w="1066" w:type="pct"/>
                  <w:vAlign w:val="center"/>
                </w:tcPr>
                <w:p w14:paraId="6BF86B1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1400</w:t>
                  </w:r>
                </w:p>
              </w:tc>
              <w:tc>
                <w:tcPr>
                  <w:tcW w:w="655" w:type="pct"/>
                  <w:vAlign w:val="center"/>
                </w:tcPr>
                <w:p w14:paraId="37D5119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2h</w:t>
                  </w:r>
                </w:p>
              </w:tc>
              <w:tc>
                <w:tcPr>
                  <w:tcW w:w="860" w:type="pct"/>
                  <w:vAlign w:val="center"/>
                </w:tcPr>
                <w:p w14:paraId="4C40091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510.3</w:t>
                  </w:r>
                </w:p>
              </w:tc>
            </w:tr>
          </w:tbl>
          <w:p w14:paraId="35726E5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环评建议项目建设方，一旦发生非正常工况，应及时对废气治理设施进行检修，并停止生产工序。同时，应在日常运行期间，定期对废气治理设施进行维护，确保废气治理设施正常有效运行。保证废气排放浓度满足《大气污染物综合排放标准》（GB16297-1996）相关限值要求</w:t>
            </w:r>
            <w:r>
              <w:rPr>
                <w:rFonts w:asciiTheme="minorEastAsia" w:hAnsiTheme="minorEastAsia" w:eastAsiaTheme="minorEastAsia"/>
                <w:sz w:val="24"/>
                <w:szCs w:val="24"/>
              </w:rPr>
              <w:t>。</w:t>
            </w:r>
          </w:p>
          <w:p w14:paraId="755594A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、排放口基本情况</w:t>
            </w:r>
          </w:p>
          <w:p w14:paraId="57A110C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根据前文污染源强核算内容，确定本项目排放口基本情况，详见表</w:t>
            </w:r>
            <w:r>
              <w:rPr>
                <w:rFonts w:hint="eastAsia" w:asciiTheme="minorEastAsia" w:hAnsiTheme="minorEastAsia" w:eastAsiaTheme="minorEastAsia"/>
                <w:sz w:val="24"/>
                <w:szCs w:val="24"/>
              </w:rPr>
              <w:t>4-3</w:t>
            </w:r>
            <w:r>
              <w:rPr>
                <w:rFonts w:asciiTheme="minorEastAsia" w:hAnsiTheme="minorEastAsia" w:eastAsiaTheme="minorEastAsia"/>
                <w:sz w:val="24"/>
                <w:szCs w:val="24"/>
              </w:rPr>
              <w:t>。</w:t>
            </w:r>
          </w:p>
          <w:p w14:paraId="4D2BE9CC">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4-3</w:t>
            </w:r>
            <w:r>
              <w:rPr>
                <w:rFonts w:asciiTheme="minorEastAsia" w:hAnsiTheme="minorEastAsia" w:eastAsiaTheme="minorEastAsia"/>
                <w:b/>
                <w:bCs/>
                <w:sz w:val="24"/>
                <w:szCs w:val="24"/>
              </w:rPr>
              <w:t xml:space="preserve">  本项目排放口基本情况一览表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709"/>
              <w:gridCol w:w="711"/>
              <w:gridCol w:w="1559"/>
              <w:gridCol w:w="850"/>
              <w:gridCol w:w="1277"/>
              <w:gridCol w:w="2120"/>
            </w:tblGrid>
            <w:tr w14:paraId="4A3BE0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Align w:val="center"/>
                </w:tcPr>
                <w:p w14:paraId="42CBA45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排放口名称</w:t>
                  </w:r>
                </w:p>
              </w:tc>
              <w:tc>
                <w:tcPr>
                  <w:tcW w:w="417" w:type="pct"/>
                  <w:vAlign w:val="center"/>
                </w:tcPr>
                <w:p w14:paraId="4AA2CE7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高度</w:t>
                  </w:r>
                </w:p>
              </w:tc>
              <w:tc>
                <w:tcPr>
                  <w:tcW w:w="418" w:type="pct"/>
                  <w:vAlign w:val="center"/>
                </w:tcPr>
                <w:p w14:paraId="2470E0E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内径</w:t>
                  </w:r>
                </w:p>
              </w:tc>
              <w:tc>
                <w:tcPr>
                  <w:tcW w:w="917" w:type="pct"/>
                  <w:vAlign w:val="center"/>
                </w:tcPr>
                <w:p w14:paraId="0E73811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温度</w:t>
                  </w:r>
                </w:p>
              </w:tc>
              <w:tc>
                <w:tcPr>
                  <w:tcW w:w="500" w:type="pct"/>
                  <w:vAlign w:val="center"/>
                </w:tcPr>
                <w:p w14:paraId="255CA16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编号</w:t>
                  </w:r>
                </w:p>
              </w:tc>
              <w:tc>
                <w:tcPr>
                  <w:tcW w:w="751" w:type="pct"/>
                  <w:vAlign w:val="center"/>
                </w:tcPr>
                <w:p w14:paraId="0FE1A31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类型</w:t>
                  </w:r>
                </w:p>
              </w:tc>
              <w:tc>
                <w:tcPr>
                  <w:tcW w:w="1247" w:type="pct"/>
                  <w:vAlign w:val="center"/>
                </w:tcPr>
                <w:p w14:paraId="55EA17B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地理坐标</w:t>
                  </w:r>
                </w:p>
              </w:tc>
            </w:tr>
            <w:tr w14:paraId="1D0D3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Align w:val="center"/>
                </w:tcPr>
                <w:p w14:paraId="1E870DC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破碎厂房</w:t>
                  </w:r>
                  <w:r>
                    <w:rPr>
                      <w:rFonts w:asciiTheme="minorEastAsia" w:hAnsiTheme="minorEastAsia" w:eastAsiaTheme="minorEastAsia"/>
                      <w:szCs w:val="21"/>
                    </w:rPr>
                    <w:t>排气筒</w:t>
                  </w:r>
                </w:p>
              </w:tc>
              <w:tc>
                <w:tcPr>
                  <w:tcW w:w="417" w:type="pct"/>
                  <w:vAlign w:val="center"/>
                </w:tcPr>
                <w:p w14:paraId="388A5FA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15</w:t>
                  </w:r>
                </w:p>
              </w:tc>
              <w:tc>
                <w:tcPr>
                  <w:tcW w:w="418" w:type="pct"/>
                  <w:vAlign w:val="center"/>
                </w:tcPr>
                <w:p w14:paraId="0C577A5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0.3m</w:t>
                  </w:r>
                </w:p>
              </w:tc>
              <w:tc>
                <w:tcPr>
                  <w:tcW w:w="917" w:type="pct"/>
                  <w:vAlign w:val="center"/>
                </w:tcPr>
                <w:p w14:paraId="67BA0B0B">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≤25℃（298.15K）</w:t>
                  </w:r>
                </w:p>
              </w:tc>
              <w:tc>
                <w:tcPr>
                  <w:tcW w:w="500" w:type="pct"/>
                  <w:vAlign w:val="center"/>
                </w:tcPr>
                <w:p w14:paraId="2240F9A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DA001</w:t>
                  </w:r>
                </w:p>
              </w:tc>
              <w:tc>
                <w:tcPr>
                  <w:tcW w:w="751" w:type="pct"/>
                  <w:vAlign w:val="center"/>
                </w:tcPr>
                <w:p w14:paraId="461362D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一般排放口</w:t>
                  </w:r>
                </w:p>
              </w:tc>
              <w:tc>
                <w:tcPr>
                  <w:tcW w:w="1247" w:type="pct"/>
                  <w:vAlign w:val="center"/>
                </w:tcPr>
                <w:p w14:paraId="30E6CAB8">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126°19′52.321</w:t>
                  </w:r>
                  <w:r>
                    <w:rPr>
                      <w:rFonts w:asciiTheme="minorEastAsia" w:hAnsiTheme="minorEastAsia" w:eastAsiaTheme="minorEastAsia"/>
                      <w:szCs w:val="21"/>
                    </w:rPr>
                    <w:t>″</w:t>
                  </w:r>
                </w:p>
                <w:p w14:paraId="03C3F9F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41°53′28.023</w:t>
                  </w:r>
                  <w:r>
                    <w:rPr>
                      <w:rFonts w:asciiTheme="minorEastAsia" w:hAnsiTheme="minorEastAsia" w:eastAsiaTheme="minorEastAsia"/>
                      <w:szCs w:val="21"/>
                    </w:rPr>
                    <w:t>″</w:t>
                  </w:r>
                </w:p>
              </w:tc>
            </w:tr>
          </w:tbl>
          <w:p w14:paraId="175A65A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、监测要求</w:t>
            </w:r>
          </w:p>
          <w:p w14:paraId="18F8E575">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参考《排污许可证申请与核发技术规范 陶瓷砖瓦工业》（HJ954-2018）中自行监测管理的相关要求，确定本项目废气监测方案，具体详见表4-4</w:t>
            </w:r>
            <w:r>
              <w:rPr>
                <w:rFonts w:asciiTheme="minorEastAsia" w:hAnsiTheme="minorEastAsia" w:eastAsiaTheme="minorEastAsia"/>
                <w:sz w:val="24"/>
                <w:szCs w:val="24"/>
              </w:rPr>
              <w:t>。</w:t>
            </w:r>
          </w:p>
          <w:p w14:paraId="35886C8D">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4-4</w:t>
            </w:r>
            <w:r>
              <w:rPr>
                <w:rFonts w:asciiTheme="minorEastAsia" w:hAnsiTheme="minorEastAsia" w:eastAsiaTheme="minorEastAsia"/>
                <w:b/>
                <w:bCs/>
                <w:sz w:val="24"/>
                <w:szCs w:val="24"/>
              </w:rPr>
              <w:t xml:space="preserve">  本项目废气监测方案一览表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75"/>
              <w:gridCol w:w="2550"/>
              <w:gridCol w:w="1986"/>
              <w:gridCol w:w="1415"/>
            </w:tblGrid>
            <w:tr w14:paraId="54FB39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750" w:type="pct"/>
                  <w:tcBorders>
                    <w:tl2br w:val="nil"/>
                    <w:tr2bl w:val="nil"/>
                  </w:tcBorders>
                  <w:vAlign w:val="center"/>
                </w:tcPr>
                <w:p w14:paraId="48BFBB1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监测项目</w:t>
                  </w:r>
                </w:p>
              </w:tc>
              <w:tc>
                <w:tcPr>
                  <w:tcW w:w="750" w:type="pct"/>
                  <w:tcBorders>
                    <w:tl2br w:val="nil"/>
                    <w:tr2bl w:val="nil"/>
                  </w:tcBorders>
                  <w:vAlign w:val="center"/>
                </w:tcPr>
                <w:p w14:paraId="2B60219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污染源</w:t>
                  </w:r>
                </w:p>
              </w:tc>
              <w:tc>
                <w:tcPr>
                  <w:tcW w:w="1500" w:type="pct"/>
                  <w:tcBorders>
                    <w:tl2br w:val="nil"/>
                    <w:tr2bl w:val="nil"/>
                  </w:tcBorders>
                  <w:vAlign w:val="center"/>
                </w:tcPr>
                <w:p w14:paraId="7DBE566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监测因子</w:t>
                  </w:r>
                </w:p>
              </w:tc>
              <w:tc>
                <w:tcPr>
                  <w:tcW w:w="1168" w:type="pct"/>
                  <w:tcBorders>
                    <w:tl2br w:val="nil"/>
                    <w:tr2bl w:val="nil"/>
                  </w:tcBorders>
                  <w:vAlign w:val="center"/>
                </w:tcPr>
                <w:p w14:paraId="0971B06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监测点位</w:t>
                  </w:r>
                </w:p>
              </w:tc>
              <w:tc>
                <w:tcPr>
                  <w:tcW w:w="832" w:type="pct"/>
                  <w:tcBorders>
                    <w:tl2br w:val="nil"/>
                    <w:tr2bl w:val="nil"/>
                  </w:tcBorders>
                  <w:vAlign w:val="center"/>
                </w:tcPr>
                <w:p w14:paraId="7B6684C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监测频次</w:t>
                  </w:r>
                </w:p>
              </w:tc>
            </w:tr>
            <w:tr w14:paraId="31CF0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750" w:type="pct"/>
                  <w:tcBorders>
                    <w:tl2br w:val="nil"/>
                    <w:tr2bl w:val="nil"/>
                  </w:tcBorders>
                  <w:vAlign w:val="center"/>
                </w:tcPr>
                <w:p w14:paraId="668FACE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有组织废气</w:t>
                  </w:r>
                </w:p>
              </w:tc>
              <w:tc>
                <w:tcPr>
                  <w:tcW w:w="750" w:type="pct"/>
                  <w:tcBorders>
                    <w:tl2br w:val="nil"/>
                    <w:tr2bl w:val="nil"/>
                  </w:tcBorders>
                  <w:vAlign w:val="center"/>
                </w:tcPr>
                <w:p w14:paraId="794FC97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破碎厂房</w:t>
                  </w:r>
                </w:p>
              </w:tc>
              <w:tc>
                <w:tcPr>
                  <w:tcW w:w="1500" w:type="pct"/>
                  <w:tcBorders>
                    <w:tl2br w:val="nil"/>
                    <w:tr2bl w:val="nil"/>
                  </w:tcBorders>
                  <w:vAlign w:val="center"/>
                </w:tcPr>
                <w:p w14:paraId="5FE3961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颗粒物</w:t>
                  </w:r>
                </w:p>
              </w:tc>
              <w:tc>
                <w:tcPr>
                  <w:tcW w:w="1168" w:type="pct"/>
                  <w:tcBorders>
                    <w:tl2br w:val="nil"/>
                    <w:tr2bl w:val="nil"/>
                  </w:tcBorders>
                  <w:vAlign w:val="center"/>
                </w:tcPr>
                <w:p w14:paraId="5FA434C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DA001</w:t>
                  </w:r>
                </w:p>
              </w:tc>
              <w:tc>
                <w:tcPr>
                  <w:tcW w:w="832" w:type="pct"/>
                  <w:tcBorders>
                    <w:tl2br w:val="nil"/>
                    <w:tr2bl w:val="nil"/>
                  </w:tcBorders>
                  <w:vAlign w:val="center"/>
                </w:tcPr>
                <w:p w14:paraId="60FE473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1年/次</w:t>
                  </w:r>
                </w:p>
              </w:tc>
            </w:tr>
            <w:tr w14:paraId="1B453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750" w:type="pct"/>
                  <w:tcBorders>
                    <w:tl2br w:val="nil"/>
                    <w:tr2bl w:val="nil"/>
                  </w:tcBorders>
                  <w:vAlign w:val="center"/>
                </w:tcPr>
                <w:p w14:paraId="4F1AB88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无组织废气</w:t>
                  </w:r>
                </w:p>
              </w:tc>
              <w:tc>
                <w:tcPr>
                  <w:tcW w:w="750" w:type="pct"/>
                  <w:tcBorders>
                    <w:tl2br w:val="nil"/>
                    <w:tr2bl w:val="nil"/>
                  </w:tcBorders>
                  <w:vAlign w:val="center"/>
                </w:tcPr>
                <w:p w14:paraId="1EA61C1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p>
              </w:tc>
              <w:tc>
                <w:tcPr>
                  <w:tcW w:w="1500" w:type="pct"/>
                  <w:tcBorders>
                    <w:tl2br w:val="nil"/>
                    <w:tr2bl w:val="nil"/>
                  </w:tcBorders>
                  <w:vAlign w:val="center"/>
                </w:tcPr>
                <w:p w14:paraId="2C43832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颗粒物</w:t>
                  </w:r>
                </w:p>
              </w:tc>
              <w:tc>
                <w:tcPr>
                  <w:tcW w:w="1168" w:type="pct"/>
                  <w:tcBorders>
                    <w:tl2br w:val="nil"/>
                    <w:tr2bl w:val="nil"/>
                  </w:tcBorders>
                  <w:vAlign w:val="center"/>
                </w:tcPr>
                <w:p w14:paraId="150054F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厂界</w:t>
                  </w:r>
                </w:p>
              </w:tc>
              <w:tc>
                <w:tcPr>
                  <w:tcW w:w="832" w:type="pct"/>
                  <w:tcBorders>
                    <w:tl2br w:val="nil"/>
                    <w:tr2bl w:val="nil"/>
                  </w:tcBorders>
                  <w:vAlign w:val="center"/>
                </w:tcPr>
                <w:p w14:paraId="51D906E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1年/次</w:t>
                  </w:r>
                </w:p>
              </w:tc>
            </w:tr>
          </w:tbl>
          <w:p w14:paraId="23C378B2">
            <w:pPr>
              <w:spacing w:line="360" w:lineRule="auto"/>
              <w:ind w:firstLine="480" w:firstLineChars="200"/>
              <w:rPr>
                <w:rFonts w:ascii="宋体" w:hAnsi="宋体"/>
                <w:sz w:val="24"/>
              </w:rPr>
            </w:pPr>
            <w:r>
              <w:rPr>
                <w:rFonts w:hint="eastAsia" w:asciiTheme="minorEastAsia" w:hAnsiTheme="minorEastAsia" w:eastAsiaTheme="minorEastAsia"/>
                <w:sz w:val="24"/>
                <w:szCs w:val="24"/>
              </w:rPr>
              <w:t>6、</w:t>
            </w:r>
            <w:r>
              <w:rPr>
                <w:rFonts w:hint="eastAsia" w:ascii="宋体" w:hAnsi="宋体"/>
                <w:sz w:val="24"/>
              </w:rPr>
              <w:t>大气环境防护距离</w:t>
            </w:r>
          </w:p>
          <w:p w14:paraId="21E9CA38">
            <w:pPr>
              <w:spacing w:line="360" w:lineRule="auto"/>
              <w:ind w:firstLine="480" w:firstLineChars="200"/>
              <w:jc w:val="left"/>
              <w:rPr>
                <w:rFonts w:asciiTheme="minorEastAsia" w:hAnsiTheme="minorEastAsia" w:eastAsiaTheme="minorEastAsia"/>
                <w:sz w:val="24"/>
                <w:szCs w:val="24"/>
              </w:rPr>
            </w:pPr>
            <w:r>
              <w:rPr>
                <w:rFonts w:hint="eastAsia" w:ascii="宋体" w:hAnsi="宋体"/>
                <w:sz w:val="24"/>
              </w:rPr>
              <w:t>根据</w:t>
            </w:r>
            <w:r>
              <w:rPr>
                <w:rFonts w:ascii="宋体" w:hAnsi="宋体"/>
                <w:sz w:val="24"/>
              </w:rPr>
              <w:t>《环境影响评价技术导则 大气环境》（HJ2.2-2018）</w:t>
            </w:r>
            <w:r>
              <w:rPr>
                <w:rFonts w:hint="eastAsia" w:ascii="宋体" w:hAnsi="宋体"/>
                <w:sz w:val="24"/>
              </w:rPr>
              <w:t>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本项目颗粒物厂界外大气污染物短期贡献浓度小于</w:t>
            </w:r>
            <w:r>
              <w:rPr>
                <w:rFonts w:asciiTheme="minorEastAsia" w:hAnsiTheme="minorEastAsia" w:eastAsiaTheme="minorEastAsia"/>
                <w:sz w:val="24"/>
                <w:szCs w:val="24"/>
              </w:rPr>
              <w:t>《大气污染物综合排放标准》（GB16297-1996）</w:t>
            </w:r>
            <w:r>
              <w:rPr>
                <w:rFonts w:hint="eastAsia" w:ascii="宋体" w:hAnsi="宋体"/>
                <w:bCs/>
                <w:sz w:val="24"/>
              </w:rPr>
              <w:t>中相关要求</w:t>
            </w:r>
            <w:r>
              <w:rPr>
                <w:rFonts w:hint="eastAsia" w:ascii="宋体" w:hAnsi="宋体"/>
                <w:sz w:val="24"/>
              </w:rPr>
              <w:t>，故无需设置大气防护距离。</w:t>
            </w:r>
          </w:p>
          <w:p w14:paraId="159247A9">
            <w:pPr>
              <w:spacing w:line="360" w:lineRule="auto"/>
              <w:ind w:firstLine="480" w:firstLineChars="200"/>
              <w:jc w:val="left"/>
              <w:rPr>
                <w:rFonts w:ascii="宋体" w:hAnsi="宋体"/>
                <w:sz w:val="24"/>
                <w:u w:val="single"/>
              </w:rPr>
            </w:pPr>
            <w:r>
              <w:rPr>
                <w:rFonts w:hint="eastAsia" w:ascii="宋体" w:hAnsi="宋体"/>
                <w:sz w:val="24"/>
                <w:u w:val="single"/>
              </w:rPr>
              <w:t>7、本项目对环境保护目标影响分析</w:t>
            </w:r>
          </w:p>
          <w:p w14:paraId="23F8AC61">
            <w:pPr>
              <w:spacing w:line="360" w:lineRule="auto"/>
              <w:ind w:firstLine="480" w:firstLineChars="200"/>
              <w:jc w:val="left"/>
              <w:rPr>
                <w:rFonts w:ascii="宋体" w:hAnsi="宋体"/>
                <w:sz w:val="24"/>
                <w:u w:val="single"/>
              </w:rPr>
            </w:pPr>
            <w:r>
              <w:rPr>
                <w:rFonts w:hint="eastAsia" w:ascii="宋体" w:hAnsi="宋体"/>
                <w:sz w:val="24"/>
                <w:u w:val="single"/>
              </w:rPr>
              <w:t>本项目</w:t>
            </w:r>
            <w:r>
              <w:rPr>
                <w:rFonts w:hint="eastAsia" w:ascii="MS Mincho" w:hAnsi="MS Mincho" w:eastAsia="MS Mincho" w:cs="MS Mincho"/>
                <w:sz w:val="24"/>
                <w:u w:val="single"/>
              </w:rPr>
              <w:t>‌</w:t>
            </w:r>
            <w:r>
              <w:rPr>
                <w:rFonts w:hint="eastAsia" w:ascii="宋体" w:hAnsi="宋体" w:cs="宋体"/>
                <w:sz w:val="24"/>
                <w:u w:val="single"/>
              </w:rPr>
              <w:t>厂界外最近的环境敏感点为西侧</w:t>
            </w:r>
            <w:r>
              <w:rPr>
                <w:rFonts w:ascii="宋体" w:hAnsi="宋体"/>
                <w:sz w:val="24"/>
                <w:u w:val="single"/>
              </w:rPr>
              <w:t>75</w:t>
            </w:r>
            <w:r>
              <w:rPr>
                <w:rFonts w:hint="eastAsia" w:ascii="宋体" w:hAnsi="宋体"/>
                <w:sz w:val="24"/>
                <w:u w:val="single"/>
              </w:rPr>
              <w:t>米处的后山村村民</w:t>
            </w:r>
            <w:r>
              <w:rPr>
                <w:rFonts w:hint="eastAsia" w:ascii="MS Mincho" w:hAnsi="MS Mincho" w:eastAsia="MS Mincho" w:cs="MS Mincho"/>
                <w:sz w:val="24"/>
                <w:u w:val="single"/>
              </w:rPr>
              <w:t>‌</w:t>
            </w:r>
            <w:r>
              <w:rPr>
                <w:rFonts w:hint="eastAsia" w:ascii="宋体" w:hAnsi="宋体" w:cs="宋体"/>
                <w:sz w:val="24"/>
                <w:u w:val="single"/>
              </w:rPr>
              <w:t>。这部分居民是受无组织排放潜在影响最直接、最显著的群体。长期暴露在即使浓度较低的粉尘环境中，也可能引起或加剧呼吸道不适，尤其对村中的老人、儿童、哮喘患者等敏感人群健康风险更高。粉尘沉降会影响居民家中的室内外清洁，降低生活舒适度和环境整洁度。在特定气象条件下，短时较高浓度的无组织粉尘可能造成局部区域的能见度轻度下降，并引发居民关于污染和健康的担忧与投诉。</w:t>
            </w:r>
            <w:r>
              <w:rPr>
                <w:rFonts w:hint="eastAsia" w:ascii="宋体" w:hAnsi="宋体"/>
                <w:sz w:val="24"/>
                <w:u w:val="single"/>
              </w:rPr>
              <w:t>根据分析预测结果，本项目废气污染物有组织和无组织均可达标排放，且该环境敏感点处于本项目上风向，运营期对保护目标影响较小。</w:t>
            </w:r>
          </w:p>
          <w:p w14:paraId="6B091977">
            <w:pPr>
              <w:spacing w:line="360" w:lineRule="auto"/>
              <w:ind w:firstLine="480" w:firstLineChars="200"/>
              <w:jc w:val="left"/>
              <w:rPr>
                <w:rFonts w:ascii="宋体" w:hAnsi="宋体" w:cs="宋体"/>
                <w:sz w:val="24"/>
                <w:u w:val="single"/>
              </w:rPr>
            </w:pPr>
            <w:r>
              <w:rPr>
                <w:rFonts w:hint="eastAsia" w:ascii="宋体" w:hAnsi="宋体" w:cs="宋体"/>
                <w:sz w:val="24"/>
                <w:u w:val="single"/>
              </w:rPr>
              <w:t>针对近距离敏感目标，建议在前文所述污染防治措施的（密闭厂房、洒水、苫盖等）基础上，从源头、过程、管理全方位进行强化，确保有效减轻影响。</w:t>
            </w:r>
          </w:p>
          <w:p w14:paraId="77BF0E76">
            <w:pPr>
              <w:spacing w:line="360" w:lineRule="auto"/>
              <w:ind w:firstLine="480" w:firstLineChars="200"/>
              <w:jc w:val="left"/>
              <w:rPr>
                <w:rFonts w:ascii="宋体" w:hAnsi="宋体" w:cs="宋体"/>
                <w:sz w:val="24"/>
                <w:u w:val="single"/>
              </w:rPr>
            </w:pPr>
            <w:r>
              <w:rPr>
                <w:rFonts w:hint="eastAsia" w:ascii="宋体" w:hAnsi="宋体" w:cs="宋体"/>
                <w:sz w:val="24"/>
                <w:u w:val="single"/>
              </w:rPr>
              <w:t>（1）源头控制强化</w:t>
            </w:r>
            <w:r>
              <w:rPr>
                <w:rFonts w:hint="eastAsia" w:ascii="MS Mincho" w:hAnsi="MS Mincho" w:eastAsia="MS Mincho" w:cs="MS Mincho"/>
                <w:sz w:val="24"/>
                <w:u w:val="single"/>
              </w:rPr>
              <w:t>‌</w:t>
            </w:r>
          </w:p>
          <w:p w14:paraId="3074B6F3">
            <w:pPr>
              <w:spacing w:line="360" w:lineRule="auto"/>
              <w:ind w:firstLine="480" w:firstLineChars="200"/>
              <w:jc w:val="left"/>
              <w:rPr>
                <w:rFonts w:ascii="宋体" w:hAnsi="宋体" w:cs="宋体"/>
                <w:sz w:val="24"/>
                <w:u w:val="single"/>
              </w:rPr>
            </w:pPr>
            <w:r>
              <w:rPr>
                <w:rFonts w:hint="eastAsia" w:ascii="宋体" w:hAnsi="宋体" w:cs="宋体"/>
                <w:sz w:val="24"/>
                <w:u w:val="single"/>
              </w:rPr>
              <w:t>工艺升级</w:t>
            </w:r>
            <w:r>
              <w:rPr>
                <w:rFonts w:hint="eastAsia" w:ascii="MS Mincho" w:hAnsi="MS Mincho" w:eastAsia="MS Mincho" w:cs="MS Mincho"/>
                <w:sz w:val="24"/>
                <w:u w:val="single"/>
              </w:rPr>
              <w:t>‌</w:t>
            </w:r>
            <w:r>
              <w:rPr>
                <w:rFonts w:hint="eastAsia" w:ascii="宋体" w:hAnsi="宋体" w:cs="宋体"/>
                <w:sz w:val="24"/>
                <w:u w:val="single"/>
              </w:rPr>
              <w:t>：在条件允许下，考虑增加喷雾除尘系统集成至工艺流程关键点。</w:t>
            </w:r>
          </w:p>
          <w:p w14:paraId="4017D315">
            <w:pPr>
              <w:spacing w:line="360" w:lineRule="auto"/>
              <w:ind w:firstLine="480" w:firstLineChars="200"/>
              <w:jc w:val="left"/>
              <w:rPr>
                <w:rFonts w:ascii="宋体" w:hAnsi="宋体" w:cs="宋体"/>
                <w:sz w:val="24"/>
                <w:u w:val="single"/>
              </w:rPr>
            </w:pPr>
            <w:r>
              <w:rPr>
                <w:rFonts w:hint="eastAsia" w:ascii="宋体" w:hAnsi="宋体" w:cs="宋体"/>
                <w:sz w:val="24"/>
                <w:u w:val="single"/>
              </w:rPr>
              <w:t>场地全硬化与管理</w:t>
            </w:r>
            <w:r>
              <w:rPr>
                <w:rFonts w:hint="eastAsia" w:ascii="MS Mincho" w:hAnsi="MS Mincho" w:eastAsia="MS Mincho" w:cs="MS Mincho"/>
                <w:sz w:val="24"/>
                <w:u w:val="single"/>
              </w:rPr>
              <w:t>‌</w:t>
            </w:r>
            <w:r>
              <w:rPr>
                <w:rFonts w:hint="eastAsia" w:ascii="宋体" w:hAnsi="宋体" w:cs="宋体"/>
                <w:sz w:val="24"/>
                <w:u w:val="single"/>
              </w:rPr>
              <w:t>：确保项目区域内所有地面全部硬化并保持完好，防止泥土带出产生次生扬尘。</w:t>
            </w:r>
          </w:p>
          <w:p w14:paraId="1C6E2BB9">
            <w:pPr>
              <w:spacing w:line="360" w:lineRule="auto"/>
              <w:ind w:firstLine="480" w:firstLineChars="200"/>
              <w:jc w:val="left"/>
              <w:rPr>
                <w:rFonts w:ascii="宋体" w:hAnsi="宋体" w:cs="宋体"/>
                <w:sz w:val="24"/>
                <w:u w:val="single"/>
              </w:rPr>
            </w:pPr>
            <w:r>
              <w:rPr>
                <w:rFonts w:hint="eastAsia" w:ascii="宋体" w:hAnsi="宋体" w:cs="宋体"/>
                <w:sz w:val="24"/>
                <w:u w:val="single"/>
              </w:rPr>
              <w:t>（2）过程控制精细化与可视化强化</w:t>
            </w:r>
            <w:r>
              <w:rPr>
                <w:rFonts w:hint="eastAsia" w:ascii="MS Mincho" w:hAnsi="MS Mincho" w:eastAsia="MS Mincho" w:cs="MS Mincho"/>
                <w:sz w:val="24"/>
                <w:u w:val="single"/>
              </w:rPr>
              <w:t>‌</w:t>
            </w:r>
          </w:p>
          <w:p w14:paraId="1792109C">
            <w:pPr>
              <w:spacing w:line="360" w:lineRule="auto"/>
              <w:ind w:firstLine="480" w:firstLineChars="200"/>
              <w:jc w:val="left"/>
              <w:rPr>
                <w:rFonts w:ascii="宋体" w:hAnsi="宋体" w:cs="宋体"/>
                <w:sz w:val="24"/>
                <w:u w:val="single"/>
              </w:rPr>
            </w:pPr>
            <w:r>
              <w:rPr>
                <w:rFonts w:hint="eastAsia" w:ascii="宋体" w:hAnsi="宋体" w:cs="宋体"/>
                <w:sz w:val="24"/>
                <w:u w:val="single"/>
              </w:rPr>
              <w:t>运输与装卸作业管理</w:t>
            </w:r>
            <w:r>
              <w:rPr>
                <w:rFonts w:hint="eastAsia" w:ascii="MS Mincho" w:hAnsi="MS Mincho" w:eastAsia="MS Mincho" w:cs="MS Mincho"/>
                <w:sz w:val="24"/>
                <w:u w:val="single"/>
              </w:rPr>
              <w:t>‌</w:t>
            </w:r>
            <w:r>
              <w:rPr>
                <w:rFonts w:hint="eastAsia" w:ascii="宋体" w:hAnsi="宋体" w:cs="宋体"/>
                <w:sz w:val="24"/>
                <w:u w:val="single"/>
              </w:rPr>
              <w:t>：</w:t>
            </w:r>
          </w:p>
          <w:p w14:paraId="173A7B08">
            <w:pPr>
              <w:spacing w:line="360" w:lineRule="auto"/>
              <w:ind w:firstLine="480" w:firstLineChars="200"/>
              <w:jc w:val="left"/>
              <w:rPr>
                <w:rFonts w:ascii="宋体" w:hAnsi="宋体" w:cs="宋体"/>
                <w:sz w:val="24"/>
                <w:u w:val="single"/>
              </w:rPr>
            </w:pPr>
            <w:r>
              <w:rPr>
                <w:rFonts w:hint="eastAsia" w:ascii="宋体" w:hAnsi="宋体" w:cs="宋体"/>
                <w:sz w:val="24"/>
                <w:u w:val="single"/>
              </w:rPr>
              <w:t>划定作业区</w:t>
            </w:r>
            <w:r>
              <w:rPr>
                <w:rFonts w:hint="eastAsia" w:ascii="MS Mincho" w:hAnsi="MS Mincho" w:eastAsia="MS Mincho" w:cs="MS Mincho"/>
                <w:sz w:val="24"/>
                <w:u w:val="single"/>
              </w:rPr>
              <w:t>‌</w:t>
            </w:r>
            <w:r>
              <w:rPr>
                <w:rFonts w:hint="eastAsia" w:ascii="宋体" w:hAnsi="宋体" w:cs="宋体"/>
                <w:sz w:val="24"/>
                <w:u w:val="single"/>
              </w:rPr>
              <w:t>：严格规定装载、卸载、转运等易扬尘作业在划定的密闭或半密闭空间内进行，并对这些区域实施重点监控。</w:t>
            </w:r>
          </w:p>
          <w:p w14:paraId="1E404E6A">
            <w:pPr>
              <w:spacing w:line="360" w:lineRule="auto"/>
              <w:ind w:firstLine="480" w:firstLineChars="200"/>
              <w:jc w:val="left"/>
              <w:rPr>
                <w:rFonts w:ascii="宋体" w:hAnsi="宋体" w:cs="宋体"/>
                <w:sz w:val="24"/>
                <w:u w:val="single"/>
              </w:rPr>
            </w:pPr>
            <w:r>
              <w:rPr>
                <w:rFonts w:hint="eastAsia" w:ascii="宋体" w:hAnsi="宋体" w:cs="宋体"/>
                <w:sz w:val="24"/>
                <w:u w:val="single"/>
              </w:rPr>
              <w:t>车速与装载量限制</w:t>
            </w:r>
            <w:r>
              <w:rPr>
                <w:rFonts w:hint="eastAsia" w:ascii="MS Mincho" w:hAnsi="MS Mincho" w:eastAsia="MS Mincho" w:cs="MS Mincho"/>
                <w:sz w:val="24"/>
                <w:u w:val="single"/>
              </w:rPr>
              <w:t>‌</w:t>
            </w:r>
            <w:r>
              <w:rPr>
                <w:rFonts w:hint="eastAsia" w:ascii="宋体" w:hAnsi="宋体" w:cs="宋体"/>
                <w:sz w:val="24"/>
                <w:u w:val="single"/>
              </w:rPr>
              <w:t>：在厂区内部，尤其是靠近西侧厂界的区域，严格限制运输车辆速度，并严禁超载行驶，防止物料洒落和地面扬尘。</w:t>
            </w:r>
          </w:p>
          <w:p w14:paraId="2FDF3AA3">
            <w:pPr>
              <w:spacing w:line="360" w:lineRule="auto"/>
              <w:ind w:firstLine="480" w:firstLineChars="200"/>
              <w:jc w:val="left"/>
              <w:rPr>
                <w:rFonts w:ascii="宋体" w:hAnsi="宋体" w:cs="宋体"/>
                <w:sz w:val="24"/>
                <w:u w:val="single"/>
              </w:rPr>
            </w:pPr>
            <w:r>
              <w:rPr>
                <w:rFonts w:hint="eastAsia" w:ascii="宋体" w:hAnsi="宋体" w:cs="宋体"/>
                <w:sz w:val="24"/>
                <w:u w:val="single"/>
              </w:rPr>
              <w:t>抑尘措施增效</w:t>
            </w:r>
            <w:r>
              <w:rPr>
                <w:rFonts w:hint="eastAsia" w:ascii="MS Mincho" w:hAnsi="MS Mincho" w:eastAsia="MS Mincho" w:cs="MS Mincho"/>
                <w:sz w:val="24"/>
                <w:u w:val="single"/>
              </w:rPr>
              <w:t>‌</w:t>
            </w:r>
            <w:r>
              <w:rPr>
                <w:rFonts w:hint="eastAsia" w:ascii="宋体" w:hAnsi="宋体" w:cs="宋体"/>
                <w:sz w:val="24"/>
                <w:u w:val="single"/>
              </w:rPr>
              <w:t>：</w:t>
            </w:r>
          </w:p>
          <w:p w14:paraId="28F666CF">
            <w:pPr>
              <w:spacing w:line="360" w:lineRule="auto"/>
              <w:ind w:firstLine="480" w:firstLineChars="200"/>
              <w:jc w:val="left"/>
              <w:rPr>
                <w:rFonts w:ascii="宋体" w:hAnsi="宋体" w:cs="宋体"/>
                <w:sz w:val="24"/>
                <w:u w:val="single"/>
              </w:rPr>
            </w:pPr>
            <w:r>
              <w:rPr>
                <w:rFonts w:hint="eastAsia" w:ascii="宋体" w:hAnsi="宋体" w:cs="宋体"/>
                <w:sz w:val="24"/>
                <w:u w:val="single"/>
              </w:rPr>
              <w:t>增加洒水频次与范围</w:t>
            </w:r>
            <w:r>
              <w:rPr>
                <w:rFonts w:hint="eastAsia" w:ascii="MS Mincho" w:hAnsi="MS Mincho" w:eastAsia="MS Mincho" w:cs="MS Mincho"/>
                <w:sz w:val="24"/>
                <w:u w:val="single"/>
              </w:rPr>
              <w:t>‌</w:t>
            </w:r>
            <w:r>
              <w:rPr>
                <w:rFonts w:hint="eastAsia" w:ascii="宋体" w:hAnsi="宋体" w:cs="宋体"/>
                <w:sz w:val="24"/>
                <w:u w:val="single"/>
              </w:rPr>
              <w:t>：应根据实时气象监测（风力、湿度）动态调整洒水、雾炮作业，尤其在干燥、多风天气应加密频次。确保洒水范围覆盖从原料入场到产品装车的全部动线及所有可能扬尘点位，特别加强对临近西侧厂界区域的喷雾降尘。</w:t>
            </w:r>
          </w:p>
          <w:p w14:paraId="6DDD115B">
            <w:pPr>
              <w:spacing w:line="360" w:lineRule="auto"/>
              <w:ind w:firstLine="480" w:firstLineChars="200"/>
              <w:jc w:val="left"/>
              <w:rPr>
                <w:rFonts w:ascii="宋体" w:hAnsi="宋体" w:cs="宋体"/>
                <w:sz w:val="24"/>
                <w:u w:val="single"/>
              </w:rPr>
            </w:pPr>
            <w:r>
              <w:rPr>
                <w:rFonts w:hint="eastAsia" w:ascii="宋体" w:hAnsi="宋体" w:cs="宋体"/>
                <w:sz w:val="24"/>
                <w:u w:val="single"/>
              </w:rPr>
              <w:t>加强物料苫盖</w:t>
            </w:r>
            <w:r>
              <w:rPr>
                <w:rFonts w:hint="eastAsia" w:ascii="MS Mincho" w:hAnsi="MS Mincho" w:eastAsia="MS Mincho" w:cs="MS Mincho"/>
                <w:sz w:val="24"/>
                <w:u w:val="single"/>
              </w:rPr>
              <w:t>‌</w:t>
            </w:r>
            <w:r>
              <w:rPr>
                <w:rFonts w:hint="eastAsia" w:ascii="宋体" w:hAnsi="宋体" w:cs="宋体"/>
                <w:sz w:val="24"/>
                <w:u w:val="single"/>
              </w:rPr>
              <w:t>：对于原料堆场，除洒水、防风网外，必须采用更严密的“三重抑尘法”：①下层基础湿化、②中层防风网阻挡、③上层及侧面使用</w:t>
            </w:r>
            <w:r>
              <w:rPr>
                <w:rFonts w:hint="eastAsia" w:ascii="MS Mincho" w:hAnsi="MS Mincho" w:eastAsia="MS Mincho" w:cs="MS Mincho"/>
                <w:sz w:val="24"/>
                <w:u w:val="single"/>
              </w:rPr>
              <w:t>‌</w:t>
            </w:r>
            <w:r>
              <w:rPr>
                <w:rFonts w:hint="eastAsia" w:ascii="宋体" w:hAnsi="宋体" w:cs="宋体"/>
                <w:sz w:val="24"/>
                <w:u w:val="single"/>
              </w:rPr>
              <w:t>高质量、全覆盖、边缘压实</w:t>
            </w:r>
            <w:r>
              <w:rPr>
                <w:rFonts w:hint="eastAsia" w:ascii="MS Mincho" w:hAnsi="MS Mincho" w:eastAsia="MS Mincho" w:cs="MS Mincho"/>
                <w:sz w:val="24"/>
                <w:u w:val="single"/>
              </w:rPr>
              <w:t>‌</w:t>
            </w:r>
            <w:r>
              <w:rPr>
                <w:rFonts w:hint="eastAsia" w:ascii="宋体" w:hAnsi="宋体" w:cs="宋体"/>
                <w:sz w:val="24"/>
                <w:u w:val="single"/>
              </w:rPr>
              <w:t>的防尘苫布或抑尘网，确保无死角。对成品库房内的建筑用砂、石粉等物料同样要求密闭存放。</w:t>
            </w:r>
          </w:p>
          <w:p w14:paraId="6E1A736A">
            <w:pPr>
              <w:spacing w:line="360" w:lineRule="auto"/>
              <w:ind w:firstLine="480" w:firstLineChars="200"/>
              <w:jc w:val="left"/>
              <w:rPr>
                <w:rFonts w:ascii="宋体" w:hAnsi="宋体" w:cs="宋体"/>
                <w:sz w:val="24"/>
                <w:u w:val="single"/>
              </w:rPr>
            </w:pPr>
            <w:r>
              <w:rPr>
                <w:rFonts w:hint="eastAsia" w:ascii="宋体" w:hAnsi="宋体" w:cs="宋体"/>
                <w:sz w:val="24"/>
                <w:u w:val="single"/>
              </w:rPr>
              <w:t>强化厂房密闭性</w:t>
            </w:r>
            <w:r>
              <w:rPr>
                <w:rFonts w:hint="eastAsia" w:ascii="MS Mincho" w:hAnsi="MS Mincho" w:eastAsia="MS Mincho" w:cs="MS Mincho"/>
                <w:sz w:val="24"/>
                <w:u w:val="single"/>
              </w:rPr>
              <w:t>‌</w:t>
            </w:r>
            <w:r>
              <w:rPr>
                <w:rFonts w:hint="eastAsia" w:ascii="宋体" w:hAnsi="宋体" w:cs="宋体"/>
                <w:sz w:val="24"/>
                <w:u w:val="single"/>
              </w:rPr>
              <w:t>：</w:t>
            </w:r>
          </w:p>
          <w:p w14:paraId="2BCA1784">
            <w:pPr>
              <w:spacing w:line="360" w:lineRule="auto"/>
              <w:ind w:firstLine="480" w:firstLineChars="200"/>
              <w:jc w:val="left"/>
              <w:rPr>
                <w:rFonts w:ascii="宋体" w:hAnsi="宋体" w:cs="宋体"/>
                <w:sz w:val="24"/>
                <w:u w:val="single"/>
              </w:rPr>
            </w:pPr>
            <w:r>
              <w:rPr>
                <w:rFonts w:hint="eastAsia" w:ascii="宋体" w:hAnsi="宋体" w:cs="宋体"/>
                <w:sz w:val="24"/>
                <w:u w:val="single"/>
              </w:rPr>
              <w:t>定期检查并维护</w:t>
            </w:r>
            <w:r>
              <w:rPr>
                <w:rFonts w:hint="eastAsia" w:ascii="MS Mincho" w:hAnsi="MS Mincho" w:eastAsia="MS Mincho" w:cs="MS Mincho"/>
                <w:sz w:val="24"/>
                <w:u w:val="single"/>
              </w:rPr>
              <w:t>‌</w:t>
            </w:r>
            <w:r>
              <w:rPr>
                <w:rFonts w:hint="eastAsia" w:ascii="宋体" w:hAnsi="宋体" w:cs="宋体"/>
                <w:sz w:val="24"/>
                <w:u w:val="single"/>
              </w:rPr>
              <w:t>破碎车间</w:t>
            </w:r>
            <w:r>
              <w:rPr>
                <w:rFonts w:hint="eastAsia" w:ascii="MS Mincho" w:hAnsi="MS Mincho" w:eastAsia="MS Mincho" w:cs="MS Mincho"/>
                <w:sz w:val="24"/>
                <w:u w:val="single"/>
              </w:rPr>
              <w:t>‌</w:t>
            </w:r>
            <w:r>
              <w:rPr>
                <w:rFonts w:hint="eastAsia" w:ascii="宋体" w:hAnsi="宋体" w:cs="宋体"/>
                <w:sz w:val="24"/>
                <w:u w:val="single"/>
              </w:rPr>
              <w:t>的密闭性，确保门窗、接缝处的密封条完好。确保集气系统高效运行，以维持厂房内的</w:t>
            </w:r>
            <w:r>
              <w:rPr>
                <w:rFonts w:hint="eastAsia" w:ascii="MS Mincho" w:hAnsi="MS Mincho" w:eastAsia="MS Mincho" w:cs="MS Mincho"/>
                <w:sz w:val="24"/>
                <w:u w:val="single"/>
              </w:rPr>
              <w:t>‌</w:t>
            </w:r>
            <w:r>
              <w:rPr>
                <w:rFonts w:hint="eastAsia" w:ascii="宋体" w:hAnsi="宋体" w:cs="宋体"/>
                <w:sz w:val="24"/>
                <w:u w:val="single"/>
              </w:rPr>
              <w:t>微负压状态</w:t>
            </w:r>
            <w:r>
              <w:rPr>
                <w:rFonts w:hint="eastAsia" w:ascii="MS Mincho" w:hAnsi="MS Mincho" w:eastAsia="MS Mincho" w:cs="MS Mincho"/>
                <w:sz w:val="24"/>
                <w:u w:val="single"/>
              </w:rPr>
              <w:t>‌</w:t>
            </w:r>
            <w:r>
              <w:rPr>
                <w:rFonts w:hint="eastAsia" w:ascii="宋体" w:hAnsi="宋体" w:cs="宋体"/>
                <w:sz w:val="24"/>
                <w:u w:val="single"/>
              </w:rPr>
              <w:t>，最大限度防止含尘气体逸散。</w:t>
            </w:r>
          </w:p>
          <w:p w14:paraId="07518B94">
            <w:pPr>
              <w:spacing w:line="360" w:lineRule="auto"/>
              <w:ind w:firstLine="480" w:firstLineChars="200"/>
              <w:jc w:val="left"/>
              <w:rPr>
                <w:rFonts w:ascii="宋体" w:hAnsi="宋体" w:cs="宋体"/>
                <w:sz w:val="24"/>
                <w:u w:val="single"/>
              </w:rPr>
            </w:pPr>
            <w:r>
              <w:rPr>
                <w:rFonts w:hint="eastAsia" w:ascii="宋体" w:hAnsi="宋体" w:cs="宋体"/>
                <w:sz w:val="24"/>
                <w:u w:val="single"/>
              </w:rPr>
              <w:t>（3）建立专门的环境管理与居民沟通机制</w:t>
            </w:r>
            <w:r>
              <w:rPr>
                <w:rFonts w:hint="eastAsia" w:ascii="MS Mincho" w:hAnsi="MS Mincho" w:eastAsia="MS Mincho" w:cs="MS Mincho"/>
                <w:sz w:val="24"/>
                <w:u w:val="single"/>
              </w:rPr>
              <w:t>‌</w:t>
            </w:r>
          </w:p>
          <w:p w14:paraId="7D43866F">
            <w:pPr>
              <w:spacing w:line="360" w:lineRule="auto"/>
              <w:ind w:firstLine="480" w:firstLineChars="200"/>
              <w:jc w:val="left"/>
              <w:rPr>
                <w:rFonts w:ascii="宋体" w:hAnsi="宋体" w:cs="宋体"/>
                <w:sz w:val="24"/>
                <w:u w:val="single"/>
              </w:rPr>
            </w:pPr>
            <w:r>
              <w:rPr>
                <w:rFonts w:hint="eastAsia" w:ascii="宋体" w:hAnsi="宋体" w:cs="宋体"/>
                <w:sz w:val="24"/>
                <w:u w:val="single"/>
              </w:rPr>
              <w:t>搭建沟通渠道</w:t>
            </w:r>
            <w:r>
              <w:rPr>
                <w:rFonts w:hint="eastAsia" w:ascii="MS Mincho" w:hAnsi="MS Mincho" w:eastAsia="MS Mincho" w:cs="MS Mincho"/>
                <w:sz w:val="24"/>
                <w:u w:val="single"/>
              </w:rPr>
              <w:t>‌</w:t>
            </w:r>
            <w:r>
              <w:rPr>
                <w:rFonts w:hint="eastAsia" w:ascii="宋体" w:hAnsi="宋体" w:cs="宋体"/>
                <w:sz w:val="24"/>
                <w:u w:val="single"/>
              </w:rPr>
              <w:t>：与后山村建立定期的环境信息公开与沟通机制，公示主要污染防治措施、作业时间、投诉联系方式等。主动接受居民监督，对居民反映的环境问题应及时响应和处理。</w:t>
            </w:r>
          </w:p>
          <w:p w14:paraId="220CD203">
            <w:pPr>
              <w:spacing w:line="360" w:lineRule="auto"/>
              <w:ind w:firstLine="480" w:firstLineChars="200"/>
              <w:jc w:val="left"/>
              <w:rPr>
                <w:rFonts w:ascii="宋体" w:hAnsi="宋体" w:cs="宋体"/>
                <w:sz w:val="24"/>
                <w:u w:val="single"/>
              </w:rPr>
            </w:pPr>
            <w:r>
              <w:rPr>
                <w:rFonts w:hint="eastAsia" w:ascii="宋体" w:hAnsi="宋体" w:cs="宋体"/>
                <w:sz w:val="24"/>
                <w:u w:val="single"/>
              </w:rPr>
              <w:t>异常天气应急响应</w:t>
            </w:r>
            <w:r>
              <w:rPr>
                <w:rFonts w:hint="eastAsia" w:ascii="MS Mincho" w:hAnsi="MS Mincho" w:eastAsia="MS Mincho" w:cs="MS Mincho"/>
                <w:sz w:val="24"/>
                <w:u w:val="single"/>
              </w:rPr>
              <w:t>‌</w:t>
            </w:r>
            <w:r>
              <w:rPr>
                <w:rFonts w:hint="eastAsia" w:ascii="宋体" w:hAnsi="宋体" w:cs="宋体"/>
                <w:sz w:val="24"/>
                <w:u w:val="single"/>
              </w:rPr>
              <w:t>：建立在大风、干燥、静稳等易引发扬尘的不利气象条件下的专项应急操作规程，明确应采取的强化降尘作业、是否暂停特定工序等措施。</w:t>
            </w:r>
          </w:p>
          <w:p w14:paraId="7C707865">
            <w:pPr>
              <w:spacing w:line="360" w:lineRule="auto"/>
              <w:ind w:firstLine="480" w:firstLineChars="200"/>
              <w:jc w:val="left"/>
              <w:rPr>
                <w:rFonts w:ascii="宋体" w:hAnsi="宋体"/>
                <w:bCs/>
                <w:sz w:val="24"/>
                <w:u w:val="single"/>
              </w:rPr>
            </w:pPr>
            <w:r>
              <w:rPr>
                <w:rFonts w:hint="eastAsia" w:ascii="宋体" w:hAnsi="宋体"/>
                <w:bCs/>
                <w:sz w:val="24"/>
                <w:u w:val="single"/>
              </w:rPr>
              <w:t>8、运输及堆存过程的沿线影响分析与污染防治措施</w:t>
            </w:r>
          </w:p>
          <w:p w14:paraId="0A03389F">
            <w:pPr>
              <w:spacing w:line="360" w:lineRule="auto"/>
              <w:ind w:firstLine="480" w:firstLineChars="200"/>
              <w:jc w:val="left"/>
              <w:rPr>
                <w:rFonts w:ascii="宋体" w:hAnsi="宋体"/>
                <w:bCs/>
                <w:sz w:val="24"/>
                <w:u w:val="single"/>
              </w:rPr>
            </w:pPr>
            <w:r>
              <w:rPr>
                <w:rFonts w:hint="eastAsia" w:asciiTheme="minorEastAsia" w:hAnsiTheme="minorEastAsia" w:eastAsiaTheme="minorEastAsia"/>
                <w:sz w:val="24"/>
                <w:szCs w:val="24"/>
                <w:u w:val="single"/>
              </w:rPr>
              <w:t>本项目距离新型建材产业园区较近，即运输距离较近，采用公路运输（自动卸料汽车/卡车）方式，便于直接与合作单位的破碎场的出料流程衔接。对于运送原料的车辆，要求顶部使用</w:t>
            </w:r>
            <w:r>
              <w:rPr>
                <w:rFonts w:hint="eastAsia" w:ascii="MS Mincho" w:hAnsi="MS Mincho" w:eastAsia="MS Mincho" w:cs="MS Mincho"/>
                <w:sz w:val="24"/>
                <w:szCs w:val="24"/>
                <w:u w:val="single"/>
              </w:rPr>
              <w:t>‌</w:t>
            </w:r>
            <w:r>
              <w:rPr>
                <w:rFonts w:hint="eastAsia" w:ascii="宋体" w:hAnsi="宋体" w:cs="宋体"/>
                <w:sz w:val="24"/>
                <w:szCs w:val="24"/>
                <w:u w:val="single"/>
              </w:rPr>
              <w:t>篷布严密覆盖</w:t>
            </w:r>
            <w:r>
              <w:rPr>
                <w:rFonts w:hint="eastAsia" w:ascii="MS Mincho" w:hAnsi="MS Mincho" w:eastAsia="MS Mincho" w:cs="MS Mincho"/>
                <w:sz w:val="24"/>
                <w:szCs w:val="24"/>
                <w:u w:val="single"/>
              </w:rPr>
              <w:t>‌</w:t>
            </w:r>
            <w:r>
              <w:rPr>
                <w:rFonts w:hint="eastAsia" w:ascii="宋体" w:hAnsi="宋体" w:cs="宋体"/>
                <w:sz w:val="24"/>
                <w:szCs w:val="24"/>
                <w:u w:val="single"/>
              </w:rPr>
              <w:t>，并禁止超载，以从源头减少洒落和逸散。运输道路将定期进行洒水清洁，以抑制道路扬尘。除在堆场、厂区外，对于运输道路也进行定期的洒水降尘，并严禁在非铺装路面行驶，制定运输作业规则，禁止在村民休息时段（通常指夜间22:00至次日6:00及午间）进行高噪声的装车、卸车等活动。及时通知有关部门或自行修复破损路面，避免因路况问题引发额外的车体振动和噪声。在车辆离开采石场和抵达本项目厂区前，应对车轮和车身进行冲洗，防止泥污附着运输路线。</w:t>
            </w:r>
          </w:p>
          <w:p w14:paraId="4397E003">
            <w:pPr>
              <w:spacing w:line="360" w:lineRule="auto"/>
              <w:ind w:firstLine="480" w:firstLineChars="200"/>
              <w:jc w:val="left"/>
              <w:rPr>
                <w:rFonts w:ascii="宋体" w:hAnsi="宋体"/>
                <w:bCs/>
                <w:sz w:val="24"/>
              </w:rPr>
            </w:pPr>
            <w:r>
              <w:rPr>
                <w:rFonts w:ascii="宋体" w:hAnsi="宋体"/>
                <w:bCs/>
                <w:sz w:val="24"/>
              </w:rPr>
              <w:t>三、噪声</w:t>
            </w:r>
          </w:p>
          <w:p w14:paraId="689D803B">
            <w:pPr>
              <w:spacing w:line="360" w:lineRule="auto"/>
              <w:ind w:firstLine="480" w:firstLineChars="200"/>
              <w:jc w:val="left"/>
              <w:rPr>
                <w:rFonts w:ascii="宋体" w:hAnsi="宋体"/>
                <w:bCs/>
                <w:sz w:val="24"/>
              </w:rPr>
            </w:pPr>
            <w:r>
              <w:rPr>
                <w:rFonts w:hint="eastAsia" w:ascii="宋体" w:hAnsi="宋体"/>
                <w:bCs/>
                <w:sz w:val="24"/>
              </w:rPr>
              <w:t>1、噪声源强分析</w:t>
            </w:r>
          </w:p>
          <w:p w14:paraId="0ED8E6D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（1）预测点的确定</w:t>
            </w:r>
          </w:p>
          <w:p w14:paraId="2799E51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将厂界四周噪声监测点确定为预测点。</w:t>
            </w:r>
          </w:p>
          <w:p w14:paraId="56F63065">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（2）预测方法</w:t>
            </w:r>
          </w:p>
          <w:p w14:paraId="0E3B09F4">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采用《环境影响评价技术导则 声环境》（HJ 2.4-2021）中的预测公式对</w:t>
            </w:r>
          </w:p>
          <w:p w14:paraId="25473B3F">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本项目运营期厂界噪声贡献值进行计算，将厂界贡献值与《工业企业厂界环境噪声排放标准》（GB 12348-2008）进行对比，评价厂界噪声是否达标排放要求。企业夜间不生产，因此只对昼间贡献值进行预测评价。</w:t>
            </w:r>
          </w:p>
          <w:p w14:paraId="69F2D97B">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（3）预测公式</w:t>
            </w:r>
          </w:p>
          <w:p w14:paraId="54CE12BA">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根据《环境影响评价技术导则 声环境》（HJ 2.4-2021）确定噪声预测公式如下。</w:t>
            </w:r>
          </w:p>
          <w:p w14:paraId="1C5E2CD4">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①户外声传播衰减公式</w:t>
            </w:r>
          </w:p>
          <w:p w14:paraId="485D06C1">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L</w:t>
            </w:r>
            <w:r>
              <w:rPr>
                <w:rFonts w:asciiTheme="minorEastAsia" w:hAnsiTheme="minorEastAsia" w:eastAsiaTheme="minorEastAsia"/>
                <w:position w:val="-2"/>
                <w:sz w:val="13"/>
                <w:szCs w:val="13"/>
              </w:rPr>
              <w:t>p</w:t>
            </w:r>
            <w:r>
              <w:rPr>
                <w:rFonts w:asciiTheme="minorEastAsia" w:hAnsiTheme="minorEastAsia" w:eastAsiaTheme="minorEastAsia"/>
                <w:spacing w:val="7"/>
                <w:szCs w:val="21"/>
              </w:rPr>
              <w:t>(</w:t>
            </w:r>
            <w:r>
              <w:rPr>
                <w:rFonts w:asciiTheme="minorEastAsia" w:hAnsiTheme="minorEastAsia" w:eastAsiaTheme="minorEastAsia"/>
                <w:szCs w:val="21"/>
              </w:rPr>
              <w:t>r</w:t>
            </w:r>
            <w:r>
              <w:rPr>
                <w:rFonts w:asciiTheme="minorEastAsia" w:hAnsiTheme="minorEastAsia" w:eastAsiaTheme="minorEastAsia"/>
                <w:spacing w:val="7"/>
                <w:szCs w:val="21"/>
              </w:rPr>
              <w:t>)</w:t>
            </w:r>
            <w:r>
              <w:rPr>
                <w:rFonts w:cs="宋体" w:asciiTheme="minorEastAsia" w:hAnsiTheme="minorEastAsia" w:eastAsiaTheme="minorEastAsia"/>
                <w:spacing w:val="7"/>
                <w:szCs w:val="21"/>
              </w:rPr>
              <w:t>＝</w:t>
            </w:r>
            <w:r>
              <w:rPr>
                <w:rFonts w:asciiTheme="minorEastAsia" w:hAnsiTheme="minorEastAsia" w:eastAsiaTheme="minorEastAsia"/>
                <w:szCs w:val="21"/>
              </w:rPr>
              <w:t>L</w:t>
            </w:r>
            <w:r>
              <w:rPr>
                <w:rFonts w:asciiTheme="minorEastAsia" w:hAnsiTheme="minorEastAsia" w:eastAsiaTheme="minorEastAsia"/>
                <w:position w:val="-2"/>
                <w:sz w:val="13"/>
                <w:szCs w:val="13"/>
              </w:rPr>
              <w:t>p</w:t>
            </w:r>
            <w:r>
              <w:rPr>
                <w:rFonts w:asciiTheme="minorEastAsia" w:hAnsiTheme="minorEastAsia" w:eastAsiaTheme="minorEastAsia"/>
                <w:spacing w:val="7"/>
                <w:szCs w:val="21"/>
              </w:rPr>
              <w:t>(</w:t>
            </w:r>
            <w:r>
              <w:rPr>
                <w:rFonts w:asciiTheme="minorEastAsia" w:hAnsiTheme="minorEastAsia" w:eastAsiaTheme="minorEastAsia"/>
                <w:szCs w:val="21"/>
              </w:rPr>
              <w:t>r</w:t>
            </w:r>
            <w:r>
              <w:rPr>
                <w:rFonts w:asciiTheme="minorEastAsia" w:hAnsiTheme="minorEastAsia" w:eastAsiaTheme="minorEastAsia"/>
                <w:spacing w:val="7"/>
                <w:position w:val="-2"/>
                <w:sz w:val="13"/>
                <w:szCs w:val="13"/>
              </w:rPr>
              <w:t>0</w:t>
            </w:r>
            <w:r>
              <w:rPr>
                <w:rFonts w:asciiTheme="minorEastAsia" w:hAnsiTheme="minorEastAsia" w:eastAsiaTheme="minorEastAsia"/>
                <w:spacing w:val="7"/>
                <w:szCs w:val="21"/>
              </w:rPr>
              <w:t>)+</w:t>
            </w:r>
            <w:r>
              <w:rPr>
                <w:rFonts w:asciiTheme="minorEastAsia" w:hAnsiTheme="minorEastAsia" w:eastAsiaTheme="minorEastAsia"/>
                <w:szCs w:val="21"/>
              </w:rPr>
              <w:t>D</w:t>
            </w:r>
            <w:r>
              <w:rPr>
                <w:rFonts w:asciiTheme="minorEastAsia" w:hAnsiTheme="minorEastAsia" w:eastAsiaTheme="minorEastAsia"/>
                <w:position w:val="-2"/>
                <w:sz w:val="13"/>
                <w:szCs w:val="13"/>
              </w:rPr>
              <w:t>C</w:t>
            </w:r>
            <w:r>
              <w:rPr>
                <w:rFonts w:cs="宋体" w:asciiTheme="minorEastAsia" w:hAnsiTheme="minorEastAsia" w:eastAsiaTheme="minorEastAsia"/>
                <w:spacing w:val="7"/>
                <w:szCs w:val="21"/>
              </w:rPr>
              <w:t>－</w:t>
            </w:r>
            <w:r>
              <w:rPr>
                <w:rFonts w:asciiTheme="minorEastAsia" w:hAnsiTheme="minorEastAsia" w:eastAsiaTheme="minorEastAsia"/>
                <w:spacing w:val="7"/>
                <w:szCs w:val="21"/>
              </w:rPr>
              <w:t>(</w:t>
            </w:r>
            <w:r>
              <w:rPr>
                <w:rFonts w:asciiTheme="minorEastAsia" w:hAnsiTheme="minorEastAsia" w:eastAsiaTheme="minorEastAsia"/>
                <w:szCs w:val="21"/>
              </w:rPr>
              <w:t>A</w:t>
            </w:r>
            <w:r>
              <w:rPr>
                <w:rFonts w:asciiTheme="minorEastAsia" w:hAnsiTheme="minorEastAsia" w:eastAsiaTheme="minorEastAsia"/>
                <w:position w:val="-2"/>
                <w:sz w:val="13"/>
                <w:szCs w:val="13"/>
              </w:rPr>
              <w:t>div</w:t>
            </w:r>
            <w:r>
              <w:rPr>
                <w:rFonts w:cs="宋体" w:asciiTheme="minorEastAsia" w:hAnsiTheme="minorEastAsia" w:eastAsiaTheme="minorEastAsia"/>
                <w:spacing w:val="7"/>
                <w:szCs w:val="21"/>
              </w:rPr>
              <w:t>＋</w:t>
            </w:r>
            <w:r>
              <w:rPr>
                <w:rFonts w:asciiTheme="minorEastAsia" w:hAnsiTheme="minorEastAsia" w:eastAsiaTheme="minorEastAsia"/>
                <w:szCs w:val="21"/>
              </w:rPr>
              <w:t>A</w:t>
            </w:r>
            <w:r>
              <w:rPr>
                <w:rFonts w:asciiTheme="minorEastAsia" w:hAnsiTheme="minorEastAsia" w:eastAsiaTheme="minorEastAsia"/>
                <w:position w:val="-2"/>
                <w:sz w:val="13"/>
                <w:szCs w:val="13"/>
              </w:rPr>
              <w:t>atm</w:t>
            </w:r>
            <w:r>
              <w:rPr>
                <w:rFonts w:cs="宋体" w:asciiTheme="minorEastAsia" w:hAnsiTheme="minorEastAsia" w:eastAsiaTheme="minorEastAsia"/>
                <w:spacing w:val="7"/>
                <w:szCs w:val="21"/>
              </w:rPr>
              <w:t>＋</w:t>
            </w:r>
            <w:r>
              <w:rPr>
                <w:rFonts w:asciiTheme="minorEastAsia" w:hAnsiTheme="minorEastAsia" w:eastAsiaTheme="minorEastAsia"/>
                <w:szCs w:val="21"/>
              </w:rPr>
              <w:t>A</w:t>
            </w:r>
            <w:r>
              <w:rPr>
                <w:rFonts w:asciiTheme="minorEastAsia" w:hAnsiTheme="minorEastAsia" w:eastAsiaTheme="minorEastAsia"/>
                <w:position w:val="-2"/>
                <w:sz w:val="13"/>
                <w:szCs w:val="13"/>
              </w:rPr>
              <w:t>gr</w:t>
            </w:r>
            <w:r>
              <w:rPr>
                <w:rFonts w:cs="宋体" w:asciiTheme="minorEastAsia" w:hAnsiTheme="minorEastAsia" w:eastAsiaTheme="minorEastAsia"/>
                <w:spacing w:val="7"/>
                <w:szCs w:val="21"/>
              </w:rPr>
              <w:t>＋</w:t>
            </w:r>
            <w:r>
              <w:rPr>
                <w:rFonts w:asciiTheme="minorEastAsia" w:hAnsiTheme="minorEastAsia" w:eastAsiaTheme="minorEastAsia"/>
                <w:szCs w:val="21"/>
              </w:rPr>
              <w:t>A</w:t>
            </w:r>
            <w:r>
              <w:rPr>
                <w:rFonts w:asciiTheme="minorEastAsia" w:hAnsiTheme="minorEastAsia" w:eastAsiaTheme="minorEastAsia"/>
                <w:position w:val="-2"/>
                <w:sz w:val="13"/>
                <w:szCs w:val="13"/>
              </w:rPr>
              <w:t>bar</w:t>
            </w:r>
            <w:r>
              <w:rPr>
                <w:rFonts w:cs="宋体" w:asciiTheme="minorEastAsia" w:hAnsiTheme="minorEastAsia" w:eastAsiaTheme="minorEastAsia"/>
                <w:spacing w:val="7"/>
                <w:szCs w:val="21"/>
              </w:rPr>
              <w:t>＋</w:t>
            </w:r>
            <w:r>
              <w:rPr>
                <w:rFonts w:asciiTheme="minorEastAsia" w:hAnsiTheme="minorEastAsia" w:eastAsiaTheme="minorEastAsia"/>
                <w:szCs w:val="21"/>
              </w:rPr>
              <w:t>A</w:t>
            </w:r>
            <w:r>
              <w:rPr>
                <w:rFonts w:asciiTheme="minorEastAsia" w:hAnsiTheme="minorEastAsia" w:eastAsiaTheme="minorEastAsia"/>
                <w:position w:val="-2"/>
                <w:sz w:val="13"/>
                <w:szCs w:val="13"/>
              </w:rPr>
              <w:t>misc</w:t>
            </w:r>
            <w:r>
              <w:rPr>
                <w:rFonts w:asciiTheme="minorEastAsia" w:hAnsiTheme="minorEastAsia" w:eastAsiaTheme="minorEastAsia"/>
                <w:spacing w:val="4"/>
                <w:szCs w:val="21"/>
              </w:rPr>
              <w:t>)</w:t>
            </w:r>
          </w:p>
          <w:p w14:paraId="0875B2C5">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式中：L</w:t>
            </w:r>
            <w:r>
              <w:rPr>
                <w:rFonts w:asciiTheme="minorEastAsia" w:hAnsiTheme="minorEastAsia" w:eastAsiaTheme="minorEastAsia"/>
                <w:bCs/>
                <w:color w:val="000000"/>
                <w:sz w:val="24"/>
                <w:vertAlign w:val="subscript"/>
              </w:rPr>
              <w:t>p</w:t>
            </w:r>
            <w:r>
              <w:rPr>
                <w:rFonts w:asciiTheme="minorEastAsia" w:hAnsiTheme="minorEastAsia" w:eastAsiaTheme="minorEastAsia"/>
                <w:bCs/>
                <w:color w:val="000000"/>
                <w:sz w:val="24"/>
              </w:rPr>
              <w:t>(r) ——预测点处声压级，dB；</w:t>
            </w:r>
            <w:r>
              <w:rPr>
                <w:rFonts w:asciiTheme="minorEastAsia" w:hAnsiTheme="minorEastAsia" w:eastAsiaTheme="minorEastAsia"/>
                <w:bCs/>
                <w:color w:val="000000"/>
                <w:sz w:val="24"/>
              </w:rPr>
              <w:br w:type="column"/>
            </w:r>
          </w:p>
          <w:p w14:paraId="597F7752">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L</w:t>
            </w:r>
            <w:r>
              <w:rPr>
                <w:rFonts w:asciiTheme="minorEastAsia" w:hAnsiTheme="minorEastAsia" w:eastAsiaTheme="minorEastAsia"/>
                <w:bCs/>
                <w:color w:val="000000"/>
                <w:sz w:val="24"/>
                <w:vertAlign w:val="subscript"/>
              </w:rPr>
              <w:t>p</w:t>
            </w:r>
            <w:r>
              <w:rPr>
                <w:rFonts w:asciiTheme="minorEastAsia" w:hAnsiTheme="minorEastAsia" w:eastAsiaTheme="minorEastAsia"/>
                <w:bCs/>
                <w:color w:val="000000"/>
                <w:sz w:val="24"/>
              </w:rPr>
              <w:t>(r0) ——参考位置r</w:t>
            </w:r>
            <w:r>
              <w:rPr>
                <w:rFonts w:asciiTheme="minorEastAsia" w:hAnsiTheme="minorEastAsia" w:eastAsiaTheme="minorEastAsia"/>
                <w:bCs/>
                <w:color w:val="000000"/>
                <w:sz w:val="24"/>
                <w:vertAlign w:val="subscript"/>
              </w:rPr>
              <w:t>0</w:t>
            </w:r>
            <w:r>
              <w:rPr>
                <w:rFonts w:asciiTheme="minorEastAsia" w:hAnsiTheme="minorEastAsia" w:eastAsiaTheme="minorEastAsia"/>
                <w:bCs/>
                <w:color w:val="000000"/>
                <w:sz w:val="24"/>
              </w:rPr>
              <w:t>处的声压级，dB；</w:t>
            </w:r>
          </w:p>
          <w:p w14:paraId="1735CFAD">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DC  ——指向性校正，它描述点声源的等效连续声压级与产生声功率级Lw 的全向点声源在规定方向的声级的偏差程度，dB；</w:t>
            </w:r>
          </w:p>
          <w:p w14:paraId="44B1C632">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A</w:t>
            </w:r>
            <w:r>
              <w:rPr>
                <w:rFonts w:asciiTheme="minorEastAsia" w:hAnsiTheme="minorEastAsia" w:eastAsiaTheme="minorEastAsia"/>
                <w:bCs/>
                <w:color w:val="000000"/>
                <w:sz w:val="24"/>
                <w:vertAlign w:val="subscript"/>
              </w:rPr>
              <w:t>div</w:t>
            </w:r>
            <w:r>
              <w:rPr>
                <w:rFonts w:asciiTheme="minorEastAsia" w:hAnsiTheme="minorEastAsia" w:eastAsiaTheme="minorEastAsia"/>
                <w:bCs/>
                <w:color w:val="000000"/>
                <w:sz w:val="24"/>
              </w:rPr>
              <w:t xml:space="preserve">  ——几何发散引起的衰减，dB；</w:t>
            </w:r>
          </w:p>
          <w:p w14:paraId="3B34008E">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A</w:t>
            </w:r>
            <w:r>
              <w:rPr>
                <w:rFonts w:asciiTheme="minorEastAsia" w:hAnsiTheme="minorEastAsia" w:eastAsiaTheme="minorEastAsia"/>
                <w:bCs/>
                <w:color w:val="000000"/>
                <w:sz w:val="24"/>
                <w:vertAlign w:val="subscript"/>
              </w:rPr>
              <w:t>atm</w:t>
            </w:r>
            <w:r>
              <w:rPr>
                <w:rFonts w:asciiTheme="minorEastAsia" w:hAnsiTheme="minorEastAsia" w:eastAsiaTheme="minorEastAsia"/>
                <w:bCs/>
                <w:color w:val="000000"/>
                <w:sz w:val="24"/>
              </w:rPr>
              <w:t xml:space="preserve">  ——大气吸收引起的衰减，dB；</w:t>
            </w:r>
          </w:p>
          <w:p w14:paraId="5191ABF1">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A</w:t>
            </w:r>
            <w:r>
              <w:rPr>
                <w:rFonts w:asciiTheme="minorEastAsia" w:hAnsiTheme="minorEastAsia" w:eastAsiaTheme="minorEastAsia"/>
                <w:bCs/>
                <w:color w:val="000000"/>
                <w:sz w:val="24"/>
                <w:vertAlign w:val="subscript"/>
              </w:rPr>
              <w:t>gr</w:t>
            </w:r>
            <w:r>
              <w:rPr>
                <w:rFonts w:asciiTheme="minorEastAsia" w:hAnsiTheme="minorEastAsia" w:eastAsiaTheme="minorEastAsia"/>
                <w:bCs/>
                <w:color w:val="000000"/>
                <w:sz w:val="24"/>
              </w:rPr>
              <w:t xml:space="preserve">  ——地面效应引起的衰减，dB；</w:t>
            </w:r>
          </w:p>
          <w:p w14:paraId="63B5D337">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A</w:t>
            </w:r>
            <w:r>
              <w:rPr>
                <w:rFonts w:asciiTheme="minorEastAsia" w:hAnsiTheme="minorEastAsia" w:eastAsiaTheme="minorEastAsia"/>
                <w:bCs/>
                <w:color w:val="000000"/>
                <w:sz w:val="24"/>
                <w:vertAlign w:val="subscript"/>
              </w:rPr>
              <w:t>bar</w:t>
            </w:r>
            <w:r>
              <w:rPr>
                <w:rFonts w:asciiTheme="minorEastAsia" w:hAnsiTheme="minorEastAsia" w:eastAsiaTheme="minorEastAsia"/>
                <w:bCs/>
                <w:color w:val="000000"/>
                <w:sz w:val="24"/>
              </w:rPr>
              <w:t xml:space="preserve">  —— 障碍物屏蔽引起的衰减，dB；</w:t>
            </w:r>
          </w:p>
          <w:p w14:paraId="5F473358">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A</w:t>
            </w:r>
            <w:r>
              <w:rPr>
                <w:rFonts w:asciiTheme="minorEastAsia" w:hAnsiTheme="minorEastAsia" w:eastAsiaTheme="minorEastAsia"/>
                <w:bCs/>
                <w:color w:val="000000"/>
                <w:sz w:val="24"/>
                <w:vertAlign w:val="subscript"/>
              </w:rPr>
              <w:t>misc</w:t>
            </w:r>
            <w:r>
              <w:rPr>
                <w:rFonts w:asciiTheme="minorEastAsia" w:hAnsiTheme="minorEastAsia" w:eastAsiaTheme="minorEastAsia"/>
                <w:bCs/>
                <w:color w:val="000000"/>
                <w:sz w:val="24"/>
              </w:rPr>
              <w:t xml:space="preserve">  ——其他多方面效应引起的衰减，dB。</w:t>
            </w:r>
          </w:p>
          <w:p w14:paraId="3575F84B">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根据调查，本项目噪声衰减主要以集合发散衰减为主，不存在障碍物衰减，地面效应衰减等。</w:t>
            </w:r>
          </w:p>
          <w:p w14:paraId="70828119">
            <w:pPr>
              <w:widowControl/>
              <w:spacing w:line="360" w:lineRule="auto"/>
              <w:ind w:firstLine="480"/>
              <w:rPr>
                <w:rFonts w:asciiTheme="minorEastAsia" w:hAnsiTheme="minorEastAsia" w:eastAsiaTheme="minorEastAsia"/>
                <w:bCs/>
                <w:color w:val="000000"/>
                <w:sz w:val="24"/>
              </w:rPr>
            </w:pPr>
            <w:r>
              <w:rPr>
                <w:rFonts w:hint="eastAsia" w:cs="宋体" w:asciiTheme="minorEastAsia" w:hAnsiTheme="minorEastAsia" w:eastAsiaTheme="minorEastAsia"/>
                <w:bCs/>
                <w:color w:val="000000"/>
                <w:sz w:val="24"/>
              </w:rPr>
              <w:t>②</w:t>
            </w:r>
            <w:r>
              <w:rPr>
                <w:rFonts w:asciiTheme="minorEastAsia" w:hAnsiTheme="minorEastAsia" w:eastAsiaTheme="minorEastAsia"/>
                <w:bCs/>
                <w:color w:val="000000"/>
                <w:sz w:val="24"/>
              </w:rPr>
              <w:t>点声源几何发散衰减公式</w:t>
            </w:r>
          </w:p>
          <w:p w14:paraId="1DEC3DA8">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Lp (r) = Lp (r</w:t>
            </w:r>
            <w:r>
              <w:rPr>
                <w:rFonts w:asciiTheme="minorEastAsia" w:hAnsiTheme="minorEastAsia" w:eastAsiaTheme="minorEastAsia"/>
                <w:szCs w:val="21"/>
                <w:vertAlign w:val="subscript"/>
              </w:rPr>
              <w:t xml:space="preserve">0 </w:t>
            </w:r>
            <w:r>
              <w:rPr>
                <w:rFonts w:asciiTheme="minorEastAsia" w:hAnsiTheme="minorEastAsia" w:eastAsiaTheme="minorEastAsia"/>
                <w:szCs w:val="21"/>
              </w:rPr>
              <w:t>) - 20lg (r</w:t>
            </w:r>
            <w:r>
              <w:rPr>
                <w:rFonts w:asciiTheme="minorEastAsia" w:hAnsiTheme="minorEastAsia" w:eastAsiaTheme="minorEastAsia"/>
                <w:szCs w:val="21"/>
              </w:rPr>
              <w:drawing>
                <wp:inline distT="0" distB="0" distL="0" distR="0">
                  <wp:extent cx="45720" cy="152400"/>
                  <wp:effectExtent l="19050" t="0" r="0" b="0"/>
                  <wp:docPr id="4" name="IM 21"/>
                  <wp:cNvGraphicFramePr/>
                  <a:graphic xmlns:a="http://schemas.openxmlformats.org/drawingml/2006/main">
                    <a:graphicData uri="http://schemas.openxmlformats.org/drawingml/2006/picture">
                      <pic:pic xmlns:pic="http://schemas.openxmlformats.org/drawingml/2006/picture">
                        <pic:nvPicPr>
                          <pic:cNvPr id="4" name="IM 21"/>
                          <pic:cNvPicPr>
                            <a:picLocks noChangeArrowheads="1"/>
                          </pic:cNvPicPr>
                        </pic:nvPicPr>
                        <pic:blipFill>
                          <a:blip r:embed="rId16" cstate="print"/>
                          <a:srcRect/>
                          <a:stretch>
                            <a:fillRect/>
                          </a:stretch>
                        </pic:blipFill>
                        <pic:spPr>
                          <a:xfrm>
                            <a:off x="0" y="0"/>
                            <a:ext cx="45720" cy="152400"/>
                          </a:xfrm>
                          <a:prstGeom prst="rect">
                            <a:avLst/>
                          </a:prstGeom>
                          <a:noFill/>
                          <a:ln w="9525">
                            <a:noFill/>
                            <a:miter lim="800000"/>
                            <a:headEnd/>
                            <a:tailEnd/>
                          </a:ln>
                        </pic:spPr>
                      </pic:pic>
                    </a:graphicData>
                  </a:graphic>
                </wp:inline>
              </w:drawing>
            </w:r>
            <w:r>
              <w:rPr>
                <w:rFonts w:asciiTheme="minorEastAsia" w:hAnsiTheme="minorEastAsia" w:eastAsiaTheme="minorEastAsia"/>
                <w:szCs w:val="21"/>
              </w:rPr>
              <w:t>r</w:t>
            </w:r>
            <w:r>
              <w:rPr>
                <w:rFonts w:asciiTheme="minorEastAsia" w:hAnsiTheme="minorEastAsia" w:eastAsiaTheme="minorEastAsia"/>
                <w:szCs w:val="21"/>
                <w:vertAlign w:val="subscript"/>
              </w:rPr>
              <w:t>0</w:t>
            </w:r>
            <w:r>
              <w:rPr>
                <w:rFonts w:asciiTheme="minorEastAsia" w:hAnsiTheme="minorEastAsia" w:eastAsiaTheme="minorEastAsia"/>
                <w:szCs w:val="21"/>
              </w:rPr>
              <w:t xml:space="preserve"> )</w:t>
            </w:r>
          </w:p>
          <w:p w14:paraId="035F9141">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式中： Lp(r) ——预测点处声压级，dB；</w:t>
            </w:r>
          </w:p>
          <w:p w14:paraId="07022CA2">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L</w:t>
            </w:r>
            <w:r>
              <w:rPr>
                <w:rFonts w:asciiTheme="minorEastAsia" w:hAnsiTheme="minorEastAsia" w:eastAsiaTheme="minorEastAsia"/>
                <w:bCs/>
                <w:color w:val="000000"/>
                <w:sz w:val="24"/>
                <w:vertAlign w:val="subscript"/>
              </w:rPr>
              <w:t>p</w:t>
            </w:r>
            <w:r>
              <w:rPr>
                <w:rFonts w:asciiTheme="minorEastAsia" w:hAnsiTheme="minorEastAsia" w:eastAsiaTheme="minorEastAsia"/>
                <w:bCs/>
                <w:color w:val="000000"/>
                <w:sz w:val="24"/>
              </w:rPr>
              <w:t>(r0) ——参考位置r</w:t>
            </w:r>
            <w:r>
              <w:rPr>
                <w:rFonts w:asciiTheme="minorEastAsia" w:hAnsiTheme="minorEastAsia" w:eastAsiaTheme="minorEastAsia"/>
                <w:bCs/>
                <w:color w:val="000000"/>
                <w:sz w:val="24"/>
                <w:vertAlign w:val="subscript"/>
              </w:rPr>
              <w:t>0</w:t>
            </w:r>
            <w:r>
              <w:rPr>
                <w:rFonts w:asciiTheme="minorEastAsia" w:hAnsiTheme="minorEastAsia" w:eastAsiaTheme="minorEastAsia"/>
                <w:bCs/>
                <w:color w:val="000000"/>
                <w:sz w:val="24"/>
              </w:rPr>
              <w:t>处的声压级，dB；</w:t>
            </w:r>
          </w:p>
          <w:p w14:paraId="12ECD129">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r ——预测点距声源的距离；</w:t>
            </w:r>
          </w:p>
          <w:p w14:paraId="2F1EEEAB">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r</w:t>
            </w:r>
            <w:r>
              <w:rPr>
                <w:rFonts w:asciiTheme="minorEastAsia" w:hAnsiTheme="minorEastAsia" w:eastAsiaTheme="minorEastAsia"/>
                <w:bCs/>
                <w:color w:val="000000"/>
                <w:sz w:val="24"/>
                <w:vertAlign w:val="subscript"/>
              </w:rPr>
              <w:t>0</w:t>
            </w:r>
            <w:r>
              <w:rPr>
                <w:rFonts w:asciiTheme="minorEastAsia" w:hAnsiTheme="minorEastAsia" w:eastAsiaTheme="minorEastAsia"/>
                <w:bCs/>
                <w:color w:val="000000"/>
                <w:sz w:val="24"/>
              </w:rPr>
              <w:t>——参考位置距声源的距离。</w:t>
            </w:r>
          </w:p>
          <w:p w14:paraId="1397F8AB">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③有限长线声源几何发散衰减公式</w:t>
            </w:r>
          </w:p>
          <w:p w14:paraId="419A80F2">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当 r＞l0 且 r</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 xml:space="preserve"> 时，计算公式如下：</w:t>
            </w:r>
          </w:p>
          <w:p w14:paraId="0E7A303F">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Lp (r) = Lp (r0 ) - 20lg (r</w:t>
            </w:r>
            <w:r>
              <w:rPr>
                <w:rFonts w:asciiTheme="minorEastAsia" w:hAnsiTheme="minorEastAsia" w:eastAsiaTheme="minorEastAsia"/>
                <w:szCs w:val="21"/>
              </w:rPr>
              <w:drawing>
                <wp:inline distT="0" distB="0" distL="0" distR="0">
                  <wp:extent cx="45720" cy="152400"/>
                  <wp:effectExtent l="19050" t="0" r="0" b="0"/>
                  <wp:docPr id="5" name="IM 44"/>
                  <wp:cNvGraphicFramePr/>
                  <a:graphic xmlns:a="http://schemas.openxmlformats.org/drawingml/2006/main">
                    <a:graphicData uri="http://schemas.openxmlformats.org/drawingml/2006/picture">
                      <pic:pic xmlns:pic="http://schemas.openxmlformats.org/drawingml/2006/picture">
                        <pic:nvPicPr>
                          <pic:cNvPr id="5" name="IM 44"/>
                          <pic:cNvPicPr>
                            <a:picLocks noChangeArrowheads="1"/>
                          </pic:cNvPicPr>
                        </pic:nvPicPr>
                        <pic:blipFill>
                          <a:blip r:embed="rId17" cstate="print"/>
                          <a:srcRect/>
                          <a:stretch>
                            <a:fillRect/>
                          </a:stretch>
                        </pic:blipFill>
                        <pic:spPr>
                          <a:xfrm>
                            <a:off x="0" y="0"/>
                            <a:ext cx="45720" cy="152400"/>
                          </a:xfrm>
                          <a:prstGeom prst="rect">
                            <a:avLst/>
                          </a:prstGeom>
                          <a:noFill/>
                          <a:ln w="9525">
                            <a:noFill/>
                            <a:miter lim="800000"/>
                            <a:headEnd/>
                            <a:tailEnd/>
                          </a:ln>
                        </pic:spPr>
                      </pic:pic>
                    </a:graphicData>
                  </a:graphic>
                </wp:inline>
              </w:drawing>
            </w:r>
            <w:r>
              <w:rPr>
                <w:rFonts w:asciiTheme="minorEastAsia" w:hAnsiTheme="minorEastAsia" w:eastAsiaTheme="minorEastAsia"/>
                <w:szCs w:val="21"/>
              </w:rPr>
              <w:t>r0 )</w:t>
            </w:r>
          </w:p>
          <w:p w14:paraId="08171ECF">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当 r＜l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/3 且 r</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/3 时， 计算公式如下：</w:t>
            </w:r>
          </w:p>
          <w:p w14:paraId="6890F023">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Lp (r) = Lp (r0 ) - 10lg (r</w:t>
            </w:r>
            <w:r>
              <w:rPr>
                <w:rFonts w:asciiTheme="minorEastAsia" w:hAnsiTheme="minorEastAsia" w:eastAsiaTheme="minorEastAsia"/>
                <w:szCs w:val="21"/>
              </w:rPr>
              <w:drawing>
                <wp:inline distT="0" distB="0" distL="0" distR="0">
                  <wp:extent cx="45720" cy="152400"/>
                  <wp:effectExtent l="19050" t="0" r="0" b="0"/>
                  <wp:docPr id="6" name="IM 45"/>
                  <wp:cNvGraphicFramePr/>
                  <a:graphic xmlns:a="http://schemas.openxmlformats.org/drawingml/2006/main">
                    <a:graphicData uri="http://schemas.openxmlformats.org/drawingml/2006/picture">
                      <pic:pic xmlns:pic="http://schemas.openxmlformats.org/drawingml/2006/picture">
                        <pic:nvPicPr>
                          <pic:cNvPr id="6" name="IM 45"/>
                          <pic:cNvPicPr>
                            <a:picLocks noChangeArrowheads="1"/>
                          </pic:cNvPicPr>
                        </pic:nvPicPr>
                        <pic:blipFill>
                          <a:blip r:embed="rId18" cstate="print"/>
                          <a:srcRect/>
                          <a:stretch>
                            <a:fillRect/>
                          </a:stretch>
                        </pic:blipFill>
                        <pic:spPr>
                          <a:xfrm>
                            <a:off x="0" y="0"/>
                            <a:ext cx="45720" cy="152400"/>
                          </a:xfrm>
                          <a:prstGeom prst="rect">
                            <a:avLst/>
                          </a:prstGeom>
                          <a:noFill/>
                          <a:ln w="9525">
                            <a:noFill/>
                            <a:miter lim="800000"/>
                            <a:headEnd/>
                            <a:tailEnd/>
                          </a:ln>
                        </pic:spPr>
                      </pic:pic>
                    </a:graphicData>
                  </a:graphic>
                </wp:inline>
              </w:drawing>
            </w:r>
            <w:r>
              <w:rPr>
                <w:rFonts w:asciiTheme="minorEastAsia" w:hAnsiTheme="minorEastAsia" w:eastAsiaTheme="minorEastAsia"/>
                <w:szCs w:val="21"/>
              </w:rPr>
              <w:t>r0 )</w:t>
            </w:r>
          </w:p>
          <w:p w14:paraId="5C376708">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当 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/3＜r＜l0 ，且 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/3＜r</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＜ll</w:t>
            </w:r>
            <w:r>
              <w:rPr>
                <w:rFonts w:hint="eastAsia" w:asciiTheme="minorEastAsia" w:hAnsiTheme="minorEastAsia" w:eastAsiaTheme="minorEastAsia"/>
                <w:bCs/>
                <w:color w:val="000000"/>
                <w:sz w:val="24"/>
                <w:vertAlign w:val="subscript"/>
              </w:rPr>
              <w:t>0</w:t>
            </w:r>
            <w:r>
              <w:rPr>
                <w:rFonts w:hint="eastAsia" w:asciiTheme="minorEastAsia" w:hAnsiTheme="minorEastAsia" w:eastAsiaTheme="minorEastAsia"/>
                <w:bCs/>
                <w:color w:val="000000"/>
                <w:sz w:val="24"/>
              </w:rPr>
              <w:t xml:space="preserve"> 时， 计算公式如下：</w:t>
            </w:r>
          </w:p>
          <w:p w14:paraId="2E28E35B">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Lp (r) = Lp (r0 ) - 15lg (r</w:t>
            </w:r>
            <w:r>
              <w:rPr>
                <w:rFonts w:asciiTheme="minorEastAsia" w:hAnsiTheme="minorEastAsia" w:eastAsiaTheme="minorEastAsia"/>
                <w:szCs w:val="21"/>
              </w:rPr>
              <w:drawing>
                <wp:inline distT="0" distB="0" distL="0" distR="0">
                  <wp:extent cx="45720" cy="152400"/>
                  <wp:effectExtent l="19050" t="0" r="0" b="0"/>
                  <wp:docPr id="7" name="IM 46"/>
                  <wp:cNvGraphicFramePr/>
                  <a:graphic xmlns:a="http://schemas.openxmlformats.org/drawingml/2006/main">
                    <a:graphicData uri="http://schemas.openxmlformats.org/drawingml/2006/picture">
                      <pic:pic xmlns:pic="http://schemas.openxmlformats.org/drawingml/2006/picture">
                        <pic:nvPicPr>
                          <pic:cNvPr id="7" name="IM 46"/>
                          <pic:cNvPicPr>
                            <a:picLocks noChangeArrowheads="1"/>
                          </pic:cNvPicPr>
                        </pic:nvPicPr>
                        <pic:blipFill>
                          <a:blip r:embed="rId19" cstate="print"/>
                          <a:srcRect/>
                          <a:stretch>
                            <a:fillRect/>
                          </a:stretch>
                        </pic:blipFill>
                        <pic:spPr>
                          <a:xfrm>
                            <a:off x="0" y="0"/>
                            <a:ext cx="45720" cy="152400"/>
                          </a:xfrm>
                          <a:prstGeom prst="rect">
                            <a:avLst/>
                          </a:prstGeom>
                          <a:noFill/>
                          <a:ln w="9525">
                            <a:noFill/>
                            <a:miter lim="800000"/>
                            <a:headEnd/>
                            <a:tailEnd/>
                          </a:ln>
                        </pic:spPr>
                      </pic:pic>
                    </a:graphicData>
                  </a:graphic>
                </wp:inline>
              </w:drawing>
            </w:r>
            <w:r>
              <w:rPr>
                <w:rFonts w:asciiTheme="minorEastAsia" w:hAnsiTheme="minorEastAsia" w:eastAsiaTheme="minorEastAsia"/>
                <w:szCs w:val="21"/>
              </w:rPr>
              <w:t>r0 )</w:t>
            </w:r>
          </w:p>
          <w:p w14:paraId="5C6B07A9">
            <w:pPr>
              <w:widowControl/>
              <w:spacing w:line="360" w:lineRule="auto"/>
              <w:ind w:firstLine="480"/>
              <w:rPr>
                <w:rFonts w:asciiTheme="minorEastAsia" w:hAnsiTheme="minorEastAsia" w:eastAsiaTheme="minorEastAsia"/>
                <w:bCs/>
                <w:color w:val="000000"/>
                <w:sz w:val="24"/>
              </w:rPr>
            </w:pPr>
            <w:r>
              <w:rPr>
                <w:rFonts w:asciiTheme="minorEastAsia" w:hAnsiTheme="minorEastAsia" w:eastAsiaTheme="minorEastAsia"/>
                <w:bCs/>
                <w:color w:val="000000"/>
                <w:sz w:val="24"/>
              </w:rPr>
              <w:t>式中： L</w:t>
            </w:r>
            <w:r>
              <w:rPr>
                <w:rFonts w:asciiTheme="minorEastAsia" w:hAnsiTheme="minorEastAsia" w:eastAsiaTheme="minorEastAsia"/>
                <w:bCs/>
                <w:color w:val="000000"/>
                <w:sz w:val="24"/>
                <w:vertAlign w:val="subscript"/>
              </w:rPr>
              <w:t>p</w:t>
            </w:r>
            <w:r>
              <w:rPr>
                <w:rFonts w:asciiTheme="minorEastAsia" w:hAnsiTheme="minorEastAsia" w:eastAsiaTheme="minorEastAsia"/>
                <w:bCs/>
                <w:color w:val="000000"/>
                <w:sz w:val="24"/>
              </w:rPr>
              <w:t>(r) ——预测点处声压级，dB；</w:t>
            </w:r>
          </w:p>
          <w:p w14:paraId="798AAD64">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L</w:t>
            </w:r>
            <w:r>
              <w:rPr>
                <w:rFonts w:asciiTheme="minorEastAsia" w:hAnsiTheme="minorEastAsia" w:eastAsiaTheme="minorEastAsia"/>
                <w:bCs/>
                <w:color w:val="000000"/>
                <w:sz w:val="24"/>
                <w:vertAlign w:val="subscript"/>
              </w:rPr>
              <w:t>p</w:t>
            </w:r>
            <w:r>
              <w:rPr>
                <w:rFonts w:asciiTheme="minorEastAsia" w:hAnsiTheme="minorEastAsia" w:eastAsiaTheme="minorEastAsia"/>
                <w:bCs/>
                <w:color w:val="000000"/>
                <w:sz w:val="24"/>
              </w:rPr>
              <w:t>(r0) ——参考位置r0处的声压级，dB；</w:t>
            </w:r>
          </w:p>
          <w:p w14:paraId="2A431A7E">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r ——预测点距声源的距离；</w:t>
            </w:r>
          </w:p>
          <w:p w14:paraId="04A87D81">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r</w:t>
            </w:r>
            <w:r>
              <w:rPr>
                <w:rFonts w:asciiTheme="minorEastAsia" w:hAnsiTheme="minorEastAsia" w:eastAsiaTheme="minorEastAsia"/>
                <w:bCs/>
                <w:color w:val="000000"/>
                <w:sz w:val="24"/>
                <w:vertAlign w:val="subscript"/>
              </w:rPr>
              <w:t>0</w:t>
            </w:r>
            <w:r>
              <w:rPr>
                <w:rFonts w:asciiTheme="minorEastAsia" w:hAnsiTheme="minorEastAsia" w:eastAsiaTheme="minorEastAsia"/>
                <w:bCs/>
                <w:color w:val="000000"/>
                <w:sz w:val="24"/>
              </w:rPr>
              <w:t>——参考位置距声源的距离</w:t>
            </w:r>
            <w:r>
              <w:rPr>
                <w:rFonts w:hint="eastAsia" w:asciiTheme="minorEastAsia" w:hAnsiTheme="minorEastAsia" w:eastAsiaTheme="minorEastAsia"/>
                <w:bCs/>
                <w:color w:val="000000"/>
                <w:sz w:val="24"/>
              </w:rPr>
              <w:t>；</w:t>
            </w:r>
          </w:p>
          <w:p w14:paraId="51509DA8">
            <w:pPr>
              <w:widowControl/>
              <w:spacing w:line="360" w:lineRule="auto"/>
              <w:ind w:firstLine="1262" w:firstLineChars="526"/>
              <w:rPr>
                <w:rFonts w:asciiTheme="minorEastAsia" w:hAnsiTheme="minorEastAsia" w:eastAsiaTheme="minorEastAsia"/>
                <w:bCs/>
                <w:color w:val="000000"/>
                <w:sz w:val="24"/>
              </w:rPr>
            </w:pPr>
            <w:r>
              <w:rPr>
                <w:rFonts w:asciiTheme="minorEastAsia" w:hAnsiTheme="minorEastAsia" w:eastAsiaTheme="minorEastAsia"/>
                <w:bCs/>
                <w:color w:val="000000"/>
                <w:sz w:val="24"/>
              </w:rPr>
              <w:t>l</w:t>
            </w:r>
            <w:r>
              <w:rPr>
                <w:rFonts w:asciiTheme="minorEastAsia" w:hAnsiTheme="minorEastAsia" w:eastAsiaTheme="minorEastAsia"/>
                <w:bCs/>
                <w:color w:val="000000"/>
                <w:sz w:val="24"/>
                <w:vertAlign w:val="subscript"/>
              </w:rPr>
              <w:t>0</w:t>
            </w:r>
            <w:r>
              <w:rPr>
                <w:rFonts w:asciiTheme="minorEastAsia" w:hAnsiTheme="minorEastAsia" w:eastAsiaTheme="minorEastAsia"/>
                <w:bCs/>
                <w:color w:val="000000"/>
                <w:sz w:val="24"/>
              </w:rPr>
              <w:t xml:space="preserve"> ——线声源长度。</w:t>
            </w:r>
          </w:p>
          <w:p w14:paraId="26C5B3A7">
            <w:pPr>
              <w:widowControl/>
              <w:spacing w:line="360" w:lineRule="auto"/>
              <w:ind w:firstLine="480"/>
              <w:rPr>
                <w:rFonts w:asciiTheme="minorEastAsia" w:hAnsiTheme="minorEastAsia" w:eastAsiaTheme="minorEastAsia"/>
              </w:rPr>
            </w:pPr>
            <w:r>
              <w:rPr>
                <w:rFonts w:hint="eastAsia" w:asciiTheme="minorEastAsia" w:hAnsiTheme="minorEastAsia" w:eastAsiaTheme="minorEastAsia"/>
                <w:bCs/>
                <w:color w:val="000000"/>
                <w:sz w:val="24"/>
              </w:rPr>
              <w:t>④噪声贡献值计算公式</w:t>
            </w:r>
          </w:p>
          <w:p w14:paraId="213BCEAA">
            <w:pPr>
              <w:widowControl/>
              <w:spacing w:line="360" w:lineRule="auto"/>
              <w:jc w:val="center"/>
              <w:rPr>
                <w:rFonts w:asciiTheme="minorEastAsia" w:hAnsiTheme="minorEastAsia" w:eastAsiaTheme="minorEastAsia"/>
                <w:bCs/>
                <w:color w:val="000000"/>
                <w:sz w:val="24"/>
              </w:rPr>
            </w:pPr>
            <w:r>
              <w:rPr>
                <w:rFonts w:asciiTheme="minorEastAsia" w:hAnsiTheme="minorEastAsia" w:eastAsiaTheme="minorEastAsia"/>
              </w:rPr>
              <w:drawing>
                <wp:inline distT="0" distB="0" distL="0" distR="0">
                  <wp:extent cx="2461260" cy="640080"/>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20" cstate="print"/>
                          <a:srcRect b="10489"/>
                          <a:stretch>
                            <a:fillRect/>
                          </a:stretch>
                        </pic:blipFill>
                        <pic:spPr>
                          <a:xfrm>
                            <a:off x="0" y="0"/>
                            <a:ext cx="2461260" cy="640080"/>
                          </a:xfrm>
                          <a:prstGeom prst="rect">
                            <a:avLst/>
                          </a:prstGeom>
                          <a:noFill/>
                          <a:ln w="9525">
                            <a:noFill/>
                            <a:miter lim="800000"/>
                            <a:headEnd/>
                            <a:tailEnd/>
                          </a:ln>
                          <a:effectLst/>
                        </pic:spPr>
                      </pic:pic>
                    </a:graphicData>
                  </a:graphic>
                </wp:inline>
              </w:drawing>
            </w:r>
          </w:p>
          <w:p w14:paraId="1035F107">
            <w:pPr>
              <w:widowControl/>
              <w:spacing w:line="360" w:lineRule="auto"/>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kern w:val="0"/>
                <w:sz w:val="24"/>
              </w:rPr>
              <w:t>式中：</w:t>
            </w:r>
            <w:r>
              <w:rPr>
                <w:rFonts w:asciiTheme="minorEastAsia" w:hAnsiTheme="minorEastAsia" w:eastAsiaTheme="minorEastAsia"/>
                <w:color w:val="000000"/>
                <w:kern w:val="0"/>
                <w:sz w:val="24"/>
              </w:rPr>
              <w:t>L</w:t>
            </w:r>
            <w:r>
              <w:rPr>
                <w:rFonts w:asciiTheme="minorEastAsia" w:hAnsiTheme="minorEastAsia" w:eastAsiaTheme="minorEastAsia"/>
                <w:color w:val="000000"/>
                <w:kern w:val="0"/>
                <w:sz w:val="24"/>
                <w:vertAlign w:val="subscript"/>
              </w:rPr>
              <w:t>eqg</w:t>
            </w:r>
            <w:r>
              <w:rPr>
                <w:rFonts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噪声贡献值，</w:t>
            </w:r>
            <w:r>
              <w:rPr>
                <w:rFonts w:asciiTheme="minorEastAsia" w:hAnsiTheme="minorEastAsia" w:eastAsiaTheme="minorEastAsia"/>
                <w:color w:val="000000"/>
                <w:kern w:val="0"/>
                <w:sz w:val="24"/>
              </w:rPr>
              <w:t>dB</w:t>
            </w:r>
            <w:r>
              <w:rPr>
                <w:rFonts w:hint="eastAsia" w:cs="宋体" w:asciiTheme="minorEastAsia" w:hAnsiTheme="minorEastAsia" w:eastAsiaTheme="minorEastAsia"/>
                <w:color w:val="000000"/>
                <w:kern w:val="0"/>
                <w:sz w:val="24"/>
              </w:rPr>
              <w:t xml:space="preserve">； </w:t>
            </w:r>
          </w:p>
          <w:p w14:paraId="0C3AA53D">
            <w:pPr>
              <w:widowControl/>
              <w:spacing w:line="360" w:lineRule="auto"/>
              <w:ind w:firstLine="1200" w:firstLineChars="500"/>
              <w:jc w:val="left"/>
              <w:rPr>
                <w:rFonts w:asciiTheme="minorEastAsia" w:hAnsiTheme="minorEastAsia" w:eastAsiaTheme="minorEastAsia"/>
                <w:sz w:val="24"/>
              </w:rPr>
            </w:pPr>
            <w:r>
              <w:rPr>
                <w:rFonts w:asciiTheme="minorEastAsia" w:hAnsiTheme="minorEastAsia" w:eastAsiaTheme="minorEastAsia"/>
                <w:color w:val="000000"/>
                <w:kern w:val="0"/>
                <w:sz w:val="24"/>
              </w:rPr>
              <w:t>T——</w:t>
            </w:r>
            <w:r>
              <w:rPr>
                <w:rFonts w:hint="eastAsia" w:cs="宋体" w:asciiTheme="minorEastAsia" w:hAnsiTheme="minorEastAsia" w:eastAsiaTheme="minorEastAsia"/>
                <w:color w:val="000000"/>
                <w:kern w:val="0"/>
                <w:sz w:val="24"/>
              </w:rPr>
              <w:t>用于计算等效声级的时间，</w:t>
            </w:r>
            <w:r>
              <w:rPr>
                <w:rFonts w:asciiTheme="minorEastAsia" w:hAnsiTheme="minorEastAsia" w:eastAsiaTheme="minorEastAsia"/>
                <w:color w:val="000000"/>
                <w:kern w:val="0"/>
                <w:sz w:val="24"/>
              </w:rPr>
              <w:t>s</w:t>
            </w:r>
            <w:r>
              <w:rPr>
                <w:rFonts w:hint="eastAsia" w:cs="宋体" w:asciiTheme="minorEastAsia" w:hAnsiTheme="minorEastAsia" w:eastAsiaTheme="minorEastAsia"/>
                <w:color w:val="000000"/>
                <w:kern w:val="0"/>
                <w:sz w:val="24"/>
              </w:rPr>
              <w:t xml:space="preserve">； </w:t>
            </w:r>
          </w:p>
          <w:p w14:paraId="0E77FAD6">
            <w:pPr>
              <w:widowControl/>
              <w:spacing w:line="360" w:lineRule="auto"/>
              <w:ind w:firstLine="1200" w:firstLineChars="500"/>
              <w:jc w:val="left"/>
              <w:rPr>
                <w:rFonts w:asciiTheme="minorEastAsia" w:hAnsiTheme="minorEastAsia" w:eastAsiaTheme="minorEastAsia"/>
                <w:sz w:val="24"/>
              </w:rPr>
            </w:pPr>
            <w:r>
              <w:rPr>
                <w:rFonts w:asciiTheme="minorEastAsia" w:hAnsiTheme="minorEastAsia" w:eastAsiaTheme="minorEastAsia"/>
                <w:color w:val="000000"/>
                <w:kern w:val="0"/>
                <w:sz w:val="24"/>
              </w:rPr>
              <w:t>ti——</w:t>
            </w:r>
            <w:r>
              <w:rPr>
                <w:rFonts w:hint="eastAsia" w:cs="宋体" w:asciiTheme="minorEastAsia" w:hAnsiTheme="minorEastAsia" w:eastAsiaTheme="minorEastAsia"/>
                <w:color w:val="000000"/>
                <w:kern w:val="0"/>
                <w:sz w:val="24"/>
              </w:rPr>
              <w:t xml:space="preserve">在 </w:t>
            </w:r>
            <w:r>
              <w:rPr>
                <w:rFonts w:asciiTheme="minorEastAsia" w:hAnsiTheme="minorEastAsia" w:eastAsiaTheme="minorEastAsia"/>
                <w:color w:val="000000"/>
                <w:kern w:val="0"/>
                <w:sz w:val="24"/>
              </w:rPr>
              <w:t xml:space="preserve">T </w:t>
            </w:r>
            <w:r>
              <w:rPr>
                <w:rFonts w:hint="eastAsia" w:cs="宋体" w:asciiTheme="minorEastAsia" w:hAnsiTheme="minorEastAsia" w:eastAsiaTheme="minorEastAsia"/>
                <w:color w:val="000000"/>
                <w:kern w:val="0"/>
                <w:sz w:val="24"/>
              </w:rPr>
              <w:t xml:space="preserve">时间内 </w:t>
            </w:r>
            <w:r>
              <w:rPr>
                <w:rFonts w:asciiTheme="minorEastAsia" w:hAnsiTheme="minorEastAsia" w:eastAsiaTheme="minorEastAsia"/>
                <w:color w:val="000000"/>
                <w:kern w:val="0"/>
                <w:sz w:val="24"/>
              </w:rPr>
              <w:t xml:space="preserve">i </w:t>
            </w:r>
            <w:r>
              <w:rPr>
                <w:rFonts w:hint="eastAsia" w:cs="宋体" w:asciiTheme="minorEastAsia" w:hAnsiTheme="minorEastAsia" w:eastAsiaTheme="minorEastAsia"/>
                <w:color w:val="000000"/>
                <w:kern w:val="0"/>
                <w:sz w:val="24"/>
              </w:rPr>
              <w:t>声源工作时间，</w:t>
            </w:r>
            <w:r>
              <w:rPr>
                <w:rFonts w:asciiTheme="minorEastAsia" w:hAnsiTheme="minorEastAsia" w:eastAsiaTheme="minorEastAsia"/>
                <w:color w:val="000000"/>
                <w:kern w:val="0"/>
                <w:sz w:val="24"/>
              </w:rPr>
              <w:t>s</w:t>
            </w:r>
            <w:r>
              <w:rPr>
                <w:rFonts w:hint="eastAsia" w:cs="宋体" w:asciiTheme="minorEastAsia" w:hAnsiTheme="minorEastAsia" w:eastAsiaTheme="minorEastAsia"/>
                <w:color w:val="000000"/>
                <w:kern w:val="0"/>
                <w:sz w:val="24"/>
              </w:rPr>
              <w:t xml:space="preserve">； </w:t>
            </w:r>
          </w:p>
          <w:p w14:paraId="1B61BD4A">
            <w:pPr>
              <w:widowControl/>
              <w:spacing w:line="360" w:lineRule="auto"/>
              <w:ind w:firstLine="1200" w:firstLineChars="500"/>
              <w:jc w:val="left"/>
              <w:rPr>
                <w:rFonts w:asciiTheme="minorEastAsia" w:hAnsiTheme="minorEastAsia" w:eastAsiaTheme="minorEastAsia"/>
                <w:sz w:val="24"/>
              </w:rPr>
            </w:pPr>
            <w:r>
              <w:rPr>
                <w:rFonts w:asciiTheme="minorEastAsia" w:hAnsiTheme="minorEastAsia" w:eastAsiaTheme="minorEastAsia"/>
                <w:color w:val="000000"/>
                <w:kern w:val="0"/>
                <w:sz w:val="24"/>
              </w:rPr>
              <w:t>L</w:t>
            </w:r>
            <w:r>
              <w:rPr>
                <w:rFonts w:asciiTheme="minorEastAsia" w:hAnsiTheme="minorEastAsia" w:eastAsiaTheme="minorEastAsia"/>
                <w:color w:val="000000"/>
                <w:kern w:val="0"/>
                <w:sz w:val="24"/>
                <w:vertAlign w:val="subscript"/>
              </w:rPr>
              <w:t>Aj</w:t>
            </w:r>
            <w:r>
              <w:rPr>
                <w:rFonts w:asciiTheme="minorEastAsia" w:hAnsiTheme="minorEastAsia" w:eastAsiaTheme="minorEastAsia"/>
                <w:color w:val="000000"/>
                <w:kern w:val="0"/>
                <w:sz w:val="24"/>
              </w:rPr>
              <w:t xml:space="preserve">——i </w:t>
            </w:r>
            <w:r>
              <w:rPr>
                <w:rFonts w:hint="eastAsia" w:cs="宋体" w:asciiTheme="minorEastAsia" w:hAnsiTheme="minorEastAsia" w:eastAsiaTheme="minorEastAsia"/>
                <w:color w:val="000000"/>
                <w:kern w:val="0"/>
                <w:sz w:val="24"/>
              </w:rPr>
              <w:t xml:space="preserve">声源在预测点产生的等效连续 </w:t>
            </w:r>
            <w:r>
              <w:rPr>
                <w:rFonts w:asciiTheme="minorEastAsia" w:hAnsiTheme="minorEastAsia" w:eastAsiaTheme="minorEastAsia"/>
                <w:color w:val="000000"/>
                <w:kern w:val="0"/>
                <w:sz w:val="24"/>
              </w:rPr>
              <w:t xml:space="preserve">A </w:t>
            </w:r>
            <w:r>
              <w:rPr>
                <w:rFonts w:hint="eastAsia" w:cs="宋体" w:asciiTheme="minorEastAsia" w:hAnsiTheme="minorEastAsia" w:eastAsiaTheme="minorEastAsia"/>
                <w:color w:val="000000"/>
                <w:kern w:val="0"/>
                <w:sz w:val="24"/>
              </w:rPr>
              <w:t>声级，</w:t>
            </w:r>
            <w:r>
              <w:rPr>
                <w:rFonts w:asciiTheme="minorEastAsia" w:hAnsiTheme="minorEastAsia" w:eastAsiaTheme="minorEastAsia"/>
                <w:color w:val="000000"/>
                <w:kern w:val="0"/>
                <w:sz w:val="24"/>
              </w:rPr>
              <w:t>dB</w:t>
            </w:r>
            <w:r>
              <w:rPr>
                <w:rFonts w:hint="eastAsia" w:cs="宋体" w:asciiTheme="minorEastAsia" w:hAnsiTheme="minorEastAsia" w:eastAsiaTheme="minorEastAsia"/>
                <w:color w:val="000000"/>
                <w:kern w:val="0"/>
                <w:sz w:val="24"/>
              </w:rPr>
              <w:t>。</w:t>
            </w:r>
          </w:p>
          <w:p w14:paraId="3E2D26B8">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⑤噪声预测值计算公式</w:t>
            </w:r>
          </w:p>
          <w:p w14:paraId="10E4D32F">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drawing>
                <wp:inline distT="0" distB="0" distL="0" distR="0">
                  <wp:extent cx="2712720" cy="365760"/>
                  <wp:effectExtent l="1905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noChangeArrowheads="1"/>
                          </pic:cNvPicPr>
                        </pic:nvPicPr>
                        <pic:blipFill>
                          <a:blip r:embed="rId21" cstate="print"/>
                          <a:srcRect/>
                          <a:stretch>
                            <a:fillRect/>
                          </a:stretch>
                        </pic:blipFill>
                        <pic:spPr>
                          <a:xfrm>
                            <a:off x="0" y="0"/>
                            <a:ext cx="2712720" cy="365760"/>
                          </a:xfrm>
                          <a:prstGeom prst="rect">
                            <a:avLst/>
                          </a:prstGeom>
                          <a:noFill/>
                          <a:ln w="9525">
                            <a:noFill/>
                            <a:miter lim="800000"/>
                            <a:headEnd/>
                            <a:tailEnd/>
                          </a:ln>
                        </pic:spPr>
                      </pic:pic>
                    </a:graphicData>
                  </a:graphic>
                </wp:inline>
              </w:drawing>
            </w:r>
          </w:p>
          <w:p w14:paraId="1A802607">
            <w:pPr>
              <w:widowControl/>
              <w:spacing w:line="360" w:lineRule="auto"/>
              <w:ind w:firstLine="480" w:firstLineChars="200"/>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式中：</w:t>
            </w:r>
            <w:r>
              <w:rPr>
                <w:rFonts w:asciiTheme="minorEastAsia" w:hAnsiTheme="minorEastAsia" w:eastAsiaTheme="minorEastAsia"/>
                <w:color w:val="000000"/>
                <w:kern w:val="0"/>
                <w:sz w:val="24"/>
              </w:rPr>
              <w:t>L</w:t>
            </w:r>
            <w:r>
              <w:rPr>
                <w:rFonts w:asciiTheme="minorEastAsia" w:hAnsiTheme="minorEastAsia" w:eastAsiaTheme="minorEastAsia"/>
                <w:color w:val="000000"/>
                <w:kern w:val="0"/>
                <w:sz w:val="24"/>
                <w:vertAlign w:val="subscript"/>
              </w:rPr>
              <w:t>eq</w:t>
            </w:r>
            <w:r>
              <w:rPr>
                <w:rFonts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噪声预测值，</w:t>
            </w:r>
            <w:r>
              <w:rPr>
                <w:rFonts w:asciiTheme="minorEastAsia" w:hAnsiTheme="minorEastAsia" w:eastAsiaTheme="minorEastAsia"/>
                <w:color w:val="000000"/>
                <w:kern w:val="0"/>
                <w:sz w:val="24"/>
              </w:rPr>
              <w:t>dB</w:t>
            </w:r>
            <w:r>
              <w:rPr>
                <w:rFonts w:hint="eastAsia" w:asciiTheme="minorEastAsia" w:hAnsiTheme="minorEastAsia" w:eastAsiaTheme="minorEastAsia"/>
                <w:color w:val="000000"/>
                <w:kern w:val="0"/>
                <w:sz w:val="24"/>
              </w:rPr>
              <w:t xml:space="preserve">； </w:t>
            </w:r>
          </w:p>
          <w:p w14:paraId="7724EE3B">
            <w:pPr>
              <w:widowControl/>
              <w:spacing w:line="360" w:lineRule="auto"/>
              <w:ind w:firstLine="1200" w:firstLineChars="5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L</w:t>
            </w:r>
            <w:r>
              <w:rPr>
                <w:rFonts w:asciiTheme="minorEastAsia" w:hAnsiTheme="minorEastAsia" w:eastAsiaTheme="minorEastAsia"/>
                <w:color w:val="000000"/>
                <w:kern w:val="0"/>
                <w:sz w:val="24"/>
                <w:vertAlign w:val="subscript"/>
              </w:rPr>
              <w:t>eqg</w:t>
            </w:r>
            <w:r>
              <w:rPr>
                <w:rFonts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预测点噪声贡献值，</w:t>
            </w:r>
            <w:r>
              <w:rPr>
                <w:rFonts w:asciiTheme="minorEastAsia" w:hAnsiTheme="minorEastAsia" w:eastAsiaTheme="minorEastAsia"/>
                <w:color w:val="000000"/>
                <w:kern w:val="0"/>
                <w:sz w:val="24"/>
              </w:rPr>
              <w:t>dB</w:t>
            </w:r>
            <w:r>
              <w:rPr>
                <w:rFonts w:hint="eastAsia" w:asciiTheme="minorEastAsia" w:hAnsiTheme="minorEastAsia" w:eastAsiaTheme="minorEastAsia"/>
                <w:color w:val="000000"/>
                <w:kern w:val="0"/>
                <w:sz w:val="24"/>
              </w:rPr>
              <w:t xml:space="preserve">； </w:t>
            </w:r>
          </w:p>
          <w:p w14:paraId="5CC85C8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color w:val="000000"/>
                <w:kern w:val="0"/>
                <w:sz w:val="24"/>
              </w:rPr>
              <w:t>L</w:t>
            </w:r>
            <w:r>
              <w:rPr>
                <w:rFonts w:asciiTheme="minorEastAsia" w:hAnsiTheme="minorEastAsia" w:eastAsiaTheme="minorEastAsia"/>
                <w:color w:val="000000"/>
                <w:kern w:val="0"/>
                <w:sz w:val="24"/>
                <w:vertAlign w:val="subscript"/>
              </w:rPr>
              <w:t>eqb</w:t>
            </w:r>
            <w:r>
              <w:rPr>
                <w:rFonts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预测点噪声背景值，</w:t>
            </w:r>
            <w:r>
              <w:rPr>
                <w:rFonts w:asciiTheme="minorEastAsia" w:hAnsiTheme="minorEastAsia" w:eastAsiaTheme="minorEastAsia"/>
                <w:color w:val="000000"/>
                <w:kern w:val="0"/>
                <w:sz w:val="24"/>
              </w:rPr>
              <w:t>dB</w:t>
            </w:r>
            <w:r>
              <w:rPr>
                <w:rFonts w:hint="eastAsia" w:asciiTheme="minorEastAsia" w:hAnsiTheme="minorEastAsia" w:eastAsiaTheme="minorEastAsia"/>
                <w:color w:val="000000"/>
                <w:kern w:val="0"/>
                <w:sz w:val="24"/>
              </w:rPr>
              <w:t>。</w:t>
            </w:r>
          </w:p>
          <w:p w14:paraId="2DC5ED3B">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（4）预测参数</w:t>
            </w:r>
          </w:p>
          <w:p w14:paraId="380BE306">
            <w:pPr>
              <w:spacing w:line="360" w:lineRule="auto"/>
              <w:ind w:firstLine="480" w:firstLineChars="200"/>
              <w:jc w:val="left"/>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本项目噪声主要来自传送、破碎、筛分等工序机械运转噪声，各生产设备均位于车间内，车间有围墙阻隔，将其均视为室内声源，声压级为85dB（A）。原点坐标设置在厂区左下角，本项目各设备噪声源强详见下表。</w:t>
            </w:r>
          </w:p>
          <w:p w14:paraId="450E0180">
            <w:pPr>
              <w:spacing w:line="360" w:lineRule="auto"/>
              <w:jc w:val="center"/>
              <w:rPr>
                <w:rFonts w:asciiTheme="minorEastAsia" w:hAnsiTheme="minorEastAsia" w:eastAsiaTheme="minorEastAsia"/>
                <w:b/>
                <w:bCs/>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4-5</w:t>
            </w:r>
            <w:r>
              <w:rPr>
                <w:rFonts w:asciiTheme="minorEastAsia" w:hAnsiTheme="minorEastAsia" w:eastAsiaTheme="minorEastAsia"/>
                <w:b/>
                <w:bCs/>
                <w:sz w:val="24"/>
                <w:szCs w:val="24"/>
              </w:rPr>
              <w:t xml:space="preserve">  本项目各设备噪声排放源强</w:t>
            </w:r>
            <w:r>
              <w:rPr>
                <w:rFonts w:hint="eastAsia" w:asciiTheme="minorEastAsia" w:hAnsiTheme="minorEastAsia" w:eastAsiaTheme="minorEastAsia"/>
                <w:b/>
                <w:bCs/>
                <w:sz w:val="24"/>
                <w:szCs w:val="24"/>
              </w:rPr>
              <w:t xml:space="preserve">    单位</w:t>
            </w:r>
            <w:r>
              <w:rPr>
                <w:rFonts w:asciiTheme="minorEastAsia" w:hAnsiTheme="minorEastAsia" w:eastAsiaTheme="minorEastAsia"/>
                <w:b/>
                <w:bCs/>
                <w:sz w:val="24"/>
                <w:szCs w:val="24"/>
              </w:rPr>
              <w:t>（dB（A））</w:t>
            </w:r>
          </w:p>
          <w:tbl>
            <w:tblPr>
              <w:tblStyle w:val="22"/>
              <w:tblW w:w="858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25"/>
              <w:gridCol w:w="710"/>
              <w:gridCol w:w="860"/>
              <w:gridCol w:w="856"/>
              <w:gridCol w:w="571"/>
              <w:gridCol w:w="571"/>
              <w:gridCol w:w="286"/>
              <w:gridCol w:w="714"/>
              <w:gridCol w:w="713"/>
              <w:gridCol w:w="714"/>
              <w:gridCol w:w="725"/>
              <w:gridCol w:w="853"/>
            </w:tblGrid>
            <w:tr w14:paraId="508935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Merge w:val="restart"/>
                  <w:vAlign w:val="center"/>
                </w:tcPr>
                <w:p w14:paraId="68B1AA11">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序号</w:t>
                  </w:r>
                </w:p>
              </w:tc>
              <w:tc>
                <w:tcPr>
                  <w:tcW w:w="525" w:type="dxa"/>
                  <w:vMerge w:val="restart"/>
                  <w:vAlign w:val="center"/>
                </w:tcPr>
                <w:p w14:paraId="33A87006">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建筑物名称</w:t>
                  </w:r>
                </w:p>
              </w:tc>
              <w:tc>
                <w:tcPr>
                  <w:tcW w:w="710" w:type="dxa"/>
                  <w:vMerge w:val="restart"/>
                  <w:vAlign w:val="center"/>
                </w:tcPr>
                <w:p w14:paraId="3FC611E8">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声源</w:t>
                  </w:r>
                  <w:r>
                    <w:rPr>
                      <w:rFonts w:asciiTheme="minorEastAsia" w:hAnsiTheme="minorEastAsia" w:eastAsiaTheme="minorEastAsia"/>
                      <w:bCs/>
                      <w:kern w:val="0"/>
                      <w:szCs w:val="21"/>
                    </w:rPr>
                    <w:t>名称</w:t>
                  </w:r>
                </w:p>
              </w:tc>
              <w:tc>
                <w:tcPr>
                  <w:tcW w:w="860" w:type="dxa"/>
                  <w:vAlign w:val="center"/>
                </w:tcPr>
                <w:p w14:paraId="292C8C10">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声源源强</w:t>
                  </w:r>
                </w:p>
              </w:tc>
              <w:tc>
                <w:tcPr>
                  <w:tcW w:w="856" w:type="dxa"/>
                  <w:vMerge w:val="restart"/>
                  <w:vAlign w:val="center"/>
                </w:tcPr>
                <w:p w14:paraId="50E42A7C">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声源控制措施</w:t>
                  </w:r>
                </w:p>
              </w:tc>
              <w:tc>
                <w:tcPr>
                  <w:tcW w:w="1428" w:type="dxa"/>
                  <w:gridSpan w:val="3"/>
                  <w:vAlign w:val="center"/>
                </w:tcPr>
                <w:p w14:paraId="049C1305">
                  <w:pPr>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空间相对位置</w:t>
                  </w:r>
                </w:p>
              </w:tc>
              <w:tc>
                <w:tcPr>
                  <w:tcW w:w="714" w:type="dxa"/>
                  <w:vMerge w:val="restart"/>
                  <w:vAlign w:val="center"/>
                </w:tcPr>
                <w:p w14:paraId="1A667D5D">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距室内边界距离m</w:t>
                  </w:r>
                </w:p>
              </w:tc>
              <w:tc>
                <w:tcPr>
                  <w:tcW w:w="713" w:type="dxa"/>
                  <w:vMerge w:val="restart"/>
                  <w:vAlign w:val="center"/>
                </w:tcPr>
                <w:p w14:paraId="131DB1E1">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室内边界声级</w:t>
                  </w:r>
                  <w:r>
                    <w:rPr>
                      <w:rFonts w:hint="eastAsia" w:asciiTheme="minorEastAsia" w:hAnsiTheme="minorEastAsia" w:eastAsiaTheme="minorEastAsia"/>
                      <w:bCs/>
                      <w:kern w:val="0"/>
                      <w:szCs w:val="21"/>
                    </w:rPr>
                    <w:t>dB（A）</w:t>
                  </w:r>
                </w:p>
              </w:tc>
              <w:tc>
                <w:tcPr>
                  <w:tcW w:w="714" w:type="dxa"/>
                  <w:vMerge w:val="restart"/>
                  <w:vAlign w:val="center"/>
                </w:tcPr>
                <w:p w14:paraId="3563EE85">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运行时段</w:t>
                  </w:r>
                </w:p>
              </w:tc>
              <w:tc>
                <w:tcPr>
                  <w:tcW w:w="725" w:type="dxa"/>
                  <w:vMerge w:val="restart"/>
                  <w:vAlign w:val="center"/>
                </w:tcPr>
                <w:p w14:paraId="087D8BFB">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建筑物插入损失</w:t>
                  </w:r>
                </w:p>
              </w:tc>
              <w:tc>
                <w:tcPr>
                  <w:tcW w:w="853" w:type="dxa"/>
                  <w:vAlign w:val="center"/>
                </w:tcPr>
                <w:p w14:paraId="2BEBAB03">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建筑物外噪声</w:t>
                  </w:r>
                </w:p>
              </w:tc>
            </w:tr>
            <w:tr w14:paraId="5B2BD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 w:hRule="atLeast"/>
                <w:jc w:val="center"/>
              </w:trPr>
              <w:tc>
                <w:tcPr>
                  <w:tcW w:w="484" w:type="dxa"/>
                  <w:vMerge w:val="continue"/>
                  <w:vAlign w:val="center"/>
                </w:tcPr>
                <w:p w14:paraId="6C5799DA">
                  <w:pPr>
                    <w:widowControl/>
                    <w:jc w:val="center"/>
                    <w:rPr>
                      <w:rFonts w:asciiTheme="minorEastAsia" w:hAnsiTheme="minorEastAsia" w:eastAsiaTheme="minorEastAsia"/>
                      <w:bCs/>
                      <w:kern w:val="0"/>
                      <w:szCs w:val="21"/>
                    </w:rPr>
                  </w:pPr>
                </w:p>
              </w:tc>
              <w:tc>
                <w:tcPr>
                  <w:tcW w:w="525" w:type="dxa"/>
                  <w:vMerge w:val="continue"/>
                  <w:vAlign w:val="center"/>
                </w:tcPr>
                <w:p w14:paraId="668EEA03">
                  <w:pPr>
                    <w:widowControl/>
                    <w:jc w:val="center"/>
                    <w:rPr>
                      <w:rFonts w:asciiTheme="minorEastAsia" w:hAnsiTheme="minorEastAsia" w:eastAsiaTheme="minorEastAsia"/>
                      <w:bCs/>
                      <w:kern w:val="0"/>
                      <w:szCs w:val="21"/>
                    </w:rPr>
                  </w:pPr>
                </w:p>
              </w:tc>
              <w:tc>
                <w:tcPr>
                  <w:tcW w:w="710" w:type="dxa"/>
                  <w:vMerge w:val="continue"/>
                  <w:vAlign w:val="center"/>
                </w:tcPr>
                <w:p w14:paraId="287CF3AB">
                  <w:pPr>
                    <w:widowControl/>
                    <w:jc w:val="center"/>
                    <w:rPr>
                      <w:rFonts w:asciiTheme="minorEastAsia" w:hAnsiTheme="minorEastAsia" w:eastAsiaTheme="minorEastAsia"/>
                      <w:bCs/>
                      <w:kern w:val="0"/>
                      <w:szCs w:val="21"/>
                    </w:rPr>
                  </w:pPr>
                </w:p>
              </w:tc>
              <w:tc>
                <w:tcPr>
                  <w:tcW w:w="860" w:type="dxa"/>
                  <w:vAlign w:val="center"/>
                </w:tcPr>
                <w:p w14:paraId="78D47EDA">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声功率级dB（A）</w:t>
                  </w:r>
                </w:p>
              </w:tc>
              <w:tc>
                <w:tcPr>
                  <w:tcW w:w="856" w:type="dxa"/>
                  <w:vMerge w:val="continue"/>
                  <w:vAlign w:val="center"/>
                </w:tcPr>
                <w:p w14:paraId="4803EC44">
                  <w:pPr>
                    <w:widowControl/>
                    <w:jc w:val="center"/>
                    <w:rPr>
                      <w:rFonts w:asciiTheme="minorEastAsia" w:hAnsiTheme="minorEastAsia" w:eastAsiaTheme="minorEastAsia"/>
                      <w:bCs/>
                      <w:kern w:val="0"/>
                      <w:szCs w:val="21"/>
                    </w:rPr>
                  </w:pPr>
                </w:p>
              </w:tc>
              <w:tc>
                <w:tcPr>
                  <w:tcW w:w="571" w:type="dxa"/>
                  <w:vAlign w:val="center"/>
                </w:tcPr>
                <w:p w14:paraId="2E11925E">
                  <w:pPr>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X</w:t>
                  </w:r>
                </w:p>
              </w:tc>
              <w:tc>
                <w:tcPr>
                  <w:tcW w:w="571" w:type="dxa"/>
                  <w:vAlign w:val="center"/>
                </w:tcPr>
                <w:p w14:paraId="6903822E">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Y</w:t>
                  </w:r>
                </w:p>
              </w:tc>
              <w:tc>
                <w:tcPr>
                  <w:tcW w:w="286" w:type="dxa"/>
                  <w:vAlign w:val="center"/>
                </w:tcPr>
                <w:p w14:paraId="7B5D337F">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Z</w:t>
                  </w:r>
                </w:p>
              </w:tc>
              <w:tc>
                <w:tcPr>
                  <w:tcW w:w="714" w:type="dxa"/>
                  <w:vMerge w:val="continue"/>
                  <w:vAlign w:val="center"/>
                </w:tcPr>
                <w:p w14:paraId="5D0C8A4B">
                  <w:pPr>
                    <w:widowControl/>
                    <w:jc w:val="center"/>
                    <w:rPr>
                      <w:rFonts w:asciiTheme="minorEastAsia" w:hAnsiTheme="minorEastAsia" w:eastAsiaTheme="minorEastAsia"/>
                      <w:bCs/>
                      <w:kern w:val="0"/>
                      <w:szCs w:val="21"/>
                    </w:rPr>
                  </w:pPr>
                </w:p>
              </w:tc>
              <w:tc>
                <w:tcPr>
                  <w:tcW w:w="713" w:type="dxa"/>
                  <w:vMerge w:val="continue"/>
                  <w:vAlign w:val="center"/>
                </w:tcPr>
                <w:p w14:paraId="0A3B41E7">
                  <w:pPr>
                    <w:widowControl/>
                    <w:jc w:val="center"/>
                    <w:rPr>
                      <w:rFonts w:asciiTheme="minorEastAsia" w:hAnsiTheme="minorEastAsia" w:eastAsiaTheme="minorEastAsia"/>
                      <w:bCs/>
                      <w:kern w:val="0"/>
                      <w:szCs w:val="21"/>
                    </w:rPr>
                  </w:pPr>
                </w:p>
              </w:tc>
              <w:tc>
                <w:tcPr>
                  <w:tcW w:w="714" w:type="dxa"/>
                  <w:vMerge w:val="continue"/>
                  <w:vAlign w:val="center"/>
                </w:tcPr>
                <w:p w14:paraId="03CB023F">
                  <w:pPr>
                    <w:widowControl/>
                    <w:jc w:val="center"/>
                    <w:rPr>
                      <w:rFonts w:asciiTheme="minorEastAsia" w:hAnsiTheme="minorEastAsia" w:eastAsiaTheme="minorEastAsia"/>
                      <w:bCs/>
                      <w:kern w:val="0"/>
                      <w:szCs w:val="21"/>
                    </w:rPr>
                  </w:pPr>
                </w:p>
              </w:tc>
              <w:tc>
                <w:tcPr>
                  <w:tcW w:w="725" w:type="dxa"/>
                  <w:vMerge w:val="continue"/>
                  <w:vAlign w:val="center"/>
                </w:tcPr>
                <w:p w14:paraId="59A3FE5D">
                  <w:pPr>
                    <w:widowControl/>
                    <w:jc w:val="center"/>
                    <w:rPr>
                      <w:rFonts w:asciiTheme="minorEastAsia" w:hAnsiTheme="minorEastAsia" w:eastAsiaTheme="minorEastAsia"/>
                      <w:bCs/>
                      <w:kern w:val="0"/>
                      <w:szCs w:val="21"/>
                    </w:rPr>
                  </w:pPr>
                </w:p>
              </w:tc>
              <w:tc>
                <w:tcPr>
                  <w:tcW w:w="853" w:type="dxa"/>
                  <w:vAlign w:val="center"/>
                </w:tcPr>
                <w:p w14:paraId="15178A35">
                  <w:pPr>
                    <w:widowControl/>
                    <w:jc w:val="center"/>
                    <w:rPr>
                      <w:rFonts w:asciiTheme="minorEastAsia" w:hAnsiTheme="minorEastAsia" w:eastAsiaTheme="minorEastAsia"/>
                      <w:bCs/>
                      <w:kern w:val="0"/>
                      <w:szCs w:val="21"/>
                    </w:rPr>
                  </w:pPr>
                  <w:r>
                    <w:rPr>
                      <w:rFonts w:asciiTheme="minorEastAsia" w:hAnsiTheme="minorEastAsia" w:eastAsiaTheme="minorEastAsia"/>
                      <w:bCs/>
                      <w:kern w:val="0"/>
                      <w:szCs w:val="21"/>
                    </w:rPr>
                    <w:t>声压级</w:t>
                  </w:r>
                  <w:r>
                    <w:rPr>
                      <w:rFonts w:hint="eastAsia" w:asciiTheme="minorEastAsia" w:hAnsiTheme="minorEastAsia" w:eastAsiaTheme="minorEastAsia"/>
                      <w:bCs/>
                      <w:kern w:val="0"/>
                      <w:szCs w:val="21"/>
                    </w:rPr>
                    <w:t>dB（A）</w:t>
                  </w:r>
                </w:p>
              </w:tc>
            </w:tr>
            <w:tr w14:paraId="387C1A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117EDDC8">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1</w:t>
                  </w:r>
                </w:p>
              </w:tc>
              <w:tc>
                <w:tcPr>
                  <w:tcW w:w="525" w:type="dxa"/>
                  <w:vMerge w:val="restart"/>
                  <w:vAlign w:val="center"/>
                </w:tcPr>
                <w:p w14:paraId="32534A8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破碎厂房</w:t>
                  </w:r>
                </w:p>
              </w:tc>
              <w:tc>
                <w:tcPr>
                  <w:tcW w:w="710" w:type="dxa"/>
                  <w:vAlign w:val="center"/>
                </w:tcPr>
                <w:p w14:paraId="16712CA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制砂机</w:t>
                  </w:r>
                </w:p>
              </w:tc>
              <w:tc>
                <w:tcPr>
                  <w:tcW w:w="860" w:type="dxa"/>
                  <w:vAlign w:val="center"/>
                </w:tcPr>
                <w:p w14:paraId="02C4D4EE">
                  <w:pPr>
                    <w:jc w:val="center"/>
                    <w:rPr>
                      <w:rFonts w:asciiTheme="minorEastAsia" w:hAnsiTheme="minorEastAsia" w:eastAsiaTheme="minorEastAsia"/>
                    </w:rPr>
                  </w:pPr>
                  <w:r>
                    <w:rPr>
                      <w:rFonts w:hint="eastAsia" w:asciiTheme="minorEastAsia" w:hAnsiTheme="minorEastAsia" w:eastAsiaTheme="minorEastAsia"/>
                      <w:bCs/>
                      <w:szCs w:val="21"/>
                    </w:rPr>
                    <w:t>85</w:t>
                  </w:r>
                </w:p>
              </w:tc>
              <w:tc>
                <w:tcPr>
                  <w:tcW w:w="856" w:type="dxa"/>
                  <w:vMerge w:val="restart"/>
                  <w:vAlign w:val="center"/>
                </w:tcPr>
                <w:p w14:paraId="63412940">
                  <w:pPr>
                    <w:jc w:val="center"/>
                    <w:rPr>
                      <w:rFonts w:asciiTheme="minorEastAsia" w:hAnsiTheme="minorEastAsia" w:eastAsiaTheme="minorEastAsia"/>
                      <w:bCs/>
                      <w:szCs w:val="21"/>
                    </w:rPr>
                  </w:pPr>
                  <w:r>
                    <w:rPr>
                      <w:rFonts w:hint="eastAsia" w:asciiTheme="minorEastAsia" w:hAnsiTheme="minorEastAsia" w:eastAsiaTheme="minorEastAsia"/>
                      <w:bCs/>
                      <w:szCs w:val="21"/>
                    </w:rPr>
                    <w:t>先进设备、基础减震（-5）</w:t>
                  </w:r>
                </w:p>
              </w:tc>
              <w:tc>
                <w:tcPr>
                  <w:tcW w:w="571" w:type="dxa"/>
                  <w:vAlign w:val="center"/>
                </w:tcPr>
                <w:p w14:paraId="1C4D53B9">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31F9129D">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55A0A275">
                  <w:pPr>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714" w:type="dxa"/>
                  <w:vAlign w:val="center"/>
                </w:tcPr>
                <w:p w14:paraId="41B5E80E">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253AE4F1">
                  <w:pPr>
                    <w:jc w:val="center"/>
                    <w:rPr>
                      <w:rFonts w:asciiTheme="minorEastAsia" w:hAnsiTheme="minorEastAsia" w:eastAsiaTheme="minorEastAsia"/>
                      <w:bCs/>
                      <w:szCs w:val="21"/>
                    </w:rPr>
                  </w:pPr>
                  <w:r>
                    <w:rPr>
                      <w:rFonts w:hint="eastAsia" w:asciiTheme="minorEastAsia" w:hAnsiTheme="minorEastAsia" w:eastAsiaTheme="minorEastAsia"/>
                      <w:bCs/>
                      <w:szCs w:val="21"/>
                    </w:rPr>
                    <w:t>80</w:t>
                  </w:r>
                </w:p>
              </w:tc>
              <w:tc>
                <w:tcPr>
                  <w:tcW w:w="714" w:type="dxa"/>
                  <w:vAlign w:val="center"/>
                </w:tcPr>
                <w:p w14:paraId="28BF9DEA">
                  <w:pPr>
                    <w:jc w:val="center"/>
                    <w:rPr>
                      <w:rFonts w:asciiTheme="minorEastAsia" w:hAnsiTheme="minorEastAsia" w:eastAsiaTheme="minorEastAsia"/>
                      <w:bCs/>
                      <w:szCs w:val="21"/>
                    </w:rPr>
                  </w:pPr>
                  <w:r>
                    <w:rPr>
                      <w:rFonts w:hint="eastAsia" w:asciiTheme="minorEastAsia" w:hAnsiTheme="minorEastAsia" w:eastAsiaTheme="minorEastAsia"/>
                      <w:bCs/>
                      <w:szCs w:val="21"/>
                    </w:rPr>
                    <w:t>10h/d</w:t>
                  </w:r>
                </w:p>
              </w:tc>
              <w:tc>
                <w:tcPr>
                  <w:tcW w:w="725" w:type="dxa"/>
                  <w:vAlign w:val="center"/>
                </w:tcPr>
                <w:p w14:paraId="3C2B2555">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42054F01">
                  <w:pPr>
                    <w:jc w:val="center"/>
                    <w:rPr>
                      <w:rFonts w:asciiTheme="minorEastAsia" w:hAnsiTheme="minorEastAsia" w:eastAsiaTheme="minorEastAsia"/>
                      <w:bCs/>
                      <w:szCs w:val="21"/>
                    </w:rPr>
                  </w:pPr>
                  <w:r>
                    <w:rPr>
                      <w:rFonts w:hint="eastAsia" w:asciiTheme="minorEastAsia" w:hAnsiTheme="minorEastAsia" w:eastAsiaTheme="minorEastAsia"/>
                      <w:bCs/>
                      <w:szCs w:val="21"/>
                    </w:rPr>
                    <w:t>70</w:t>
                  </w:r>
                </w:p>
              </w:tc>
            </w:tr>
            <w:tr w14:paraId="2530F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542B2DED">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2</w:t>
                  </w:r>
                </w:p>
              </w:tc>
              <w:tc>
                <w:tcPr>
                  <w:tcW w:w="525" w:type="dxa"/>
                  <w:vMerge w:val="continue"/>
                  <w:vAlign w:val="center"/>
                </w:tcPr>
                <w:p w14:paraId="279A5557">
                  <w:pPr>
                    <w:adjustRightInd w:val="0"/>
                    <w:snapToGrid w:val="0"/>
                    <w:jc w:val="center"/>
                    <w:rPr>
                      <w:rFonts w:asciiTheme="minorEastAsia" w:hAnsiTheme="minorEastAsia" w:eastAsiaTheme="minorEastAsia"/>
                      <w:szCs w:val="21"/>
                    </w:rPr>
                  </w:pPr>
                </w:p>
              </w:tc>
              <w:tc>
                <w:tcPr>
                  <w:tcW w:w="710" w:type="dxa"/>
                  <w:vAlign w:val="center"/>
                </w:tcPr>
                <w:p w14:paraId="06CCA41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高频筛</w:t>
                  </w:r>
                </w:p>
              </w:tc>
              <w:tc>
                <w:tcPr>
                  <w:tcW w:w="860" w:type="dxa"/>
                  <w:vAlign w:val="center"/>
                </w:tcPr>
                <w:p w14:paraId="7CD4D729">
                  <w:pPr>
                    <w:jc w:val="center"/>
                    <w:rPr>
                      <w:rFonts w:asciiTheme="minorEastAsia" w:hAnsiTheme="minorEastAsia" w:eastAsiaTheme="minorEastAsia"/>
                    </w:rPr>
                  </w:pPr>
                  <w:r>
                    <w:rPr>
                      <w:rFonts w:hint="eastAsia" w:asciiTheme="minorEastAsia" w:hAnsiTheme="minorEastAsia" w:eastAsiaTheme="minorEastAsia"/>
                      <w:bCs/>
                      <w:szCs w:val="21"/>
                    </w:rPr>
                    <w:t>80</w:t>
                  </w:r>
                </w:p>
              </w:tc>
              <w:tc>
                <w:tcPr>
                  <w:tcW w:w="856" w:type="dxa"/>
                  <w:vMerge w:val="continue"/>
                  <w:vAlign w:val="center"/>
                </w:tcPr>
                <w:p w14:paraId="64926BEB">
                  <w:pPr>
                    <w:jc w:val="center"/>
                    <w:rPr>
                      <w:rFonts w:asciiTheme="minorEastAsia" w:hAnsiTheme="minorEastAsia" w:eastAsiaTheme="minorEastAsia"/>
                      <w:bCs/>
                      <w:szCs w:val="21"/>
                    </w:rPr>
                  </w:pPr>
                </w:p>
              </w:tc>
              <w:tc>
                <w:tcPr>
                  <w:tcW w:w="571" w:type="dxa"/>
                  <w:vAlign w:val="center"/>
                </w:tcPr>
                <w:p w14:paraId="7AADB376">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1F3D065C">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30942EC2">
                  <w:pPr>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714" w:type="dxa"/>
                  <w:vAlign w:val="center"/>
                </w:tcPr>
                <w:p w14:paraId="4575A835">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12A21349">
                  <w:pPr>
                    <w:jc w:val="center"/>
                  </w:pPr>
                  <w:r>
                    <w:rPr>
                      <w:rFonts w:hint="eastAsia"/>
                    </w:rPr>
                    <w:t>75</w:t>
                  </w:r>
                </w:p>
              </w:tc>
              <w:tc>
                <w:tcPr>
                  <w:tcW w:w="714" w:type="dxa"/>
                  <w:vAlign w:val="center"/>
                </w:tcPr>
                <w:p w14:paraId="4740E9CF">
                  <w:pPr>
                    <w:jc w:val="center"/>
                  </w:pPr>
                  <w:r>
                    <w:rPr>
                      <w:rFonts w:hint="eastAsia" w:asciiTheme="minorEastAsia" w:hAnsiTheme="minorEastAsia" w:eastAsiaTheme="minorEastAsia"/>
                      <w:bCs/>
                      <w:szCs w:val="21"/>
                    </w:rPr>
                    <w:t>10h/d</w:t>
                  </w:r>
                </w:p>
              </w:tc>
              <w:tc>
                <w:tcPr>
                  <w:tcW w:w="725" w:type="dxa"/>
                  <w:vAlign w:val="center"/>
                </w:tcPr>
                <w:p w14:paraId="6FEE4318">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6F43829C">
                  <w:pPr>
                    <w:jc w:val="center"/>
                  </w:pPr>
                  <w:r>
                    <w:rPr>
                      <w:rFonts w:hint="eastAsia"/>
                    </w:rPr>
                    <w:t>65</w:t>
                  </w:r>
                </w:p>
              </w:tc>
            </w:tr>
            <w:tr w14:paraId="2CF378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3031EFBB">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3</w:t>
                  </w:r>
                </w:p>
              </w:tc>
              <w:tc>
                <w:tcPr>
                  <w:tcW w:w="525" w:type="dxa"/>
                  <w:vMerge w:val="continue"/>
                  <w:vAlign w:val="center"/>
                </w:tcPr>
                <w:p w14:paraId="792D6A7C">
                  <w:pPr>
                    <w:adjustRightInd w:val="0"/>
                    <w:snapToGrid w:val="0"/>
                    <w:jc w:val="center"/>
                    <w:rPr>
                      <w:rFonts w:asciiTheme="minorEastAsia" w:hAnsiTheme="minorEastAsia" w:eastAsiaTheme="minorEastAsia"/>
                      <w:szCs w:val="21"/>
                    </w:rPr>
                  </w:pPr>
                </w:p>
              </w:tc>
              <w:tc>
                <w:tcPr>
                  <w:tcW w:w="710" w:type="dxa"/>
                  <w:vAlign w:val="center"/>
                </w:tcPr>
                <w:p w14:paraId="2BE1D80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选粉机</w:t>
                  </w:r>
                </w:p>
              </w:tc>
              <w:tc>
                <w:tcPr>
                  <w:tcW w:w="860" w:type="dxa"/>
                  <w:vAlign w:val="center"/>
                </w:tcPr>
                <w:p w14:paraId="31430364">
                  <w:pPr>
                    <w:jc w:val="center"/>
                    <w:rPr>
                      <w:rFonts w:asciiTheme="minorEastAsia" w:hAnsiTheme="minorEastAsia" w:eastAsiaTheme="minorEastAsia"/>
                    </w:rPr>
                  </w:pPr>
                  <w:r>
                    <w:rPr>
                      <w:rFonts w:hint="eastAsia" w:asciiTheme="minorEastAsia" w:hAnsiTheme="minorEastAsia" w:eastAsiaTheme="minorEastAsia"/>
                      <w:bCs/>
                      <w:szCs w:val="21"/>
                    </w:rPr>
                    <w:t>80</w:t>
                  </w:r>
                </w:p>
              </w:tc>
              <w:tc>
                <w:tcPr>
                  <w:tcW w:w="856" w:type="dxa"/>
                  <w:vMerge w:val="continue"/>
                  <w:vAlign w:val="center"/>
                </w:tcPr>
                <w:p w14:paraId="0F81F819">
                  <w:pPr>
                    <w:jc w:val="center"/>
                    <w:rPr>
                      <w:rFonts w:asciiTheme="minorEastAsia" w:hAnsiTheme="minorEastAsia" w:eastAsiaTheme="minorEastAsia"/>
                      <w:bCs/>
                      <w:szCs w:val="21"/>
                    </w:rPr>
                  </w:pPr>
                </w:p>
              </w:tc>
              <w:tc>
                <w:tcPr>
                  <w:tcW w:w="571" w:type="dxa"/>
                  <w:vAlign w:val="center"/>
                </w:tcPr>
                <w:p w14:paraId="76205DC2">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183A8CE8">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74E4FA0A">
                  <w:pPr>
                    <w:jc w:val="center"/>
                    <w:rPr>
                      <w:rFonts w:asciiTheme="minorEastAsia" w:hAnsiTheme="minorEastAsia" w:eastAsiaTheme="minorEastAsia"/>
                    </w:rPr>
                  </w:pPr>
                  <w:r>
                    <w:rPr>
                      <w:rFonts w:hint="eastAsia" w:asciiTheme="minorEastAsia" w:hAnsiTheme="minorEastAsia" w:eastAsiaTheme="minorEastAsia"/>
                    </w:rPr>
                    <w:t>2</w:t>
                  </w:r>
                </w:p>
              </w:tc>
              <w:tc>
                <w:tcPr>
                  <w:tcW w:w="714" w:type="dxa"/>
                  <w:vAlign w:val="center"/>
                </w:tcPr>
                <w:p w14:paraId="79343900">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0AF6A6F8">
                  <w:pPr>
                    <w:jc w:val="center"/>
                  </w:pPr>
                  <w:r>
                    <w:rPr>
                      <w:rFonts w:hint="eastAsia"/>
                    </w:rPr>
                    <w:t>75</w:t>
                  </w:r>
                </w:p>
              </w:tc>
              <w:tc>
                <w:tcPr>
                  <w:tcW w:w="714" w:type="dxa"/>
                  <w:vAlign w:val="center"/>
                </w:tcPr>
                <w:p w14:paraId="701D9E6D">
                  <w:pPr>
                    <w:jc w:val="center"/>
                  </w:pPr>
                  <w:r>
                    <w:rPr>
                      <w:rFonts w:hint="eastAsia" w:asciiTheme="minorEastAsia" w:hAnsiTheme="minorEastAsia" w:eastAsiaTheme="minorEastAsia"/>
                      <w:bCs/>
                      <w:szCs w:val="21"/>
                    </w:rPr>
                    <w:t>10h/d</w:t>
                  </w:r>
                </w:p>
              </w:tc>
              <w:tc>
                <w:tcPr>
                  <w:tcW w:w="725" w:type="dxa"/>
                  <w:vAlign w:val="center"/>
                </w:tcPr>
                <w:p w14:paraId="0095C7E6">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5C359EEB">
                  <w:pPr>
                    <w:jc w:val="center"/>
                  </w:pPr>
                  <w:r>
                    <w:rPr>
                      <w:rFonts w:hint="eastAsia"/>
                    </w:rPr>
                    <w:t>65</w:t>
                  </w:r>
                </w:p>
              </w:tc>
            </w:tr>
            <w:tr w14:paraId="2D087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7BA2D957">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4</w:t>
                  </w:r>
                </w:p>
              </w:tc>
              <w:tc>
                <w:tcPr>
                  <w:tcW w:w="525" w:type="dxa"/>
                  <w:vMerge w:val="continue"/>
                  <w:vAlign w:val="center"/>
                </w:tcPr>
                <w:p w14:paraId="1313FEA3">
                  <w:pPr>
                    <w:adjustRightInd w:val="0"/>
                    <w:snapToGrid w:val="0"/>
                    <w:jc w:val="center"/>
                    <w:rPr>
                      <w:rFonts w:asciiTheme="minorEastAsia" w:hAnsiTheme="minorEastAsia" w:eastAsiaTheme="minorEastAsia"/>
                      <w:szCs w:val="21"/>
                    </w:rPr>
                  </w:pPr>
                </w:p>
              </w:tc>
              <w:tc>
                <w:tcPr>
                  <w:tcW w:w="710" w:type="dxa"/>
                  <w:vAlign w:val="center"/>
                </w:tcPr>
                <w:p w14:paraId="7E27233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直线给料机</w:t>
                  </w:r>
                </w:p>
              </w:tc>
              <w:tc>
                <w:tcPr>
                  <w:tcW w:w="860" w:type="dxa"/>
                  <w:vAlign w:val="center"/>
                </w:tcPr>
                <w:p w14:paraId="701A3233">
                  <w:pPr>
                    <w:jc w:val="center"/>
                    <w:rPr>
                      <w:rFonts w:asciiTheme="minorEastAsia" w:hAnsiTheme="minorEastAsia" w:eastAsiaTheme="minorEastAsia"/>
                    </w:rPr>
                  </w:pPr>
                  <w:r>
                    <w:rPr>
                      <w:rFonts w:hint="eastAsia" w:asciiTheme="minorEastAsia" w:hAnsiTheme="minorEastAsia" w:eastAsiaTheme="minorEastAsia"/>
                      <w:bCs/>
                      <w:szCs w:val="21"/>
                    </w:rPr>
                    <w:t>85</w:t>
                  </w:r>
                </w:p>
              </w:tc>
              <w:tc>
                <w:tcPr>
                  <w:tcW w:w="856" w:type="dxa"/>
                  <w:vMerge w:val="continue"/>
                  <w:vAlign w:val="center"/>
                </w:tcPr>
                <w:p w14:paraId="2F26738A">
                  <w:pPr>
                    <w:jc w:val="center"/>
                    <w:rPr>
                      <w:rFonts w:asciiTheme="minorEastAsia" w:hAnsiTheme="minorEastAsia" w:eastAsiaTheme="minorEastAsia"/>
                      <w:bCs/>
                      <w:szCs w:val="21"/>
                    </w:rPr>
                  </w:pPr>
                </w:p>
              </w:tc>
              <w:tc>
                <w:tcPr>
                  <w:tcW w:w="571" w:type="dxa"/>
                  <w:vAlign w:val="center"/>
                </w:tcPr>
                <w:p w14:paraId="096BBEB1">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0747ED87">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3691641B">
                  <w:pPr>
                    <w:jc w:val="center"/>
                    <w:rPr>
                      <w:rFonts w:asciiTheme="minorEastAsia" w:hAnsiTheme="minorEastAsia" w:eastAsiaTheme="minorEastAsia"/>
                    </w:rPr>
                  </w:pPr>
                  <w:r>
                    <w:rPr>
                      <w:rFonts w:hint="eastAsia" w:asciiTheme="minorEastAsia" w:hAnsiTheme="minorEastAsia" w:eastAsiaTheme="minorEastAsia"/>
                    </w:rPr>
                    <w:t>2</w:t>
                  </w:r>
                </w:p>
              </w:tc>
              <w:tc>
                <w:tcPr>
                  <w:tcW w:w="714" w:type="dxa"/>
                  <w:vAlign w:val="center"/>
                </w:tcPr>
                <w:p w14:paraId="512B9E8A">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1BB6B3B2">
                  <w:pPr>
                    <w:jc w:val="center"/>
                  </w:pPr>
                  <w:r>
                    <w:rPr>
                      <w:rFonts w:hint="eastAsia"/>
                    </w:rPr>
                    <w:t>80</w:t>
                  </w:r>
                </w:p>
              </w:tc>
              <w:tc>
                <w:tcPr>
                  <w:tcW w:w="714" w:type="dxa"/>
                  <w:vAlign w:val="center"/>
                </w:tcPr>
                <w:p w14:paraId="77E675C8">
                  <w:pPr>
                    <w:jc w:val="center"/>
                  </w:pPr>
                  <w:r>
                    <w:rPr>
                      <w:rFonts w:hint="eastAsia" w:asciiTheme="minorEastAsia" w:hAnsiTheme="minorEastAsia" w:eastAsiaTheme="minorEastAsia"/>
                      <w:bCs/>
                      <w:szCs w:val="21"/>
                    </w:rPr>
                    <w:t>10h/d</w:t>
                  </w:r>
                </w:p>
              </w:tc>
              <w:tc>
                <w:tcPr>
                  <w:tcW w:w="725" w:type="dxa"/>
                  <w:vAlign w:val="center"/>
                </w:tcPr>
                <w:p w14:paraId="0512216B">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6A4F7A9B">
                  <w:pPr>
                    <w:jc w:val="center"/>
                  </w:pPr>
                  <w:r>
                    <w:rPr>
                      <w:rFonts w:hint="eastAsia"/>
                    </w:rPr>
                    <w:t>70</w:t>
                  </w:r>
                </w:p>
              </w:tc>
            </w:tr>
            <w:tr w14:paraId="638D0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3C275AD3">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5</w:t>
                  </w:r>
                </w:p>
              </w:tc>
              <w:tc>
                <w:tcPr>
                  <w:tcW w:w="525" w:type="dxa"/>
                  <w:vMerge w:val="continue"/>
                  <w:vAlign w:val="center"/>
                </w:tcPr>
                <w:p w14:paraId="63EBFC90">
                  <w:pPr>
                    <w:adjustRightInd w:val="0"/>
                    <w:snapToGrid w:val="0"/>
                    <w:jc w:val="center"/>
                    <w:rPr>
                      <w:rFonts w:asciiTheme="minorEastAsia" w:hAnsiTheme="minorEastAsia" w:eastAsiaTheme="minorEastAsia"/>
                      <w:szCs w:val="21"/>
                    </w:rPr>
                  </w:pPr>
                </w:p>
              </w:tc>
              <w:tc>
                <w:tcPr>
                  <w:tcW w:w="710" w:type="dxa"/>
                  <w:vAlign w:val="center"/>
                </w:tcPr>
                <w:p w14:paraId="2BADE27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锤式破碎机</w:t>
                  </w:r>
                </w:p>
              </w:tc>
              <w:tc>
                <w:tcPr>
                  <w:tcW w:w="860" w:type="dxa"/>
                  <w:vAlign w:val="center"/>
                </w:tcPr>
                <w:p w14:paraId="4253E207">
                  <w:pPr>
                    <w:jc w:val="center"/>
                    <w:rPr>
                      <w:rFonts w:asciiTheme="minorEastAsia" w:hAnsiTheme="minorEastAsia" w:eastAsiaTheme="minorEastAsia"/>
                    </w:rPr>
                  </w:pPr>
                  <w:r>
                    <w:rPr>
                      <w:rFonts w:hint="eastAsia" w:asciiTheme="minorEastAsia" w:hAnsiTheme="minorEastAsia" w:eastAsiaTheme="minorEastAsia"/>
                      <w:bCs/>
                      <w:szCs w:val="21"/>
                    </w:rPr>
                    <w:t>85</w:t>
                  </w:r>
                </w:p>
              </w:tc>
              <w:tc>
                <w:tcPr>
                  <w:tcW w:w="856" w:type="dxa"/>
                  <w:vMerge w:val="continue"/>
                  <w:vAlign w:val="center"/>
                </w:tcPr>
                <w:p w14:paraId="115C77BC">
                  <w:pPr>
                    <w:jc w:val="center"/>
                    <w:rPr>
                      <w:rFonts w:asciiTheme="minorEastAsia" w:hAnsiTheme="minorEastAsia" w:eastAsiaTheme="minorEastAsia"/>
                      <w:bCs/>
                      <w:szCs w:val="21"/>
                    </w:rPr>
                  </w:pPr>
                </w:p>
              </w:tc>
              <w:tc>
                <w:tcPr>
                  <w:tcW w:w="571" w:type="dxa"/>
                  <w:vAlign w:val="center"/>
                </w:tcPr>
                <w:p w14:paraId="461D85A1">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284FDB89">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6F869542">
                  <w:pPr>
                    <w:jc w:val="center"/>
                    <w:rPr>
                      <w:rFonts w:asciiTheme="minorEastAsia" w:hAnsiTheme="minorEastAsia" w:eastAsiaTheme="minorEastAsia"/>
                    </w:rPr>
                  </w:pPr>
                  <w:r>
                    <w:rPr>
                      <w:rFonts w:hint="eastAsia" w:asciiTheme="minorEastAsia" w:hAnsiTheme="minorEastAsia" w:eastAsiaTheme="minorEastAsia"/>
                    </w:rPr>
                    <w:t>2</w:t>
                  </w:r>
                </w:p>
              </w:tc>
              <w:tc>
                <w:tcPr>
                  <w:tcW w:w="714" w:type="dxa"/>
                  <w:vAlign w:val="center"/>
                </w:tcPr>
                <w:p w14:paraId="465529C6">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42122CB7">
                  <w:pPr>
                    <w:jc w:val="center"/>
                  </w:pPr>
                  <w:r>
                    <w:rPr>
                      <w:rFonts w:hint="eastAsia"/>
                    </w:rPr>
                    <w:t>80</w:t>
                  </w:r>
                </w:p>
              </w:tc>
              <w:tc>
                <w:tcPr>
                  <w:tcW w:w="714" w:type="dxa"/>
                  <w:vAlign w:val="center"/>
                </w:tcPr>
                <w:p w14:paraId="0B57A59D">
                  <w:pPr>
                    <w:jc w:val="center"/>
                  </w:pPr>
                  <w:r>
                    <w:rPr>
                      <w:rFonts w:hint="eastAsia" w:asciiTheme="minorEastAsia" w:hAnsiTheme="minorEastAsia" w:eastAsiaTheme="minorEastAsia"/>
                      <w:bCs/>
                      <w:szCs w:val="21"/>
                    </w:rPr>
                    <w:t>10h/d</w:t>
                  </w:r>
                </w:p>
              </w:tc>
              <w:tc>
                <w:tcPr>
                  <w:tcW w:w="725" w:type="dxa"/>
                  <w:vAlign w:val="center"/>
                </w:tcPr>
                <w:p w14:paraId="7978A1DD">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28B0A62F">
                  <w:pPr>
                    <w:jc w:val="center"/>
                  </w:pPr>
                  <w:r>
                    <w:rPr>
                      <w:rFonts w:hint="eastAsia"/>
                    </w:rPr>
                    <w:t>70</w:t>
                  </w:r>
                </w:p>
              </w:tc>
            </w:tr>
            <w:tr w14:paraId="25B68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73A2BB11">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6</w:t>
                  </w:r>
                </w:p>
              </w:tc>
              <w:tc>
                <w:tcPr>
                  <w:tcW w:w="525" w:type="dxa"/>
                  <w:vMerge w:val="continue"/>
                  <w:vAlign w:val="center"/>
                </w:tcPr>
                <w:p w14:paraId="799E23B6">
                  <w:pPr>
                    <w:adjustRightInd w:val="0"/>
                    <w:snapToGrid w:val="0"/>
                    <w:jc w:val="center"/>
                    <w:rPr>
                      <w:rFonts w:asciiTheme="minorEastAsia" w:hAnsiTheme="minorEastAsia" w:eastAsiaTheme="minorEastAsia"/>
                      <w:szCs w:val="21"/>
                    </w:rPr>
                  </w:pPr>
                </w:p>
              </w:tc>
              <w:tc>
                <w:tcPr>
                  <w:tcW w:w="710" w:type="dxa"/>
                  <w:vAlign w:val="center"/>
                </w:tcPr>
                <w:p w14:paraId="43AB4A1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皮带输送机</w:t>
                  </w:r>
                  <w:r>
                    <w:rPr>
                      <w:rFonts w:hint="eastAsia" w:asciiTheme="minorEastAsia" w:hAnsiTheme="minorEastAsia" w:eastAsiaTheme="minorEastAsia"/>
                      <w:szCs w:val="21"/>
                    </w:rPr>
                    <w:t>*4</w:t>
                  </w:r>
                </w:p>
              </w:tc>
              <w:tc>
                <w:tcPr>
                  <w:tcW w:w="860" w:type="dxa"/>
                  <w:vAlign w:val="center"/>
                </w:tcPr>
                <w:p w14:paraId="72C65205">
                  <w:pPr>
                    <w:jc w:val="center"/>
                    <w:rPr>
                      <w:rFonts w:asciiTheme="minorEastAsia" w:hAnsiTheme="minorEastAsia" w:eastAsiaTheme="minorEastAsia"/>
                    </w:rPr>
                  </w:pPr>
                  <w:r>
                    <w:rPr>
                      <w:rFonts w:hint="eastAsia" w:asciiTheme="minorEastAsia" w:hAnsiTheme="minorEastAsia" w:eastAsiaTheme="minorEastAsia"/>
                      <w:bCs/>
                      <w:szCs w:val="21"/>
                    </w:rPr>
                    <w:t>70</w:t>
                  </w:r>
                </w:p>
              </w:tc>
              <w:tc>
                <w:tcPr>
                  <w:tcW w:w="856" w:type="dxa"/>
                  <w:vMerge w:val="continue"/>
                  <w:vAlign w:val="center"/>
                </w:tcPr>
                <w:p w14:paraId="65CFB42C">
                  <w:pPr>
                    <w:jc w:val="center"/>
                    <w:rPr>
                      <w:rFonts w:asciiTheme="minorEastAsia" w:hAnsiTheme="minorEastAsia" w:eastAsiaTheme="minorEastAsia"/>
                      <w:bCs/>
                      <w:szCs w:val="21"/>
                    </w:rPr>
                  </w:pPr>
                </w:p>
              </w:tc>
              <w:tc>
                <w:tcPr>
                  <w:tcW w:w="571" w:type="dxa"/>
                  <w:vAlign w:val="center"/>
                </w:tcPr>
                <w:p w14:paraId="0D660FD8">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1E7B4A0E">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37D58432">
                  <w:pPr>
                    <w:jc w:val="center"/>
                    <w:rPr>
                      <w:rFonts w:asciiTheme="minorEastAsia" w:hAnsiTheme="minorEastAsia" w:eastAsiaTheme="minorEastAsia"/>
                    </w:rPr>
                  </w:pPr>
                  <w:r>
                    <w:rPr>
                      <w:rFonts w:hint="eastAsia" w:asciiTheme="minorEastAsia" w:hAnsiTheme="minorEastAsia" w:eastAsiaTheme="minorEastAsia"/>
                    </w:rPr>
                    <w:t>2</w:t>
                  </w:r>
                </w:p>
              </w:tc>
              <w:tc>
                <w:tcPr>
                  <w:tcW w:w="714" w:type="dxa"/>
                  <w:vAlign w:val="center"/>
                </w:tcPr>
                <w:p w14:paraId="6E407AD4">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300E9EE2">
                  <w:pPr>
                    <w:jc w:val="center"/>
                  </w:pPr>
                  <w:r>
                    <w:rPr>
                      <w:rFonts w:hint="eastAsia"/>
                    </w:rPr>
                    <w:t>71.02</w:t>
                  </w:r>
                </w:p>
              </w:tc>
              <w:tc>
                <w:tcPr>
                  <w:tcW w:w="714" w:type="dxa"/>
                  <w:vAlign w:val="center"/>
                </w:tcPr>
                <w:p w14:paraId="38F593C3">
                  <w:pPr>
                    <w:jc w:val="center"/>
                  </w:pPr>
                  <w:r>
                    <w:rPr>
                      <w:rFonts w:hint="eastAsia" w:asciiTheme="minorEastAsia" w:hAnsiTheme="minorEastAsia" w:eastAsiaTheme="minorEastAsia"/>
                      <w:bCs/>
                      <w:szCs w:val="21"/>
                    </w:rPr>
                    <w:t>10h/d</w:t>
                  </w:r>
                </w:p>
              </w:tc>
              <w:tc>
                <w:tcPr>
                  <w:tcW w:w="725" w:type="dxa"/>
                  <w:vAlign w:val="center"/>
                </w:tcPr>
                <w:p w14:paraId="63946F65">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4902E6C1">
                  <w:pPr>
                    <w:jc w:val="center"/>
                  </w:pPr>
                  <w:r>
                    <w:rPr>
                      <w:rFonts w:hint="eastAsia"/>
                    </w:rPr>
                    <w:t>61.02</w:t>
                  </w:r>
                </w:p>
              </w:tc>
            </w:tr>
            <w:tr w14:paraId="1855B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 w:hRule="atLeast"/>
                <w:jc w:val="center"/>
              </w:trPr>
              <w:tc>
                <w:tcPr>
                  <w:tcW w:w="484" w:type="dxa"/>
                  <w:vAlign w:val="center"/>
                </w:tcPr>
                <w:p w14:paraId="28C62CAC">
                  <w:pPr>
                    <w:widowControl/>
                    <w:jc w:val="center"/>
                    <w:rPr>
                      <w:rFonts w:asciiTheme="minorEastAsia" w:hAnsiTheme="minorEastAsia" w:eastAsiaTheme="minorEastAsia"/>
                      <w:bCs/>
                      <w:kern w:val="0"/>
                      <w:szCs w:val="21"/>
                    </w:rPr>
                  </w:pPr>
                  <w:r>
                    <w:rPr>
                      <w:rFonts w:hint="eastAsia" w:asciiTheme="minorEastAsia" w:hAnsiTheme="minorEastAsia" w:eastAsiaTheme="minorEastAsia"/>
                      <w:bCs/>
                      <w:kern w:val="0"/>
                      <w:szCs w:val="21"/>
                    </w:rPr>
                    <w:t>7</w:t>
                  </w:r>
                </w:p>
              </w:tc>
              <w:tc>
                <w:tcPr>
                  <w:tcW w:w="525" w:type="dxa"/>
                  <w:vMerge w:val="continue"/>
                  <w:vAlign w:val="center"/>
                </w:tcPr>
                <w:p w14:paraId="6200417C">
                  <w:pPr>
                    <w:adjustRightInd w:val="0"/>
                    <w:snapToGrid w:val="0"/>
                    <w:jc w:val="center"/>
                    <w:rPr>
                      <w:rFonts w:asciiTheme="minorEastAsia" w:hAnsiTheme="minorEastAsia" w:eastAsiaTheme="minorEastAsia"/>
                      <w:szCs w:val="21"/>
                    </w:rPr>
                  </w:pPr>
                </w:p>
              </w:tc>
              <w:tc>
                <w:tcPr>
                  <w:tcW w:w="710" w:type="dxa"/>
                  <w:vAlign w:val="center"/>
                </w:tcPr>
                <w:p w14:paraId="0E9D224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风机</w:t>
                  </w:r>
                </w:p>
              </w:tc>
              <w:tc>
                <w:tcPr>
                  <w:tcW w:w="860" w:type="dxa"/>
                  <w:vAlign w:val="center"/>
                </w:tcPr>
                <w:p w14:paraId="7478652B">
                  <w:pPr>
                    <w:jc w:val="center"/>
                    <w:rPr>
                      <w:rFonts w:asciiTheme="minorEastAsia" w:hAnsiTheme="minorEastAsia" w:eastAsiaTheme="minorEastAsia"/>
                      <w:bCs/>
                      <w:szCs w:val="21"/>
                    </w:rPr>
                  </w:pPr>
                  <w:r>
                    <w:rPr>
                      <w:rFonts w:hint="eastAsia" w:asciiTheme="minorEastAsia" w:hAnsiTheme="minorEastAsia" w:eastAsiaTheme="minorEastAsia"/>
                      <w:bCs/>
                      <w:szCs w:val="21"/>
                    </w:rPr>
                    <w:t>80</w:t>
                  </w:r>
                </w:p>
              </w:tc>
              <w:tc>
                <w:tcPr>
                  <w:tcW w:w="856" w:type="dxa"/>
                  <w:vAlign w:val="center"/>
                </w:tcPr>
                <w:p w14:paraId="70F47A9A">
                  <w:pPr>
                    <w:jc w:val="center"/>
                    <w:rPr>
                      <w:rFonts w:asciiTheme="minorEastAsia" w:hAnsiTheme="minorEastAsia" w:eastAsiaTheme="minorEastAsia"/>
                      <w:bCs/>
                      <w:szCs w:val="21"/>
                    </w:rPr>
                  </w:pPr>
                </w:p>
              </w:tc>
              <w:tc>
                <w:tcPr>
                  <w:tcW w:w="571" w:type="dxa"/>
                  <w:vAlign w:val="center"/>
                </w:tcPr>
                <w:p w14:paraId="0151F159">
                  <w:pPr>
                    <w:jc w:val="center"/>
                    <w:rPr>
                      <w:rFonts w:asciiTheme="minorEastAsia" w:hAnsiTheme="minorEastAsia" w:eastAsiaTheme="minorEastAsia"/>
                      <w:bCs/>
                      <w:szCs w:val="21"/>
                    </w:rPr>
                  </w:pPr>
                  <w:r>
                    <w:rPr>
                      <w:rFonts w:hint="eastAsia" w:asciiTheme="minorEastAsia" w:hAnsiTheme="minorEastAsia" w:eastAsiaTheme="minorEastAsia"/>
                      <w:bCs/>
                      <w:szCs w:val="21"/>
                    </w:rPr>
                    <w:t>40</w:t>
                  </w:r>
                </w:p>
              </w:tc>
              <w:tc>
                <w:tcPr>
                  <w:tcW w:w="571" w:type="dxa"/>
                  <w:vAlign w:val="center"/>
                </w:tcPr>
                <w:p w14:paraId="3D3257AF">
                  <w:pPr>
                    <w:jc w:val="center"/>
                    <w:rPr>
                      <w:rFonts w:asciiTheme="minorEastAsia" w:hAnsiTheme="minorEastAsia" w:eastAsiaTheme="minorEastAsia"/>
                      <w:bCs/>
                      <w:szCs w:val="21"/>
                    </w:rPr>
                  </w:pPr>
                  <w:r>
                    <w:rPr>
                      <w:rFonts w:hint="eastAsia" w:asciiTheme="minorEastAsia" w:hAnsiTheme="minorEastAsia" w:eastAsiaTheme="minorEastAsia"/>
                      <w:bCs/>
                      <w:szCs w:val="21"/>
                    </w:rPr>
                    <w:t>85</w:t>
                  </w:r>
                </w:p>
              </w:tc>
              <w:tc>
                <w:tcPr>
                  <w:tcW w:w="286" w:type="dxa"/>
                  <w:vAlign w:val="center"/>
                </w:tcPr>
                <w:p w14:paraId="1721AAA2">
                  <w:pPr>
                    <w:jc w:val="center"/>
                    <w:rPr>
                      <w:rFonts w:asciiTheme="minorEastAsia" w:hAnsiTheme="minorEastAsia" w:eastAsiaTheme="minorEastAsia"/>
                    </w:rPr>
                  </w:pPr>
                  <w:r>
                    <w:rPr>
                      <w:rFonts w:hint="eastAsia" w:asciiTheme="minorEastAsia" w:hAnsiTheme="minorEastAsia" w:eastAsiaTheme="minorEastAsia"/>
                    </w:rPr>
                    <w:t>2</w:t>
                  </w:r>
                </w:p>
              </w:tc>
              <w:tc>
                <w:tcPr>
                  <w:tcW w:w="714" w:type="dxa"/>
                  <w:vAlign w:val="center"/>
                </w:tcPr>
                <w:p w14:paraId="2BB37ACE">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13" w:type="dxa"/>
                  <w:vAlign w:val="center"/>
                </w:tcPr>
                <w:p w14:paraId="708B3EB0">
                  <w:pPr>
                    <w:jc w:val="center"/>
                    <w:rPr>
                      <w:rFonts w:asciiTheme="minorEastAsia" w:hAnsiTheme="minorEastAsia" w:eastAsiaTheme="minorEastAsia"/>
                      <w:bCs/>
                      <w:szCs w:val="21"/>
                    </w:rPr>
                  </w:pPr>
                  <w:r>
                    <w:rPr>
                      <w:rFonts w:hint="eastAsia" w:asciiTheme="minorEastAsia" w:hAnsiTheme="minorEastAsia" w:eastAsiaTheme="minorEastAsia"/>
                      <w:bCs/>
                      <w:szCs w:val="21"/>
                    </w:rPr>
                    <w:t>75</w:t>
                  </w:r>
                </w:p>
              </w:tc>
              <w:tc>
                <w:tcPr>
                  <w:tcW w:w="714" w:type="dxa"/>
                  <w:vAlign w:val="center"/>
                </w:tcPr>
                <w:p w14:paraId="4E37E1B4">
                  <w:pPr>
                    <w:jc w:val="center"/>
                  </w:pPr>
                  <w:r>
                    <w:rPr>
                      <w:rFonts w:hint="eastAsia" w:asciiTheme="minorEastAsia" w:hAnsiTheme="minorEastAsia" w:eastAsiaTheme="minorEastAsia"/>
                      <w:bCs/>
                      <w:szCs w:val="21"/>
                    </w:rPr>
                    <w:t>10h/d</w:t>
                  </w:r>
                </w:p>
              </w:tc>
              <w:tc>
                <w:tcPr>
                  <w:tcW w:w="725" w:type="dxa"/>
                  <w:vAlign w:val="center"/>
                </w:tcPr>
                <w:p w14:paraId="2385A56C">
                  <w:pPr>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853" w:type="dxa"/>
                  <w:vAlign w:val="center"/>
                </w:tcPr>
                <w:p w14:paraId="0A7CD135">
                  <w:pPr>
                    <w:jc w:val="center"/>
                    <w:rPr>
                      <w:rFonts w:asciiTheme="minorEastAsia" w:hAnsiTheme="minorEastAsia" w:eastAsiaTheme="minorEastAsia"/>
                      <w:bCs/>
                      <w:szCs w:val="21"/>
                    </w:rPr>
                  </w:pPr>
                  <w:r>
                    <w:rPr>
                      <w:rFonts w:hint="eastAsia" w:asciiTheme="minorEastAsia" w:hAnsiTheme="minorEastAsia" w:eastAsiaTheme="minorEastAsia"/>
                      <w:bCs/>
                      <w:szCs w:val="21"/>
                    </w:rPr>
                    <w:t>65</w:t>
                  </w:r>
                </w:p>
              </w:tc>
            </w:tr>
          </w:tbl>
          <w:p w14:paraId="3EF63F52">
            <w:pPr>
              <w:widowControl/>
              <w:spacing w:line="360" w:lineRule="auto"/>
              <w:ind w:firstLine="48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（5）预测结果</w:t>
            </w:r>
          </w:p>
          <w:p w14:paraId="52CC1149">
            <w:pPr>
              <w:widowControl/>
              <w:spacing w:line="360" w:lineRule="auto"/>
              <w:ind w:firstLine="480"/>
              <w:rPr>
                <w:rFonts w:asciiTheme="minorEastAsia" w:hAnsiTheme="minorEastAsia" w:eastAsiaTheme="minorEastAsia"/>
                <w:b/>
                <w:sz w:val="24"/>
              </w:rPr>
            </w:pPr>
            <w:r>
              <w:rPr>
                <w:rFonts w:hint="eastAsia" w:asciiTheme="minorEastAsia" w:hAnsiTheme="minorEastAsia" w:eastAsiaTheme="minorEastAsia"/>
                <w:bCs/>
                <w:color w:val="000000"/>
                <w:sz w:val="24"/>
              </w:rPr>
              <w:t>预测及评价结果见下表。</w:t>
            </w:r>
          </w:p>
          <w:p w14:paraId="4F6E3AEC">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表4-6   各车间噪声预测结果统计表</w:t>
            </w:r>
          </w:p>
          <w:tbl>
            <w:tblPr>
              <w:tblStyle w:val="57"/>
              <w:tblW w:w="8612"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87"/>
              <w:gridCol w:w="985"/>
              <w:gridCol w:w="2410"/>
              <w:gridCol w:w="1418"/>
              <w:gridCol w:w="849"/>
              <w:gridCol w:w="849"/>
              <w:gridCol w:w="854"/>
              <w:gridCol w:w="760"/>
            </w:tblGrid>
            <w:tr w14:paraId="2F8819A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855" w:type="pct"/>
                  <w:gridSpan w:val="2"/>
                  <w:vMerge w:val="restart"/>
                  <w:vAlign w:val="center"/>
                </w:tcPr>
                <w:p w14:paraId="466FA840">
                  <w:pPr>
                    <w:jc w:val="center"/>
                    <w:rPr>
                      <w:rFonts w:ascii="宋体" w:hAnsi="宋体" w:eastAsiaTheme="minorEastAsia"/>
                      <w:iCs/>
                      <w:szCs w:val="21"/>
                    </w:rPr>
                  </w:pPr>
                  <w:r>
                    <w:rPr>
                      <w:rFonts w:ascii="宋体" w:hAnsi="宋体" w:eastAsiaTheme="minorEastAsia"/>
                      <w:iCs/>
                      <w:szCs w:val="21"/>
                    </w:rPr>
                    <w:t>项目</w:t>
                  </w:r>
                </w:p>
              </w:tc>
              <w:tc>
                <w:tcPr>
                  <w:tcW w:w="1399" w:type="pct"/>
                  <w:vMerge w:val="restart"/>
                  <w:vAlign w:val="center"/>
                </w:tcPr>
                <w:p w14:paraId="41964036">
                  <w:pPr>
                    <w:jc w:val="center"/>
                    <w:rPr>
                      <w:rFonts w:ascii="宋体" w:hAnsi="宋体" w:eastAsiaTheme="minorEastAsia"/>
                      <w:iCs/>
                      <w:szCs w:val="21"/>
                    </w:rPr>
                  </w:pPr>
                  <w:r>
                    <w:rPr>
                      <w:rFonts w:hint="eastAsia" w:ascii="宋体" w:hAnsi="宋体" w:eastAsiaTheme="minorEastAsia"/>
                      <w:iCs/>
                      <w:szCs w:val="21"/>
                    </w:rPr>
                    <w:t>措施后叠加源强噪声值dB(A)</w:t>
                  </w:r>
                </w:p>
              </w:tc>
              <w:tc>
                <w:tcPr>
                  <w:tcW w:w="823" w:type="pct"/>
                  <w:vMerge w:val="restart"/>
                  <w:vAlign w:val="center"/>
                </w:tcPr>
                <w:p w14:paraId="1378D6A6">
                  <w:pPr>
                    <w:jc w:val="center"/>
                    <w:rPr>
                      <w:rFonts w:ascii="宋体" w:hAnsi="宋体" w:eastAsiaTheme="minorEastAsia"/>
                      <w:iCs/>
                      <w:szCs w:val="21"/>
                    </w:rPr>
                  </w:pPr>
                  <w:r>
                    <w:rPr>
                      <w:rFonts w:ascii="宋体" w:hAnsi="宋体" w:eastAsiaTheme="minorEastAsia"/>
                      <w:iCs/>
                      <w:szCs w:val="21"/>
                    </w:rPr>
                    <w:t>与声源距离（m）</w:t>
                  </w:r>
                </w:p>
              </w:tc>
              <w:tc>
                <w:tcPr>
                  <w:tcW w:w="1482" w:type="pct"/>
                  <w:gridSpan w:val="3"/>
                  <w:vAlign w:val="center"/>
                </w:tcPr>
                <w:p w14:paraId="5007DED5">
                  <w:pPr>
                    <w:jc w:val="center"/>
                    <w:rPr>
                      <w:rFonts w:ascii="宋体" w:hAnsi="宋体" w:eastAsiaTheme="minorEastAsia"/>
                      <w:iCs/>
                      <w:szCs w:val="21"/>
                    </w:rPr>
                  </w:pPr>
                  <w:r>
                    <w:rPr>
                      <w:rFonts w:ascii="宋体" w:hAnsi="宋体" w:eastAsiaTheme="minorEastAsia"/>
                      <w:iCs/>
                      <w:szCs w:val="21"/>
                    </w:rPr>
                    <w:t>昼间</w:t>
                  </w:r>
                </w:p>
              </w:tc>
              <w:tc>
                <w:tcPr>
                  <w:tcW w:w="441" w:type="pct"/>
                  <w:vAlign w:val="center"/>
                </w:tcPr>
                <w:p w14:paraId="7ADE0508">
                  <w:pPr>
                    <w:jc w:val="center"/>
                    <w:rPr>
                      <w:rFonts w:ascii="宋体" w:hAnsi="宋体" w:eastAsiaTheme="minorEastAsia"/>
                      <w:iCs/>
                      <w:szCs w:val="21"/>
                    </w:rPr>
                  </w:pPr>
                  <w:r>
                    <w:rPr>
                      <w:rFonts w:hint="eastAsia" w:ascii="宋体" w:hAnsi="宋体" w:eastAsiaTheme="minorEastAsia"/>
                      <w:iCs/>
                      <w:szCs w:val="21"/>
                    </w:rPr>
                    <w:t>标准</w:t>
                  </w:r>
                </w:p>
              </w:tc>
            </w:tr>
            <w:tr w14:paraId="2BD2DCF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855" w:type="pct"/>
                  <w:gridSpan w:val="2"/>
                  <w:vMerge w:val="continue"/>
                  <w:vAlign w:val="center"/>
                </w:tcPr>
                <w:p w14:paraId="1BD343A4">
                  <w:pPr>
                    <w:jc w:val="center"/>
                    <w:rPr>
                      <w:rFonts w:ascii="宋体" w:hAnsi="宋体" w:eastAsiaTheme="minorEastAsia"/>
                      <w:iCs/>
                      <w:szCs w:val="21"/>
                    </w:rPr>
                  </w:pPr>
                </w:p>
              </w:tc>
              <w:tc>
                <w:tcPr>
                  <w:tcW w:w="1399" w:type="pct"/>
                  <w:vMerge w:val="continue"/>
                  <w:vAlign w:val="center"/>
                </w:tcPr>
                <w:p w14:paraId="7BA41946">
                  <w:pPr>
                    <w:jc w:val="center"/>
                    <w:rPr>
                      <w:rFonts w:ascii="宋体" w:hAnsi="宋体" w:eastAsiaTheme="minorEastAsia"/>
                      <w:iCs/>
                      <w:szCs w:val="21"/>
                    </w:rPr>
                  </w:pPr>
                </w:p>
              </w:tc>
              <w:tc>
                <w:tcPr>
                  <w:tcW w:w="823" w:type="pct"/>
                  <w:vMerge w:val="continue"/>
                  <w:vAlign w:val="center"/>
                </w:tcPr>
                <w:p w14:paraId="17FB8ECB">
                  <w:pPr>
                    <w:jc w:val="center"/>
                    <w:rPr>
                      <w:rFonts w:ascii="宋体" w:hAnsi="宋体" w:eastAsiaTheme="minorEastAsia"/>
                      <w:iCs/>
                      <w:szCs w:val="21"/>
                    </w:rPr>
                  </w:pPr>
                </w:p>
              </w:tc>
              <w:tc>
                <w:tcPr>
                  <w:tcW w:w="493" w:type="pct"/>
                  <w:vAlign w:val="center"/>
                </w:tcPr>
                <w:p w14:paraId="660DEE12">
                  <w:pPr>
                    <w:jc w:val="center"/>
                    <w:rPr>
                      <w:rFonts w:ascii="宋体" w:hAnsi="宋体" w:eastAsiaTheme="minorEastAsia"/>
                      <w:iCs/>
                      <w:szCs w:val="21"/>
                    </w:rPr>
                  </w:pPr>
                  <w:r>
                    <w:rPr>
                      <w:rFonts w:ascii="宋体" w:hAnsi="宋体" w:eastAsiaTheme="minorEastAsia"/>
                      <w:iCs/>
                      <w:szCs w:val="21"/>
                    </w:rPr>
                    <w:t>背景值</w:t>
                  </w:r>
                </w:p>
              </w:tc>
              <w:tc>
                <w:tcPr>
                  <w:tcW w:w="493" w:type="pct"/>
                  <w:vAlign w:val="center"/>
                </w:tcPr>
                <w:p w14:paraId="65A4744F">
                  <w:pPr>
                    <w:jc w:val="center"/>
                    <w:rPr>
                      <w:rFonts w:ascii="宋体" w:hAnsi="宋体" w:eastAsiaTheme="minorEastAsia"/>
                      <w:iCs/>
                      <w:szCs w:val="21"/>
                    </w:rPr>
                  </w:pPr>
                  <w:r>
                    <w:rPr>
                      <w:rFonts w:ascii="宋体" w:hAnsi="宋体" w:eastAsiaTheme="minorEastAsia"/>
                      <w:iCs/>
                      <w:szCs w:val="21"/>
                    </w:rPr>
                    <w:t>贡献值</w:t>
                  </w:r>
                </w:p>
              </w:tc>
              <w:tc>
                <w:tcPr>
                  <w:tcW w:w="496" w:type="pct"/>
                  <w:vAlign w:val="center"/>
                </w:tcPr>
                <w:p w14:paraId="414C2F46">
                  <w:pPr>
                    <w:jc w:val="center"/>
                    <w:rPr>
                      <w:rFonts w:ascii="宋体" w:hAnsi="宋体" w:eastAsiaTheme="minorEastAsia"/>
                      <w:iCs/>
                      <w:szCs w:val="21"/>
                    </w:rPr>
                  </w:pPr>
                  <w:r>
                    <w:rPr>
                      <w:rFonts w:ascii="宋体" w:hAnsi="宋体" w:eastAsiaTheme="minorEastAsia"/>
                      <w:iCs/>
                      <w:szCs w:val="21"/>
                    </w:rPr>
                    <w:t>叠加值</w:t>
                  </w:r>
                </w:p>
              </w:tc>
              <w:tc>
                <w:tcPr>
                  <w:tcW w:w="441" w:type="pct"/>
                  <w:vAlign w:val="center"/>
                </w:tcPr>
                <w:p w14:paraId="759AC7AB">
                  <w:pPr>
                    <w:jc w:val="center"/>
                    <w:rPr>
                      <w:rFonts w:ascii="宋体" w:hAnsi="宋体" w:eastAsiaTheme="minorEastAsia"/>
                      <w:iCs/>
                      <w:szCs w:val="21"/>
                    </w:rPr>
                  </w:pPr>
                  <w:r>
                    <w:rPr>
                      <w:rFonts w:hint="eastAsia" w:ascii="宋体" w:hAnsi="宋体" w:eastAsiaTheme="minorEastAsia"/>
                      <w:iCs/>
                      <w:szCs w:val="21"/>
                    </w:rPr>
                    <w:t>昼间</w:t>
                  </w:r>
                </w:p>
              </w:tc>
            </w:tr>
            <w:tr w14:paraId="61F3D3D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283" w:type="pct"/>
                  <w:vMerge w:val="restart"/>
                  <w:vAlign w:val="center"/>
                </w:tcPr>
                <w:p w14:paraId="14D50499">
                  <w:pPr>
                    <w:jc w:val="center"/>
                    <w:rPr>
                      <w:rFonts w:ascii="宋体" w:hAnsi="宋体" w:eastAsiaTheme="minorEastAsia"/>
                      <w:iCs/>
                      <w:szCs w:val="21"/>
                    </w:rPr>
                  </w:pPr>
                  <w:r>
                    <w:rPr>
                      <w:rFonts w:hint="eastAsia" w:ascii="宋体" w:hAnsi="宋体" w:eastAsiaTheme="minorEastAsia"/>
                      <w:iCs/>
                      <w:szCs w:val="21"/>
                    </w:rPr>
                    <w:t>破碎</w:t>
                  </w:r>
                  <w:r>
                    <w:rPr>
                      <w:rFonts w:ascii="宋体" w:hAnsi="宋体" w:eastAsiaTheme="minorEastAsia"/>
                      <w:iCs/>
                      <w:szCs w:val="21"/>
                    </w:rPr>
                    <w:t>厂房</w:t>
                  </w:r>
                </w:p>
              </w:tc>
              <w:tc>
                <w:tcPr>
                  <w:tcW w:w="572" w:type="pct"/>
                  <w:vAlign w:val="center"/>
                </w:tcPr>
                <w:p w14:paraId="30B19F2E">
                  <w:pPr>
                    <w:jc w:val="center"/>
                    <w:rPr>
                      <w:rFonts w:ascii="宋体" w:hAnsi="宋体" w:eastAsiaTheme="minorEastAsia"/>
                      <w:iCs/>
                      <w:szCs w:val="21"/>
                    </w:rPr>
                  </w:pPr>
                  <w:r>
                    <w:rPr>
                      <w:rFonts w:ascii="宋体" w:hAnsi="宋体" w:eastAsiaTheme="minorEastAsia"/>
                      <w:iCs/>
                      <w:szCs w:val="21"/>
                    </w:rPr>
                    <w:t>东厂界</w:t>
                  </w:r>
                </w:p>
              </w:tc>
              <w:tc>
                <w:tcPr>
                  <w:tcW w:w="1399" w:type="pct"/>
                  <w:vMerge w:val="restart"/>
                  <w:vAlign w:val="center"/>
                </w:tcPr>
                <w:p w14:paraId="55227325">
                  <w:pPr>
                    <w:jc w:val="center"/>
                    <w:rPr>
                      <w:rFonts w:ascii="宋体" w:hAnsi="宋体" w:eastAsiaTheme="minorEastAsia"/>
                      <w:iCs/>
                      <w:szCs w:val="21"/>
                    </w:rPr>
                  </w:pPr>
                  <w:r>
                    <w:rPr>
                      <w:rFonts w:hint="eastAsia" w:ascii="宋体" w:hAnsi="宋体" w:eastAsiaTheme="minorEastAsia"/>
                      <w:iCs/>
                      <w:szCs w:val="21"/>
                    </w:rPr>
                    <w:t>76.1</w:t>
                  </w:r>
                </w:p>
              </w:tc>
              <w:tc>
                <w:tcPr>
                  <w:tcW w:w="823" w:type="pct"/>
                  <w:vAlign w:val="center"/>
                </w:tcPr>
                <w:p w14:paraId="1A2A8A35">
                  <w:pPr>
                    <w:jc w:val="center"/>
                    <w:rPr>
                      <w:rFonts w:ascii="宋体" w:hAnsi="宋体" w:eastAsiaTheme="minorEastAsia"/>
                      <w:iCs/>
                      <w:szCs w:val="21"/>
                    </w:rPr>
                  </w:pPr>
                  <w:r>
                    <w:rPr>
                      <w:rFonts w:hint="eastAsia" w:ascii="宋体" w:hAnsi="宋体" w:eastAsiaTheme="minorEastAsia"/>
                      <w:iCs/>
                      <w:szCs w:val="21"/>
                    </w:rPr>
                    <w:t>40</w:t>
                  </w:r>
                </w:p>
              </w:tc>
              <w:tc>
                <w:tcPr>
                  <w:tcW w:w="493" w:type="pct"/>
                  <w:vAlign w:val="center"/>
                </w:tcPr>
                <w:p w14:paraId="2E848A6E">
                  <w:pPr>
                    <w:jc w:val="center"/>
                    <w:rPr>
                      <w:rFonts w:ascii="宋体" w:hAnsi="宋体" w:eastAsiaTheme="minorEastAsia"/>
                      <w:iCs/>
                      <w:szCs w:val="21"/>
                    </w:rPr>
                  </w:pPr>
                  <w:r>
                    <w:rPr>
                      <w:rFonts w:hint="eastAsia" w:ascii="宋体" w:hAnsi="宋体" w:eastAsiaTheme="minorEastAsia"/>
                      <w:iCs/>
                      <w:szCs w:val="21"/>
                    </w:rPr>
                    <w:t>-</w:t>
                  </w:r>
                </w:p>
              </w:tc>
              <w:tc>
                <w:tcPr>
                  <w:tcW w:w="493" w:type="pct"/>
                  <w:vAlign w:val="center"/>
                </w:tcPr>
                <w:p w14:paraId="4C4DD22D">
                  <w:pPr>
                    <w:jc w:val="center"/>
                    <w:rPr>
                      <w:rFonts w:ascii="宋体" w:hAnsi="宋体" w:eastAsiaTheme="minorEastAsia"/>
                      <w:iCs/>
                      <w:szCs w:val="21"/>
                    </w:rPr>
                  </w:pPr>
                  <w:r>
                    <w:rPr>
                      <w:rFonts w:hint="eastAsia" w:ascii="宋体" w:hAnsi="宋体" w:eastAsiaTheme="minorEastAsia"/>
                      <w:iCs/>
                      <w:szCs w:val="21"/>
                    </w:rPr>
                    <w:t>44.05</w:t>
                  </w:r>
                </w:p>
              </w:tc>
              <w:tc>
                <w:tcPr>
                  <w:tcW w:w="496" w:type="pct"/>
                  <w:vAlign w:val="center"/>
                </w:tcPr>
                <w:p w14:paraId="2A225E8A">
                  <w:pPr>
                    <w:jc w:val="center"/>
                    <w:rPr>
                      <w:rFonts w:ascii="宋体" w:hAnsi="宋体" w:eastAsiaTheme="minorEastAsia"/>
                      <w:iCs/>
                      <w:szCs w:val="21"/>
                    </w:rPr>
                  </w:pPr>
                  <w:r>
                    <w:rPr>
                      <w:rFonts w:hint="eastAsia" w:ascii="宋体" w:hAnsi="宋体" w:eastAsiaTheme="minorEastAsia"/>
                      <w:iCs/>
                      <w:szCs w:val="21"/>
                    </w:rPr>
                    <w:t>44.05</w:t>
                  </w:r>
                </w:p>
              </w:tc>
              <w:tc>
                <w:tcPr>
                  <w:tcW w:w="441" w:type="pct"/>
                  <w:vAlign w:val="center"/>
                </w:tcPr>
                <w:p w14:paraId="39A79E73">
                  <w:pPr>
                    <w:jc w:val="center"/>
                    <w:rPr>
                      <w:rFonts w:eastAsiaTheme="minorEastAsia"/>
                    </w:rPr>
                  </w:pPr>
                  <w:r>
                    <w:rPr>
                      <w:rFonts w:hint="eastAsia" w:ascii="宋体" w:hAnsi="宋体" w:eastAsiaTheme="minorEastAsia"/>
                      <w:iCs/>
                      <w:szCs w:val="21"/>
                    </w:rPr>
                    <w:t>65</w:t>
                  </w:r>
                </w:p>
              </w:tc>
            </w:tr>
            <w:tr w14:paraId="4A6F4E0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283" w:type="pct"/>
                  <w:vMerge w:val="continue"/>
                  <w:vAlign w:val="center"/>
                </w:tcPr>
                <w:p w14:paraId="2EF41102">
                  <w:pPr>
                    <w:jc w:val="center"/>
                    <w:rPr>
                      <w:rFonts w:ascii="宋体" w:hAnsi="宋体" w:eastAsiaTheme="minorEastAsia"/>
                      <w:iCs/>
                      <w:szCs w:val="21"/>
                    </w:rPr>
                  </w:pPr>
                </w:p>
              </w:tc>
              <w:tc>
                <w:tcPr>
                  <w:tcW w:w="572" w:type="pct"/>
                  <w:vAlign w:val="center"/>
                </w:tcPr>
                <w:p w14:paraId="3732EB2C">
                  <w:pPr>
                    <w:jc w:val="center"/>
                    <w:rPr>
                      <w:rFonts w:ascii="宋体" w:hAnsi="宋体" w:eastAsiaTheme="minorEastAsia"/>
                      <w:iCs/>
                      <w:szCs w:val="21"/>
                    </w:rPr>
                  </w:pPr>
                  <w:r>
                    <w:rPr>
                      <w:rFonts w:ascii="宋体" w:hAnsi="宋体" w:eastAsiaTheme="minorEastAsia"/>
                      <w:iCs/>
                      <w:szCs w:val="21"/>
                    </w:rPr>
                    <w:t>南厂界</w:t>
                  </w:r>
                </w:p>
              </w:tc>
              <w:tc>
                <w:tcPr>
                  <w:tcW w:w="1399" w:type="pct"/>
                  <w:vMerge w:val="continue"/>
                  <w:vAlign w:val="center"/>
                </w:tcPr>
                <w:p w14:paraId="428C1EDC">
                  <w:pPr>
                    <w:jc w:val="center"/>
                    <w:rPr>
                      <w:rFonts w:ascii="宋体" w:hAnsi="宋体" w:eastAsiaTheme="minorEastAsia"/>
                      <w:iCs/>
                      <w:szCs w:val="21"/>
                    </w:rPr>
                  </w:pPr>
                </w:p>
              </w:tc>
              <w:tc>
                <w:tcPr>
                  <w:tcW w:w="823" w:type="pct"/>
                  <w:vAlign w:val="center"/>
                </w:tcPr>
                <w:p w14:paraId="1D23433C">
                  <w:pPr>
                    <w:jc w:val="center"/>
                    <w:rPr>
                      <w:rFonts w:ascii="宋体" w:hAnsi="宋体" w:eastAsiaTheme="minorEastAsia"/>
                      <w:iCs/>
                      <w:szCs w:val="21"/>
                    </w:rPr>
                  </w:pPr>
                  <w:r>
                    <w:rPr>
                      <w:rFonts w:hint="eastAsia" w:ascii="宋体" w:hAnsi="宋体" w:eastAsiaTheme="minorEastAsia"/>
                      <w:iCs/>
                      <w:szCs w:val="21"/>
                    </w:rPr>
                    <w:t>85</w:t>
                  </w:r>
                </w:p>
              </w:tc>
              <w:tc>
                <w:tcPr>
                  <w:tcW w:w="493" w:type="pct"/>
                  <w:vAlign w:val="center"/>
                </w:tcPr>
                <w:p w14:paraId="2C34A7DA">
                  <w:pPr>
                    <w:jc w:val="center"/>
                    <w:rPr>
                      <w:rFonts w:ascii="宋体" w:hAnsi="宋体" w:eastAsiaTheme="minorEastAsia"/>
                      <w:iCs/>
                      <w:szCs w:val="21"/>
                    </w:rPr>
                  </w:pPr>
                  <w:r>
                    <w:rPr>
                      <w:rFonts w:hint="eastAsia" w:ascii="宋体" w:hAnsi="宋体" w:eastAsiaTheme="minorEastAsia"/>
                      <w:iCs/>
                      <w:szCs w:val="21"/>
                    </w:rPr>
                    <w:t>-</w:t>
                  </w:r>
                </w:p>
              </w:tc>
              <w:tc>
                <w:tcPr>
                  <w:tcW w:w="493" w:type="pct"/>
                  <w:vAlign w:val="center"/>
                </w:tcPr>
                <w:p w14:paraId="331340C1">
                  <w:pPr>
                    <w:jc w:val="center"/>
                    <w:rPr>
                      <w:rFonts w:ascii="宋体" w:hAnsi="宋体" w:eastAsiaTheme="minorEastAsia"/>
                      <w:iCs/>
                      <w:szCs w:val="21"/>
                    </w:rPr>
                  </w:pPr>
                  <w:r>
                    <w:rPr>
                      <w:rFonts w:hint="eastAsia" w:ascii="宋体" w:hAnsi="宋体" w:eastAsiaTheme="minorEastAsia"/>
                      <w:iCs/>
                      <w:szCs w:val="21"/>
                    </w:rPr>
                    <w:t>37.51</w:t>
                  </w:r>
                </w:p>
              </w:tc>
              <w:tc>
                <w:tcPr>
                  <w:tcW w:w="496" w:type="pct"/>
                  <w:vAlign w:val="center"/>
                </w:tcPr>
                <w:p w14:paraId="14F031B2">
                  <w:pPr>
                    <w:jc w:val="center"/>
                    <w:rPr>
                      <w:rFonts w:ascii="宋体" w:hAnsi="宋体" w:eastAsiaTheme="minorEastAsia"/>
                      <w:iCs/>
                      <w:szCs w:val="21"/>
                    </w:rPr>
                  </w:pPr>
                  <w:r>
                    <w:rPr>
                      <w:rFonts w:hint="eastAsia" w:ascii="宋体" w:hAnsi="宋体" w:eastAsiaTheme="minorEastAsia"/>
                      <w:iCs/>
                      <w:szCs w:val="21"/>
                    </w:rPr>
                    <w:t>37.51</w:t>
                  </w:r>
                </w:p>
              </w:tc>
              <w:tc>
                <w:tcPr>
                  <w:tcW w:w="441" w:type="pct"/>
                </w:tcPr>
                <w:p w14:paraId="6BB553A7">
                  <w:pPr>
                    <w:jc w:val="center"/>
                    <w:rPr>
                      <w:rFonts w:eastAsiaTheme="minorEastAsia"/>
                    </w:rPr>
                  </w:pPr>
                  <w:r>
                    <w:rPr>
                      <w:rFonts w:hint="eastAsia" w:ascii="宋体" w:hAnsi="宋体" w:eastAsiaTheme="minorEastAsia"/>
                      <w:iCs/>
                      <w:szCs w:val="21"/>
                    </w:rPr>
                    <w:t>65</w:t>
                  </w:r>
                </w:p>
              </w:tc>
            </w:tr>
            <w:tr w14:paraId="4E66B07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283" w:type="pct"/>
                  <w:vMerge w:val="continue"/>
                  <w:vAlign w:val="center"/>
                </w:tcPr>
                <w:p w14:paraId="44CF22AD">
                  <w:pPr>
                    <w:jc w:val="center"/>
                    <w:rPr>
                      <w:rFonts w:ascii="宋体" w:hAnsi="宋体" w:eastAsiaTheme="minorEastAsia"/>
                      <w:iCs/>
                      <w:szCs w:val="21"/>
                    </w:rPr>
                  </w:pPr>
                </w:p>
              </w:tc>
              <w:tc>
                <w:tcPr>
                  <w:tcW w:w="572" w:type="pct"/>
                  <w:vAlign w:val="center"/>
                </w:tcPr>
                <w:p w14:paraId="6BA5DE18">
                  <w:pPr>
                    <w:jc w:val="center"/>
                    <w:rPr>
                      <w:rFonts w:ascii="宋体" w:hAnsi="宋体" w:eastAsiaTheme="minorEastAsia"/>
                      <w:iCs/>
                      <w:szCs w:val="21"/>
                    </w:rPr>
                  </w:pPr>
                  <w:r>
                    <w:rPr>
                      <w:rFonts w:ascii="宋体" w:hAnsi="宋体" w:eastAsiaTheme="minorEastAsia"/>
                      <w:iCs/>
                      <w:szCs w:val="21"/>
                    </w:rPr>
                    <w:t>西厂界</w:t>
                  </w:r>
                </w:p>
              </w:tc>
              <w:tc>
                <w:tcPr>
                  <w:tcW w:w="1399" w:type="pct"/>
                  <w:vMerge w:val="continue"/>
                  <w:vAlign w:val="center"/>
                </w:tcPr>
                <w:p w14:paraId="7AFCE071">
                  <w:pPr>
                    <w:jc w:val="center"/>
                    <w:rPr>
                      <w:rFonts w:ascii="宋体" w:hAnsi="宋体" w:eastAsiaTheme="minorEastAsia"/>
                      <w:iCs/>
                      <w:szCs w:val="21"/>
                    </w:rPr>
                  </w:pPr>
                </w:p>
              </w:tc>
              <w:tc>
                <w:tcPr>
                  <w:tcW w:w="823" w:type="pct"/>
                  <w:vAlign w:val="center"/>
                </w:tcPr>
                <w:p w14:paraId="184F5BCF">
                  <w:pPr>
                    <w:jc w:val="center"/>
                    <w:rPr>
                      <w:rFonts w:ascii="宋体" w:hAnsi="宋体" w:eastAsiaTheme="minorEastAsia"/>
                      <w:iCs/>
                      <w:szCs w:val="21"/>
                    </w:rPr>
                  </w:pPr>
                  <w:r>
                    <w:rPr>
                      <w:rFonts w:hint="eastAsia" w:ascii="宋体" w:hAnsi="宋体" w:eastAsiaTheme="minorEastAsia"/>
                      <w:iCs/>
                      <w:szCs w:val="21"/>
                    </w:rPr>
                    <w:t>40</w:t>
                  </w:r>
                </w:p>
              </w:tc>
              <w:tc>
                <w:tcPr>
                  <w:tcW w:w="493" w:type="pct"/>
                  <w:vAlign w:val="center"/>
                </w:tcPr>
                <w:p w14:paraId="0B9DC6B6">
                  <w:pPr>
                    <w:jc w:val="center"/>
                    <w:rPr>
                      <w:rFonts w:ascii="宋体" w:hAnsi="宋体" w:eastAsiaTheme="minorEastAsia"/>
                      <w:iCs/>
                      <w:szCs w:val="21"/>
                    </w:rPr>
                  </w:pPr>
                  <w:r>
                    <w:rPr>
                      <w:rFonts w:hint="eastAsia" w:ascii="宋体" w:hAnsi="宋体" w:eastAsiaTheme="minorEastAsia"/>
                      <w:iCs/>
                      <w:szCs w:val="21"/>
                    </w:rPr>
                    <w:t>-</w:t>
                  </w:r>
                </w:p>
              </w:tc>
              <w:tc>
                <w:tcPr>
                  <w:tcW w:w="493" w:type="pct"/>
                  <w:vAlign w:val="center"/>
                </w:tcPr>
                <w:p w14:paraId="46AE36D8">
                  <w:pPr>
                    <w:jc w:val="center"/>
                    <w:rPr>
                      <w:rFonts w:ascii="宋体" w:hAnsi="宋体" w:eastAsiaTheme="minorEastAsia"/>
                      <w:iCs/>
                      <w:szCs w:val="21"/>
                    </w:rPr>
                  </w:pPr>
                  <w:r>
                    <w:rPr>
                      <w:rFonts w:hint="eastAsia" w:ascii="宋体" w:hAnsi="宋体" w:eastAsiaTheme="minorEastAsia"/>
                      <w:iCs/>
                      <w:szCs w:val="21"/>
                    </w:rPr>
                    <w:t>44.05</w:t>
                  </w:r>
                </w:p>
              </w:tc>
              <w:tc>
                <w:tcPr>
                  <w:tcW w:w="496" w:type="pct"/>
                  <w:vAlign w:val="center"/>
                </w:tcPr>
                <w:p w14:paraId="200EFF64">
                  <w:pPr>
                    <w:jc w:val="center"/>
                    <w:rPr>
                      <w:rFonts w:ascii="宋体" w:hAnsi="宋体" w:eastAsiaTheme="minorEastAsia"/>
                      <w:iCs/>
                      <w:szCs w:val="21"/>
                    </w:rPr>
                  </w:pPr>
                  <w:r>
                    <w:rPr>
                      <w:rFonts w:hint="eastAsia" w:ascii="宋体" w:hAnsi="宋体" w:eastAsiaTheme="minorEastAsia"/>
                      <w:iCs/>
                      <w:szCs w:val="21"/>
                    </w:rPr>
                    <w:t>44.05</w:t>
                  </w:r>
                </w:p>
              </w:tc>
              <w:tc>
                <w:tcPr>
                  <w:tcW w:w="441" w:type="pct"/>
                </w:tcPr>
                <w:p w14:paraId="579A66C6">
                  <w:pPr>
                    <w:jc w:val="center"/>
                    <w:rPr>
                      <w:rFonts w:eastAsiaTheme="minorEastAsia"/>
                    </w:rPr>
                  </w:pPr>
                  <w:r>
                    <w:rPr>
                      <w:rFonts w:hint="eastAsia" w:ascii="宋体" w:hAnsi="宋体" w:eastAsiaTheme="minorEastAsia"/>
                      <w:iCs/>
                      <w:szCs w:val="21"/>
                    </w:rPr>
                    <w:t>65</w:t>
                  </w:r>
                </w:p>
              </w:tc>
            </w:tr>
            <w:tr w14:paraId="0E8A604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 w:hRule="atLeast"/>
              </w:trPr>
              <w:tc>
                <w:tcPr>
                  <w:tcW w:w="283" w:type="pct"/>
                  <w:vMerge w:val="continue"/>
                  <w:vAlign w:val="center"/>
                </w:tcPr>
                <w:p w14:paraId="35E4D9F5">
                  <w:pPr>
                    <w:jc w:val="center"/>
                    <w:rPr>
                      <w:rFonts w:ascii="宋体" w:hAnsi="宋体" w:eastAsiaTheme="minorEastAsia"/>
                      <w:iCs/>
                      <w:szCs w:val="21"/>
                    </w:rPr>
                  </w:pPr>
                </w:p>
              </w:tc>
              <w:tc>
                <w:tcPr>
                  <w:tcW w:w="572" w:type="pct"/>
                  <w:vAlign w:val="center"/>
                </w:tcPr>
                <w:p w14:paraId="350BC90D">
                  <w:pPr>
                    <w:jc w:val="center"/>
                    <w:rPr>
                      <w:rFonts w:ascii="宋体" w:hAnsi="宋体" w:eastAsiaTheme="minorEastAsia"/>
                      <w:iCs/>
                      <w:szCs w:val="21"/>
                    </w:rPr>
                  </w:pPr>
                  <w:r>
                    <w:rPr>
                      <w:rFonts w:ascii="宋体" w:hAnsi="宋体" w:eastAsiaTheme="minorEastAsia"/>
                      <w:iCs/>
                      <w:szCs w:val="21"/>
                    </w:rPr>
                    <w:t>北厂界</w:t>
                  </w:r>
                </w:p>
              </w:tc>
              <w:tc>
                <w:tcPr>
                  <w:tcW w:w="1399" w:type="pct"/>
                  <w:vMerge w:val="continue"/>
                  <w:vAlign w:val="center"/>
                </w:tcPr>
                <w:p w14:paraId="6EFD0380">
                  <w:pPr>
                    <w:jc w:val="center"/>
                    <w:rPr>
                      <w:rFonts w:ascii="宋体" w:hAnsi="宋体" w:eastAsiaTheme="minorEastAsia"/>
                      <w:iCs/>
                      <w:szCs w:val="21"/>
                    </w:rPr>
                  </w:pPr>
                </w:p>
              </w:tc>
              <w:tc>
                <w:tcPr>
                  <w:tcW w:w="823" w:type="pct"/>
                  <w:vAlign w:val="center"/>
                </w:tcPr>
                <w:p w14:paraId="598B69CA">
                  <w:pPr>
                    <w:jc w:val="center"/>
                    <w:rPr>
                      <w:rFonts w:ascii="宋体" w:hAnsi="宋体" w:eastAsiaTheme="minorEastAsia"/>
                      <w:iCs/>
                      <w:szCs w:val="21"/>
                    </w:rPr>
                  </w:pPr>
                  <w:r>
                    <w:rPr>
                      <w:rFonts w:hint="eastAsia" w:ascii="宋体" w:hAnsi="宋体" w:eastAsiaTheme="minorEastAsia"/>
                      <w:iCs/>
                      <w:szCs w:val="21"/>
                    </w:rPr>
                    <w:t>35</w:t>
                  </w:r>
                </w:p>
              </w:tc>
              <w:tc>
                <w:tcPr>
                  <w:tcW w:w="493" w:type="pct"/>
                  <w:vAlign w:val="center"/>
                </w:tcPr>
                <w:p w14:paraId="004C7035">
                  <w:pPr>
                    <w:jc w:val="center"/>
                    <w:rPr>
                      <w:rFonts w:ascii="宋体" w:hAnsi="宋体" w:eastAsiaTheme="minorEastAsia"/>
                      <w:iCs/>
                      <w:szCs w:val="21"/>
                    </w:rPr>
                  </w:pPr>
                  <w:r>
                    <w:rPr>
                      <w:rFonts w:hint="eastAsia" w:ascii="宋体" w:hAnsi="宋体" w:eastAsiaTheme="minorEastAsia"/>
                      <w:iCs/>
                      <w:szCs w:val="21"/>
                    </w:rPr>
                    <w:t>-</w:t>
                  </w:r>
                </w:p>
              </w:tc>
              <w:tc>
                <w:tcPr>
                  <w:tcW w:w="493" w:type="pct"/>
                  <w:vAlign w:val="center"/>
                </w:tcPr>
                <w:p w14:paraId="7FC81EBD">
                  <w:pPr>
                    <w:jc w:val="center"/>
                    <w:rPr>
                      <w:rFonts w:ascii="宋体" w:hAnsi="宋体" w:eastAsiaTheme="minorEastAsia"/>
                      <w:iCs/>
                      <w:szCs w:val="21"/>
                    </w:rPr>
                  </w:pPr>
                  <w:r>
                    <w:rPr>
                      <w:rFonts w:hint="eastAsia" w:ascii="宋体" w:hAnsi="宋体" w:eastAsiaTheme="minorEastAsia"/>
                      <w:iCs/>
                      <w:szCs w:val="21"/>
                    </w:rPr>
                    <w:t>45.21</w:t>
                  </w:r>
                </w:p>
              </w:tc>
              <w:tc>
                <w:tcPr>
                  <w:tcW w:w="496" w:type="pct"/>
                  <w:vAlign w:val="center"/>
                </w:tcPr>
                <w:p w14:paraId="4956E7C7">
                  <w:pPr>
                    <w:jc w:val="center"/>
                    <w:rPr>
                      <w:rFonts w:ascii="宋体" w:hAnsi="宋体" w:eastAsiaTheme="minorEastAsia"/>
                      <w:iCs/>
                      <w:szCs w:val="21"/>
                    </w:rPr>
                  </w:pPr>
                  <w:r>
                    <w:rPr>
                      <w:rFonts w:hint="eastAsia" w:ascii="宋体" w:hAnsi="宋体" w:eastAsiaTheme="minorEastAsia"/>
                      <w:iCs/>
                      <w:szCs w:val="21"/>
                    </w:rPr>
                    <w:t>45.21</w:t>
                  </w:r>
                </w:p>
              </w:tc>
              <w:tc>
                <w:tcPr>
                  <w:tcW w:w="441" w:type="pct"/>
                </w:tcPr>
                <w:p w14:paraId="2DF8E545">
                  <w:pPr>
                    <w:jc w:val="center"/>
                    <w:rPr>
                      <w:rFonts w:eastAsiaTheme="minorEastAsia"/>
                    </w:rPr>
                  </w:pPr>
                  <w:r>
                    <w:rPr>
                      <w:rFonts w:hint="eastAsia" w:ascii="宋体" w:hAnsi="宋体" w:eastAsiaTheme="minorEastAsia"/>
                      <w:iCs/>
                      <w:szCs w:val="21"/>
                    </w:rPr>
                    <w:t>65</w:t>
                  </w:r>
                </w:p>
              </w:tc>
            </w:tr>
          </w:tbl>
          <w:p w14:paraId="72490981">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由上表可知，本项目投产后，主要噪声经距离衰减后，本项目厂界噪声值可以满足《工业企业厂界环境噪声排放标准》（GB12348-2008）中</w:t>
            </w:r>
            <w:r>
              <w:rPr>
                <w:rFonts w:hint="eastAsia" w:asciiTheme="minorEastAsia" w:hAnsiTheme="minorEastAsia" w:eastAsiaTheme="minorEastAsia"/>
                <w:sz w:val="24"/>
                <w:szCs w:val="24"/>
              </w:rPr>
              <w:t>3</w:t>
            </w:r>
            <w:r>
              <w:rPr>
                <w:rFonts w:asciiTheme="minorEastAsia" w:hAnsiTheme="minorEastAsia" w:eastAsiaTheme="minorEastAsia"/>
                <w:sz w:val="24"/>
                <w:szCs w:val="24"/>
              </w:rPr>
              <w:t>类标准。</w:t>
            </w:r>
          </w:p>
          <w:p w14:paraId="5C2FAEA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、噪声防护措施</w:t>
            </w:r>
          </w:p>
          <w:p w14:paraId="43E81062">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（1）源头控制：设备级降噪再升级</w:t>
            </w:r>
            <w:r>
              <w:rPr>
                <w:rFonts w:hint="eastAsia" w:ascii="MS Mincho" w:hAnsi="MS Mincho" w:eastAsia="MS Mincho" w:cs="MS Mincho"/>
                <w:sz w:val="24"/>
                <w:szCs w:val="24"/>
              </w:rPr>
              <w:t>‌</w:t>
            </w:r>
          </w:p>
          <w:p w14:paraId="60B811F4">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①低噪声设备强制准入</w:t>
            </w:r>
            <w:r>
              <w:rPr>
                <w:rFonts w:hint="eastAsia" w:ascii="MS Mincho" w:hAnsi="MS Mincho" w:eastAsia="MS Mincho" w:cs="MS Mincho"/>
                <w:sz w:val="24"/>
                <w:szCs w:val="24"/>
              </w:rPr>
              <w:t>‌</w:t>
            </w:r>
          </w:p>
          <w:p w14:paraId="7BE43BEF">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在设备采购技术协议中明确：</w:t>
            </w:r>
            <w:r>
              <w:rPr>
                <w:rFonts w:hint="eastAsia" w:ascii="MS Mincho" w:hAnsi="MS Mincho" w:eastAsia="MS Mincho" w:cs="MS Mincho"/>
                <w:sz w:val="24"/>
                <w:szCs w:val="24"/>
              </w:rPr>
              <w:t>‌</w:t>
            </w:r>
            <w:r>
              <w:rPr>
                <w:rFonts w:hint="eastAsia" w:ascii="宋体" w:hAnsi="宋体" w:cs="宋体"/>
                <w:sz w:val="24"/>
                <w:szCs w:val="24"/>
              </w:rPr>
              <w:t>所有新购设备运行噪声值不得超过</w:t>
            </w:r>
            <w:r>
              <w:rPr>
                <w:rFonts w:asciiTheme="minorEastAsia" w:hAnsiTheme="minorEastAsia" w:eastAsiaTheme="minorEastAsia"/>
                <w:sz w:val="24"/>
                <w:szCs w:val="24"/>
              </w:rPr>
              <w:t>85dB(A)</w:t>
            </w:r>
            <w:r>
              <w:rPr>
                <w:rFonts w:hint="eastAsia" w:asciiTheme="minorEastAsia" w:hAnsiTheme="minorEastAsia" w:eastAsiaTheme="minorEastAsia"/>
                <w:sz w:val="24"/>
                <w:szCs w:val="24"/>
              </w:rPr>
              <w:t>（距设备</w:t>
            </w:r>
            <w:r>
              <w:rPr>
                <w:rFonts w:asciiTheme="minorEastAsia" w:hAnsiTheme="minorEastAsia" w:eastAsiaTheme="minorEastAsia"/>
                <w:sz w:val="24"/>
                <w:szCs w:val="24"/>
              </w:rPr>
              <w:t>1</w:t>
            </w:r>
            <w:r>
              <w:rPr>
                <w:rFonts w:hint="eastAsia" w:asciiTheme="minorEastAsia" w:hAnsiTheme="minorEastAsia" w:eastAsiaTheme="minorEastAsia"/>
                <w:sz w:val="24"/>
                <w:szCs w:val="24"/>
              </w:rPr>
              <w:t>米处）</w:t>
            </w:r>
            <w:r>
              <w:rPr>
                <w:rFonts w:hint="eastAsia" w:ascii="MS Mincho" w:hAnsi="MS Mincho" w:eastAsia="MS Mincho" w:cs="MS Mincho"/>
                <w:sz w:val="24"/>
                <w:szCs w:val="24"/>
              </w:rPr>
              <w:t>‌</w:t>
            </w:r>
            <w:r>
              <w:rPr>
                <w:rFonts w:hint="eastAsia" w:ascii="宋体" w:hAnsi="宋体" w:cs="宋体"/>
                <w:sz w:val="24"/>
                <w:szCs w:val="24"/>
              </w:rPr>
              <w:t>，并作为验收硬性指标。优先选用三一、中联等企业列入《低噪声施工设备指导名录》的型号</w:t>
            </w:r>
            <w:r>
              <w:rPr>
                <w:rFonts w:hint="eastAsia" w:asciiTheme="minorEastAsia" w:hAnsiTheme="minorEastAsia" w:eastAsiaTheme="minorEastAsia"/>
                <w:sz w:val="24"/>
                <w:szCs w:val="24"/>
              </w:rPr>
              <w:t>。</w:t>
            </w:r>
          </w:p>
          <w:p w14:paraId="648DF5C7">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②破碎与筛分系统专项降噪</w:t>
            </w:r>
            <w:r>
              <w:rPr>
                <w:rFonts w:hint="eastAsia" w:ascii="MS Mincho" w:hAnsi="MS Mincho" w:eastAsia="MS Mincho" w:cs="MS Mincho"/>
                <w:sz w:val="24"/>
                <w:szCs w:val="24"/>
              </w:rPr>
              <w:t>‌</w:t>
            </w:r>
          </w:p>
          <w:p w14:paraId="4F3C46A5">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破碎机加装</w:t>
            </w:r>
            <w:r>
              <w:rPr>
                <w:rFonts w:hint="eastAsia" w:ascii="MS Mincho" w:hAnsi="MS Mincho" w:eastAsia="MS Mincho" w:cs="MS Mincho"/>
                <w:sz w:val="24"/>
                <w:szCs w:val="24"/>
              </w:rPr>
              <w:t>‌</w:t>
            </w:r>
            <w:r>
              <w:rPr>
                <w:rFonts w:hint="eastAsia" w:ascii="宋体" w:hAnsi="宋体" w:cs="宋体"/>
                <w:sz w:val="24"/>
                <w:szCs w:val="24"/>
              </w:rPr>
              <w:t>整体隔声罩</w:t>
            </w:r>
            <w:r>
              <w:rPr>
                <w:rFonts w:asciiTheme="minorEastAsia" w:hAnsiTheme="minorEastAsia" w:eastAsiaTheme="minorEastAsia"/>
                <w:sz w:val="24"/>
                <w:szCs w:val="24"/>
              </w:rPr>
              <w:t>+</w:t>
            </w:r>
            <w:r>
              <w:rPr>
                <w:rFonts w:hint="eastAsia" w:asciiTheme="minorEastAsia" w:hAnsiTheme="minorEastAsia" w:eastAsiaTheme="minorEastAsia"/>
                <w:sz w:val="24"/>
                <w:szCs w:val="24"/>
              </w:rPr>
              <w:t>吸声内衬</w:t>
            </w:r>
            <w:r>
              <w:rPr>
                <w:rFonts w:hint="eastAsia" w:ascii="MS Mincho" w:hAnsi="MS Mincho" w:eastAsia="MS Mincho" w:cs="MS Mincho"/>
                <w:sz w:val="24"/>
                <w:szCs w:val="24"/>
              </w:rPr>
              <w:t>‌</w:t>
            </w:r>
            <w:r>
              <w:rPr>
                <w:rFonts w:hint="eastAsia" w:ascii="宋体" w:hAnsi="宋体" w:cs="宋体"/>
                <w:sz w:val="24"/>
                <w:szCs w:val="24"/>
              </w:rPr>
              <w:t>（</w:t>
            </w:r>
            <w:r>
              <w:rPr>
                <w:rFonts w:asciiTheme="minorEastAsia" w:hAnsiTheme="minorEastAsia" w:eastAsiaTheme="minorEastAsia"/>
                <w:sz w:val="24"/>
                <w:szCs w:val="24"/>
              </w:rPr>
              <w:t>NRC</w:t>
            </w:r>
            <w:r>
              <w:rPr>
                <w:rFonts w:hint="eastAsia" w:asciiTheme="minorEastAsia" w:hAnsiTheme="minorEastAsia" w:eastAsiaTheme="minorEastAsia"/>
                <w:sz w:val="24"/>
                <w:szCs w:val="24"/>
              </w:rPr>
              <w:t>≥</w:t>
            </w:r>
            <w:r>
              <w:rPr>
                <w:rFonts w:asciiTheme="minorEastAsia" w:hAnsiTheme="minorEastAsia" w:eastAsiaTheme="minorEastAsia"/>
                <w:sz w:val="24"/>
                <w:szCs w:val="24"/>
              </w:rPr>
              <w:t>0.8</w:t>
            </w:r>
            <w:r>
              <w:rPr>
                <w:rFonts w:hint="eastAsia" w:asciiTheme="minorEastAsia" w:hAnsiTheme="minorEastAsia" w:eastAsiaTheme="minorEastAsia"/>
                <w:sz w:val="24"/>
                <w:szCs w:val="24"/>
              </w:rPr>
              <w:t>），隔声量提升至</w:t>
            </w:r>
            <w:r>
              <w:rPr>
                <w:rFonts w:asciiTheme="minorEastAsia" w:hAnsiTheme="minorEastAsia" w:eastAsiaTheme="minorEastAsia"/>
                <w:sz w:val="24"/>
                <w:szCs w:val="24"/>
              </w:rPr>
              <w:t>30dB(A)</w:t>
            </w:r>
          </w:p>
          <w:p w14:paraId="43429A00">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筛分采用</w:t>
            </w:r>
            <w:r>
              <w:rPr>
                <w:rFonts w:hint="eastAsia" w:ascii="MS Mincho" w:hAnsi="MS Mincho" w:eastAsia="MS Mincho" w:cs="MS Mincho"/>
                <w:sz w:val="24"/>
                <w:szCs w:val="24"/>
              </w:rPr>
              <w:t>‌</w:t>
            </w:r>
            <w:r>
              <w:rPr>
                <w:rFonts w:hint="eastAsia" w:ascii="宋体" w:hAnsi="宋体" w:cs="宋体"/>
                <w:sz w:val="24"/>
                <w:szCs w:val="24"/>
              </w:rPr>
              <w:t>橡胶弹簧替代钢制弹簧</w:t>
            </w:r>
            <w:r>
              <w:rPr>
                <w:rFonts w:hint="eastAsia" w:ascii="MS Mincho" w:hAnsi="MS Mincho" w:eastAsia="MS Mincho" w:cs="MS Mincho"/>
                <w:sz w:val="24"/>
                <w:szCs w:val="24"/>
              </w:rPr>
              <w:t>‌</w:t>
            </w:r>
            <w:r>
              <w:rPr>
                <w:rFonts w:hint="eastAsia" w:ascii="宋体" w:hAnsi="宋体" w:cs="宋体"/>
                <w:sz w:val="24"/>
                <w:szCs w:val="24"/>
              </w:rPr>
              <w:t>，降低结构传振，振动传递率控制在</w:t>
            </w:r>
            <w:r>
              <w:rPr>
                <w:rFonts w:asciiTheme="minorEastAsia" w:hAnsiTheme="minorEastAsia" w:eastAsiaTheme="minorEastAsia"/>
                <w:sz w:val="24"/>
                <w:szCs w:val="24"/>
              </w:rPr>
              <w:t>15%</w:t>
            </w:r>
            <w:r>
              <w:rPr>
                <w:rFonts w:hint="eastAsia" w:asciiTheme="minorEastAsia" w:hAnsiTheme="minorEastAsia" w:eastAsiaTheme="minorEastAsia"/>
                <w:sz w:val="24"/>
                <w:szCs w:val="24"/>
              </w:rPr>
              <w:t>以下</w:t>
            </w:r>
          </w:p>
          <w:p w14:paraId="3426BA01">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物料入料口设置</w:t>
            </w:r>
            <w:r>
              <w:rPr>
                <w:rFonts w:hint="eastAsia" w:ascii="MS Mincho" w:hAnsi="MS Mincho" w:eastAsia="MS Mincho" w:cs="MS Mincho"/>
                <w:sz w:val="24"/>
                <w:szCs w:val="24"/>
              </w:rPr>
              <w:t>‌</w:t>
            </w:r>
            <w:r>
              <w:rPr>
                <w:rFonts w:hint="eastAsia" w:ascii="宋体" w:hAnsi="宋体" w:cs="宋体"/>
                <w:sz w:val="24"/>
                <w:szCs w:val="24"/>
              </w:rPr>
              <w:t>软连接导料槽，减少冲击噪声</w:t>
            </w:r>
            <w:r>
              <w:rPr>
                <w:rFonts w:asciiTheme="minorEastAsia" w:hAnsiTheme="minorEastAsia" w:eastAsiaTheme="minorEastAsia"/>
                <w:sz w:val="24"/>
                <w:szCs w:val="24"/>
              </w:rPr>
              <w:t>5–8dB(A)</w:t>
            </w:r>
          </w:p>
          <w:p w14:paraId="4BB1AE30">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（2）传播路径：空间阻隔与衰减强化</w:t>
            </w:r>
            <w:r>
              <w:rPr>
                <w:rFonts w:hint="eastAsia" w:ascii="MS Mincho" w:hAnsi="MS Mincho" w:eastAsia="MS Mincho" w:cs="MS Mincho"/>
                <w:sz w:val="24"/>
                <w:szCs w:val="24"/>
              </w:rPr>
              <w:t>‌</w:t>
            </w:r>
          </w:p>
          <w:p w14:paraId="535F4240">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将非高噪辅助建筑</w:t>
            </w:r>
            <w:r>
              <w:rPr>
                <w:rFonts w:hint="eastAsia" w:ascii="MS Mincho" w:hAnsi="MS Mincho" w:eastAsia="MS Mincho" w:cs="MS Mincho"/>
                <w:sz w:val="24"/>
                <w:szCs w:val="24"/>
              </w:rPr>
              <w:t>‌</w:t>
            </w:r>
            <w:r>
              <w:rPr>
                <w:rFonts w:hint="eastAsia" w:ascii="宋体" w:hAnsi="宋体" w:cs="宋体"/>
                <w:sz w:val="24"/>
                <w:szCs w:val="24"/>
              </w:rPr>
              <w:t>布置于主噪声源与厂界之间</w:t>
            </w:r>
            <w:r>
              <w:rPr>
                <w:rFonts w:hint="eastAsia" w:ascii="MS Mincho" w:hAnsi="MS Mincho" w:eastAsia="MS Mincho" w:cs="MS Mincho"/>
                <w:sz w:val="24"/>
                <w:szCs w:val="24"/>
              </w:rPr>
              <w:t>‌</w:t>
            </w:r>
            <w:r>
              <w:rPr>
                <w:rFonts w:hint="eastAsia" w:ascii="宋体" w:hAnsi="宋体" w:cs="宋体"/>
                <w:sz w:val="24"/>
                <w:szCs w:val="24"/>
              </w:rPr>
              <w:t>，形成天然声屏障；对面向噪声源的窗户加装</w:t>
            </w:r>
            <w:r>
              <w:rPr>
                <w:rFonts w:hint="eastAsia" w:ascii="MS Mincho" w:hAnsi="MS Mincho" w:eastAsia="MS Mincho" w:cs="MS Mincho"/>
                <w:sz w:val="24"/>
                <w:szCs w:val="24"/>
              </w:rPr>
              <w:t>‌</w:t>
            </w:r>
            <w:r>
              <w:rPr>
                <w:rFonts w:hint="eastAsia" w:ascii="宋体" w:hAnsi="宋体" w:cs="宋体"/>
                <w:sz w:val="24"/>
                <w:szCs w:val="24"/>
              </w:rPr>
              <w:t>双层中空隔声窗</w:t>
            </w:r>
            <w:r>
              <w:rPr>
                <w:rFonts w:hint="eastAsia" w:ascii="MS Mincho" w:hAnsi="MS Mincho" w:eastAsia="MS Mincho" w:cs="MS Mincho"/>
                <w:sz w:val="24"/>
                <w:szCs w:val="24"/>
              </w:rPr>
              <w:t>‌</w:t>
            </w:r>
            <w:r>
              <w:rPr>
                <w:rFonts w:hint="eastAsia" w:ascii="宋体" w:hAnsi="宋体" w:cs="宋体"/>
                <w:sz w:val="24"/>
                <w:szCs w:val="24"/>
              </w:rPr>
              <w:t>（</w:t>
            </w:r>
            <w:r>
              <w:rPr>
                <w:rFonts w:asciiTheme="minorEastAsia" w:hAnsiTheme="minorEastAsia" w:eastAsiaTheme="minorEastAsia"/>
                <w:sz w:val="24"/>
                <w:szCs w:val="24"/>
              </w:rPr>
              <w:t>STC</w:t>
            </w:r>
            <w:r>
              <w:rPr>
                <w:rFonts w:hint="eastAsia" w:asciiTheme="minorEastAsia" w:hAnsiTheme="minorEastAsia" w:eastAsiaTheme="minorEastAsia"/>
                <w:sz w:val="24"/>
                <w:szCs w:val="24"/>
              </w:rPr>
              <w:t>≥</w:t>
            </w:r>
            <w:r>
              <w:rPr>
                <w:rFonts w:asciiTheme="minorEastAsia" w:hAnsiTheme="minorEastAsia" w:eastAsiaTheme="minorEastAsia"/>
                <w:sz w:val="24"/>
                <w:szCs w:val="24"/>
              </w:rPr>
              <w:t>35</w:t>
            </w:r>
            <w:r>
              <w:rPr>
                <w:rFonts w:hint="eastAsia" w:asciiTheme="minorEastAsia" w:hAnsiTheme="minorEastAsia" w:eastAsiaTheme="minorEastAsia"/>
                <w:sz w:val="24"/>
                <w:szCs w:val="24"/>
              </w:rPr>
              <w:t>），降低室内噪声</w:t>
            </w:r>
            <w:r>
              <w:rPr>
                <w:rFonts w:asciiTheme="minorEastAsia" w:hAnsiTheme="minorEastAsia" w:eastAsiaTheme="minorEastAsia"/>
                <w:sz w:val="24"/>
                <w:szCs w:val="24"/>
              </w:rPr>
              <w:t>15dB(A)</w:t>
            </w:r>
            <w:r>
              <w:rPr>
                <w:rFonts w:hint="eastAsia" w:asciiTheme="minorEastAsia" w:hAnsiTheme="minorEastAsia" w:eastAsiaTheme="minorEastAsia"/>
                <w:sz w:val="24"/>
                <w:szCs w:val="24"/>
              </w:rPr>
              <w:t>以上。</w:t>
            </w:r>
          </w:p>
          <w:p w14:paraId="025006FE">
            <w:pPr>
              <w:widowControl/>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建议厂界外种植</w:t>
            </w:r>
            <w:r>
              <w:rPr>
                <w:rFonts w:hint="eastAsia" w:ascii="MS Mincho" w:hAnsi="MS Mincho" w:eastAsia="MS Mincho" w:cs="MS Mincho"/>
                <w:sz w:val="24"/>
                <w:szCs w:val="24"/>
              </w:rPr>
              <w:t>‌</w:t>
            </w:r>
            <w:r>
              <w:rPr>
                <w:rFonts w:hint="eastAsia" w:ascii="宋体" w:hAnsi="宋体" w:cs="宋体"/>
                <w:sz w:val="24"/>
                <w:szCs w:val="24"/>
              </w:rPr>
              <w:t>乔灌草复合林带</w:t>
            </w:r>
            <w:r>
              <w:rPr>
                <w:rFonts w:hint="eastAsia" w:ascii="MS Mincho" w:hAnsi="MS Mincho" w:eastAsia="MS Mincho" w:cs="MS Mincho"/>
                <w:sz w:val="24"/>
                <w:szCs w:val="24"/>
              </w:rPr>
              <w:t>‌</w:t>
            </w:r>
            <w:r>
              <w:rPr>
                <w:rFonts w:hint="eastAsia" w:ascii="宋体" w:hAnsi="宋体" w:cs="宋体"/>
                <w:sz w:val="24"/>
                <w:szCs w:val="24"/>
              </w:rPr>
              <w:t>（如雪松</w:t>
            </w:r>
            <w:r>
              <w:rPr>
                <w:rFonts w:asciiTheme="minorEastAsia" w:hAnsiTheme="minorEastAsia" w:eastAsiaTheme="minorEastAsia"/>
                <w:sz w:val="24"/>
                <w:szCs w:val="24"/>
              </w:rPr>
              <w:t>+</w:t>
            </w:r>
            <w:r>
              <w:rPr>
                <w:rFonts w:hint="eastAsia" w:asciiTheme="minorEastAsia" w:hAnsiTheme="minorEastAsia" w:eastAsiaTheme="minorEastAsia"/>
                <w:sz w:val="24"/>
                <w:szCs w:val="24"/>
              </w:rPr>
              <w:t>女贞</w:t>
            </w:r>
            <w:r>
              <w:rPr>
                <w:rFonts w:asciiTheme="minorEastAsia" w:hAnsiTheme="minorEastAsia" w:eastAsiaTheme="minorEastAsia"/>
                <w:sz w:val="24"/>
                <w:szCs w:val="24"/>
              </w:rPr>
              <w:t>+</w:t>
            </w:r>
            <w:r>
              <w:rPr>
                <w:rFonts w:hint="eastAsia" w:asciiTheme="minorEastAsia" w:hAnsiTheme="minorEastAsia" w:eastAsiaTheme="minorEastAsia"/>
                <w:sz w:val="24"/>
                <w:szCs w:val="24"/>
              </w:rPr>
              <w:t>麦冬），宽度≥</w:t>
            </w:r>
            <w:r>
              <w:rPr>
                <w:rFonts w:asciiTheme="minorEastAsia" w:hAnsiTheme="minorEastAsia" w:eastAsiaTheme="minorEastAsia"/>
                <w:sz w:val="24"/>
                <w:szCs w:val="24"/>
              </w:rPr>
              <w:t>15</w:t>
            </w:r>
            <w:r>
              <w:rPr>
                <w:rFonts w:hint="eastAsia" w:asciiTheme="minorEastAsia" w:hAnsiTheme="minorEastAsia" w:eastAsiaTheme="minorEastAsia"/>
                <w:sz w:val="24"/>
                <w:szCs w:val="24"/>
              </w:rPr>
              <w:t>米，利用植物叶片多孔结构吸收中高频噪声，辅助降噪</w:t>
            </w:r>
            <w:r>
              <w:rPr>
                <w:rFonts w:asciiTheme="minorEastAsia" w:hAnsiTheme="minorEastAsia" w:eastAsiaTheme="minorEastAsia"/>
                <w:sz w:val="24"/>
                <w:szCs w:val="24"/>
              </w:rPr>
              <w:t>3–5dB(A)</w:t>
            </w:r>
            <w:r>
              <w:rPr>
                <w:rFonts w:hint="eastAsia" w:asciiTheme="minorEastAsia" w:hAnsiTheme="minorEastAsia" w:eastAsiaTheme="minorEastAsia"/>
                <w:sz w:val="24"/>
                <w:szCs w:val="24"/>
              </w:rPr>
              <w:t>。定期修剪维护，确保郁闭度＞</w:t>
            </w:r>
            <w:r>
              <w:rPr>
                <w:rFonts w:asciiTheme="minorEastAsia" w:hAnsiTheme="minorEastAsia" w:eastAsiaTheme="minorEastAsia"/>
                <w:sz w:val="24"/>
                <w:szCs w:val="24"/>
              </w:rPr>
              <w:t>70%</w:t>
            </w:r>
            <w:r>
              <w:rPr>
                <w:rFonts w:hint="eastAsia" w:asciiTheme="minorEastAsia" w:hAnsiTheme="minorEastAsia" w:eastAsiaTheme="minorEastAsia"/>
                <w:sz w:val="24"/>
                <w:szCs w:val="24"/>
              </w:rPr>
              <w:t>。</w:t>
            </w:r>
          </w:p>
          <w:p w14:paraId="41D8E945">
            <w:pPr>
              <w:widowControl/>
              <w:spacing w:line="360" w:lineRule="auto"/>
              <w:ind w:firstLine="480"/>
              <w:rPr>
                <w:rFonts w:ascii="宋体" w:hAnsi="宋体" w:cs="宋体"/>
                <w:sz w:val="24"/>
                <w:szCs w:val="24"/>
              </w:rPr>
            </w:pPr>
            <w:r>
              <w:rPr>
                <w:rFonts w:hint="eastAsia" w:ascii="宋体" w:hAnsi="宋体" w:cs="宋体"/>
                <w:sz w:val="24"/>
                <w:szCs w:val="24"/>
              </w:rPr>
              <w:t>（3）管理制度闭环建设</w:t>
            </w:r>
          </w:p>
          <w:p w14:paraId="66FD7E44">
            <w:pPr>
              <w:widowControl/>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详情如下。</w:t>
            </w:r>
          </w:p>
          <w:p w14:paraId="76788956">
            <w:pPr>
              <w:widowControl/>
              <w:spacing w:line="360" w:lineRule="auto"/>
              <w:ind w:firstLine="48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表4-7  </w:t>
            </w:r>
            <w:r>
              <w:rPr>
                <w:rFonts w:hint="eastAsia" w:ascii="宋体" w:hAnsi="宋体" w:cs="宋体"/>
                <w:b/>
                <w:sz w:val="24"/>
                <w:szCs w:val="24"/>
              </w:rPr>
              <w:t>管理制度闭环建设</w:t>
            </w:r>
          </w:p>
          <w:tbl>
            <w:tblPr>
              <w:tblStyle w:val="57"/>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28"/>
              <w:gridCol w:w="7376"/>
            </w:tblGrid>
            <w:tr w14:paraId="30D3A4E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6CD80B5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管理环节</w:t>
                  </w:r>
                </w:p>
              </w:tc>
              <w:tc>
                <w:tcPr>
                  <w:tcW w:w="7362" w:type="dxa"/>
                  <w:vAlign w:val="center"/>
                </w:tcPr>
                <w:p w14:paraId="02E3F026">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具体措施</w:t>
                  </w:r>
                </w:p>
              </w:tc>
            </w:tr>
            <w:tr w14:paraId="3448293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216738C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作业规程</w:t>
                  </w:r>
                </w:p>
              </w:tc>
              <w:tc>
                <w:tcPr>
                  <w:tcW w:w="7362" w:type="dxa"/>
                  <w:vAlign w:val="center"/>
                </w:tcPr>
                <w:p w14:paraId="7F79742E">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制定《噪声控制操作规程》，明确各岗位降噪职责与操作规范</w:t>
                  </w:r>
                </w:p>
              </w:tc>
            </w:tr>
            <w:tr w14:paraId="4A6A1B5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2FC3FEE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巡检制度</w:t>
                  </w:r>
                </w:p>
              </w:tc>
              <w:tc>
                <w:tcPr>
                  <w:tcW w:w="7362" w:type="dxa"/>
                  <w:vAlign w:val="center"/>
                </w:tcPr>
                <w:p w14:paraId="56BA042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每日巡检隔声罩完整性、消声器状态、减振基础稳定性，建立台账并签字确认</w:t>
                  </w:r>
                </w:p>
              </w:tc>
            </w:tr>
            <w:tr w14:paraId="74C50E2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0CA8AA1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维护保养</w:t>
                  </w:r>
                </w:p>
              </w:tc>
              <w:tc>
                <w:tcPr>
                  <w:tcW w:w="7362" w:type="dxa"/>
                  <w:vAlign w:val="center"/>
                </w:tcPr>
                <w:p w14:paraId="65681EB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每月对高噪设备进行润滑与紧固，防止因松动加剧噪声</w:t>
                  </w:r>
                </w:p>
              </w:tc>
            </w:tr>
            <w:tr w14:paraId="3D26F4A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13931B29">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培训考核</w:t>
                  </w:r>
                </w:p>
              </w:tc>
              <w:tc>
                <w:tcPr>
                  <w:tcW w:w="7362" w:type="dxa"/>
                  <w:vAlign w:val="center"/>
                </w:tcPr>
                <w:p w14:paraId="3DB341C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每半年组织员工开展噪声危害与防护培训，考核合格后方可上岗</w:t>
                  </w:r>
                </w:p>
              </w:tc>
            </w:tr>
            <w:tr w14:paraId="0267D54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126" w:type="dxa"/>
                  <w:vAlign w:val="center"/>
                </w:tcPr>
                <w:p w14:paraId="7F6864C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应急预案</w:t>
                  </w:r>
                </w:p>
              </w:tc>
              <w:tc>
                <w:tcPr>
                  <w:tcW w:w="7362" w:type="dxa"/>
                  <w:vAlign w:val="center"/>
                </w:tcPr>
                <w:p w14:paraId="7DA0A945">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制定《突发高噪声事件应急处置预案》，明确设备异常啸叫、隔声设施破损等情况响应流程</w:t>
                  </w:r>
                </w:p>
              </w:tc>
            </w:tr>
          </w:tbl>
          <w:p w14:paraId="708F84D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（4）物料倒运、上料、卸料环节噪声控制强化措施</w:t>
            </w:r>
          </w:p>
          <w:p w14:paraId="4C06783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①源头降噪：低噪工艺与设备升级</w:t>
            </w:r>
            <w:r>
              <w:rPr>
                <w:rFonts w:hint="eastAsia" w:ascii="MS Mincho" w:hAnsi="MS Mincho" w:eastAsia="MS Mincho" w:cs="MS Mincho"/>
                <w:sz w:val="24"/>
                <w:szCs w:val="24"/>
              </w:rPr>
              <w:t>‌</w:t>
            </w:r>
          </w:p>
          <w:p w14:paraId="49D375B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缓冲给料替代自由落料</w:t>
            </w:r>
            <w:r>
              <w:rPr>
                <w:rFonts w:hint="eastAsia" w:ascii="MS Mincho" w:hAnsi="MS Mincho" w:eastAsia="MS Mincho" w:cs="MS Mincho"/>
                <w:sz w:val="24"/>
                <w:szCs w:val="24"/>
              </w:rPr>
              <w:t>‌</w:t>
            </w:r>
            <w:r>
              <w:rPr>
                <w:rFonts w:hint="eastAsia" w:ascii="宋体" w:hAnsi="宋体" w:cs="宋体"/>
                <w:sz w:val="24"/>
                <w:szCs w:val="24"/>
              </w:rPr>
              <w:t>：上料口加装</w:t>
            </w:r>
            <w:r>
              <w:rPr>
                <w:rFonts w:hint="eastAsia" w:ascii="MS Mincho" w:hAnsi="MS Mincho" w:eastAsia="MS Mincho" w:cs="MS Mincho"/>
                <w:sz w:val="24"/>
                <w:szCs w:val="24"/>
              </w:rPr>
              <w:t>‌</w:t>
            </w:r>
            <w:r>
              <w:rPr>
                <w:rFonts w:hint="eastAsia" w:ascii="宋体" w:hAnsi="宋体" w:cs="宋体"/>
                <w:sz w:val="24"/>
                <w:szCs w:val="24"/>
              </w:rPr>
              <w:t>橡胶衬板导料槽</w:t>
            </w:r>
            <w:r>
              <w:rPr>
                <w:rFonts w:asciiTheme="minorEastAsia" w:hAnsiTheme="minorEastAsia" w:eastAsiaTheme="minorEastAsia"/>
                <w:sz w:val="24"/>
                <w:szCs w:val="24"/>
              </w:rPr>
              <w:t>+</w:t>
            </w:r>
            <w:r>
              <w:rPr>
                <w:rFonts w:hint="eastAsia" w:asciiTheme="minorEastAsia" w:hAnsiTheme="minorEastAsia" w:eastAsiaTheme="minorEastAsia"/>
                <w:sz w:val="24"/>
                <w:szCs w:val="24"/>
              </w:rPr>
              <w:t>螺旋布料器</w:t>
            </w:r>
            <w:r>
              <w:rPr>
                <w:rFonts w:hint="eastAsia" w:ascii="MS Mincho" w:hAnsi="MS Mincho" w:eastAsia="MS Mincho" w:cs="MS Mincho"/>
                <w:sz w:val="24"/>
                <w:szCs w:val="24"/>
              </w:rPr>
              <w:t>‌</w:t>
            </w:r>
            <w:r>
              <w:rPr>
                <w:rFonts w:hint="eastAsia" w:ascii="宋体" w:hAnsi="宋体" w:cs="宋体"/>
                <w:sz w:val="24"/>
                <w:szCs w:val="24"/>
              </w:rPr>
              <w:t>，控制物料落差＜</w:t>
            </w:r>
            <w:r>
              <w:rPr>
                <w:rFonts w:asciiTheme="minorEastAsia" w:hAnsiTheme="minorEastAsia" w:eastAsiaTheme="minorEastAsia"/>
                <w:sz w:val="24"/>
                <w:szCs w:val="24"/>
              </w:rPr>
              <w:t>1.2</w:t>
            </w:r>
            <w:r>
              <w:rPr>
                <w:rFonts w:hint="eastAsia" w:asciiTheme="minorEastAsia" w:hAnsiTheme="minorEastAsia" w:eastAsiaTheme="minorEastAsia"/>
                <w:sz w:val="24"/>
                <w:szCs w:val="24"/>
              </w:rPr>
              <w:t>米，减少冲击噪声。</w:t>
            </w:r>
          </w:p>
          <w:p w14:paraId="4A8088D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振动筛减振优化</w:t>
            </w:r>
            <w:r>
              <w:rPr>
                <w:rFonts w:hint="eastAsia" w:ascii="MS Mincho" w:hAnsi="MS Mincho" w:eastAsia="MS Mincho" w:cs="MS Mincho"/>
                <w:sz w:val="24"/>
                <w:szCs w:val="24"/>
              </w:rPr>
              <w:t>‌</w:t>
            </w:r>
            <w:r>
              <w:rPr>
                <w:rFonts w:hint="eastAsia" w:ascii="宋体" w:hAnsi="宋体" w:cs="宋体"/>
                <w:sz w:val="24"/>
                <w:szCs w:val="24"/>
              </w:rPr>
              <w:t>：将原有钢制弹簧更换为</w:t>
            </w:r>
            <w:r>
              <w:rPr>
                <w:rFonts w:hint="eastAsia" w:ascii="MS Mincho" w:hAnsi="MS Mincho" w:eastAsia="MS Mincho" w:cs="MS Mincho"/>
                <w:sz w:val="24"/>
                <w:szCs w:val="24"/>
              </w:rPr>
              <w:t>‌</w:t>
            </w:r>
            <w:r>
              <w:rPr>
                <w:rFonts w:hint="eastAsia" w:ascii="宋体" w:hAnsi="宋体" w:cs="宋体"/>
                <w:sz w:val="24"/>
                <w:szCs w:val="24"/>
              </w:rPr>
              <w:t>复合橡胶隔振支座</w:t>
            </w:r>
            <w:r>
              <w:rPr>
                <w:rFonts w:hint="eastAsia" w:ascii="MS Mincho" w:hAnsi="MS Mincho" w:eastAsia="MS Mincho" w:cs="MS Mincho"/>
                <w:sz w:val="24"/>
                <w:szCs w:val="24"/>
              </w:rPr>
              <w:t>‌</w:t>
            </w:r>
            <w:r>
              <w:rPr>
                <w:rFonts w:hint="eastAsia" w:ascii="宋体" w:hAnsi="宋体" w:cs="宋体"/>
                <w:sz w:val="24"/>
                <w:szCs w:val="24"/>
              </w:rPr>
              <w:t>，振动传递率由</w:t>
            </w:r>
            <w:r>
              <w:rPr>
                <w:rFonts w:asciiTheme="minorEastAsia" w:hAnsiTheme="minorEastAsia" w:eastAsiaTheme="minorEastAsia"/>
                <w:sz w:val="24"/>
                <w:szCs w:val="24"/>
              </w:rPr>
              <w:t>30%</w:t>
            </w:r>
            <w:r>
              <w:rPr>
                <w:rFonts w:hint="eastAsia" w:asciiTheme="minorEastAsia" w:hAnsiTheme="minorEastAsia" w:eastAsiaTheme="minorEastAsia"/>
                <w:sz w:val="24"/>
                <w:szCs w:val="24"/>
              </w:rPr>
              <w:t>降至</w:t>
            </w:r>
            <w:r>
              <w:rPr>
                <w:rFonts w:asciiTheme="minorEastAsia" w:hAnsiTheme="minorEastAsia" w:eastAsiaTheme="minorEastAsia"/>
                <w:sz w:val="24"/>
                <w:szCs w:val="24"/>
              </w:rPr>
              <w:t>12%</w:t>
            </w:r>
            <w:r>
              <w:rPr>
                <w:rFonts w:hint="eastAsia" w:asciiTheme="minorEastAsia" w:hAnsiTheme="minorEastAsia" w:eastAsiaTheme="minorEastAsia"/>
                <w:sz w:val="24"/>
                <w:szCs w:val="24"/>
              </w:rPr>
              <w:t>以下，有效抑制结构传声。</w:t>
            </w:r>
          </w:p>
          <w:p w14:paraId="131DB4B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②封闭隔声：局部罩</w:t>
            </w:r>
            <w:r>
              <w:rPr>
                <w:rFonts w:asciiTheme="minorEastAsia" w:hAnsiTheme="minorEastAsia" w:eastAsiaTheme="minorEastAsia"/>
                <w:sz w:val="24"/>
                <w:szCs w:val="24"/>
              </w:rPr>
              <w:t>+</w:t>
            </w:r>
            <w:r>
              <w:rPr>
                <w:rFonts w:hint="eastAsia" w:asciiTheme="minorEastAsia" w:hAnsiTheme="minorEastAsia" w:eastAsiaTheme="minorEastAsia"/>
                <w:sz w:val="24"/>
                <w:szCs w:val="24"/>
              </w:rPr>
              <w:t>整体房双重防护</w:t>
            </w:r>
            <w:r>
              <w:rPr>
                <w:rFonts w:hint="eastAsia" w:ascii="MS Mincho" w:hAnsi="MS Mincho" w:eastAsia="MS Mincho" w:cs="MS Mincho"/>
                <w:sz w:val="24"/>
                <w:szCs w:val="24"/>
              </w:rPr>
              <w:t>‌</w:t>
            </w:r>
          </w:p>
          <w:p w14:paraId="13E125F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破碎与筛分设备整体隔声罩</w:t>
            </w:r>
            <w:r>
              <w:rPr>
                <w:rFonts w:hint="eastAsia" w:ascii="MS Mincho" w:hAnsi="MS Mincho" w:eastAsia="MS Mincho" w:cs="MS Mincho"/>
                <w:sz w:val="24"/>
                <w:szCs w:val="24"/>
              </w:rPr>
              <w:t>‌</w:t>
            </w:r>
            <w:r>
              <w:rPr>
                <w:rFonts w:hint="eastAsia" w:ascii="宋体" w:hAnsi="宋体" w:cs="宋体"/>
                <w:sz w:val="24"/>
                <w:szCs w:val="24"/>
              </w:rPr>
              <w:t>：采用</w:t>
            </w:r>
            <w:r>
              <w:rPr>
                <w:rFonts w:hint="eastAsia" w:asciiTheme="minorEastAsia" w:hAnsiTheme="minorEastAsia" w:eastAsiaTheme="minorEastAsia"/>
                <w:sz w:val="24"/>
                <w:szCs w:val="24"/>
              </w:rPr>
              <w:t>彩钢板</w:t>
            </w:r>
            <w:r>
              <w:rPr>
                <w:rFonts w:asciiTheme="minorEastAsia" w:hAnsiTheme="minorEastAsia" w:eastAsiaTheme="minorEastAsia"/>
                <w:sz w:val="24"/>
                <w:szCs w:val="24"/>
              </w:rPr>
              <w:t>+</w:t>
            </w:r>
            <w:r>
              <w:rPr>
                <w:rFonts w:hint="eastAsia" w:asciiTheme="minorEastAsia" w:hAnsiTheme="minorEastAsia" w:eastAsiaTheme="minorEastAsia"/>
                <w:sz w:val="24"/>
                <w:szCs w:val="24"/>
              </w:rPr>
              <w:t>离心玻璃棉</w:t>
            </w:r>
            <w:r>
              <w:rPr>
                <w:rFonts w:asciiTheme="minorEastAsia" w:hAnsiTheme="minorEastAsia" w:eastAsiaTheme="minorEastAsia"/>
                <w:sz w:val="24"/>
                <w:szCs w:val="24"/>
              </w:rPr>
              <w:t>+</w:t>
            </w:r>
            <w:r>
              <w:rPr>
                <w:rFonts w:hint="eastAsia" w:asciiTheme="minorEastAsia" w:hAnsiTheme="minorEastAsia" w:eastAsiaTheme="minorEastAsia"/>
                <w:sz w:val="24"/>
                <w:szCs w:val="24"/>
              </w:rPr>
              <w:t>阻尼涂料</w:t>
            </w:r>
            <w:r>
              <w:rPr>
                <w:rFonts w:hint="eastAsia" w:ascii="MS Mincho" w:hAnsi="MS Mincho" w:eastAsia="MS Mincho" w:cs="MS Mincho"/>
                <w:sz w:val="24"/>
                <w:szCs w:val="24"/>
              </w:rPr>
              <w:t>‌</w:t>
            </w:r>
            <w:r>
              <w:rPr>
                <w:rFonts w:hint="eastAsia" w:ascii="宋体" w:hAnsi="宋体" w:cs="宋体"/>
                <w:sz w:val="24"/>
                <w:szCs w:val="24"/>
              </w:rPr>
              <w:t>结构，隔声量≥</w:t>
            </w:r>
            <w:r>
              <w:rPr>
                <w:rFonts w:asciiTheme="minorEastAsia" w:hAnsiTheme="minorEastAsia" w:eastAsiaTheme="minorEastAsia"/>
                <w:sz w:val="24"/>
                <w:szCs w:val="24"/>
              </w:rPr>
              <w:t>28dB(A)</w:t>
            </w:r>
            <w:r>
              <w:rPr>
                <w:rFonts w:hint="eastAsia" w:asciiTheme="minorEastAsia" w:hAnsiTheme="minorEastAsia" w:eastAsiaTheme="minorEastAsia"/>
                <w:sz w:val="24"/>
                <w:szCs w:val="24"/>
              </w:rPr>
              <w:t>，并设置可拆卸检修门便于维护。</w:t>
            </w:r>
          </w:p>
          <w:p w14:paraId="506602A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上料口软帘封闭</w:t>
            </w:r>
            <w:r>
              <w:rPr>
                <w:rFonts w:hint="eastAsia" w:ascii="MS Mincho" w:hAnsi="MS Mincho" w:eastAsia="MS Mincho" w:cs="MS Mincho"/>
                <w:sz w:val="24"/>
                <w:szCs w:val="24"/>
              </w:rPr>
              <w:t>‌</w:t>
            </w:r>
            <w:r>
              <w:rPr>
                <w:rFonts w:hint="eastAsia" w:ascii="宋体" w:hAnsi="宋体" w:cs="宋体"/>
                <w:sz w:val="24"/>
                <w:szCs w:val="24"/>
              </w:rPr>
              <w:t>：在皮带输送机与搅拌楼连接处安装</w:t>
            </w:r>
            <w:r>
              <w:rPr>
                <w:rFonts w:hint="eastAsia" w:ascii="MS Mincho" w:hAnsi="MS Mincho" w:eastAsia="MS Mincho" w:cs="MS Mincho"/>
                <w:sz w:val="24"/>
                <w:szCs w:val="24"/>
              </w:rPr>
              <w:t>‌</w:t>
            </w:r>
            <w:r>
              <w:rPr>
                <w:rFonts w:asciiTheme="minorEastAsia" w:hAnsiTheme="minorEastAsia" w:eastAsiaTheme="minorEastAsia"/>
                <w:sz w:val="24"/>
                <w:szCs w:val="24"/>
              </w:rPr>
              <w:t>PVC</w:t>
            </w:r>
            <w:r>
              <w:rPr>
                <w:rFonts w:hint="eastAsia" w:asciiTheme="minorEastAsia" w:hAnsiTheme="minorEastAsia" w:eastAsiaTheme="minorEastAsia"/>
                <w:sz w:val="24"/>
                <w:szCs w:val="24"/>
              </w:rPr>
              <w:t>透明软帘</w:t>
            </w:r>
            <w:r>
              <w:rPr>
                <w:rFonts w:hint="eastAsia" w:ascii="MS Mincho" w:hAnsi="MS Mincho" w:eastAsia="MS Mincho" w:cs="MS Mincho"/>
                <w:sz w:val="24"/>
                <w:szCs w:val="24"/>
              </w:rPr>
              <w:t>‌</w:t>
            </w:r>
            <w:r>
              <w:rPr>
                <w:rFonts w:hint="eastAsia" w:asciiTheme="minorEastAsia" w:hAnsiTheme="minorEastAsia" w:eastAsiaTheme="minorEastAsia"/>
                <w:sz w:val="24"/>
                <w:szCs w:val="24"/>
              </w:rPr>
              <w:t>，实现连续作业下的动态密封，阻隔中高频噪声外溢。</w:t>
            </w:r>
          </w:p>
          <w:p w14:paraId="13F8CFF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（5）运输环节噪声控制专项强化</w:t>
            </w:r>
            <w:r>
              <w:rPr>
                <w:rFonts w:hint="eastAsia" w:ascii="MS Mincho" w:hAnsi="MS Mincho" w:eastAsia="MS Mincho" w:cs="MS Mincho"/>
                <w:sz w:val="24"/>
                <w:szCs w:val="24"/>
              </w:rPr>
              <w:t>‌</w:t>
            </w:r>
          </w:p>
          <w:p w14:paraId="4B0F5A85">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①车辆选型与运行管理</w:t>
            </w:r>
            <w:r>
              <w:rPr>
                <w:rFonts w:hint="eastAsia" w:ascii="MS Mincho" w:hAnsi="MS Mincho" w:eastAsia="MS Mincho" w:cs="MS Mincho"/>
                <w:sz w:val="24"/>
                <w:szCs w:val="24"/>
              </w:rPr>
              <w:t>‌</w:t>
            </w:r>
          </w:p>
          <w:p w14:paraId="6FE45A3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新能源车辆优先</w:t>
            </w:r>
            <w:r>
              <w:rPr>
                <w:rFonts w:hint="eastAsia" w:ascii="MS Mincho" w:hAnsi="MS Mincho" w:eastAsia="MS Mincho" w:cs="MS Mincho"/>
                <w:sz w:val="24"/>
                <w:szCs w:val="24"/>
              </w:rPr>
              <w:t>‌</w:t>
            </w:r>
            <w:r>
              <w:rPr>
                <w:rFonts w:hint="eastAsia" w:ascii="宋体" w:hAnsi="宋体" w:cs="宋体"/>
                <w:sz w:val="24"/>
                <w:szCs w:val="24"/>
              </w:rPr>
              <w:t>：厂内运输车、装载机建议替换为</w:t>
            </w:r>
            <w:r>
              <w:rPr>
                <w:rFonts w:hint="eastAsia" w:ascii="MS Mincho" w:hAnsi="MS Mincho" w:eastAsia="MS Mincho" w:cs="MS Mincho"/>
                <w:sz w:val="24"/>
                <w:szCs w:val="24"/>
              </w:rPr>
              <w:t>‌</w:t>
            </w:r>
            <w:r>
              <w:rPr>
                <w:rFonts w:hint="eastAsia" w:ascii="宋体" w:hAnsi="宋体" w:cs="宋体"/>
                <w:sz w:val="24"/>
                <w:szCs w:val="24"/>
              </w:rPr>
              <w:t>电动型号</w:t>
            </w:r>
            <w:r>
              <w:rPr>
                <w:rFonts w:hint="eastAsia" w:ascii="MS Mincho" w:hAnsi="MS Mincho" w:eastAsia="MS Mincho" w:cs="MS Mincho"/>
                <w:sz w:val="24"/>
                <w:szCs w:val="24"/>
              </w:rPr>
              <w:t>‌</w:t>
            </w:r>
            <w:r>
              <w:rPr>
                <w:rFonts w:hint="eastAsia" w:asciiTheme="minorEastAsia" w:hAnsiTheme="minorEastAsia" w:eastAsiaTheme="minorEastAsia"/>
                <w:sz w:val="24"/>
                <w:szCs w:val="24"/>
              </w:rPr>
              <w:t>，电机运行噪声较柴油机降低</w:t>
            </w:r>
            <w:r>
              <w:rPr>
                <w:rFonts w:hint="eastAsia" w:ascii="MS Mincho" w:hAnsi="MS Mincho" w:eastAsia="MS Mincho" w:cs="MS Mincho"/>
                <w:sz w:val="24"/>
                <w:szCs w:val="24"/>
              </w:rPr>
              <w:t>‌</w:t>
            </w:r>
            <w:r>
              <w:rPr>
                <w:rFonts w:hint="eastAsia" w:ascii="宋体" w:hAnsi="宋体" w:cs="宋体"/>
                <w:sz w:val="24"/>
                <w:szCs w:val="24"/>
              </w:rPr>
              <w:t>15–20dB(A)</w:t>
            </w:r>
            <w:r>
              <w:rPr>
                <w:rFonts w:hint="eastAsia" w:ascii="MS Mincho" w:hAnsi="MS Mincho" w:eastAsia="MS Mincho" w:cs="MS Mincho"/>
                <w:sz w:val="24"/>
                <w:szCs w:val="24"/>
              </w:rPr>
              <w:t>‌</w:t>
            </w:r>
            <w:r>
              <w:rPr>
                <w:rFonts w:hint="eastAsia" w:asciiTheme="minorEastAsia" w:hAnsiTheme="minorEastAsia" w:eastAsiaTheme="minorEastAsia"/>
                <w:sz w:val="24"/>
                <w:szCs w:val="24"/>
              </w:rPr>
              <w:t>。</w:t>
            </w:r>
          </w:p>
          <w:p w14:paraId="56BC4A6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限速与禁鸣管理</w:t>
            </w:r>
            <w:r>
              <w:rPr>
                <w:rFonts w:hint="eastAsia" w:ascii="MS Mincho" w:hAnsi="MS Mincho" w:eastAsia="MS Mincho" w:cs="MS Mincho"/>
                <w:sz w:val="24"/>
                <w:szCs w:val="24"/>
              </w:rPr>
              <w:t>‌</w:t>
            </w:r>
            <w:r>
              <w:rPr>
                <w:rFonts w:hint="eastAsia" w:ascii="宋体" w:hAnsi="宋体" w:cs="宋体"/>
                <w:sz w:val="24"/>
                <w:szCs w:val="24"/>
              </w:rPr>
              <w:t>：厂区内主干道限速</w:t>
            </w:r>
            <w:r>
              <w:rPr>
                <w:rFonts w:hint="eastAsia" w:ascii="MS Mincho" w:hAnsi="MS Mincho" w:eastAsia="MS Mincho" w:cs="MS Mincho"/>
                <w:sz w:val="24"/>
                <w:szCs w:val="24"/>
              </w:rPr>
              <w:t>‌</w:t>
            </w:r>
            <w:r>
              <w:rPr>
                <w:rFonts w:hint="eastAsia" w:ascii="宋体" w:hAnsi="宋体" w:cs="宋体"/>
                <w:sz w:val="24"/>
                <w:szCs w:val="24"/>
              </w:rPr>
              <w:t>15km/h</w:t>
            </w:r>
            <w:r>
              <w:rPr>
                <w:rFonts w:hint="eastAsia" w:ascii="MS Mincho" w:hAnsi="MS Mincho" w:eastAsia="MS Mincho" w:cs="MS Mincho"/>
                <w:sz w:val="24"/>
                <w:szCs w:val="24"/>
              </w:rPr>
              <w:t>‌</w:t>
            </w:r>
            <w:r>
              <w:rPr>
                <w:rFonts w:hint="eastAsia" w:asciiTheme="minorEastAsia" w:hAnsiTheme="minorEastAsia" w:eastAsiaTheme="minorEastAsia"/>
                <w:sz w:val="24"/>
                <w:szCs w:val="24"/>
              </w:rPr>
              <w:t>，禁止鸣笛；在敏感路段设置</w:t>
            </w:r>
            <w:r>
              <w:rPr>
                <w:rFonts w:hint="eastAsia" w:ascii="MS Mincho" w:hAnsi="MS Mincho" w:eastAsia="MS Mincho" w:cs="MS Mincho"/>
                <w:sz w:val="24"/>
                <w:szCs w:val="24"/>
              </w:rPr>
              <w:t>‌</w:t>
            </w:r>
            <w:r>
              <w:rPr>
                <w:rFonts w:hint="eastAsia" w:ascii="宋体" w:hAnsi="宋体" w:cs="宋体"/>
                <w:sz w:val="24"/>
                <w:szCs w:val="24"/>
              </w:rPr>
              <w:t>减速带</w:t>
            </w:r>
            <w:r>
              <w:rPr>
                <w:rFonts w:asciiTheme="minorEastAsia" w:hAnsiTheme="minorEastAsia" w:eastAsiaTheme="minorEastAsia"/>
                <w:sz w:val="24"/>
                <w:szCs w:val="24"/>
              </w:rPr>
              <w:t>+</w:t>
            </w:r>
            <w:r>
              <w:rPr>
                <w:rFonts w:hint="eastAsia" w:asciiTheme="minorEastAsia" w:hAnsiTheme="minorEastAsia" w:eastAsiaTheme="minorEastAsia"/>
                <w:sz w:val="24"/>
                <w:szCs w:val="24"/>
              </w:rPr>
              <w:t>声学警示牌</w:t>
            </w:r>
            <w:r>
              <w:rPr>
                <w:rFonts w:hint="eastAsia" w:ascii="MS Mincho" w:hAnsi="MS Mincho" w:eastAsia="MS Mincho" w:cs="MS Mincho"/>
                <w:sz w:val="24"/>
                <w:szCs w:val="24"/>
              </w:rPr>
              <w:t>‌</w:t>
            </w:r>
            <w:r>
              <w:rPr>
                <w:rFonts w:hint="eastAsia" w:ascii="宋体" w:hAnsi="宋体" w:cs="宋体"/>
                <w:sz w:val="24"/>
                <w:szCs w:val="24"/>
              </w:rPr>
              <w:t>，强制降速降噪</w:t>
            </w:r>
            <w:r>
              <w:rPr>
                <w:rFonts w:hint="eastAsia" w:asciiTheme="minorEastAsia" w:hAnsiTheme="minorEastAsia" w:eastAsiaTheme="minorEastAsia"/>
                <w:sz w:val="24"/>
                <w:szCs w:val="24"/>
              </w:rPr>
              <w:t>。</w:t>
            </w:r>
          </w:p>
          <w:p w14:paraId="04FCBED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②道路降噪设计</w:t>
            </w:r>
            <w:r>
              <w:rPr>
                <w:rFonts w:hint="eastAsia" w:ascii="MS Mincho" w:hAnsi="MS Mincho" w:eastAsia="MS Mincho" w:cs="MS Mincho"/>
                <w:sz w:val="24"/>
                <w:szCs w:val="24"/>
              </w:rPr>
              <w:t>‌</w:t>
            </w:r>
          </w:p>
          <w:p w14:paraId="7537B85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低噪声路面铺设</w:t>
            </w:r>
            <w:r>
              <w:rPr>
                <w:rFonts w:hint="eastAsia" w:ascii="MS Mincho" w:hAnsi="MS Mincho" w:eastAsia="MS Mincho" w:cs="MS Mincho"/>
                <w:sz w:val="24"/>
                <w:szCs w:val="24"/>
              </w:rPr>
              <w:t>‌</w:t>
            </w:r>
            <w:r>
              <w:rPr>
                <w:rFonts w:hint="eastAsia" w:ascii="宋体" w:hAnsi="宋体" w:cs="宋体"/>
                <w:sz w:val="24"/>
                <w:szCs w:val="24"/>
              </w:rPr>
              <w:t>：在主要运输通道采用</w:t>
            </w:r>
            <w:r>
              <w:rPr>
                <w:rFonts w:hint="eastAsia" w:ascii="MS Mincho" w:hAnsi="MS Mincho" w:eastAsia="MS Mincho" w:cs="MS Mincho"/>
                <w:sz w:val="24"/>
                <w:szCs w:val="24"/>
              </w:rPr>
              <w:t>‌</w:t>
            </w:r>
            <w:r>
              <w:rPr>
                <w:rFonts w:hint="eastAsia" w:ascii="宋体" w:hAnsi="宋体" w:cs="宋体"/>
                <w:sz w:val="24"/>
                <w:szCs w:val="24"/>
              </w:rPr>
              <w:t>多孔沥青混凝土路面</w:t>
            </w:r>
            <w:r>
              <w:rPr>
                <w:rFonts w:hint="eastAsia" w:ascii="MS Mincho" w:hAnsi="MS Mincho" w:eastAsia="MS Mincho" w:cs="MS Mincho"/>
                <w:sz w:val="24"/>
                <w:szCs w:val="24"/>
              </w:rPr>
              <w:t>‌</w:t>
            </w:r>
            <w:r>
              <w:rPr>
                <w:rFonts w:hint="eastAsia" w:ascii="宋体" w:hAnsi="宋体" w:cs="宋体"/>
                <w:sz w:val="24"/>
                <w:szCs w:val="24"/>
              </w:rPr>
              <w:t>，空隙率</w:t>
            </w:r>
            <w:r>
              <w:rPr>
                <w:rFonts w:asciiTheme="minorEastAsia" w:hAnsiTheme="minorEastAsia" w:eastAsiaTheme="minorEastAsia"/>
                <w:sz w:val="24"/>
                <w:szCs w:val="24"/>
              </w:rPr>
              <w:t>18–22%</w:t>
            </w:r>
            <w:r>
              <w:rPr>
                <w:rFonts w:hint="eastAsia" w:asciiTheme="minorEastAsia" w:hAnsiTheme="minorEastAsia" w:eastAsiaTheme="minorEastAsia"/>
                <w:sz w:val="24"/>
                <w:szCs w:val="24"/>
              </w:rPr>
              <w:t>，可降低轮胎滚动噪声</w:t>
            </w:r>
            <w:r>
              <w:rPr>
                <w:rFonts w:hint="eastAsia" w:ascii="MS Mincho" w:hAnsi="MS Mincho" w:eastAsia="MS Mincho" w:cs="MS Mincho"/>
                <w:sz w:val="24"/>
                <w:szCs w:val="24"/>
              </w:rPr>
              <w:t>‌</w:t>
            </w:r>
            <w:r>
              <w:rPr>
                <w:rFonts w:hint="eastAsia" w:ascii="宋体" w:hAnsi="宋体" w:cs="宋体"/>
                <w:sz w:val="24"/>
                <w:szCs w:val="24"/>
              </w:rPr>
              <w:t>3–5dB(A)</w:t>
            </w:r>
            <w:r>
              <w:rPr>
                <w:rFonts w:hint="eastAsia" w:ascii="MS Mincho" w:hAnsi="MS Mincho" w:eastAsia="MS Mincho" w:cs="MS Mincho"/>
                <w:sz w:val="24"/>
                <w:szCs w:val="24"/>
              </w:rPr>
              <w:t>‌</w:t>
            </w:r>
            <w:r>
              <w:rPr>
                <w:rFonts w:hint="eastAsia" w:asciiTheme="minorEastAsia" w:hAnsiTheme="minorEastAsia" w:eastAsiaTheme="minorEastAsia"/>
                <w:sz w:val="24"/>
                <w:szCs w:val="24"/>
              </w:rPr>
              <w:t>。</w:t>
            </w:r>
          </w:p>
          <w:p w14:paraId="4289518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路面维护机制</w:t>
            </w:r>
            <w:r>
              <w:rPr>
                <w:rFonts w:hint="eastAsia" w:ascii="MS Mincho" w:hAnsi="MS Mincho" w:eastAsia="MS Mincho" w:cs="MS Mincho"/>
                <w:sz w:val="24"/>
                <w:szCs w:val="24"/>
              </w:rPr>
              <w:t>‌</w:t>
            </w:r>
            <w:r>
              <w:rPr>
                <w:rFonts w:hint="eastAsia" w:ascii="宋体" w:hAnsi="宋体" w:cs="宋体"/>
                <w:sz w:val="24"/>
                <w:szCs w:val="24"/>
              </w:rPr>
              <w:t>：建立每日巡检制度，及时修补坑洼、清除碎石，防止因路面不平加剧车辆振动与噪声。</w:t>
            </w:r>
          </w:p>
          <w:p w14:paraId="37780B09">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③倒运路径优化</w:t>
            </w:r>
            <w:r>
              <w:rPr>
                <w:rFonts w:hint="eastAsia" w:ascii="MS Mincho" w:hAnsi="MS Mincho" w:eastAsia="MS Mincho" w:cs="MS Mincho"/>
                <w:sz w:val="24"/>
                <w:szCs w:val="24"/>
              </w:rPr>
              <w:t>‌</w:t>
            </w:r>
          </w:p>
          <w:p w14:paraId="47BFE59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错峰运输安排</w:t>
            </w:r>
            <w:r>
              <w:rPr>
                <w:rFonts w:hint="eastAsia" w:ascii="MS Mincho" w:hAnsi="MS Mincho" w:eastAsia="MS Mincho" w:cs="MS Mincho"/>
                <w:sz w:val="24"/>
                <w:szCs w:val="24"/>
              </w:rPr>
              <w:t>‌</w:t>
            </w:r>
            <w:r>
              <w:rPr>
                <w:rFonts w:hint="eastAsia" w:ascii="宋体" w:hAnsi="宋体" w:cs="宋体"/>
                <w:sz w:val="24"/>
                <w:szCs w:val="24"/>
              </w:rPr>
              <w:t>：将高噪声倒运作业（如夜间进料）调整至</w:t>
            </w:r>
            <w:r>
              <w:rPr>
                <w:rFonts w:hint="eastAsia" w:ascii="MS Mincho" w:hAnsi="MS Mincho" w:eastAsia="MS Mincho" w:cs="MS Mincho"/>
                <w:sz w:val="24"/>
                <w:szCs w:val="24"/>
              </w:rPr>
              <w:t>‌</w:t>
            </w:r>
            <w:r>
              <w:rPr>
                <w:rFonts w:hint="eastAsia" w:ascii="宋体" w:hAnsi="宋体" w:cs="宋体"/>
                <w:sz w:val="24"/>
                <w:szCs w:val="24"/>
              </w:rPr>
              <w:t>9:00–16:00</w:t>
            </w:r>
            <w:r>
              <w:rPr>
                <w:rFonts w:hint="eastAsia" w:ascii="MS Mincho" w:hAnsi="MS Mincho" w:eastAsia="MS Mincho" w:cs="MS Mincho"/>
                <w:sz w:val="24"/>
                <w:szCs w:val="24"/>
              </w:rPr>
              <w:t>‌</w:t>
            </w:r>
            <w:r>
              <w:rPr>
                <w:rFonts w:hint="eastAsia" w:asciiTheme="minorEastAsia" w:hAnsiTheme="minorEastAsia" w:eastAsiaTheme="minorEastAsia"/>
                <w:sz w:val="24"/>
                <w:szCs w:val="24"/>
              </w:rPr>
              <w:t>，避开居民休息时段。</w:t>
            </w:r>
          </w:p>
          <w:p w14:paraId="13B58ED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封闭运输廊道</w:t>
            </w:r>
            <w:r>
              <w:rPr>
                <w:rFonts w:hint="eastAsia" w:ascii="MS Mincho" w:hAnsi="MS Mincho" w:eastAsia="MS Mincho" w:cs="MS Mincho"/>
                <w:sz w:val="24"/>
                <w:szCs w:val="24"/>
              </w:rPr>
              <w:t>‌</w:t>
            </w:r>
            <w:r>
              <w:rPr>
                <w:rFonts w:hint="eastAsia" w:ascii="宋体" w:hAnsi="宋体" w:cs="宋体"/>
                <w:sz w:val="24"/>
                <w:szCs w:val="24"/>
              </w:rPr>
              <w:t>：对频繁倒运路线建设</w:t>
            </w:r>
            <w:r>
              <w:rPr>
                <w:rFonts w:hint="eastAsia" w:ascii="MS Mincho" w:hAnsi="MS Mincho" w:eastAsia="MS Mincho" w:cs="MS Mincho"/>
                <w:sz w:val="24"/>
                <w:szCs w:val="24"/>
              </w:rPr>
              <w:t>‌</w:t>
            </w:r>
            <w:r>
              <w:rPr>
                <w:rFonts w:hint="eastAsia" w:ascii="宋体" w:hAnsi="宋体" w:cs="宋体"/>
                <w:sz w:val="24"/>
                <w:szCs w:val="24"/>
              </w:rPr>
              <w:t>全封闭管状带式输送机</w:t>
            </w:r>
            <w:r>
              <w:rPr>
                <w:rFonts w:hint="eastAsia" w:ascii="MS Mincho" w:hAnsi="MS Mincho" w:eastAsia="MS Mincho" w:cs="MS Mincho"/>
                <w:sz w:val="24"/>
                <w:szCs w:val="24"/>
              </w:rPr>
              <w:t>‌</w:t>
            </w:r>
            <w:r>
              <w:rPr>
                <w:rFonts w:hint="eastAsia" w:ascii="宋体" w:hAnsi="宋体" w:cs="宋体"/>
                <w:sz w:val="24"/>
                <w:szCs w:val="24"/>
              </w:rPr>
              <w:t>，替代铲车短驳，实现“以静代动”降噪。</w:t>
            </w:r>
          </w:p>
          <w:p w14:paraId="4E511B9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、监测要求</w:t>
            </w:r>
          </w:p>
          <w:p w14:paraId="1F33E48B">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参照《排污许可证申请与核发技术规范 陶瓷砖瓦工业》（HJ954-2018）、《排污许可证申请与核发技术规范 工业噪声》（HJ1301-2023）和《工业企业厂界环境噪声排放标准》（GB12348-2008）中的相关内容，确定本项目噪声自行监测方案，详见表</w:t>
            </w:r>
            <w:r>
              <w:rPr>
                <w:rFonts w:hint="eastAsia" w:asciiTheme="minorEastAsia" w:hAnsiTheme="minorEastAsia" w:eastAsiaTheme="minorEastAsia"/>
                <w:sz w:val="24"/>
                <w:szCs w:val="24"/>
              </w:rPr>
              <w:t>4-8</w:t>
            </w:r>
            <w:r>
              <w:rPr>
                <w:rFonts w:asciiTheme="minorEastAsia" w:hAnsiTheme="minorEastAsia" w:eastAsiaTheme="minorEastAsia"/>
                <w:sz w:val="24"/>
                <w:szCs w:val="24"/>
              </w:rPr>
              <w:t>。</w:t>
            </w:r>
          </w:p>
          <w:p w14:paraId="3B958195">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4-8</w:t>
            </w:r>
            <w:r>
              <w:rPr>
                <w:rFonts w:asciiTheme="minorEastAsia" w:hAnsiTheme="minorEastAsia" w:eastAsiaTheme="minorEastAsia"/>
                <w:b/>
                <w:bCs/>
                <w:sz w:val="24"/>
                <w:szCs w:val="24"/>
              </w:rPr>
              <w:t xml:space="preserve">  噪声监测点位布设情况</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70"/>
              <w:gridCol w:w="2407"/>
              <w:gridCol w:w="1131"/>
            </w:tblGrid>
            <w:tr w14:paraId="7A78A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vAlign w:val="center"/>
                </w:tcPr>
                <w:p w14:paraId="283D0D2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2335" w:type="pct"/>
                  <w:vAlign w:val="center"/>
                </w:tcPr>
                <w:p w14:paraId="565719D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监测点位</w:t>
                  </w:r>
                </w:p>
              </w:tc>
              <w:tc>
                <w:tcPr>
                  <w:tcW w:w="1416" w:type="pct"/>
                  <w:vAlign w:val="center"/>
                </w:tcPr>
                <w:p w14:paraId="1239193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监测项目</w:t>
                  </w:r>
                </w:p>
              </w:tc>
              <w:tc>
                <w:tcPr>
                  <w:tcW w:w="665" w:type="pct"/>
                  <w:vAlign w:val="center"/>
                </w:tcPr>
                <w:p w14:paraId="30D7CE4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监测频次</w:t>
                  </w:r>
                </w:p>
              </w:tc>
            </w:tr>
            <w:tr w14:paraId="521E82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vAlign w:val="center"/>
                </w:tcPr>
                <w:p w14:paraId="461E899C">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2335" w:type="pct"/>
                  <w:vAlign w:val="center"/>
                </w:tcPr>
                <w:p w14:paraId="4D15234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厂界</w:t>
                  </w:r>
                </w:p>
              </w:tc>
              <w:tc>
                <w:tcPr>
                  <w:tcW w:w="1416" w:type="pct"/>
                  <w:vAlign w:val="center"/>
                </w:tcPr>
                <w:p w14:paraId="5460E4A6">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等效连续A声级</w:t>
                  </w:r>
                </w:p>
              </w:tc>
              <w:tc>
                <w:tcPr>
                  <w:tcW w:w="665" w:type="pct"/>
                  <w:vAlign w:val="center"/>
                </w:tcPr>
                <w:p w14:paraId="4903876F">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季度</w:t>
                  </w:r>
                </w:p>
              </w:tc>
            </w:tr>
          </w:tbl>
          <w:p w14:paraId="4A3ED84F">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四、固体废物</w:t>
            </w:r>
          </w:p>
          <w:p w14:paraId="33888AA4">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固体废物主要为除尘灰及不合格碎石（返回工艺再利用）等一般工业固体废物，不涉及危险废物的产生、贮存及处置。设备维修保养全部委托第三方在场外完成，场区内无废机油、废油桶、废含油抹布等危废暂存。建设单位承诺加强管理，杜绝危废非法入场。</w:t>
            </w:r>
          </w:p>
          <w:p w14:paraId="168AA17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1、源强核算</w:t>
            </w:r>
          </w:p>
          <w:p w14:paraId="18031E9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（1）生活垃圾</w:t>
            </w:r>
          </w:p>
          <w:p w14:paraId="5A5C8F12">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本项目共有员工5人，生活垃圾产生量为0.5kg/d·人，生活垃圾产生量为2.5kg/d（0.38t/a），统一收集后交由环卫部门处理。</w:t>
            </w:r>
          </w:p>
          <w:p w14:paraId="341753A5">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（2）废旧布袋</w:t>
            </w:r>
          </w:p>
          <w:p w14:paraId="60E1FDD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项目布袋除尘器需要定期更换布袋，废旧布袋产生量为0.01t/a，</w:t>
            </w:r>
            <w:r>
              <w:rPr>
                <w:rFonts w:hint="eastAsia" w:asciiTheme="minorEastAsia" w:hAnsiTheme="minorEastAsia" w:eastAsiaTheme="minorEastAsia"/>
                <w:sz w:val="24"/>
                <w:szCs w:val="24"/>
              </w:rPr>
              <w:t>由</w:t>
            </w:r>
            <w:r>
              <w:rPr>
                <w:rFonts w:asciiTheme="minorEastAsia" w:hAnsiTheme="minorEastAsia" w:eastAsiaTheme="minorEastAsia"/>
                <w:sz w:val="24"/>
                <w:szCs w:val="24"/>
              </w:rPr>
              <w:t>厂家上门更换时带走回收利用。</w:t>
            </w:r>
          </w:p>
          <w:p w14:paraId="625E951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沉淀物</w:t>
            </w:r>
          </w:p>
          <w:p w14:paraId="04E6ECF0">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三级</w:t>
            </w:r>
            <w:r>
              <w:rPr>
                <w:rFonts w:asciiTheme="minorEastAsia" w:hAnsiTheme="minorEastAsia" w:eastAsiaTheme="minorEastAsia"/>
                <w:sz w:val="24"/>
                <w:szCs w:val="24"/>
              </w:rPr>
              <w:t>沉淀池底部沉淀物产生量共为1t/a，统一收集后暂存厂内垃圾箱，交由环卫部门处理。</w:t>
            </w:r>
          </w:p>
          <w:p w14:paraId="1932DF3C">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除尘灰</w:t>
            </w:r>
          </w:p>
          <w:p w14:paraId="3B033A78">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本项目除尘器收集的粉尘产生量为</w:t>
            </w:r>
            <w:r>
              <w:rPr>
                <w:rFonts w:hint="eastAsia" w:asciiTheme="minorEastAsia" w:hAnsiTheme="minorEastAsia" w:eastAsiaTheme="minorEastAsia"/>
                <w:sz w:val="24"/>
                <w:szCs w:val="24"/>
              </w:rPr>
              <w:t>505.794</w:t>
            </w:r>
            <w:r>
              <w:rPr>
                <w:rFonts w:asciiTheme="minorEastAsia" w:hAnsiTheme="minorEastAsia" w:eastAsiaTheme="minorEastAsia"/>
                <w:sz w:val="24"/>
                <w:szCs w:val="24"/>
              </w:rPr>
              <w:t>t/a，定期清理后作为产品</w:t>
            </w:r>
            <w:r>
              <w:rPr>
                <w:rFonts w:hint="eastAsia" w:asciiTheme="minorEastAsia" w:hAnsiTheme="minorEastAsia" w:eastAsiaTheme="minorEastAsia"/>
                <w:sz w:val="24"/>
                <w:szCs w:val="24"/>
              </w:rPr>
              <w:t>（建筑用砂）</w:t>
            </w:r>
            <w:r>
              <w:rPr>
                <w:rFonts w:asciiTheme="minorEastAsia" w:hAnsiTheme="minorEastAsia" w:eastAsiaTheme="minorEastAsia"/>
                <w:sz w:val="24"/>
                <w:szCs w:val="24"/>
              </w:rPr>
              <w:t>外售。</w:t>
            </w:r>
          </w:p>
          <w:p w14:paraId="4C948B7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（5）厂房内自然沉降粉尘</w:t>
            </w:r>
          </w:p>
          <w:p w14:paraId="7DACF253">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由前文计算可知，项目</w:t>
            </w:r>
            <w:r>
              <w:rPr>
                <w:rFonts w:hint="eastAsia" w:asciiTheme="minorEastAsia" w:hAnsiTheme="minorEastAsia" w:eastAsiaTheme="minorEastAsia"/>
                <w:sz w:val="24"/>
                <w:szCs w:val="24"/>
              </w:rPr>
              <w:t>厂房内</w:t>
            </w:r>
            <w:r>
              <w:rPr>
                <w:rFonts w:asciiTheme="minorEastAsia" w:hAnsiTheme="minorEastAsia" w:eastAsiaTheme="minorEastAsia"/>
                <w:sz w:val="24"/>
                <w:szCs w:val="24"/>
              </w:rPr>
              <w:t>无组织排放粉尘自然降落后，集中收集，其产生量为</w:t>
            </w:r>
            <w:r>
              <w:rPr>
                <w:rFonts w:hint="eastAsia" w:asciiTheme="minorEastAsia" w:hAnsiTheme="minorEastAsia" w:eastAsiaTheme="minorEastAsia"/>
                <w:sz w:val="24"/>
                <w:szCs w:val="24"/>
              </w:rPr>
              <w:t>56.7</w:t>
            </w:r>
            <w:r>
              <w:rPr>
                <w:rFonts w:asciiTheme="minorEastAsia" w:hAnsiTheme="minorEastAsia" w:eastAsiaTheme="minorEastAsia"/>
                <w:sz w:val="24"/>
                <w:szCs w:val="24"/>
              </w:rPr>
              <w:t>t/a，作为产品</w:t>
            </w:r>
            <w:r>
              <w:rPr>
                <w:rFonts w:hint="eastAsia" w:asciiTheme="minorEastAsia" w:hAnsiTheme="minorEastAsia" w:eastAsiaTheme="minorEastAsia"/>
                <w:sz w:val="24"/>
                <w:szCs w:val="24"/>
              </w:rPr>
              <w:t>（建筑用砂）</w:t>
            </w:r>
            <w:r>
              <w:rPr>
                <w:rFonts w:asciiTheme="minorEastAsia" w:hAnsiTheme="minorEastAsia" w:eastAsiaTheme="minorEastAsia"/>
                <w:sz w:val="24"/>
                <w:szCs w:val="24"/>
              </w:rPr>
              <w:t>外售。</w:t>
            </w:r>
          </w:p>
          <w:p w14:paraId="216D2F04">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（6）废机油、废油桶、废含油抹布</w:t>
            </w:r>
          </w:p>
          <w:p w14:paraId="3A8AE639">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项目相关设备在日常维护保养过程中，会产生一定量的废机油、废油桶、废含油抹布，其中废机油产生量为0.1t/a，废油桶产生量为0.01t/a，废含油抹布产生量为0.01t/a，存储拟建危废间内，定期委托有资质单位处理。</w:t>
            </w:r>
          </w:p>
          <w:p w14:paraId="69CB2B5D">
            <w:pPr>
              <w:spacing w:line="360" w:lineRule="auto"/>
              <w:ind w:firstLine="480" w:firstLineChars="200"/>
              <w:jc w:val="left"/>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本项目固体废物产生情况详见表</w:t>
            </w:r>
            <w:r>
              <w:rPr>
                <w:rFonts w:hint="eastAsia" w:asciiTheme="minorEastAsia" w:hAnsiTheme="minorEastAsia" w:eastAsiaTheme="minorEastAsia"/>
                <w:sz w:val="24"/>
                <w:szCs w:val="24"/>
                <w:u w:val="single"/>
              </w:rPr>
              <w:t>4-9</w:t>
            </w:r>
            <w:r>
              <w:rPr>
                <w:rFonts w:asciiTheme="minorEastAsia" w:hAnsiTheme="minorEastAsia" w:eastAsiaTheme="minorEastAsia"/>
                <w:sz w:val="24"/>
                <w:szCs w:val="24"/>
                <w:u w:val="single"/>
              </w:rPr>
              <w:t>。</w:t>
            </w:r>
          </w:p>
          <w:p w14:paraId="6C521AB3">
            <w:pPr>
              <w:spacing w:line="360" w:lineRule="auto"/>
              <w:jc w:val="center"/>
              <w:rPr>
                <w:rFonts w:asciiTheme="minorEastAsia" w:hAnsiTheme="minorEastAsia" w:eastAsiaTheme="minorEastAsia"/>
                <w:b/>
                <w:bCs/>
                <w:sz w:val="24"/>
                <w:szCs w:val="24"/>
                <w:u w:val="single"/>
              </w:rPr>
            </w:pPr>
            <w:r>
              <w:rPr>
                <w:rFonts w:asciiTheme="minorEastAsia" w:hAnsiTheme="minorEastAsia" w:eastAsiaTheme="minorEastAsia"/>
                <w:b/>
                <w:bCs/>
                <w:sz w:val="24"/>
                <w:szCs w:val="24"/>
                <w:u w:val="single"/>
              </w:rPr>
              <w:t>表</w:t>
            </w:r>
            <w:r>
              <w:rPr>
                <w:rFonts w:hint="eastAsia" w:asciiTheme="minorEastAsia" w:hAnsiTheme="minorEastAsia" w:eastAsiaTheme="minorEastAsia"/>
                <w:b/>
                <w:bCs/>
                <w:sz w:val="24"/>
                <w:szCs w:val="24"/>
                <w:u w:val="single"/>
              </w:rPr>
              <w:t xml:space="preserve">4-9 </w:t>
            </w:r>
            <w:r>
              <w:rPr>
                <w:rFonts w:asciiTheme="minorEastAsia" w:hAnsiTheme="minorEastAsia" w:eastAsiaTheme="minorEastAsia"/>
                <w:b/>
                <w:bCs/>
                <w:sz w:val="24"/>
                <w:szCs w:val="24"/>
                <w:u w:val="single"/>
              </w:rPr>
              <w:t xml:space="preserve"> 本项目固体废物产生情况一览表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483"/>
              <w:gridCol w:w="991"/>
              <w:gridCol w:w="1134"/>
              <w:gridCol w:w="1559"/>
              <w:gridCol w:w="2690"/>
            </w:tblGrid>
            <w:tr w14:paraId="5C53DB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vAlign w:val="center"/>
                </w:tcPr>
                <w:p w14:paraId="1ED178C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序号</w:t>
                  </w:r>
                </w:p>
              </w:tc>
              <w:tc>
                <w:tcPr>
                  <w:tcW w:w="872" w:type="pct"/>
                  <w:tcBorders>
                    <w:tl2br w:val="nil"/>
                    <w:tr2bl w:val="nil"/>
                  </w:tcBorders>
                  <w:vAlign w:val="center"/>
                </w:tcPr>
                <w:p w14:paraId="1854F2B7">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名称</w:t>
                  </w:r>
                </w:p>
              </w:tc>
              <w:tc>
                <w:tcPr>
                  <w:tcW w:w="583" w:type="pct"/>
                  <w:tcBorders>
                    <w:tl2br w:val="nil"/>
                    <w:tr2bl w:val="nil"/>
                  </w:tcBorders>
                  <w:vAlign w:val="center"/>
                </w:tcPr>
                <w:p w14:paraId="481CC98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数量（t/a）</w:t>
                  </w:r>
                </w:p>
              </w:tc>
              <w:tc>
                <w:tcPr>
                  <w:tcW w:w="667" w:type="pct"/>
                  <w:tcBorders>
                    <w:tl2br w:val="nil"/>
                    <w:tr2bl w:val="nil"/>
                  </w:tcBorders>
                  <w:vAlign w:val="center"/>
                </w:tcPr>
                <w:p w14:paraId="185592B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种类</w:t>
                  </w:r>
                </w:p>
              </w:tc>
              <w:tc>
                <w:tcPr>
                  <w:tcW w:w="917" w:type="pct"/>
                  <w:tcBorders>
                    <w:tl2br w:val="nil"/>
                    <w:tr2bl w:val="nil"/>
                  </w:tcBorders>
                  <w:vAlign w:val="center"/>
                </w:tcPr>
                <w:p w14:paraId="25737CF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代码</w:t>
                  </w:r>
                </w:p>
              </w:tc>
              <w:tc>
                <w:tcPr>
                  <w:tcW w:w="1582" w:type="pct"/>
                  <w:tcBorders>
                    <w:tl2br w:val="nil"/>
                    <w:tr2bl w:val="nil"/>
                  </w:tcBorders>
                  <w:vAlign w:val="center"/>
                </w:tcPr>
                <w:p w14:paraId="2DF1D8A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处理处置方式</w:t>
                  </w:r>
                </w:p>
              </w:tc>
            </w:tr>
            <w:tr w14:paraId="501C48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vAlign w:val="center"/>
                </w:tcPr>
                <w:p w14:paraId="71231B4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1</w:t>
                  </w:r>
                </w:p>
              </w:tc>
              <w:tc>
                <w:tcPr>
                  <w:tcW w:w="872" w:type="pct"/>
                  <w:tcBorders>
                    <w:tl2br w:val="nil"/>
                    <w:tr2bl w:val="nil"/>
                  </w:tcBorders>
                  <w:vAlign w:val="center"/>
                </w:tcPr>
                <w:p w14:paraId="3E95C68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生活垃圾</w:t>
                  </w:r>
                </w:p>
              </w:tc>
              <w:tc>
                <w:tcPr>
                  <w:tcW w:w="583" w:type="pct"/>
                  <w:tcBorders>
                    <w:tl2br w:val="nil"/>
                    <w:tr2bl w:val="nil"/>
                  </w:tcBorders>
                  <w:vAlign w:val="center"/>
                </w:tcPr>
                <w:p w14:paraId="34091CB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0.38</w:t>
                  </w:r>
                </w:p>
              </w:tc>
              <w:tc>
                <w:tcPr>
                  <w:tcW w:w="667" w:type="pct"/>
                  <w:tcBorders>
                    <w:tl2br w:val="nil"/>
                    <w:tr2bl w:val="nil"/>
                  </w:tcBorders>
                  <w:vAlign w:val="center"/>
                </w:tcPr>
                <w:p w14:paraId="572F950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一般固废</w:t>
                  </w:r>
                </w:p>
              </w:tc>
              <w:tc>
                <w:tcPr>
                  <w:tcW w:w="917" w:type="pct"/>
                  <w:tcBorders>
                    <w:tl2br w:val="nil"/>
                    <w:tr2bl w:val="nil"/>
                  </w:tcBorders>
                  <w:vAlign w:val="center"/>
                </w:tcPr>
                <w:p w14:paraId="0E05E80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900-099-S64</w:t>
                  </w:r>
                </w:p>
              </w:tc>
              <w:tc>
                <w:tcPr>
                  <w:tcW w:w="1582" w:type="pct"/>
                  <w:vMerge w:val="restart"/>
                  <w:tcBorders>
                    <w:tl2br w:val="nil"/>
                    <w:tr2bl w:val="nil"/>
                  </w:tcBorders>
                  <w:vAlign w:val="center"/>
                </w:tcPr>
                <w:p w14:paraId="7A79BC4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统一收集后暂存厂内垃圾箱交由环卫部门处理</w:t>
                  </w:r>
                </w:p>
              </w:tc>
            </w:tr>
            <w:tr w14:paraId="0271BE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vAlign w:val="center"/>
                </w:tcPr>
                <w:p w14:paraId="597D7F9A">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2</w:t>
                  </w:r>
                </w:p>
              </w:tc>
              <w:tc>
                <w:tcPr>
                  <w:tcW w:w="872" w:type="pct"/>
                  <w:tcBorders>
                    <w:tl2br w:val="nil"/>
                    <w:tr2bl w:val="nil"/>
                  </w:tcBorders>
                  <w:vAlign w:val="center"/>
                </w:tcPr>
                <w:p w14:paraId="5C05092F">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沉淀物</w:t>
                  </w:r>
                </w:p>
              </w:tc>
              <w:tc>
                <w:tcPr>
                  <w:tcW w:w="583" w:type="pct"/>
                  <w:tcBorders>
                    <w:tl2br w:val="nil"/>
                    <w:tr2bl w:val="nil"/>
                  </w:tcBorders>
                  <w:vAlign w:val="center"/>
                </w:tcPr>
                <w:p w14:paraId="26BD4435">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1</w:t>
                  </w:r>
                </w:p>
              </w:tc>
              <w:tc>
                <w:tcPr>
                  <w:tcW w:w="667" w:type="pct"/>
                  <w:tcBorders>
                    <w:tl2br w:val="nil"/>
                    <w:tr2bl w:val="nil"/>
                  </w:tcBorders>
                  <w:vAlign w:val="center"/>
                </w:tcPr>
                <w:p w14:paraId="26D63DC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一般固废</w:t>
                  </w:r>
                </w:p>
              </w:tc>
              <w:tc>
                <w:tcPr>
                  <w:tcW w:w="917" w:type="pct"/>
                  <w:tcBorders>
                    <w:bottom w:val="single" w:color="auto" w:sz="4" w:space="0"/>
                    <w:tl2br w:val="nil"/>
                    <w:tr2bl w:val="nil"/>
                  </w:tcBorders>
                  <w:vAlign w:val="center"/>
                </w:tcPr>
                <w:p w14:paraId="1ED32FEA">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900-099-S59</w:t>
                  </w:r>
                </w:p>
              </w:tc>
              <w:tc>
                <w:tcPr>
                  <w:tcW w:w="1582" w:type="pct"/>
                  <w:vMerge w:val="continue"/>
                  <w:tcBorders>
                    <w:bottom w:val="single" w:color="auto" w:sz="4" w:space="0"/>
                    <w:tl2br w:val="nil"/>
                    <w:tr2bl w:val="nil"/>
                  </w:tcBorders>
                  <w:vAlign w:val="center"/>
                </w:tcPr>
                <w:p w14:paraId="6DBDD7A2">
                  <w:pPr>
                    <w:adjustRightInd w:val="0"/>
                    <w:snapToGrid w:val="0"/>
                    <w:jc w:val="center"/>
                    <w:rPr>
                      <w:rFonts w:asciiTheme="minorEastAsia" w:hAnsiTheme="minorEastAsia" w:eastAsiaTheme="minorEastAsia"/>
                      <w:szCs w:val="21"/>
                      <w:u w:val="single"/>
                    </w:rPr>
                  </w:pPr>
                </w:p>
              </w:tc>
            </w:tr>
            <w:tr w14:paraId="76AD4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272E13ED">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3</w:t>
                  </w:r>
                </w:p>
              </w:tc>
              <w:tc>
                <w:tcPr>
                  <w:tcW w:w="872" w:type="pct"/>
                  <w:tcBorders>
                    <w:tl2br w:val="nil"/>
                    <w:tr2bl w:val="nil"/>
                  </w:tcBorders>
                  <w:vAlign w:val="center"/>
                </w:tcPr>
                <w:p w14:paraId="5D22EDA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废旧布袋</w:t>
                  </w:r>
                </w:p>
              </w:tc>
              <w:tc>
                <w:tcPr>
                  <w:tcW w:w="583" w:type="pct"/>
                  <w:tcBorders>
                    <w:tl2br w:val="nil"/>
                    <w:tr2bl w:val="nil"/>
                  </w:tcBorders>
                  <w:vAlign w:val="center"/>
                </w:tcPr>
                <w:p w14:paraId="234A4F8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0.01</w:t>
                  </w:r>
                </w:p>
              </w:tc>
              <w:tc>
                <w:tcPr>
                  <w:tcW w:w="667" w:type="pct"/>
                  <w:tcBorders>
                    <w:tl2br w:val="nil"/>
                    <w:tr2bl w:val="nil"/>
                  </w:tcBorders>
                  <w:vAlign w:val="center"/>
                </w:tcPr>
                <w:p w14:paraId="575EA45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一般固废</w:t>
                  </w:r>
                </w:p>
              </w:tc>
              <w:tc>
                <w:tcPr>
                  <w:tcW w:w="917" w:type="pct"/>
                  <w:tcBorders>
                    <w:top w:val="single" w:color="auto" w:sz="4" w:space="0"/>
                    <w:tl2br w:val="nil"/>
                    <w:tr2bl w:val="nil"/>
                  </w:tcBorders>
                  <w:vAlign w:val="center"/>
                </w:tcPr>
                <w:p w14:paraId="4F02DDB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900-009-S59</w:t>
                  </w:r>
                </w:p>
              </w:tc>
              <w:tc>
                <w:tcPr>
                  <w:tcW w:w="1582" w:type="pct"/>
                  <w:tcBorders>
                    <w:top w:val="single" w:color="auto" w:sz="4" w:space="0"/>
                    <w:tl2br w:val="nil"/>
                    <w:tr2bl w:val="nil"/>
                  </w:tcBorders>
                  <w:vAlign w:val="center"/>
                </w:tcPr>
                <w:p w14:paraId="5D29612C">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由厂家上门更换时带走回收利用</w:t>
                  </w:r>
                </w:p>
              </w:tc>
            </w:tr>
            <w:tr w14:paraId="3138B2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09A5157C">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4</w:t>
                  </w:r>
                </w:p>
              </w:tc>
              <w:tc>
                <w:tcPr>
                  <w:tcW w:w="872" w:type="pct"/>
                  <w:tcBorders>
                    <w:tl2br w:val="nil"/>
                    <w:tr2bl w:val="nil"/>
                  </w:tcBorders>
                  <w:vAlign w:val="center"/>
                </w:tcPr>
                <w:p w14:paraId="350D55CD">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除尘灰</w:t>
                  </w:r>
                </w:p>
              </w:tc>
              <w:tc>
                <w:tcPr>
                  <w:tcW w:w="583" w:type="pct"/>
                  <w:tcBorders>
                    <w:tl2br w:val="nil"/>
                    <w:tr2bl w:val="nil"/>
                  </w:tcBorders>
                  <w:vAlign w:val="center"/>
                </w:tcPr>
                <w:p w14:paraId="5869448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505.794</w:t>
                  </w:r>
                </w:p>
              </w:tc>
              <w:tc>
                <w:tcPr>
                  <w:tcW w:w="667" w:type="pct"/>
                  <w:tcBorders>
                    <w:tl2br w:val="nil"/>
                    <w:tr2bl w:val="nil"/>
                  </w:tcBorders>
                  <w:vAlign w:val="center"/>
                </w:tcPr>
                <w:p w14:paraId="2C10FD7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一般固废</w:t>
                  </w:r>
                </w:p>
              </w:tc>
              <w:tc>
                <w:tcPr>
                  <w:tcW w:w="917" w:type="pct"/>
                  <w:tcBorders>
                    <w:tl2br w:val="nil"/>
                    <w:tr2bl w:val="nil"/>
                  </w:tcBorders>
                  <w:vAlign w:val="center"/>
                </w:tcPr>
                <w:p w14:paraId="22C2344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900-099-S59</w:t>
                  </w:r>
                </w:p>
              </w:tc>
              <w:tc>
                <w:tcPr>
                  <w:tcW w:w="1582" w:type="pct"/>
                  <w:vMerge w:val="restart"/>
                  <w:tcBorders>
                    <w:tl2br w:val="nil"/>
                    <w:tr2bl w:val="nil"/>
                  </w:tcBorders>
                  <w:vAlign w:val="center"/>
                </w:tcPr>
                <w:p w14:paraId="7D2536F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作为产品外售</w:t>
                  </w:r>
                </w:p>
              </w:tc>
            </w:tr>
            <w:tr w14:paraId="4A45B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588A4D77">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5</w:t>
                  </w:r>
                </w:p>
              </w:tc>
              <w:tc>
                <w:tcPr>
                  <w:tcW w:w="872" w:type="pct"/>
                  <w:tcBorders>
                    <w:tl2br w:val="nil"/>
                    <w:tr2bl w:val="nil"/>
                  </w:tcBorders>
                  <w:vAlign w:val="center"/>
                </w:tcPr>
                <w:p w14:paraId="657232A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自然沉降粉尘</w:t>
                  </w:r>
                </w:p>
              </w:tc>
              <w:tc>
                <w:tcPr>
                  <w:tcW w:w="583" w:type="pct"/>
                  <w:tcBorders>
                    <w:tl2br w:val="nil"/>
                    <w:tr2bl w:val="nil"/>
                  </w:tcBorders>
                  <w:vAlign w:val="center"/>
                </w:tcPr>
                <w:p w14:paraId="4175D51F">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56.7</w:t>
                  </w:r>
                </w:p>
              </w:tc>
              <w:tc>
                <w:tcPr>
                  <w:tcW w:w="667" w:type="pct"/>
                  <w:tcBorders>
                    <w:tl2br w:val="nil"/>
                    <w:tr2bl w:val="nil"/>
                  </w:tcBorders>
                  <w:vAlign w:val="center"/>
                </w:tcPr>
                <w:p w14:paraId="0CA86BC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一般固废</w:t>
                  </w:r>
                </w:p>
              </w:tc>
              <w:tc>
                <w:tcPr>
                  <w:tcW w:w="917" w:type="pct"/>
                  <w:tcBorders>
                    <w:tl2br w:val="nil"/>
                    <w:tr2bl w:val="nil"/>
                  </w:tcBorders>
                  <w:vAlign w:val="center"/>
                </w:tcPr>
                <w:p w14:paraId="04567ED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900-099-S59</w:t>
                  </w:r>
                </w:p>
              </w:tc>
              <w:tc>
                <w:tcPr>
                  <w:tcW w:w="1582" w:type="pct"/>
                  <w:vMerge w:val="continue"/>
                  <w:tcBorders>
                    <w:tl2br w:val="nil"/>
                    <w:tr2bl w:val="nil"/>
                  </w:tcBorders>
                  <w:vAlign w:val="center"/>
                </w:tcPr>
                <w:p w14:paraId="04F6E6D7">
                  <w:pPr>
                    <w:adjustRightInd w:val="0"/>
                    <w:snapToGrid w:val="0"/>
                    <w:jc w:val="center"/>
                    <w:rPr>
                      <w:rFonts w:asciiTheme="minorEastAsia" w:hAnsiTheme="minorEastAsia" w:eastAsiaTheme="minorEastAsia"/>
                      <w:szCs w:val="21"/>
                      <w:u w:val="single"/>
                    </w:rPr>
                  </w:pPr>
                </w:p>
              </w:tc>
            </w:tr>
            <w:tr w14:paraId="70CAD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669E30AC">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6</w:t>
                  </w:r>
                </w:p>
              </w:tc>
              <w:tc>
                <w:tcPr>
                  <w:tcW w:w="872" w:type="pct"/>
                  <w:tcBorders>
                    <w:tl2br w:val="nil"/>
                    <w:tr2bl w:val="nil"/>
                  </w:tcBorders>
                  <w:vAlign w:val="center"/>
                </w:tcPr>
                <w:p w14:paraId="229ACA39">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废机油</w:t>
                  </w:r>
                </w:p>
              </w:tc>
              <w:tc>
                <w:tcPr>
                  <w:tcW w:w="583" w:type="pct"/>
                  <w:tcBorders>
                    <w:tl2br w:val="nil"/>
                    <w:tr2bl w:val="nil"/>
                  </w:tcBorders>
                  <w:vAlign w:val="center"/>
                </w:tcPr>
                <w:p w14:paraId="663AB939">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0.1</w:t>
                  </w:r>
                </w:p>
              </w:tc>
              <w:tc>
                <w:tcPr>
                  <w:tcW w:w="667" w:type="pct"/>
                  <w:vMerge w:val="restart"/>
                  <w:tcBorders>
                    <w:tl2br w:val="nil"/>
                    <w:tr2bl w:val="nil"/>
                  </w:tcBorders>
                  <w:vAlign w:val="center"/>
                </w:tcPr>
                <w:p w14:paraId="1DF1F21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危险废物</w:t>
                  </w:r>
                </w:p>
              </w:tc>
              <w:tc>
                <w:tcPr>
                  <w:tcW w:w="917" w:type="pct"/>
                  <w:tcBorders>
                    <w:tl2br w:val="nil"/>
                    <w:tr2bl w:val="nil"/>
                  </w:tcBorders>
                  <w:vAlign w:val="center"/>
                </w:tcPr>
                <w:p w14:paraId="2E2094E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900-214-08</w:t>
                  </w:r>
                </w:p>
              </w:tc>
              <w:tc>
                <w:tcPr>
                  <w:tcW w:w="1582" w:type="pct"/>
                  <w:vMerge w:val="restart"/>
                  <w:tcBorders>
                    <w:tl2br w:val="nil"/>
                    <w:tr2bl w:val="nil"/>
                  </w:tcBorders>
                  <w:vAlign w:val="center"/>
                </w:tcPr>
                <w:p w14:paraId="32EFDC4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暂存于危险废物储存间，定期委托有资质单位处理</w:t>
                  </w:r>
                </w:p>
              </w:tc>
            </w:tr>
            <w:tr w14:paraId="4CAAB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0F47D7C3">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7</w:t>
                  </w:r>
                </w:p>
              </w:tc>
              <w:tc>
                <w:tcPr>
                  <w:tcW w:w="872" w:type="pct"/>
                  <w:tcBorders>
                    <w:tl2br w:val="nil"/>
                    <w:tr2bl w:val="nil"/>
                  </w:tcBorders>
                  <w:vAlign w:val="center"/>
                </w:tcPr>
                <w:p w14:paraId="3CE08428">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废油桶</w:t>
                  </w:r>
                </w:p>
              </w:tc>
              <w:tc>
                <w:tcPr>
                  <w:tcW w:w="583" w:type="pct"/>
                  <w:tcBorders>
                    <w:tl2br w:val="nil"/>
                    <w:tr2bl w:val="nil"/>
                  </w:tcBorders>
                  <w:vAlign w:val="center"/>
                </w:tcPr>
                <w:p w14:paraId="01CF9C6D">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0.01</w:t>
                  </w:r>
                </w:p>
              </w:tc>
              <w:tc>
                <w:tcPr>
                  <w:tcW w:w="667" w:type="pct"/>
                  <w:vMerge w:val="continue"/>
                  <w:tcBorders>
                    <w:tl2br w:val="nil"/>
                    <w:tr2bl w:val="nil"/>
                  </w:tcBorders>
                  <w:vAlign w:val="center"/>
                </w:tcPr>
                <w:p w14:paraId="384004EC">
                  <w:pPr>
                    <w:adjustRightInd w:val="0"/>
                    <w:snapToGrid w:val="0"/>
                    <w:jc w:val="center"/>
                    <w:rPr>
                      <w:rFonts w:asciiTheme="minorEastAsia" w:hAnsiTheme="minorEastAsia" w:eastAsiaTheme="minorEastAsia"/>
                      <w:szCs w:val="21"/>
                      <w:u w:val="single"/>
                    </w:rPr>
                  </w:pPr>
                </w:p>
              </w:tc>
              <w:tc>
                <w:tcPr>
                  <w:tcW w:w="917" w:type="pct"/>
                  <w:tcBorders>
                    <w:tl2br w:val="nil"/>
                    <w:tr2bl w:val="nil"/>
                  </w:tcBorders>
                  <w:vAlign w:val="center"/>
                </w:tcPr>
                <w:p w14:paraId="0181680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900-249-08</w:t>
                  </w:r>
                </w:p>
              </w:tc>
              <w:tc>
                <w:tcPr>
                  <w:tcW w:w="1582" w:type="pct"/>
                  <w:vMerge w:val="continue"/>
                  <w:tcBorders>
                    <w:tl2br w:val="nil"/>
                    <w:tr2bl w:val="nil"/>
                  </w:tcBorders>
                  <w:vAlign w:val="center"/>
                </w:tcPr>
                <w:p w14:paraId="11B15D4B">
                  <w:pPr>
                    <w:adjustRightInd w:val="0"/>
                    <w:snapToGrid w:val="0"/>
                    <w:jc w:val="center"/>
                    <w:rPr>
                      <w:rFonts w:asciiTheme="minorEastAsia" w:hAnsiTheme="minorEastAsia" w:eastAsiaTheme="minorEastAsia"/>
                      <w:szCs w:val="21"/>
                      <w:u w:val="single"/>
                    </w:rPr>
                  </w:pPr>
                </w:p>
              </w:tc>
            </w:tr>
            <w:tr w14:paraId="3E039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shd w:val="clear" w:color="auto" w:fill="auto"/>
                  <w:vAlign w:val="center"/>
                </w:tcPr>
                <w:p w14:paraId="262ECB6B">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8</w:t>
                  </w:r>
                </w:p>
              </w:tc>
              <w:tc>
                <w:tcPr>
                  <w:tcW w:w="872" w:type="pct"/>
                  <w:tcBorders>
                    <w:tl2br w:val="nil"/>
                    <w:tr2bl w:val="nil"/>
                  </w:tcBorders>
                  <w:vAlign w:val="center"/>
                </w:tcPr>
                <w:p w14:paraId="7A69C511">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废含油抹布</w:t>
                  </w:r>
                </w:p>
              </w:tc>
              <w:tc>
                <w:tcPr>
                  <w:tcW w:w="583" w:type="pct"/>
                  <w:tcBorders>
                    <w:tl2br w:val="nil"/>
                    <w:tr2bl w:val="nil"/>
                  </w:tcBorders>
                  <w:vAlign w:val="center"/>
                </w:tcPr>
                <w:p w14:paraId="04D35615">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0.01</w:t>
                  </w:r>
                </w:p>
              </w:tc>
              <w:tc>
                <w:tcPr>
                  <w:tcW w:w="667" w:type="pct"/>
                  <w:vMerge w:val="continue"/>
                  <w:tcBorders>
                    <w:tl2br w:val="nil"/>
                    <w:tr2bl w:val="nil"/>
                  </w:tcBorders>
                  <w:vAlign w:val="center"/>
                </w:tcPr>
                <w:p w14:paraId="08023FE3">
                  <w:pPr>
                    <w:adjustRightInd w:val="0"/>
                    <w:snapToGrid w:val="0"/>
                    <w:jc w:val="center"/>
                    <w:rPr>
                      <w:rFonts w:asciiTheme="minorEastAsia" w:hAnsiTheme="minorEastAsia" w:eastAsiaTheme="minorEastAsia"/>
                      <w:szCs w:val="21"/>
                      <w:u w:val="single"/>
                    </w:rPr>
                  </w:pPr>
                </w:p>
              </w:tc>
              <w:tc>
                <w:tcPr>
                  <w:tcW w:w="917" w:type="pct"/>
                  <w:tcBorders>
                    <w:tl2br w:val="nil"/>
                    <w:tr2bl w:val="nil"/>
                  </w:tcBorders>
                  <w:vAlign w:val="center"/>
                </w:tcPr>
                <w:p w14:paraId="78D40B6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900-041-49</w:t>
                  </w:r>
                </w:p>
              </w:tc>
              <w:tc>
                <w:tcPr>
                  <w:tcW w:w="1582" w:type="pct"/>
                  <w:vMerge w:val="continue"/>
                  <w:tcBorders>
                    <w:tl2br w:val="nil"/>
                    <w:tr2bl w:val="nil"/>
                  </w:tcBorders>
                  <w:vAlign w:val="center"/>
                </w:tcPr>
                <w:p w14:paraId="7BA5C719">
                  <w:pPr>
                    <w:adjustRightInd w:val="0"/>
                    <w:snapToGrid w:val="0"/>
                    <w:jc w:val="center"/>
                    <w:rPr>
                      <w:rFonts w:asciiTheme="minorEastAsia" w:hAnsiTheme="minorEastAsia" w:eastAsiaTheme="minorEastAsia"/>
                      <w:szCs w:val="21"/>
                      <w:u w:val="single"/>
                    </w:rPr>
                  </w:pPr>
                </w:p>
              </w:tc>
            </w:tr>
          </w:tbl>
          <w:p w14:paraId="0CAAC2A6">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一般</w:t>
            </w:r>
            <w:r>
              <w:rPr>
                <w:rFonts w:asciiTheme="minorEastAsia" w:hAnsiTheme="minorEastAsia" w:eastAsiaTheme="minorEastAsia"/>
                <w:sz w:val="24"/>
                <w:szCs w:val="24"/>
              </w:rPr>
              <w:t>固体废物管理要求</w:t>
            </w:r>
          </w:p>
          <w:p w14:paraId="6BB623FA">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根据《排污单位自行监测技术指南 工业固体废物和危险废物治理》（HJ1250-2022）中的相关内容，未对固体废物排放情况做出自行监测要求，故本项目不制定固体废物监测方案，但须在日常生产管理过程中记录外来一般工业固体废物进场信息，包括进场时间、固体废物名称、废物类别、废物产生单位、物理状态、废物重量、贮存设施编码。</w:t>
            </w:r>
          </w:p>
          <w:p w14:paraId="7DA70CEA">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本项目所有一般工业固体废物均分类收集、分区存放于库房内单独隔出的库房内，贮存设施为库房，库房建设满足《一般工业固体废物贮存和填埋污染控制标准》（</w:t>
            </w:r>
            <w:r>
              <w:rPr>
                <w:rFonts w:asciiTheme="minorEastAsia" w:hAnsiTheme="minorEastAsia" w:eastAsiaTheme="minorEastAsia"/>
                <w:sz w:val="24"/>
                <w:szCs w:val="24"/>
              </w:rPr>
              <w:t>GB18599-2020</w:t>
            </w:r>
            <w:r>
              <w:rPr>
                <w:rFonts w:hint="eastAsia" w:asciiTheme="minorEastAsia" w:hAnsiTheme="minorEastAsia" w:eastAsiaTheme="minorEastAsia"/>
                <w:sz w:val="24"/>
                <w:szCs w:val="24"/>
              </w:rPr>
              <w:t>）标准要求。一般工业固体废物临时贮存场所，并专人负责固体废物的收集、贮存，同时配合地方要求进行集中处置。</w:t>
            </w:r>
          </w:p>
          <w:p w14:paraId="59DF2A8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贮存场所环保要求：</w:t>
            </w:r>
          </w:p>
          <w:p w14:paraId="4762354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场所要求：固废暂存间为室内、密闭场所，地面为水泥混凝土硬化地面，并按照一般污染防治区要求进行防渗（等效黏土防渗层</w:t>
            </w:r>
            <w:r>
              <w:rPr>
                <w:rFonts w:cs="宋体" w:asciiTheme="minorEastAsia" w:hAnsiTheme="minorEastAsia" w:eastAsiaTheme="minorEastAsia"/>
                <w:sz w:val="24"/>
              </w:rPr>
              <w:t>Mb</w:t>
            </w:r>
            <w:r>
              <w:rPr>
                <w:rFonts w:hint="eastAsia" w:cs="宋体" w:asciiTheme="minorEastAsia" w:hAnsiTheme="minorEastAsia" w:eastAsiaTheme="minorEastAsia"/>
                <w:sz w:val="24"/>
              </w:rPr>
              <w:t>≥</w:t>
            </w:r>
            <w:r>
              <w:rPr>
                <w:rFonts w:cs="宋体" w:asciiTheme="minorEastAsia" w:hAnsiTheme="minorEastAsia" w:eastAsiaTheme="minorEastAsia"/>
                <w:sz w:val="24"/>
              </w:rPr>
              <w:t>1.5m</w:t>
            </w:r>
            <w:r>
              <w:rPr>
                <w:rFonts w:hint="eastAsia" w:cs="宋体" w:asciiTheme="minorEastAsia" w:hAnsiTheme="minorEastAsia" w:eastAsiaTheme="minorEastAsia"/>
                <w:sz w:val="24"/>
              </w:rPr>
              <w:t>，渗透系数</w:t>
            </w:r>
            <w:r>
              <w:rPr>
                <w:rFonts w:cs="宋体" w:asciiTheme="minorEastAsia" w:hAnsiTheme="minorEastAsia" w:eastAsiaTheme="minorEastAsia"/>
                <w:sz w:val="24"/>
              </w:rPr>
              <w:t>K</w:t>
            </w:r>
            <w:r>
              <w:rPr>
                <w:rFonts w:hint="eastAsia" w:cs="宋体" w:asciiTheme="minorEastAsia" w:hAnsiTheme="minorEastAsia" w:eastAsiaTheme="minorEastAsia"/>
                <w:sz w:val="24"/>
              </w:rPr>
              <w:t>≤</w:t>
            </w:r>
            <w:r>
              <w:rPr>
                <w:rFonts w:cs="宋体" w:asciiTheme="minorEastAsia" w:hAnsiTheme="minorEastAsia" w:eastAsiaTheme="minorEastAsia"/>
                <w:sz w:val="24"/>
              </w:rPr>
              <w:t>1.0×10</w:t>
            </w:r>
            <w:r>
              <w:rPr>
                <w:rFonts w:hint="eastAsia" w:eastAsia="MS Mincho" w:cs="MS Mincho" w:asciiTheme="minorEastAsia" w:hAnsiTheme="minorEastAsia"/>
                <w:sz w:val="24"/>
              </w:rPr>
              <w:t>⁻⁷</w:t>
            </w:r>
            <w:r>
              <w:rPr>
                <w:rFonts w:hint="eastAsia" w:cs="宋体" w:asciiTheme="minorEastAsia" w:hAnsiTheme="minorEastAsia" w:eastAsiaTheme="minorEastAsia"/>
                <w:sz w:val="24"/>
              </w:rPr>
              <w:t>cm/s）。</w:t>
            </w:r>
          </w:p>
          <w:p w14:paraId="2A98190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标识与管理：</w:t>
            </w:r>
          </w:p>
          <w:p w14:paraId="71F970B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必须在显著位置设置永久性环境保护图形标志牌，符合《环境保护图形标志—固体废物贮存（处置）场》（GB 15562.2-1995）及2023年修改单的要求。</w:t>
            </w:r>
          </w:p>
          <w:p w14:paraId="2E64F536">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建立固体废物管理台账，详细记录各类固废的产生、贮存、出厂时间、数量及去向，台账保存不少于5年。</w:t>
            </w:r>
          </w:p>
          <w:p w14:paraId="3D4900C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执行 “谁产生、谁治理、谁管理”的原则，由专人负责固废暂存间的日常管理，保持环境整洁，杜绝二次污染。</w:t>
            </w:r>
          </w:p>
          <w:p w14:paraId="0951E92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委托环卫部门清运时，应依法签订清运协议。</w:t>
            </w:r>
          </w:p>
          <w:p w14:paraId="0D5F1C0F">
            <w:pPr>
              <w:spacing w:line="360" w:lineRule="auto"/>
              <w:ind w:firstLine="480" w:firstLineChars="200"/>
              <w:jc w:val="left"/>
              <w:rPr>
                <w:rFonts w:ascii="宋体" w:hAnsi="宋体"/>
                <w:sz w:val="24"/>
                <w:szCs w:val="24"/>
              </w:rPr>
            </w:pPr>
            <w:r>
              <w:rPr>
                <w:rFonts w:ascii="宋体" w:hAnsi="宋体"/>
                <w:sz w:val="24"/>
                <w:szCs w:val="24"/>
              </w:rPr>
              <w:t>综上，在加强环境管理，并在落实好各项污染防治措施和固体废物安全处置的前提下，本项目所产生的固体废物对周围环境影响较小，不造成二次污染。</w:t>
            </w:r>
          </w:p>
          <w:p w14:paraId="0F28DE04">
            <w:pPr>
              <w:spacing w:line="360" w:lineRule="auto"/>
              <w:ind w:firstLine="480" w:firstLineChars="200"/>
              <w:jc w:val="left"/>
              <w:rPr>
                <w:rFonts w:ascii="宋体" w:hAnsi="宋体"/>
                <w:sz w:val="24"/>
                <w:szCs w:val="24"/>
                <w:u w:val="single"/>
              </w:rPr>
            </w:pPr>
            <w:r>
              <w:rPr>
                <w:rFonts w:hint="eastAsia" w:ascii="宋体" w:hAnsi="宋体"/>
                <w:sz w:val="24"/>
                <w:szCs w:val="24"/>
                <w:u w:val="single"/>
              </w:rPr>
              <w:t>3、</w:t>
            </w:r>
            <w:r>
              <w:rPr>
                <w:rFonts w:ascii="宋体" w:hAnsi="宋体"/>
                <w:sz w:val="24"/>
                <w:szCs w:val="24"/>
                <w:u w:val="single"/>
              </w:rPr>
              <w:t>危险废物环境影响分析</w:t>
            </w:r>
          </w:p>
          <w:p w14:paraId="3451A0D2">
            <w:pPr>
              <w:spacing w:line="360" w:lineRule="auto"/>
              <w:ind w:firstLine="480" w:firstLineChars="200"/>
              <w:jc w:val="left"/>
              <w:rPr>
                <w:rFonts w:ascii="宋体" w:hAnsi="宋体"/>
                <w:sz w:val="24"/>
                <w:szCs w:val="24"/>
                <w:u w:val="single"/>
              </w:rPr>
            </w:pPr>
            <w:r>
              <w:rPr>
                <w:rFonts w:ascii="宋体" w:hAnsi="宋体"/>
                <w:sz w:val="24"/>
                <w:szCs w:val="24"/>
                <w:u w:val="single"/>
              </w:rPr>
              <w:t>根据《危险废物管理计划和管理台账制定技术导则》（HJ1259-2022），将同一生产经营场所危险废物年产生量10吨以下且未纳入危险废物环境重点监管单位的单位，纳入危险废物登记管理单位。本项目属于危险废物登记管理单位。</w:t>
            </w:r>
          </w:p>
          <w:p w14:paraId="6CA3E17D">
            <w:pPr>
              <w:spacing w:line="360" w:lineRule="auto"/>
              <w:ind w:firstLine="480" w:firstLineChars="200"/>
              <w:jc w:val="left"/>
              <w:rPr>
                <w:rFonts w:ascii="宋体" w:hAnsi="宋体"/>
                <w:sz w:val="24"/>
                <w:szCs w:val="24"/>
                <w:u w:val="single"/>
              </w:rPr>
            </w:pPr>
            <w:r>
              <w:rPr>
                <w:rFonts w:ascii="宋体" w:hAnsi="宋体"/>
                <w:sz w:val="24"/>
                <w:szCs w:val="24"/>
                <w:u w:val="single"/>
              </w:rPr>
              <w:t>根据《危险废物贮存污染控制标准》（GB18597-2023）中定义“HJ1259规定的纳入危险废物登记管理单位的，用于同一生产经营场所专门贮存危险废物的场所；或产生危险废物的单位设置于生产线附近，用于暂时贮存以便于中转其产生的危险废物的场所”属于贮存点。</w:t>
            </w:r>
          </w:p>
          <w:p w14:paraId="77DE0892">
            <w:pPr>
              <w:spacing w:line="360" w:lineRule="auto"/>
              <w:ind w:firstLine="480" w:firstLineChars="200"/>
              <w:jc w:val="left"/>
              <w:rPr>
                <w:rFonts w:ascii="宋体" w:hAnsi="宋体"/>
                <w:sz w:val="24"/>
                <w:szCs w:val="24"/>
                <w:u w:val="single"/>
              </w:rPr>
            </w:pPr>
            <w:r>
              <w:rPr>
                <w:rFonts w:ascii="宋体" w:hAnsi="宋体"/>
                <w:sz w:val="24"/>
                <w:szCs w:val="24"/>
                <w:u w:val="single"/>
              </w:rPr>
              <w:t>因此本项目危废暂存间属于贮存点，应严格按照《危险废物贮存污染控制标准》（GB18597-2023）、《危险废物收集、贮存、运输技术规范》（HJ2025-2012）等规范进行设计和执行。</w:t>
            </w:r>
          </w:p>
          <w:p w14:paraId="0AA06FE4">
            <w:pPr>
              <w:spacing w:line="360" w:lineRule="auto"/>
              <w:ind w:firstLine="480" w:firstLineChars="200"/>
              <w:jc w:val="left"/>
              <w:rPr>
                <w:rFonts w:ascii="宋体" w:hAnsi="宋体"/>
                <w:sz w:val="24"/>
                <w:szCs w:val="24"/>
                <w:u w:val="single"/>
              </w:rPr>
            </w:pPr>
            <w:r>
              <w:rPr>
                <w:rFonts w:ascii="宋体" w:hAnsi="宋体"/>
                <w:sz w:val="24"/>
                <w:szCs w:val="24"/>
                <w:u w:val="single"/>
              </w:rPr>
              <w:t>（1）危险废物产生及处置方式</w:t>
            </w:r>
          </w:p>
          <w:p w14:paraId="1EC57FEA">
            <w:pPr>
              <w:spacing w:line="360" w:lineRule="auto"/>
              <w:ind w:firstLine="480" w:firstLineChars="200"/>
              <w:jc w:val="left"/>
              <w:rPr>
                <w:rFonts w:ascii="宋体" w:hAnsi="宋体"/>
                <w:sz w:val="24"/>
                <w:szCs w:val="24"/>
                <w:u w:val="single"/>
              </w:rPr>
            </w:pPr>
            <w:r>
              <w:rPr>
                <w:rFonts w:ascii="宋体" w:hAnsi="宋体"/>
                <w:sz w:val="24"/>
                <w:szCs w:val="24"/>
                <w:u w:val="single"/>
              </w:rPr>
              <w:t>根据工程分析章节产生的危险废物主要为废机油、废油桶、废含油抹布，暂存于拟建危险废物暂存间，定期委托资质单位收集处置。</w:t>
            </w:r>
          </w:p>
          <w:p w14:paraId="061E27F5">
            <w:pPr>
              <w:spacing w:line="360" w:lineRule="auto"/>
              <w:ind w:firstLine="480" w:firstLineChars="200"/>
              <w:jc w:val="left"/>
              <w:rPr>
                <w:rFonts w:ascii="宋体" w:hAnsi="宋体"/>
                <w:sz w:val="24"/>
                <w:szCs w:val="24"/>
                <w:u w:val="single"/>
              </w:rPr>
            </w:pPr>
            <w:r>
              <w:rPr>
                <w:rFonts w:ascii="宋体" w:hAnsi="宋体"/>
                <w:sz w:val="24"/>
                <w:szCs w:val="24"/>
                <w:u w:val="single"/>
              </w:rPr>
              <w:t>（2）危险废物贮存环境影响分析</w:t>
            </w:r>
          </w:p>
          <w:p w14:paraId="48137FD0">
            <w:pPr>
              <w:spacing w:line="360" w:lineRule="auto"/>
              <w:ind w:firstLine="480" w:firstLineChars="200"/>
              <w:jc w:val="left"/>
              <w:rPr>
                <w:rFonts w:ascii="宋体" w:hAnsi="宋体"/>
                <w:sz w:val="24"/>
                <w:szCs w:val="24"/>
                <w:u w:val="single"/>
              </w:rPr>
            </w:pPr>
            <w:r>
              <w:rPr>
                <w:rFonts w:ascii="宋体" w:hAnsi="宋体"/>
                <w:sz w:val="24"/>
                <w:szCs w:val="24"/>
                <w:u w:val="single"/>
              </w:rPr>
              <w:t>本项目的生产过程中产生的废机油、废油桶、废含油抹布属国家危险废物名录规定的危险废物，这些危险废物需按国家有关规定进行转移、运输及处置，委托有资质的单位处理。</w:t>
            </w:r>
          </w:p>
          <w:p w14:paraId="32238C50">
            <w:pPr>
              <w:spacing w:line="360" w:lineRule="auto"/>
              <w:ind w:firstLine="480" w:firstLineChars="200"/>
              <w:jc w:val="left"/>
              <w:rPr>
                <w:rFonts w:ascii="宋体" w:hAnsi="宋体"/>
                <w:sz w:val="24"/>
                <w:szCs w:val="24"/>
                <w:u w:val="single"/>
              </w:rPr>
            </w:pPr>
            <w:r>
              <w:rPr>
                <w:rFonts w:ascii="宋体" w:hAnsi="宋体"/>
                <w:sz w:val="24"/>
                <w:szCs w:val="24"/>
                <w:u w:val="single"/>
              </w:rPr>
              <w:t>本环评要求企业根据不同形态、不同类别的危险废物进行分类收集、分区贮存，分别处置，按规范要求进行存放。贮存场应做好防渗、防火、防雨、防晒、防扬散等防治环境污染措施。</w:t>
            </w:r>
          </w:p>
          <w:p w14:paraId="4D2B6FB3">
            <w:pPr>
              <w:spacing w:line="360" w:lineRule="auto"/>
              <w:ind w:firstLine="480" w:firstLineChars="200"/>
              <w:jc w:val="left"/>
              <w:rPr>
                <w:rFonts w:ascii="宋体" w:hAnsi="宋体"/>
                <w:sz w:val="24"/>
                <w:szCs w:val="24"/>
                <w:u w:val="single"/>
              </w:rPr>
            </w:pPr>
            <w:r>
              <w:rPr>
                <w:rFonts w:ascii="宋体" w:hAnsi="宋体"/>
                <w:sz w:val="24"/>
                <w:szCs w:val="24"/>
                <w:u w:val="single"/>
              </w:rPr>
              <w:t>项目拟在</w:t>
            </w:r>
            <w:r>
              <w:rPr>
                <w:rFonts w:hint="eastAsia" w:asciiTheme="minorEastAsia" w:hAnsiTheme="minorEastAsia" w:eastAsiaTheme="minorEastAsia"/>
                <w:sz w:val="24"/>
                <w:szCs w:val="24"/>
                <w:u w:val="single"/>
              </w:rPr>
              <w:t>厂区</w:t>
            </w:r>
            <w:r>
              <w:rPr>
                <w:rFonts w:ascii="宋体" w:hAnsi="宋体"/>
                <w:sz w:val="24"/>
                <w:szCs w:val="24"/>
                <w:u w:val="single"/>
              </w:rPr>
              <w:t>内设置一个危险废物暂存间（</w:t>
            </w:r>
            <w:r>
              <w:rPr>
                <w:rFonts w:hint="eastAsia" w:asciiTheme="minorEastAsia" w:hAnsiTheme="minorEastAsia" w:eastAsiaTheme="minorEastAsia"/>
                <w:sz w:val="24"/>
                <w:szCs w:val="24"/>
                <w:u w:val="single"/>
              </w:rPr>
              <w:t>6</w:t>
            </w:r>
            <w:r>
              <w:rPr>
                <w:rFonts w:ascii="宋体" w:hAnsi="宋体"/>
                <w:sz w:val="24"/>
                <w:szCs w:val="24"/>
                <w:u w:val="single"/>
              </w:rPr>
              <w:t>m</w:t>
            </w:r>
            <w:r>
              <w:rPr>
                <w:rFonts w:ascii="宋体" w:hAnsi="宋体"/>
                <w:sz w:val="24"/>
                <w:szCs w:val="24"/>
                <w:u w:val="single"/>
                <w:vertAlign w:val="superscript"/>
              </w:rPr>
              <w:t>2</w:t>
            </w:r>
            <w:r>
              <w:rPr>
                <w:rFonts w:ascii="宋体" w:hAnsi="宋体"/>
                <w:sz w:val="24"/>
                <w:szCs w:val="24"/>
                <w:u w:val="single"/>
              </w:rPr>
              <w:t>），作为危险废物暂存场所，按照危险废物性质、形态不同进行分区存放，分别采用密闭桶装或袋装，采取集中码垛方式存放，符合《危险废物贮存污染控制标准》（GB18597-2023）要求；同时，暂存间内设置安全照明设施、自动火灾报警设备。暂存间属于重点污染防治区，严格按照《危险废物贮存污染控制标准》（GB18597-2023）进行选址、设计和管理，按规定要求进行防渗设计，渗透系数＜10-10cm/s。暂存间内设置围堰，围堰内设有导流沟，危险废物贮存过程中，液态废物发生泄漏时，及时收集后合理处置避免流入外环境。本项目危险废物暂存场所（设施）基本情况详见表</w:t>
            </w:r>
            <w:r>
              <w:rPr>
                <w:rFonts w:hint="eastAsia" w:asciiTheme="minorEastAsia" w:hAnsiTheme="minorEastAsia" w:eastAsiaTheme="minorEastAsia"/>
                <w:sz w:val="24"/>
                <w:szCs w:val="24"/>
                <w:u w:val="single"/>
              </w:rPr>
              <w:t>4-10</w:t>
            </w:r>
            <w:r>
              <w:rPr>
                <w:rFonts w:ascii="宋体" w:hAnsi="宋体"/>
                <w:sz w:val="24"/>
                <w:szCs w:val="24"/>
                <w:u w:val="single"/>
              </w:rPr>
              <w:t>。</w:t>
            </w:r>
          </w:p>
          <w:p w14:paraId="32D2E144">
            <w:pPr>
              <w:spacing w:line="360" w:lineRule="auto"/>
              <w:ind w:firstLine="480" w:firstLineChars="200"/>
              <w:jc w:val="center"/>
              <w:rPr>
                <w:rFonts w:ascii="宋体" w:hAnsi="宋体"/>
                <w:b/>
                <w:sz w:val="24"/>
                <w:szCs w:val="24"/>
                <w:u w:val="single"/>
              </w:rPr>
            </w:pPr>
            <w:r>
              <w:rPr>
                <w:rFonts w:ascii="宋体" w:hAnsi="宋体"/>
                <w:b/>
                <w:sz w:val="24"/>
                <w:szCs w:val="24"/>
                <w:u w:val="single"/>
              </w:rPr>
              <w:t>表</w:t>
            </w:r>
            <w:r>
              <w:rPr>
                <w:rFonts w:hint="eastAsia" w:asciiTheme="minorEastAsia" w:hAnsiTheme="minorEastAsia" w:eastAsiaTheme="minorEastAsia"/>
                <w:b/>
                <w:sz w:val="24"/>
                <w:szCs w:val="24"/>
                <w:u w:val="single"/>
              </w:rPr>
              <w:t>4-10</w:t>
            </w:r>
            <w:r>
              <w:rPr>
                <w:rFonts w:ascii="宋体" w:hAnsi="宋体"/>
                <w:b/>
                <w:sz w:val="24"/>
                <w:szCs w:val="24"/>
                <w:u w:val="single"/>
              </w:rPr>
              <w:t xml:space="preserve">  危险废物暂存场所（设施）基本情况一览表</w:t>
            </w:r>
          </w:p>
          <w:tbl>
            <w:tblPr>
              <w:tblStyle w:val="23"/>
              <w:tblW w:w="82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25"/>
              <w:gridCol w:w="792"/>
              <w:gridCol w:w="1429"/>
              <w:gridCol w:w="792"/>
              <w:gridCol w:w="792"/>
              <w:gridCol w:w="950"/>
              <w:gridCol w:w="1100"/>
            </w:tblGrid>
            <w:tr w14:paraId="5D405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7" w:type="pct"/>
                  <w:tcBorders>
                    <w:tl2br w:val="nil"/>
                    <w:tr2bl w:val="nil"/>
                  </w:tcBorders>
                  <w:vAlign w:val="center"/>
                </w:tcPr>
                <w:p w14:paraId="12B8F86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场所名称</w:t>
                  </w:r>
                </w:p>
              </w:tc>
              <w:tc>
                <w:tcPr>
                  <w:tcW w:w="866" w:type="pct"/>
                  <w:tcBorders>
                    <w:tl2br w:val="nil"/>
                    <w:tr2bl w:val="nil"/>
                  </w:tcBorders>
                  <w:vAlign w:val="center"/>
                </w:tcPr>
                <w:p w14:paraId="52ADCA8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危废名称</w:t>
                  </w:r>
                </w:p>
              </w:tc>
              <w:tc>
                <w:tcPr>
                  <w:tcW w:w="481" w:type="pct"/>
                  <w:tcBorders>
                    <w:tl2br w:val="nil"/>
                    <w:tr2bl w:val="nil"/>
                  </w:tcBorders>
                  <w:vAlign w:val="center"/>
                </w:tcPr>
                <w:p w14:paraId="0083AF4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危废</w:t>
                  </w:r>
                </w:p>
                <w:p w14:paraId="4A49642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类别</w:t>
                  </w:r>
                </w:p>
              </w:tc>
              <w:tc>
                <w:tcPr>
                  <w:tcW w:w="868" w:type="pct"/>
                  <w:tcBorders>
                    <w:tl2br w:val="nil"/>
                    <w:tr2bl w:val="nil"/>
                  </w:tcBorders>
                  <w:vAlign w:val="center"/>
                </w:tcPr>
                <w:p w14:paraId="04443F1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危废代码</w:t>
                  </w:r>
                </w:p>
              </w:tc>
              <w:tc>
                <w:tcPr>
                  <w:tcW w:w="481" w:type="pct"/>
                  <w:tcBorders>
                    <w:tl2br w:val="nil"/>
                    <w:tr2bl w:val="nil"/>
                  </w:tcBorders>
                  <w:vAlign w:val="center"/>
                </w:tcPr>
                <w:p w14:paraId="5F66A07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占地</w:t>
                  </w:r>
                </w:p>
                <w:p w14:paraId="4BAC33B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面积</w:t>
                  </w:r>
                </w:p>
              </w:tc>
              <w:tc>
                <w:tcPr>
                  <w:tcW w:w="481" w:type="pct"/>
                  <w:tcBorders>
                    <w:tl2br w:val="nil"/>
                    <w:tr2bl w:val="nil"/>
                  </w:tcBorders>
                  <w:vAlign w:val="center"/>
                </w:tcPr>
                <w:p w14:paraId="239EE12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暂存</w:t>
                  </w:r>
                </w:p>
                <w:p w14:paraId="2DBF546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方式</w:t>
                  </w:r>
                </w:p>
              </w:tc>
              <w:tc>
                <w:tcPr>
                  <w:tcW w:w="577" w:type="pct"/>
                  <w:tcBorders>
                    <w:tl2br w:val="nil"/>
                    <w:tr2bl w:val="nil"/>
                  </w:tcBorders>
                  <w:vAlign w:val="center"/>
                </w:tcPr>
                <w:p w14:paraId="2EFCB00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暂存</w:t>
                  </w:r>
                </w:p>
                <w:p w14:paraId="3A085E1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能力</w:t>
                  </w:r>
                </w:p>
              </w:tc>
              <w:tc>
                <w:tcPr>
                  <w:tcW w:w="668" w:type="pct"/>
                  <w:tcBorders>
                    <w:tl2br w:val="nil"/>
                    <w:tr2bl w:val="nil"/>
                  </w:tcBorders>
                  <w:vAlign w:val="center"/>
                </w:tcPr>
                <w:p w14:paraId="2299A49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暂存</w:t>
                  </w:r>
                </w:p>
                <w:p w14:paraId="224A82D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周期</w:t>
                  </w:r>
                </w:p>
              </w:tc>
            </w:tr>
            <w:tr w14:paraId="4825A6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77" w:type="pct"/>
                  <w:vMerge w:val="restart"/>
                  <w:tcBorders>
                    <w:tl2br w:val="nil"/>
                    <w:tr2bl w:val="nil"/>
                  </w:tcBorders>
                  <w:vAlign w:val="center"/>
                </w:tcPr>
                <w:p w14:paraId="56D8238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危险废物暂存间</w:t>
                  </w:r>
                </w:p>
              </w:tc>
              <w:tc>
                <w:tcPr>
                  <w:tcW w:w="866" w:type="pct"/>
                  <w:tcBorders>
                    <w:tl2br w:val="nil"/>
                    <w:tr2bl w:val="nil"/>
                  </w:tcBorders>
                  <w:vAlign w:val="center"/>
                </w:tcPr>
                <w:p w14:paraId="1E93760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废机油</w:t>
                  </w:r>
                </w:p>
              </w:tc>
              <w:tc>
                <w:tcPr>
                  <w:tcW w:w="481" w:type="pct"/>
                  <w:tcBorders>
                    <w:tl2br w:val="nil"/>
                    <w:tr2bl w:val="nil"/>
                  </w:tcBorders>
                  <w:vAlign w:val="center"/>
                </w:tcPr>
                <w:p w14:paraId="41EAC50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HW08</w:t>
                  </w:r>
                </w:p>
              </w:tc>
              <w:tc>
                <w:tcPr>
                  <w:tcW w:w="868" w:type="pct"/>
                  <w:tcBorders>
                    <w:tl2br w:val="nil"/>
                    <w:tr2bl w:val="nil"/>
                  </w:tcBorders>
                  <w:vAlign w:val="center"/>
                </w:tcPr>
                <w:p w14:paraId="424CF67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900-214-08</w:t>
                  </w:r>
                </w:p>
              </w:tc>
              <w:tc>
                <w:tcPr>
                  <w:tcW w:w="481" w:type="pct"/>
                  <w:vMerge w:val="restart"/>
                  <w:tcBorders>
                    <w:tl2br w:val="nil"/>
                    <w:tr2bl w:val="nil"/>
                  </w:tcBorders>
                  <w:vAlign w:val="center"/>
                </w:tcPr>
                <w:p w14:paraId="78CB8B87">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6</w:t>
                  </w:r>
                  <w:r>
                    <w:rPr>
                      <w:rFonts w:asciiTheme="minorEastAsia" w:hAnsiTheme="minorEastAsia" w:eastAsiaTheme="minorEastAsia"/>
                      <w:szCs w:val="21"/>
                      <w:u w:val="single"/>
                    </w:rPr>
                    <w:t>m</w:t>
                  </w:r>
                  <w:r>
                    <w:rPr>
                      <w:rFonts w:asciiTheme="minorEastAsia" w:hAnsiTheme="minorEastAsia" w:eastAsiaTheme="minorEastAsia"/>
                      <w:szCs w:val="21"/>
                      <w:u w:val="single"/>
                      <w:vertAlign w:val="superscript"/>
                    </w:rPr>
                    <w:t>2</w:t>
                  </w:r>
                </w:p>
              </w:tc>
              <w:tc>
                <w:tcPr>
                  <w:tcW w:w="481" w:type="pct"/>
                  <w:vMerge w:val="restart"/>
                  <w:tcBorders>
                    <w:tl2br w:val="nil"/>
                    <w:tr2bl w:val="nil"/>
                  </w:tcBorders>
                  <w:vAlign w:val="center"/>
                </w:tcPr>
                <w:p w14:paraId="5D3BDB3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封闭式</w:t>
                  </w:r>
                </w:p>
              </w:tc>
              <w:tc>
                <w:tcPr>
                  <w:tcW w:w="577" w:type="pct"/>
                  <w:vMerge w:val="restart"/>
                  <w:tcBorders>
                    <w:tl2br w:val="nil"/>
                    <w:tr2bl w:val="nil"/>
                  </w:tcBorders>
                  <w:vAlign w:val="center"/>
                </w:tcPr>
                <w:p w14:paraId="3187CD12">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2</w:t>
                  </w:r>
                  <w:r>
                    <w:rPr>
                      <w:rFonts w:asciiTheme="minorEastAsia" w:hAnsiTheme="minorEastAsia" w:eastAsiaTheme="minorEastAsia"/>
                      <w:szCs w:val="21"/>
                      <w:u w:val="single"/>
                    </w:rPr>
                    <w:t>t</w:t>
                  </w:r>
                </w:p>
              </w:tc>
              <w:tc>
                <w:tcPr>
                  <w:tcW w:w="668" w:type="pct"/>
                  <w:vMerge w:val="restart"/>
                  <w:tcBorders>
                    <w:tl2br w:val="nil"/>
                    <w:tr2bl w:val="nil"/>
                  </w:tcBorders>
                  <w:vAlign w:val="center"/>
                </w:tcPr>
                <w:p w14:paraId="5221C6F7">
                  <w:pPr>
                    <w:adjustRightInd w:val="0"/>
                    <w:snapToGrid w:val="0"/>
                    <w:jc w:val="center"/>
                    <w:rPr>
                      <w:rFonts w:asciiTheme="minorEastAsia" w:hAnsiTheme="minorEastAsia" w:eastAsiaTheme="minorEastAsia"/>
                      <w:szCs w:val="21"/>
                      <w:u w:val="single"/>
                    </w:rPr>
                  </w:pPr>
                  <w:r>
                    <w:rPr>
                      <w:rFonts w:hint="eastAsia" w:asciiTheme="minorEastAsia" w:hAnsiTheme="minorEastAsia" w:eastAsiaTheme="minorEastAsia"/>
                      <w:szCs w:val="21"/>
                      <w:u w:val="single"/>
                    </w:rPr>
                    <w:t>＜3a</w:t>
                  </w:r>
                </w:p>
              </w:tc>
            </w:tr>
            <w:tr w14:paraId="55F77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577" w:type="pct"/>
                  <w:vMerge w:val="continue"/>
                  <w:tcBorders>
                    <w:tl2br w:val="nil"/>
                    <w:tr2bl w:val="nil"/>
                  </w:tcBorders>
                  <w:vAlign w:val="center"/>
                </w:tcPr>
                <w:p w14:paraId="7DF0C824">
                  <w:pPr>
                    <w:adjustRightInd w:val="0"/>
                    <w:snapToGrid w:val="0"/>
                    <w:ind w:firstLine="480"/>
                    <w:jc w:val="center"/>
                    <w:rPr>
                      <w:rFonts w:ascii="宋体" w:hAnsi="宋体"/>
                      <w:szCs w:val="21"/>
                      <w:u w:val="single"/>
                    </w:rPr>
                  </w:pPr>
                </w:p>
              </w:tc>
              <w:tc>
                <w:tcPr>
                  <w:tcW w:w="866" w:type="pct"/>
                  <w:tcBorders>
                    <w:tl2br w:val="nil"/>
                    <w:tr2bl w:val="nil"/>
                  </w:tcBorders>
                  <w:vAlign w:val="center"/>
                </w:tcPr>
                <w:p w14:paraId="5BF0860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废油桶</w:t>
                  </w:r>
                </w:p>
              </w:tc>
              <w:tc>
                <w:tcPr>
                  <w:tcW w:w="481" w:type="pct"/>
                  <w:tcBorders>
                    <w:tl2br w:val="nil"/>
                    <w:tr2bl w:val="nil"/>
                  </w:tcBorders>
                  <w:vAlign w:val="center"/>
                </w:tcPr>
                <w:p w14:paraId="57C0B344">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HW08</w:t>
                  </w:r>
                </w:p>
              </w:tc>
              <w:tc>
                <w:tcPr>
                  <w:tcW w:w="868" w:type="pct"/>
                  <w:tcBorders>
                    <w:tl2br w:val="nil"/>
                    <w:tr2bl w:val="nil"/>
                  </w:tcBorders>
                  <w:vAlign w:val="center"/>
                </w:tcPr>
                <w:p w14:paraId="60EDEB5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900-249-08</w:t>
                  </w:r>
                </w:p>
              </w:tc>
              <w:tc>
                <w:tcPr>
                  <w:tcW w:w="481" w:type="pct"/>
                  <w:vMerge w:val="continue"/>
                  <w:tcBorders>
                    <w:tl2br w:val="nil"/>
                    <w:tr2bl w:val="nil"/>
                  </w:tcBorders>
                  <w:vAlign w:val="center"/>
                </w:tcPr>
                <w:p w14:paraId="1B2B1917">
                  <w:pPr>
                    <w:adjustRightInd w:val="0"/>
                    <w:snapToGrid w:val="0"/>
                    <w:ind w:firstLine="480"/>
                    <w:jc w:val="center"/>
                    <w:rPr>
                      <w:rFonts w:ascii="宋体" w:hAnsi="宋体"/>
                      <w:szCs w:val="21"/>
                      <w:u w:val="single"/>
                    </w:rPr>
                  </w:pPr>
                </w:p>
              </w:tc>
              <w:tc>
                <w:tcPr>
                  <w:tcW w:w="481" w:type="pct"/>
                  <w:vMerge w:val="continue"/>
                  <w:tcBorders>
                    <w:tl2br w:val="nil"/>
                    <w:tr2bl w:val="nil"/>
                  </w:tcBorders>
                  <w:vAlign w:val="center"/>
                </w:tcPr>
                <w:p w14:paraId="039F7E49">
                  <w:pPr>
                    <w:adjustRightInd w:val="0"/>
                    <w:snapToGrid w:val="0"/>
                    <w:ind w:firstLine="480"/>
                    <w:jc w:val="center"/>
                    <w:rPr>
                      <w:rFonts w:ascii="宋体" w:hAnsi="宋体"/>
                      <w:szCs w:val="21"/>
                      <w:u w:val="single"/>
                    </w:rPr>
                  </w:pPr>
                </w:p>
              </w:tc>
              <w:tc>
                <w:tcPr>
                  <w:tcW w:w="577" w:type="pct"/>
                  <w:vMerge w:val="continue"/>
                  <w:tcBorders>
                    <w:tl2br w:val="nil"/>
                    <w:tr2bl w:val="nil"/>
                  </w:tcBorders>
                  <w:vAlign w:val="center"/>
                </w:tcPr>
                <w:p w14:paraId="5BF23C99">
                  <w:pPr>
                    <w:adjustRightInd w:val="0"/>
                    <w:snapToGrid w:val="0"/>
                    <w:ind w:firstLine="480"/>
                    <w:jc w:val="center"/>
                    <w:rPr>
                      <w:rFonts w:ascii="宋体" w:hAnsi="宋体"/>
                      <w:szCs w:val="21"/>
                      <w:u w:val="single"/>
                    </w:rPr>
                  </w:pPr>
                </w:p>
              </w:tc>
              <w:tc>
                <w:tcPr>
                  <w:tcW w:w="668" w:type="pct"/>
                  <w:vMerge w:val="continue"/>
                  <w:tcBorders>
                    <w:tl2br w:val="nil"/>
                    <w:tr2bl w:val="nil"/>
                  </w:tcBorders>
                  <w:vAlign w:val="center"/>
                </w:tcPr>
                <w:p w14:paraId="0541F6AD">
                  <w:pPr>
                    <w:adjustRightInd w:val="0"/>
                    <w:snapToGrid w:val="0"/>
                    <w:ind w:firstLine="480"/>
                    <w:jc w:val="center"/>
                    <w:rPr>
                      <w:rFonts w:ascii="宋体" w:hAnsi="宋体"/>
                      <w:szCs w:val="21"/>
                      <w:u w:val="single"/>
                    </w:rPr>
                  </w:pPr>
                </w:p>
              </w:tc>
            </w:tr>
            <w:tr w14:paraId="0C5785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577" w:type="pct"/>
                  <w:vMerge w:val="continue"/>
                  <w:tcBorders>
                    <w:tl2br w:val="nil"/>
                    <w:tr2bl w:val="nil"/>
                  </w:tcBorders>
                  <w:vAlign w:val="center"/>
                </w:tcPr>
                <w:p w14:paraId="11D4BF71">
                  <w:pPr>
                    <w:adjustRightInd w:val="0"/>
                    <w:snapToGrid w:val="0"/>
                    <w:ind w:firstLine="480"/>
                    <w:jc w:val="center"/>
                    <w:rPr>
                      <w:rFonts w:ascii="宋体" w:hAnsi="宋体"/>
                      <w:szCs w:val="21"/>
                      <w:u w:val="single"/>
                    </w:rPr>
                  </w:pPr>
                </w:p>
              </w:tc>
              <w:tc>
                <w:tcPr>
                  <w:tcW w:w="866" w:type="pct"/>
                  <w:tcBorders>
                    <w:tl2br w:val="nil"/>
                    <w:tr2bl w:val="nil"/>
                  </w:tcBorders>
                  <w:vAlign w:val="center"/>
                </w:tcPr>
                <w:p w14:paraId="6CF6AE8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废含油抹布</w:t>
                  </w:r>
                </w:p>
              </w:tc>
              <w:tc>
                <w:tcPr>
                  <w:tcW w:w="481" w:type="pct"/>
                  <w:tcBorders>
                    <w:tl2br w:val="nil"/>
                    <w:tr2bl w:val="nil"/>
                  </w:tcBorders>
                  <w:vAlign w:val="center"/>
                </w:tcPr>
                <w:p w14:paraId="7C16A5C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HW49</w:t>
                  </w:r>
                </w:p>
              </w:tc>
              <w:tc>
                <w:tcPr>
                  <w:tcW w:w="868" w:type="pct"/>
                  <w:tcBorders>
                    <w:tl2br w:val="nil"/>
                    <w:tr2bl w:val="nil"/>
                  </w:tcBorders>
                  <w:vAlign w:val="center"/>
                </w:tcPr>
                <w:p w14:paraId="4FF260A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900-041-49</w:t>
                  </w:r>
                </w:p>
              </w:tc>
              <w:tc>
                <w:tcPr>
                  <w:tcW w:w="481" w:type="pct"/>
                  <w:vMerge w:val="continue"/>
                  <w:tcBorders>
                    <w:tl2br w:val="nil"/>
                    <w:tr2bl w:val="nil"/>
                  </w:tcBorders>
                  <w:vAlign w:val="center"/>
                </w:tcPr>
                <w:p w14:paraId="5A61EC76">
                  <w:pPr>
                    <w:adjustRightInd w:val="0"/>
                    <w:snapToGrid w:val="0"/>
                    <w:ind w:firstLine="480"/>
                    <w:jc w:val="center"/>
                    <w:rPr>
                      <w:rFonts w:ascii="宋体" w:hAnsi="宋体"/>
                      <w:szCs w:val="21"/>
                      <w:u w:val="single"/>
                    </w:rPr>
                  </w:pPr>
                </w:p>
              </w:tc>
              <w:tc>
                <w:tcPr>
                  <w:tcW w:w="481" w:type="pct"/>
                  <w:vMerge w:val="continue"/>
                  <w:tcBorders>
                    <w:tl2br w:val="nil"/>
                    <w:tr2bl w:val="nil"/>
                  </w:tcBorders>
                  <w:vAlign w:val="center"/>
                </w:tcPr>
                <w:p w14:paraId="401BAF75">
                  <w:pPr>
                    <w:adjustRightInd w:val="0"/>
                    <w:snapToGrid w:val="0"/>
                    <w:ind w:firstLine="480"/>
                    <w:jc w:val="center"/>
                    <w:rPr>
                      <w:rFonts w:ascii="宋体" w:hAnsi="宋体"/>
                      <w:szCs w:val="21"/>
                      <w:u w:val="single"/>
                    </w:rPr>
                  </w:pPr>
                </w:p>
              </w:tc>
              <w:tc>
                <w:tcPr>
                  <w:tcW w:w="577" w:type="pct"/>
                  <w:vMerge w:val="continue"/>
                  <w:tcBorders>
                    <w:tl2br w:val="nil"/>
                    <w:tr2bl w:val="nil"/>
                  </w:tcBorders>
                  <w:vAlign w:val="center"/>
                </w:tcPr>
                <w:p w14:paraId="054DB48C">
                  <w:pPr>
                    <w:adjustRightInd w:val="0"/>
                    <w:snapToGrid w:val="0"/>
                    <w:ind w:firstLine="480"/>
                    <w:jc w:val="center"/>
                    <w:rPr>
                      <w:rFonts w:ascii="宋体" w:hAnsi="宋体"/>
                      <w:szCs w:val="21"/>
                      <w:u w:val="single"/>
                    </w:rPr>
                  </w:pPr>
                </w:p>
              </w:tc>
              <w:tc>
                <w:tcPr>
                  <w:tcW w:w="668" w:type="pct"/>
                  <w:vMerge w:val="continue"/>
                  <w:tcBorders>
                    <w:tl2br w:val="nil"/>
                    <w:tr2bl w:val="nil"/>
                  </w:tcBorders>
                  <w:vAlign w:val="center"/>
                </w:tcPr>
                <w:p w14:paraId="5386D1AF">
                  <w:pPr>
                    <w:adjustRightInd w:val="0"/>
                    <w:snapToGrid w:val="0"/>
                    <w:ind w:firstLine="480"/>
                    <w:jc w:val="center"/>
                    <w:rPr>
                      <w:rFonts w:ascii="宋体" w:hAnsi="宋体"/>
                      <w:szCs w:val="21"/>
                      <w:u w:val="single"/>
                    </w:rPr>
                  </w:pPr>
                </w:p>
              </w:tc>
            </w:tr>
          </w:tbl>
          <w:p w14:paraId="734CF92F">
            <w:pPr>
              <w:spacing w:line="360" w:lineRule="auto"/>
              <w:ind w:firstLine="480" w:firstLineChars="200"/>
              <w:jc w:val="left"/>
              <w:rPr>
                <w:rFonts w:ascii="宋体" w:hAnsi="宋体"/>
                <w:sz w:val="24"/>
                <w:szCs w:val="24"/>
                <w:u w:val="single"/>
              </w:rPr>
            </w:pPr>
            <w:r>
              <w:rPr>
                <w:rFonts w:ascii="宋体" w:hAnsi="宋体"/>
                <w:sz w:val="24"/>
                <w:szCs w:val="24"/>
                <w:u w:val="single"/>
              </w:rPr>
              <w:t>（3）运输过程影响分析</w:t>
            </w:r>
          </w:p>
          <w:p w14:paraId="5926B140">
            <w:pPr>
              <w:spacing w:line="360" w:lineRule="auto"/>
              <w:ind w:firstLine="480" w:firstLineChars="200"/>
              <w:jc w:val="left"/>
              <w:rPr>
                <w:rFonts w:ascii="宋体" w:hAnsi="宋体"/>
                <w:sz w:val="24"/>
                <w:szCs w:val="24"/>
                <w:u w:val="single"/>
              </w:rPr>
            </w:pPr>
            <w:r>
              <w:rPr>
                <w:rFonts w:ascii="宋体" w:hAnsi="宋体"/>
                <w:sz w:val="24"/>
                <w:szCs w:val="24"/>
                <w:u w:val="single"/>
              </w:rPr>
              <w:t>项目所设置危险废物暂存间用于危险废物分类收集包装、临时过渡，然后委托有资质单位处理处置。</w:t>
            </w:r>
          </w:p>
          <w:p w14:paraId="495B0DCF">
            <w:pPr>
              <w:spacing w:line="360" w:lineRule="auto"/>
              <w:ind w:firstLine="480" w:firstLineChars="200"/>
              <w:jc w:val="left"/>
              <w:rPr>
                <w:rFonts w:ascii="宋体" w:hAnsi="宋体"/>
                <w:sz w:val="24"/>
                <w:szCs w:val="24"/>
                <w:u w:val="single"/>
              </w:rPr>
            </w:pPr>
            <w:r>
              <w:rPr>
                <w:rFonts w:hint="eastAsia" w:ascii="宋体" w:hAnsi="宋体"/>
                <w:sz w:val="24"/>
                <w:szCs w:val="24"/>
                <w:u w:val="single"/>
              </w:rPr>
              <w:t>①</w:t>
            </w:r>
            <w:r>
              <w:rPr>
                <w:rFonts w:ascii="宋体" w:hAnsi="宋体"/>
                <w:sz w:val="24"/>
                <w:szCs w:val="24"/>
                <w:u w:val="single"/>
              </w:rPr>
              <w:t>危险废物的储运均应根据《危险废物贮存污染控制标准》（GB18597-2023）的要求进行贮存和运输，并委托有运输资质的车队负责运输，采用专用密闭车辆，保证运输过程无泄漏。原则上危险废物运输不采取水上运输，采用汽车运输须不上高速公路、避开人口密集、交通拥挤地段，车速适中，做到运输车辆配备与废物特征、数量相符，确保运输过程的可靠和安全性。</w:t>
            </w:r>
          </w:p>
          <w:p w14:paraId="019D5050">
            <w:pPr>
              <w:spacing w:line="360" w:lineRule="auto"/>
              <w:ind w:firstLine="480" w:firstLineChars="200"/>
              <w:jc w:val="left"/>
              <w:rPr>
                <w:rFonts w:ascii="宋体" w:hAnsi="宋体"/>
                <w:sz w:val="24"/>
                <w:szCs w:val="24"/>
                <w:u w:val="single"/>
              </w:rPr>
            </w:pPr>
            <w:r>
              <w:rPr>
                <w:rFonts w:hint="eastAsia" w:ascii="宋体" w:hAnsi="宋体"/>
                <w:sz w:val="24"/>
                <w:szCs w:val="24"/>
                <w:u w:val="single"/>
              </w:rPr>
              <w:t>②</w:t>
            </w:r>
            <w:r>
              <w:rPr>
                <w:rFonts w:ascii="宋体" w:hAnsi="宋体"/>
                <w:sz w:val="24"/>
                <w:szCs w:val="24"/>
                <w:u w:val="single"/>
              </w:rPr>
              <w:t>在危险废物运输过程应根据危险废物的成分，用符合国家标准的耐腐蚀、不易破损、变形和老化的容器贮存，并在运输过程中加强监管，避免固体废物散落、泄漏情况的发生。</w:t>
            </w:r>
          </w:p>
          <w:p w14:paraId="09156209">
            <w:pPr>
              <w:spacing w:line="360" w:lineRule="auto"/>
              <w:ind w:firstLine="480" w:firstLineChars="200"/>
              <w:jc w:val="left"/>
              <w:rPr>
                <w:rFonts w:ascii="宋体" w:hAnsi="宋体"/>
                <w:sz w:val="24"/>
                <w:szCs w:val="24"/>
                <w:u w:val="single"/>
              </w:rPr>
            </w:pPr>
            <w:r>
              <w:rPr>
                <w:rFonts w:hint="eastAsia" w:ascii="宋体" w:hAnsi="宋体"/>
                <w:sz w:val="24"/>
                <w:szCs w:val="24"/>
                <w:u w:val="single"/>
              </w:rPr>
              <w:t>③</w:t>
            </w:r>
            <w:r>
              <w:rPr>
                <w:rFonts w:ascii="宋体" w:hAnsi="宋体"/>
                <w:sz w:val="24"/>
                <w:szCs w:val="24"/>
                <w:u w:val="single"/>
              </w:rPr>
              <w:t>根据《危险废物转移管理办法》及其他有关规定的要求，对危险废物从产生起直至最终处置的每个环节实行申报、登记、监督跟踪管理，禁止在转移过程中将危险废物排放至环境中。</w:t>
            </w:r>
          </w:p>
          <w:p w14:paraId="31774FF7">
            <w:pPr>
              <w:spacing w:line="360" w:lineRule="auto"/>
              <w:ind w:firstLine="480" w:firstLineChars="200"/>
              <w:jc w:val="left"/>
              <w:rPr>
                <w:rFonts w:ascii="宋体" w:hAnsi="宋体"/>
                <w:sz w:val="24"/>
                <w:szCs w:val="24"/>
                <w:u w:val="single"/>
              </w:rPr>
            </w:pPr>
            <w:r>
              <w:rPr>
                <w:rFonts w:ascii="宋体" w:hAnsi="宋体"/>
                <w:sz w:val="24"/>
                <w:szCs w:val="24"/>
                <w:u w:val="single"/>
              </w:rPr>
              <w:t>（4）委托处理处置的环境影响分析</w:t>
            </w:r>
          </w:p>
          <w:p w14:paraId="557C3F96">
            <w:pPr>
              <w:spacing w:line="360" w:lineRule="auto"/>
              <w:ind w:firstLine="480" w:firstLineChars="200"/>
              <w:jc w:val="left"/>
              <w:rPr>
                <w:rFonts w:ascii="宋体" w:hAnsi="宋体"/>
                <w:sz w:val="24"/>
                <w:szCs w:val="24"/>
                <w:u w:val="single"/>
              </w:rPr>
            </w:pPr>
            <w:r>
              <w:rPr>
                <w:rFonts w:ascii="宋体" w:hAnsi="宋体"/>
                <w:sz w:val="24"/>
                <w:szCs w:val="24"/>
                <w:u w:val="single"/>
              </w:rPr>
              <w:t>危险废物均须由具有危险固废处理资质的单位处理，并报当地环保部门备案，落实追踪制度，严防二次污染，杜绝随意交易。</w:t>
            </w:r>
          </w:p>
          <w:p w14:paraId="6D91461F">
            <w:pPr>
              <w:spacing w:line="360" w:lineRule="auto"/>
              <w:ind w:firstLine="480" w:firstLineChars="200"/>
              <w:jc w:val="left"/>
              <w:rPr>
                <w:rFonts w:ascii="宋体" w:hAnsi="宋体"/>
                <w:sz w:val="24"/>
                <w:szCs w:val="24"/>
                <w:u w:val="single"/>
              </w:rPr>
            </w:pPr>
            <w:r>
              <w:rPr>
                <w:rFonts w:ascii="宋体" w:hAnsi="宋体"/>
                <w:sz w:val="24"/>
                <w:szCs w:val="24"/>
                <w:u w:val="single"/>
              </w:rPr>
              <w:t>针对本项目特点，在对危险废物厂内收集、暂存、转运、处置等都将进行全过程控制，不落地直接回用，防止发生泄漏事故，造成不利的环境影响。</w:t>
            </w:r>
          </w:p>
          <w:p w14:paraId="23F7BDB9">
            <w:pPr>
              <w:spacing w:line="360" w:lineRule="auto"/>
              <w:ind w:firstLine="480" w:firstLineChars="200"/>
              <w:jc w:val="left"/>
              <w:rPr>
                <w:rFonts w:asciiTheme="minorEastAsia" w:hAnsiTheme="minorEastAsia" w:eastAsiaTheme="minorEastAsia"/>
                <w:sz w:val="24"/>
                <w:szCs w:val="24"/>
                <w:u w:val="single"/>
              </w:rPr>
            </w:pPr>
            <w:r>
              <w:rPr>
                <w:rFonts w:ascii="宋体" w:hAnsi="宋体"/>
                <w:sz w:val="24"/>
                <w:szCs w:val="24"/>
                <w:u w:val="single"/>
              </w:rPr>
              <w:t>综上，在加强环境管理，并在落实好各项污染防治措施和固体废物安全处置的前提下，本项目所产生的固体废物对周围环境影响较小，不造成二次污染。</w:t>
            </w:r>
          </w:p>
          <w:p w14:paraId="185282A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五、地下水、土壤影响分析</w:t>
            </w:r>
          </w:p>
          <w:p w14:paraId="01455CA5">
            <w:pPr>
              <w:spacing w:line="360" w:lineRule="auto"/>
              <w:ind w:firstLine="480" w:firstLineChars="200"/>
              <w:jc w:val="left"/>
              <w:rPr>
                <w:rFonts w:ascii="宋体" w:hAnsi="宋体"/>
                <w:sz w:val="24"/>
                <w:szCs w:val="24"/>
              </w:rPr>
            </w:pPr>
            <w:r>
              <w:rPr>
                <w:rFonts w:ascii="宋体" w:hAnsi="宋体"/>
                <w:sz w:val="24"/>
                <w:szCs w:val="24"/>
              </w:rPr>
              <w:t>拟建</w:t>
            </w:r>
            <w:r>
              <w:rPr>
                <w:rFonts w:hint="eastAsia" w:asciiTheme="minorEastAsia" w:hAnsiTheme="minorEastAsia" w:eastAsiaTheme="minorEastAsia"/>
                <w:sz w:val="24"/>
                <w:szCs w:val="24"/>
              </w:rPr>
              <w:t>项目</w:t>
            </w:r>
            <w:r>
              <w:rPr>
                <w:rFonts w:ascii="宋体" w:hAnsi="宋体"/>
                <w:sz w:val="24"/>
                <w:szCs w:val="24"/>
              </w:rPr>
              <w:t>在原辅材料的储存、生产和污染防治过程中，污染物有可能渗入地下，影响土壤和地下水环境。针对项目可能发生的土壤和地下水污染，拟建</w:t>
            </w:r>
            <w:r>
              <w:rPr>
                <w:rFonts w:hint="eastAsia" w:asciiTheme="minorEastAsia" w:hAnsiTheme="minorEastAsia" w:eastAsiaTheme="minorEastAsia"/>
                <w:sz w:val="24"/>
                <w:szCs w:val="24"/>
              </w:rPr>
              <w:t>项目</w:t>
            </w:r>
            <w:r>
              <w:rPr>
                <w:rFonts w:ascii="宋体" w:hAnsi="宋体"/>
                <w:sz w:val="24"/>
                <w:szCs w:val="24"/>
              </w:rPr>
              <w:t>土壤和地下水污染防治措施按照“源头控制、分区防治、污染监控、应急响应”相结合的原则，从污染物的产生、排放等环境提出措施。</w:t>
            </w:r>
          </w:p>
          <w:p w14:paraId="6154C753">
            <w:pPr>
              <w:spacing w:line="360" w:lineRule="auto"/>
              <w:ind w:firstLine="480" w:firstLineChars="200"/>
              <w:jc w:val="left"/>
              <w:rPr>
                <w:rFonts w:ascii="宋体" w:hAnsi="宋体"/>
                <w:sz w:val="24"/>
                <w:szCs w:val="24"/>
              </w:rPr>
            </w:pPr>
            <w:r>
              <w:rPr>
                <w:rFonts w:ascii="宋体" w:hAnsi="宋体"/>
                <w:sz w:val="24"/>
                <w:szCs w:val="24"/>
              </w:rPr>
              <w:t>1、源头控制措施</w:t>
            </w:r>
          </w:p>
          <w:p w14:paraId="52257568">
            <w:pPr>
              <w:spacing w:line="360" w:lineRule="auto"/>
              <w:ind w:firstLine="480" w:firstLineChars="200"/>
              <w:jc w:val="left"/>
              <w:rPr>
                <w:rFonts w:ascii="宋体" w:hAnsi="宋体"/>
                <w:sz w:val="24"/>
                <w:szCs w:val="24"/>
              </w:rPr>
            </w:pPr>
            <w:r>
              <w:rPr>
                <w:rFonts w:ascii="宋体" w:hAnsi="宋体"/>
                <w:sz w:val="24"/>
                <w:szCs w:val="24"/>
              </w:rPr>
              <w:t>拟建</w:t>
            </w:r>
            <w:r>
              <w:rPr>
                <w:rFonts w:hint="eastAsia" w:asciiTheme="minorEastAsia" w:hAnsiTheme="minorEastAsia" w:eastAsiaTheme="minorEastAsia"/>
                <w:sz w:val="24"/>
                <w:szCs w:val="24"/>
              </w:rPr>
              <w:t>项目</w:t>
            </w:r>
            <w:r>
              <w:rPr>
                <w:rFonts w:ascii="宋体" w:hAnsi="宋体"/>
                <w:sz w:val="24"/>
                <w:szCs w:val="24"/>
              </w:rPr>
              <w:t>将选择先进、成熟、可靠的工艺技术和清洁的原辅材料，并对产生的废物进行合理的综合利用和治理，从源头上减少污染物排放；严格按照国家相关规范要求，对管道、设备、污水储存及处理构筑物采取相应的措施，以防止对地下水环境的影响。</w:t>
            </w:r>
          </w:p>
          <w:p w14:paraId="7790026C">
            <w:pPr>
              <w:spacing w:line="360" w:lineRule="auto"/>
              <w:ind w:firstLine="480" w:firstLineChars="200"/>
              <w:jc w:val="left"/>
              <w:rPr>
                <w:rFonts w:ascii="宋体" w:hAnsi="宋体"/>
                <w:sz w:val="24"/>
                <w:szCs w:val="24"/>
              </w:rPr>
            </w:pPr>
            <w:r>
              <w:rPr>
                <w:rFonts w:ascii="宋体" w:hAnsi="宋体"/>
                <w:sz w:val="24"/>
                <w:szCs w:val="24"/>
              </w:rPr>
              <w:t>2、分区防治措施</w:t>
            </w:r>
          </w:p>
          <w:p w14:paraId="7FE063ED">
            <w:pPr>
              <w:spacing w:line="360" w:lineRule="auto"/>
              <w:ind w:firstLine="480" w:firstLineChars="200"/>
              <w:jc w:val="left"/>
              <w:rPr>
                <w:rFonts w:ascii="宋体" w:hAnsi="宋体"/>
                <w:sz w:val="24"/>
                <w:szCs w:val="24"/>
              </w:rPr>
            </w:pPr>
            <w:r>
              <w:rPr>
                <w:rFonts w:ascii="宋体" w:hAnsi="宋体"/>
                <w:sz w:val="24"/>
                <w:szCs w:val="24"/>
              </w:rPr>
              <w:t>（1）污染防治区划分</w:t>
            </w:r>
          </w:p>
          <w:p w14:paraId="04FEE945">
            <w:pPr>
              <w:spacing w:line="360" w:lineRule="auto"/>
              <w:ind w:firstLine="480" w:firstLineChars="200"/>
              <w:jc w:val="left"/>
              <w:rPr>
                <w:rFonts w:ascii="宋体" w:hAnsi="宋体"/>
                <w:sz w:val="24"/>
                <w:szCs w:val="24"/>
              </w:rPr>
            </w:pPr>
            <w:r>
              <w:rPr>
                <w:rFonts w:ascii="宋体" w:hAnsi="宋体"/>
                <w:sz w:val="24"/>
                <w:szCs w:val="24"/>
              </w:rPr>
              <w:t>根据项目各功能单元可能污染土壤和地下水的污染物性质和构筑方式，将项目划分为重点污染防治区、一般污染防治区、非污染区。</w:t>
            </w:r>
          </w:p>
          <w:p w14:paraId="5A4FDD18">
            <w:pPr>
              <w:spacing w:line="360" w:lineRule="auto"/>
              <w:ind w:firstLine="480" w:firstLineChars="200"/>
              <w:jc w:val="left"/>
              <w:rPr>
                <w:rFonts w:ascii="宋体" w:hAnsi="宋体"/>
                <w:sz w:val="24"/>
                <w:szCs w:val="24"/>
              </w:rPr>
            </w:pPr>
            <w:r>
              <w:rPr>
                <w:rFonts w:hint="eastAsia" w:ascii="宋体" w:hAnsi="宋体"/>
                <w:sz w:val="24"/>
                <w:szCs w:val="24"/>
              </w:rPr>
              <w:t>①</w:t>
            </w:r>
            <w:r>
              <w:rPr>
                <w:rFonts w:ascii="宋体" w:hAnsi="宋体"/>
                <w:sz w:val="24"/>
                <w:szCs w:val="24"/>
              </w:rPr>
              <w:t>重点污染防治区</w:t>
            </w:r>
          </w:p>
          <w:p w14:paraId="466053A0">
            <w:pPr>
              <w:spacing w:line="360" w:lineRule="auto"/>
              <w:ind w:firstLine="480" w:firstLineChars="200"/>
              <w:jc w:val="left"/>
              <w:rPr>
                <w:rFonts w:ascii="宋体" w:hAnsi="宋体"/>
                <w:sz w:val="24"/>
                <w:szCs w:val="24"/>
              </w:rPr>
            </w:pPr>
            <w:r>
              <w:rPr>
                <w:rFonts w:ascii="宋体" w:hAnsi="宋体"/>
                <w:sz w:val="24"/>
                <w:szCs w:val="24"/>
              </w:rPr>
              <w:t>危险废物暂存间</w:t>
            </w:r>
            <w:r>
              <w:rPr>
                <w:rFonts w:asciiTheme="minorEastAsia" w:hAnsiTheme="minorEastAsia" w:eastAsiaTheme="minorEastAsia"/>
                <w:sz w:val="24"/>
                <w:szCs w:val="24"/>
              </w:rPr>
              <w:t>、</w:t>
            </w:r>
            <w:r>
              <w:rPr>
                <w:rFonts w:hint="eastAsia" w:asciiTheme="minorEastAsia" w:hAnsiTheme="minorEastAsia" w:eastAsiaTheme="minorEastAsia"/>
                <w:sz w:val="24"/>
                <w:szCs w:val="24"/>
              </w:rPr>
              <w:t>防渗旱厕</w:t>
            </w:r>
            <w:r>
              <w:rPr>
                <w:rFonts w:asciiTheme="minorEastAsia" w:hAnsiTheme="minorEastAsia" w:eastAsiaTheme="minorEastAsia"/>
                <w:sz w:val="24"/>
                <w:szCs w:val="24"/>
              </w:rPr>
              <w:t>、沉淀池</w:t>
            </w:r>
            <w:r>
              <w:rPr>
                <w:rFonts w:ascii="宋体" w:hAnsi="宋体"/>
                <w:sz w:val="24"/>
                <w:szCs w:val="24"/>
              </w:rPr>
              <w:t>。</w:t>
            </w:r>
          </w:p>
          <w:p w14:paraId="420CC0A2">
            <w:pPr>
              <w:spacing w:line="360" w:lineRule="auto"/>
              <w:ind w:firstLine="480" w:firstLineChars="200"/>
              <w:jc w:val="left"/>
              <w:rPr>
                <w:rFonts w:ascii="宋体" w:hAnsi="宋体"/>
                <w:sz w:val="24"/>
                <w:szCs w:val="24"/>
              </w:rPr>
            </w:pPr>
            <w:r>
              <w:rPr>
                <w:rFonts w:hint="eastAsia" w:ascii="宋体" w:hAnsi="宋体"/>
                <w:sz w:val="24"/>
                <w:szCs w:val="24"/>
              </w:rPr>
              <w:t>②</w:t>
            </w:r>
            <w:r>
              <w:rPr>
                <w:rFonts w:ascii="宋体" w:hAnsi="宋体"/>
                <w:sz w:val="24"/>
                <w:szCs w:val="24"/>
              </w:rPr>
              <w:t>一般污染防治区</w:t>
            </w:r>
          </w:p>
          <w:p w14:paraId="219213A0">
            <w:pPr>
              <w:spacing w:line="360" w:lineRule="auto"/>
              <w:ind w:firstLine="480" w:firstLineChars="200"/>
              <w:jc w:val="left"/>
              <w:rPr>
                <w:rFonts w:ascii="宋体" w:hAnsi="宋体"/>
                <w:sz w:val="24"/>
                <w:szCs w:val="24"/>
              </w:rPr>
            </w:pPr>
            <w:r>
              <w:rPr>
                <w:rFonts w:asciiTheme="minorEastAsia" w:hAnsiTheme="minorEastAsia" w:eastAsiaTheme="minorEastAsia"/>
                <w:sz w:val="24"/>
                <w:szCs w:val="24"/>
              </w:rPr>
              <w:t>除</w:t>
            </w:r>
            <w:r>
              <w:rPr>
                <w:rFonts w:ascii="宋体" w:hAnsi="宋体"/>
                <w:sz w:val="24"/>
                <w:szCs w:val="24"/>
              </w:rPr>
              <w:t>危险废物暂存间</w:t>
            </w:r>
            <w:r>
              <w:rPr>
                <w:rFonts w:asciiTheme="minorEastAsia" w:hAnsiTheme="minorEastAsia" w:eastAsiaTheme="minorEastAsia"/>
                <w:sz w:val="24"/>
                <w:szCs w:val="24"/>
              </w:rPr>
              <w:t>、</w:t>
            </w:r>
            <w:r>
              <w:rPr>
                <w:rFonts w:hint="eastAsia" w:asciiTheme="minorEastAsia" w:hAnsiTheme="minorEastAsia" w:eastAsiaTheme="minorEastAsia"/>
                <w:sz w:val="24"/>
                <w:szCs w:val="24"/>
              </w:rPr>
              <w:t>防渗旱厕</w:t>
            </w:r>
            <w:r>
              <w:rPr>
                <w:rFonts w:asciiTheme="minorEastAsia" w:hAnsiTheme="minorEastAsia" w:eastAsiaTheme="minorEastAsia"/>
                <w:sz w:val="24"/>
                <w:szCs w:val="24"/>
              </w:rPr>
              <w:t>、沉淀池以外的其他建筑物</w:t>
            </w:r>
            <w:r>
              <w:rPr>
                <w:rFonts w:ascii="宋体" w:hAnsi="宋体"/>
                <w:sz w:val="24"/>
                <w:szCs w:val="24"/>
              </w:rPr>
              <w:t>。</w:t>
            </w:r>
          </w:p>
          <w:p w14:paraId="2F82843C">
            <w:pPr>
              <w:spacing w:line="360" w:lineRule="auto"/>
              <w:ind w:firstLine="480" w:firstLineChars="200"/>
              <w:jc w:val="left"/>
              <w:rPr>
                <w:rFonts w:ascii="宋体" w:hAnsi="宋体"/>
                <w:sz w:val="24"/>
                <w:szCs w:val="24"/>
              </w:rPr>
            </w:pPr>
            <w:r>
              <w:rPr>
                <w:rFonts w:hint="eastAsia" w:ascii="宋体" w:hAnsi="宋体"/>
                <w:sz w:val="24"/>
                <w:szCs w:val="24"/>
              </w:rPr>
              <w:t>③</w:t>
            </w:r>
            <w:r>
              <w:rPr>
                <w:rFonts w:ascii="宋体" w:hAnsi="宋体"/>
                <w:sz w:val="24"/>
                <w:szCs w:val="24"/>
              </w:rPr>
              <w:t>非污染区</w:t>
            </w:r>
          </w:p>
          <w:p w14:paraId="79E76D48">
            <w:pPr>
              <w:spacing w:line="360" w:lineRule="auto"/>
              <w:ind w:firstLine="480" w:firstLineChars="200"/>
              <w:jc w:val="left"/>
              <w:rPr>
                <w:rFonts w:ascii="宋体" w:hAnsi="宋体"/>
                <w:sz w:val="24"/>
                <w:szCs w:val="24"/>
              </w:rPr>
            </w:pPr>
            <w:r>
              <w:rPr>
                <w:rFonts w:ascii="宋体" w:hAnsi="宋体"/>
                <w:sz w:val="24"/>
                <w:szCs w:val="24"/>
              </w:rPr>
              <w:t>无。</w:t>
            </w:r>
          </w:p>
          <w:p w14:paraId="4A3AA972">
            <w:pPr>
              <w:spacing w:line="360" w:lineRule="auto"/>
              <w:ind w:firstLine="480" w:firstLineChars="200"/>
              <w:jc w:val="left"/>
              <w:rPr>
                <w:rFonts w:ascii="宋体" w:hAnsi="宋体"/>
                <w:sz w:val="24"/>
                <w:szCs w:val="24"/>
              </w:rPr>
            </w:pPr>
            <w:r>
              <w:rPr>
                <w:rFonts w:ascii="宋体" w:hAnsi="宋体"/>
                <w:sz w:val="24"/>
                <w:szCs w:val="24"/>
              </w:rPr>
              <w:t>厂区污染防治分区划分详见表</w:t>
            </w:r>
            <w:r>
              <w:rPr>
                <w:rFonts w:hint="eastAsia" w:asciiTheme="minorEastAsia" w:hAnsiTheme="minorEastAsia" w:eastAsiaTheme="minorEastAsia"/>
                <w:sz w:val="24"/>
                <w:szCs w:val="24"/>
              </w:rPr>
              <w:t>4-11</w:t>
            </w:r>
            <w:r>
              <w:rPr>
                <w:rFonts w:ascii="宋体" w:hAnsi="宋体"/>
                <w:sz w:val="24"/>
                <w:szCs w:val="24"/>
              </w:rPr>
              <w:t>。</w:t>
            </w:r>
          </w:p>
          <w:p w14:paraId="3524FD3F">
            <w:pPr>
              <w:spacing w:line="360" w:lineRule="auto"/>
              <w:ind w:firstLine="480" w:firstLineChars="200"/>
              <w:jc w:val="center"/>
              <w:rPr>
                <w:rFonts w:ascii="宋体" w:hAnsi="宋体"/>
                <w:b/>
                <w:sz w:val="24"/>
                <w:szCs w:val="24"/>
              </w:rPr>
            </w:pPr>
            <w:r>
              <w:rPr>
                <w:rFonts w:ascii="宋体" w:hAnsi="宋体"/>
                <w:b/>
                <w:sz w:val="24"/>
                <w:szCs w:val="24"/>
              </w:rPr>
              <w:t>表</w:t>
            </w:r>
            <w:r>
              <w:rPr>
                <w:rFonts w:hint="eastAsia" w:ascii="宋体" w:hAnsi="宋体"/>
                <w:b/>
                <w:sz w:val="24"/>
                <w:szCs w:val="24"/>
              </w:rPr>
              <w:t>4</w:t>
            </w:r>
            <w:r>
              <w:rPr>
                <w:rFonts w:hint="eastAsia" w:asciiTheme="minorEastAsia" w:hAnsiTheme="minorEastAsia" w:eastAsiaTheme="minorEastAsia"/>
                <w:b/>
                <w:sz w:val="24"/>
                <w:szCs w:val="24"/>
              </w:rPr>
              <w:t>-11</w:t>
            </w:r>
            <w:r>
              <w:rPr>
                <w:rFonts w:ascii="宋体" w:hAnsi="宋体"/>
                <w:b/>
                <w:sz w:val="24"/>
                <w:szCs w:val="24"/>
              </w:rPr>
              <w:t xml:space="preserve">  厂区污染防治分区划分表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30" w:type="dxa"/>
                <w:bottom w:w="0" w:type="dxa"/>
                <w:right w:w="30" w:type="dxa"/>
              </w:tblCellMar>
            </w:tblPr>
            <w:tblGrid>
              <w:gridCol w:w="566"/>
              <w:gridCol w:w="1843"/>
              <w:gridCol w:w="4111"/>
              <w:gridCol w:w="1981"/>
            </w:tblGrid>
            <w:tr w14:paraId="49068E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50" w:hRule="atLeast"/>
              </w:trPr>
              <w:tc>
                <w:tcPr>
                  <w:tcW w:w="333" w:type="pct"/>
                  <w:vAlign w:val="center"/>
                </w:tcPr>
                <w:p w14:paraId="60121D5D">
                  <w:pPr>
                    <w:adjustRightInd w:val="0"/>
                    <w:snapToGrid w:val="0"/>
                    <w:jc w:val="center"/>
                    <w:rPr>
                      <w:rFonts w:ascii="宋体" w:hAnsi="宋体"/>
                      <w:szCs w:val="21"/>
                    </w:rPr>
                  </w:pPr>
                  <w:r>
                    <w:rPr>
                      <w:rFonts w:ascii="宋体" w:hAnsi="宋体"/>
                      <w:szCs w:val="21"/>
                    </w:rPr>
                    <w:t>序号</w:t>
                  </w:r>
                </w:p>
              </w:tc>
              <w:tc>
                <w:tcPr>
                  <w:tcW w:w="1084" w:type="pct"/>
                  <w:vAlign w:val="center"/>
                </w:tcPr>
                <w:p w14:paraId="1370FB33">
                  <w:pPr>
                    <w:adjustRightInd w:val="0"/>
                    <w:snapToGrid w:val="0"/>
                    <w:jc w:val="center"/>
                    <w:rPr>
                      <w:rFonts w:ascii="宋体" w:hAnsi="宋体"/>
                      <w:szCs w:val="21"/>
                    </w:rPr>
                  </w:pPr>
                  <w:r>
                    <w:rPr>
                      <w:rFonts w:ascii="宋体" w:hAnsi="宋体"/>
                      <w:szCs w:val="21"/>
                    </w:rPr>
                    <w:t>防治区名称</w:t>
                  </w:r>
                </w:p>
              </w:tc>
              <w:tc>
                <w:tcPr>
                  <w:tcW w:w="2418" w:type="pct"/>
                  <w:vAlign w:val="center"/>
                </w:tcPr>
                <w:p w14:paraId="2DE40A7C">
                  <w:pPr>
                    <w:adjustRightInd w:val="0"/>
                    <w:snapToGrid w:val="0"/>
                    <w:jc w:val="center"/>
                    <w:rPr>
                      <w:rFonts w:ascii="宋体" w:hAnsi="宋体"/>
                      <w:szCs w:val="21"/>
                    </w:rPr>
                  </w:pPr>
                  <w:r>
                    <w:rPr>
                      <w:rFonts w:ascii="宋体" w:hAnsi="宋体"/>
                      <w:szCs w:val="21"/>
                    </w:rPr>
                    <w:t>专职及设施名称</w:t>
                  </w:r>
                </w:p>
              </w:tc>
              <w:tc>
                <w:tcPr>
                  <w:tcW w:w="1165" w:type="pct"/>
                  <w:vAlign w:val="center"/>
                </w:tcPr>
                <w:p w14:paraId="596B5C16">
                  <w:pPr>
                    <w:adjustRightInd w:val="0"/>
                    <w:snapToGrid w:val="0"/>
                    <w:jc w:val="center"/>
                    <w:rPr>
                      <w:rFonts w:ascii="宋体" w:hAnsi="宋体"/>
                      <w:szCs w:val="21"/>
                    </w:rPr>
                  </w:pPr>
                  <w:r>
                    <w:rPr>
                      <w:rFonts w:ascii="宋体" w:hAnsi="宋体"/>
                      <w:szCs w:val="21"/>
                    </w:rPr>
                    <w:t>防渗区域</w:t>
                  </w:r>
                </w:p>
              </w:tc>
            </w:tr>
            <w:tr w14:paraId="4F7AA3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5" w:hRule="atLeast"/>
              </w:trPr>
              <w:tc>
                <w:tcPr>
                  <w:tcW w:w="333" w:type="pct"/>
                  <w:vAlign w:val="center"/>
                </w:tcPr>
                <w:p w14:paraId="61782CD2">
                  <w:pPr>
                    <w:adjustRightInd w:val="0"/>
                    <w:snapToGrid w:val="0"/>
                    <w:jc w:val="center"/>
                    <w:rPr>
                      <w:rFonts w:ascii="宋体" w:hAnsi="宋体"/>
                      <w:szCs w:val="21"/>
                    </w:rPr>
                  </w:pPr>
                  <w:r>
                    <w:rPr>
                      <w:rFonts w:ascii="宋体" w:hAnsi="宋体"/>
                      <w:szCs w:val="21"/>
                    </w:rPr>
                    <w:t>1</w:t>
                  </w:r>
                </w:p>
              </w:tc>
              <w:tc>
                <w:tcPr>
                  <w:tcW w:w="1084" w:type="pct"/>
                  <w:vAlign w:val="center"/>
                </w:tcPr>
                <w:p w14:paraId="0BCD3EDD">
                  <w:pPr>
                    <w:adjustRightInd w:val="0"/>
                    <w:snapToGrid w:val="0"/>
                    <w:jc w:val="center"/>
                    <w:rPr>
                      <w:rFonts w:ascii="宋体" w:hAnsi="宋体"/>
                      <w:szCs w:val="21"/>
                    </w:rPr>
                  </w:pPr>
                  <w:r>
                    <w:rPr>
                      <w:rFonts w:ascii="宋体" w:hAnsi="宋体"/>
                      <w:szCs w:val="21"/>
                    </w:rPr>
                    <w:t>重点污染防治区</w:t>
                  </w:r>
                </w:p>
              </w:tc>
              <w:tc>
                <w:tcPr>
                  <w:tcW w:w="2418" w:type="pct"/>
                  <w:vAlign w:val="center"/>
                </w:tcPr>
                <w:p w14:paraId="6F1795A4">
                  <w:pPr>
                    <w:adjustRightInd w:val="0"/>
                    <w:snapToGrid w:val="0"/>
                    <w:jc w:val="center"/>
                    <w:rPr>
                      <w:rFonts w:ascii="宋体" w:hAnsi="宋体"/>
                      <w:szCs w:val="21"/>
                    </w:rPr>
                  </w:pPr>
                  <w:r>
                    <w:rPr>
                      <w:rFonts w:ascii="宋体" w:hAnsi="宋体"/>
                      <w:szCs w:val="21"/>
                    </w:rPr>
                    <w:t>危险废物暂存间、</w:t>
                  </w:r>
                  <w:r>
                    <w:rPr>
                      <w:rFonts w:hint="eastAsia" w:ascii="宋体" w:hAnsi="宋体"/>
                      <w:szCs w:val="21"/>
                    </w:rPr>
                    <w:t>防渗旱厕</w:t>
                  </w:r>
                  <w:r>
                    <w:rPr>
                      <w:rFonts w:ascii="宋体" w:hAnsi="宋体"/>
                      <w:szCs w:val="21"/>
                    </w:rPr>
                    <w:t>、沉淀池</w:t>
                  </w:r>
                </w:p>
              </w:tc>
              <w:tc>
                <w:tcPr>
                  <w:tcW w:w="1165" w:type="pct"/>
                  <w:vAlign w:val="center"/>
                </w:tcPr>
                <w:p w14:paraId="492D2A7B">
                  <w:pPr>
                    <w:adjustRightInd w:val="0"/>
                    <w:snapToGrid w:val="0"/>
                    <w:jc w:val="center"/>
                    <w:rPr>
                      <w:rFonts w:ascii="宋体" w:hAnsi="宋体"/>
                      <w:szCs w:val="21"/>
                    </w:rPr>
                  </w:pPr>
                  <w:r>
                    <w:rPr>
                      <w:rFonts w:ascii="宋体" w:hAnsi="宋体"/>
                      <w:szCs w:val="21"/>
                    </w:rPr>
                    <w:t>重点防渗</w:t>
                  </w:r>
                </w:p>
              </w:tc>
            </w:tr>
            <w:tr w14:paraId="44B46B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33" w:type="pct"/>
                  <w:vAlign w:val="center"/>
                </w:tcPr>
                <w:p w14:paraId="5A88B3A0">
                  <w:pPr>
                    <w:adjustRightInd w:val="0"/>
                    <w:snapToGrid w:val="0"/>
                    <w:jc w:val="center"/>
                    <w:rPr>
                      <w:rFonts w:ascii="宋体" w:hAnsi="宋体"/>
                      <w:szCs w:val="21"/>
                    </w:rPr>
                  </w:pPr>
                  <w:r>
                    <w:rPr>
                      <w:rFonts w:ascii="宋体" w:hAnsi="宋体"/>
                      <w:szCs w:val="21"/>
                    </w:rPr>
                    <w:t>2</w:t>
                  </w:r>
                </w:p>
              </w:tc>
              <w:tc>
                <w:tcPr>
                  <w:tcW w:w="1084" w:type="pct"/>
                  <w:vAlign w:val="center"/>
                </w:tcPr>
                <w:p w14:paraId="413DC82D">
                  <w:pPr>
                    <w:adjustRightInd w:val="0"/>
                    <w:snapToGrid w:val="0"/>
                    <w:jc w:val="center"/>
                    <w:rPr>
                      <w:rFonts w:ascii="宋体" w:hAnsi="宋体"/>
                      <w:szCs w:val="21"/>
                    </w:rPr>
                  </w:pPr>
                  <w:r>
                    <w:rPr>
                      <w:rFonts w:ascii="宋体" w:hAnsi="宋体"/>
                      <w:szCs w:val="21"/>
                    </w:rPr>
                    <w:t>一般污染防治区</w:t>
                  </w:r>
                </w:p>
              </w:tc>
              <w:tc>
                <w:tcPr>
                  <w:tcW w:w="2418" w:type="pct"/>
                  <w:vAlign w:val="center"/>
                </w:tcPr>
                <w:p w14:paraId="39A3AAB9">
                  <w:pPr>
                    <w:adjustRightInd w:val="0"/>
                    <w:snapToGrid w:val="0"/>
                    <w:jc w:val="center"/>
                    <w:rPr>
                      <w:rFonts w:ascii="宋体" w:hAnsi="宋体"/>
                      <w:szCs w:val="21"/>
                    </w:rPr>
                  </w:pPr>
                  <w:r>
                    <w:rPr>
                      <w:rFonts w:ascii="宋体" w:hAnsi="宋体"/>
                      <w:szCs w:val="21"/>
                    </w:rPr>
                    <w:t>除危险废物暂存间、</w:t>
                  </w:r>
                  <w:r>
                    <w:rPr>
                      <w:rFonts w:hint="eastAsia" w:ascii="宋体" w:hAnsi="宋体"/>
                      <w:szCs w:val="21"/>
                    </w:rPr>
                    <w:t>防渗旱厕</w:t>
                  </w:r>
                  <w:r>
                    <w:rPr>
                      <w:rFonts w:ascii="宋体" w:hAnsi="宋体"/>
                      <w:szCs w:val="21"/>
                    </w:rPr>
                    <w:t>、沉淀池</w:t>
                  </w:r>
                  <w:r>
                    <w:rPr>
                      <w:rFonts w:hint="eastAsia" w:ascii="宋体" w:hAnsi="宋体"/>
                      <w:szCs w:val="21"/>
                    </w:rPr>
                    <w:t>以外建筑物</w:t>
                  </w:r>
                </w:p>
              </w:tc>
              <w:tc>
                <w:tcPr>
                  <w:tcW w:w="1165" w:type="pct"/>
                  <w:vAlign w:val="center"/>
                </w:tcPr>
                <w:p w14:paraId="74D9253D">
                  <w:pPr>
                    <w:adjustRightInd w:val="0"/>
                    <w:snapToGrid w:val="0"/>
                    <w:jc w:val="center"/>
                    <w:rPr>
                      <w:rFonts w:ascii="宋体" w:hAnsi="宋体"/>
                      <w:szCs w:val="21"/>
                    </w:rPr>
                  </w:pPr>
                  <w:r>
                    <w:rPr>
                      <w:rFonts w:ascii="宋体" w:hAnsi="宋体"/>
                      <w:szCs w:val="21"/>
                    </w:rPr>
                    <w:t>一般防渗</w:t>
                  </w:r>
                </w:p>
              </w:tc>
            </w:tr>
            <w:tr w14:paraId="163A21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5" w:hRule="atLeast"/>
              </w:trPr>
              <w:tc>
                <w:tcPr>
                  <w:tcW w:w="333" w:type="pct"/>
                  <w:vAlign w:val="center"/>
                </w:tcPr>
                <w:p w14:paraId="1E5D71B9">
                  <w:pPr>
                    <w:adjustRightInd w:val="0"/>
                    <w:snapToGrid w:val="0"/>
                    <w:jc w:val="center"/>
                    <w:rPr>
                      <w:rFonts w:ascii="宋体" w:hAnsi="宋体"/>
                      <w:szCs w:val="21"/>
                    </w:rPr>
                  </w:pPr>
                  <w:r>
                    <w:rPr>
                      <w:rFonts w:ascii="宋体" w:hAnsi="宋体"/>
                      <w:szCs w:val="21"/>
                    </w:rPr>
                    <w:t>3</w:t>
                  </w:r>
                </w:p>
              </w:tc>
              <w:tc>
                <w:tcPr>
                  <w:tcW w:w="1084" w:type="pct"/>
                  <w:vAlign w:val="center"/>
                </w:tcPr>
                <w:p w14:paraId="58CEF44F">
                  <w:pPr>
                    <w:adjustRightInd w:val="0"/>
                    <w:snapToGrid w:val="0"/>
                    <w:jc w:val="center"/>
                    <w:rPr>
                      <w:rFonts w:ascii="宋体" w:hAnsi="宋体"/>
                      <w:szCs w:val="21"/>
                    </w:rPr>
                  </w:pPr>
                  <w:r>
                    <w:rPr>
                      <w:rFonts w:ascii="宋体" w:hAnsi="宋体"/>
                      <w:szCs w:val="21"/>
                    </w:rPr>
                    <w:t>非污染区</w:t>
                  </w:r>
                </w:p>
              </w:tc>
              <w:tc>
                <w:tcPr>
                  <w:tcW w:w="2418" w:type="pct"/>
                  <w:vAlign w:val="center"/>
                </w:tcPr>
                <w:p w14:paraId="5B3BBB23">
                  <w:pPr>
                    <w:adjustRightInd w:val="0"/>
                    <w:snapToGrid w:val="0"/>
                    <w:jc w:val="center"/>
                    <w:rPr>
                      <w:rFonts w:ascii="宋体" w:hAnsi="宋体"/>
                      <w:szCs w:val="21"/>
                    </w:rPr>
                  </w:pPr>
                  <w:r>
                    <w:rPr>
                      <w:rFonts w:ascii="宋体" w:hAnsi="宋体"/>
                      <w:szCs w:val="21"/>
                    </w:rPr>
                    <w:t>/</w:t>
                  </w:r>
                </w:p>
              </w:tc>
              <w:tc>
                <w:tcPr>
                  <w:tcW w:w="1165" w:type="pct"/>
                  <w:vAlign w:val="center"/>
                </w:tcPr>
                <w:p w14:paraId="03FEADDE">
                  <w:pPr>
                    <w:adjustRightInd w:val="0"/>
                    <w:snapToGrid w:val="0"/>
                    <w:jc w:val="center"/>
                    <w:rPr>
                      <w:rFonts w:ascii="宋体" w:hAnsi="宋体"/>
                      <w:szCs w:val="21"/>
                    </w:rPr>
                  </w:pPr>
                  <w:r>
                    <w:rPr>
                      <w:rFonts w:ascii="宋体" w:hAnsi="宋体"/>
                      <w:szCs w:val="21"/>
                    </w:rPr>
                    <w:t>/</w:t>
                  </w:r>
                </w:p>
              </w:tc>
            </w:tr>
          </w:tbl>
          <w:p w14:paraId="48988D0E">
            <w:pPr>
              <w:spacing w:line="360" w:lineRule="auto"/>
              <w:ind w:firstLine="480" w:firstLineChars="200"/>
              <w:jc w:val="left"/>
              <w:rPr>
                <w:rFonts w:ascii="宋体" w:hAnsi="宋体"/>
                <w:sz w:val="24"/>
                <w:szCs w:val="24"/>
              </w:rPr>
            </w:pPr>
            <w:r>
              <w:rPr>
                <w:rFonts w:ascii="宋体" w:hAnsi="宋体"/>
                <w:sz w:val="24"/>
                <w:szCs w:val="24"/>
              </w:rPr>
              <w:t>（2）分区防渗措施</w:t>
            </w:r>
          </w:p>
          <w:p w14:paraId="0FFA0875">
            <w:pPr>
              <w:spacing w:line="360" w:lineRule="auto"/>
              <w:ind w:firstLine="480" w:firstLineChars="200"/>
              <w:jc w:val="left"/>
              <w:rPr>
                <w:rFonts w:ascii="宋体" w:hAnsi="宋体"/>
                <w:sz w:val="24"/>
                <w:szCs w:val="24"/>
              </w:rPr>
            </w:pPr>
            <w:r>
              <w:rPr>
                <w:rFonts w:ascii="宋体" w:hAnsi="宋体"/>
                <w:sz w:val="24"/>
                <w:szCs w:val="24"/>
              </w:rPr>
              <w:t>根据防渗相关标准和规范，结合目前施工过程中的可操作性和技术水平，针对不同的防渗区域采用典型的防渗措施，在具体设计中应根据实际情况在满足防渗标准的前提下作必要的调整。</w:t>
            </w:r>
          </w:p>
          <w:p w14:paraId="1DCD4DB9">
            <w:pPr>
              <w:spacing w:line="360" w:lineRule="auto"/>
              <w:ind w:firstLine="480" w:firstLineChars="200"/>
              <w:jc w:val="left"/>
              <w:rPr>
                <w:rFonts w:ascii="宋体" w:hAnsi="宋体"/>
                <w:sz w:val="24"/>
                <w:szCs w:val="24"/>
              </w:rPr>
            </w:pPr>
            <w:r>
              <w:rPr>
                <w:rFonts w:hint="eastAsia" w:ascii="宋体" w:hAnsi="宋体"/>
                <w:sz w:val="24"/>
                <w:szCs w:val="24"/>
              </w:rPr>
              <w:t>①</w:t>
            </w:r>
            <w:r>
              <w:rPr>
                <w:rFonts w:ascii="宋体" w:hAnsi="宋体"/>
                <w:sz w:val="24"/>
                <w:szCs w:val="24"/>
              </w:rPr>
              <w:t>重点污染防治区</w:t>
            </w:r>
          </w:p>
          <w:p w14:paraId="6E42FC30">
            <w:pPr>
              <w:spacing w:line="360" w:lineRule="auto"/>
              <w:ind w:firstLine="480" w:firstLineChars="200"/>
              <w:jc w:val="left"/>
              <w:rPr>
                <w:rFonts w:ascii="宋体" w:hAnsi="宋体"/>
                <w:sz w:val="24"/>
                <w:szCs w:val="24"/>
              </w:rPr>
            </w:pPr>
            <w:r>
              <w:rPr>
                <w:rFonts w:ascii="宋体" w:hAnsi="宋体"/>
                <w:sz w:val="24"/>
                <w:szCs w:val="24"/>
              </w:rPr>
              <w:t>重点污染防治区防渗材料采用水泥基础防渗+2mm厚高密度聚乙烯（HDPE）材料防渗，并设置环氧地坪漆防腐，使之渗透系数≤10-10cm/s，墙壁防渗防腐裙脚高度约50cm。</w:t>
            </w:r>
          </w:p>
          <w:p w14:paraId="751767AB">
            <w:pPr>
              <w:spacing w:line="360" w:lineRule="auto"/>
              <w:ind w:firstLine="480" w:firstLineChars="200"/>
              <w:jc w:val="left"/>
              <w:rPr>
                <w:rFonts w:ascii="宋体" w:hAnsi="宋体"/>
                <w:sz w:val="24"/>
                <w:szCs w:val="24"/>
              </w:rPr>
            </w:pPr>
            <w:r>
              <w:rPr>
                <w:rFonts w:hint="eastAsia" w:ascii="宋体" w:hAnsi="宋体"/>
                <w:sz w:val="24"/>
                <w:szCs w:val="24"/>
              </w:rPr>
              <w:t>②</w:t>
            </w:r>
            <w:r>
              <w:rPr>
                <w:rFonts w:ascii="宋体" w:hAnsi="宋体"/>
                <w:sz w:val="24"/>
                <w:szCs w:val="24"/>
              </w:rPr>
              <w:t>一般污染防治区</w:t>
            </w:r>
          </w:p>
          <w:p w14:paraId="7FD120BA">
            <w:pPr>
              <w:spacing w:line="360" w:lineRule="auto"/>
              <w:ind w:firstLine="480" w:firstLineChars="200"/>
              <w:jc w:val="left"/>
              <w:rPr>
                <w:rFonts w:ascii="宋体" w:hAnsi="宋体"/>
                <w:sz w:val="24"/>
                <w:szCs w:val="24"/>
              </w:rPr>
            </w:pPr>
            <w:r>
              <w:rPr>
                <w:rFonts w:ascii="宋体" w:hAnsi="宋体"/>
                <w:sz w:val="24"/>
                <w:szCs w:val="24"/>
              </w:rPr>
              <w:t>一般污染防治区防渗层的防渗性能应等效于1.5m厚、渗透系数为1.0×10-7cm/s的黏土层的防渗性能。</w:t>
            </w:r>
          </w:p>
          <w:p w14:paraId="39E25F7E">
            <w:pPr>
              <w:spacing w:line="360" w:lineRule="auto"/>
              <w:ind w:firstLine="480" w:firstLineChars="200"/>
              <w:jc w:val="left"/>
              <w:rPr>
                <w:rFonts w:ascii="宋体" w:hAnsi="宋体"/>
                <w:sz w:val="24"/>
                <w:szCs w:val="24"/>
              </w:rPr>
            </w:pPr>
            <w:r>
              <w:rPr>
                <w:rFonts w:hint="eastAsia" w:ascii="宋体" w:hAnsi="宋体"/>
                <w:sz w:val="24"/>
                <w:szCs w:val="24"/>
              </w:rPr>
              <w:t>③</w:t>
            </w:r>
            <w:r>
              <w:rPr>
                <w:rFonts w:ascii="宋体" w:hAnsi="宋体"/>
                <w:sz w:val="24"/>
                <w:szCs w:val="24"/>
              </w:rPr>
              <w:t>非污染区</w:t>
            </w:r>
          </w:p>
          <w:p w14:paraId="7EEF38AA">
            <w:pPr>
              <w:spacing w:line="360" w:lineRule="auto"/>
              <w:ind w:firstLine="480" w:firstLineChars="200"/>
              <w:jc w:val="left"/>
              <w:rPr>
                <w:rFonts w:ascii="宋体" w:hAnsi="宋体"/>
                <w:sz w:val="24"/>
                <w:szCs w:val="24"/>
              </w:rPr>
            </w:pPr>
            <w:r>
              <w:rPr>
                <w:rFonts w:ascii="宋体" w:hAnsi="宋体"/>
                <w:sz w:val="24"/>
                <w:szCs w:val="24"/>
              </w:rPr>
              <w:t>无。</w:t>
            </w:r>
          </w:p>
          <w:p w14:paraId="0F7C651E">
            <w:pPr>
              <w:spacing w:line="360" w:lineRule="auto"/>
              <w:ind w:firstLine="480" w:firstLineChars="200"/>
              <w:jc w:val="left"/>
              <w:rPr>
                <w:rFonts w:ascii="宋体" w:hAnsi="宋体"/>
                <w:sz w:val="24"/>
                <w:szCs w:val="24"/>
              </w:rPr>
            </w:pPr>
            <w:r>
              <w:rPr>
                <w:rFonts w:hint="eastAsia" w:ascii="宋体" w:hAnsi="宋体"/>
                <w:sz w:val="24"/>
                <w:szCs w:val="24"/>
              </w:rPr>
              <w:t>④</w:t>
            </w:r>
            <w:r>
              <w:rPr>
                <w:rFonts w:ascii="宋体" w:hAnsi="宋体"/>
                <w:sz w:val="24"/>
                <w:szCs w:val="24"/>
              </w:rPr>
              <w:t>其他措施</w:t>
            </w:r>
          </w:p>
          <w:p w14:paraId="54732439">
            <w:pPr>
              <w:spacing w:line="360" w:lineRule="auto"/>
              <w:ind w:firstLine="480" w:firstLineChars="200"/>
              <w:jc w:val="left"/>
              <w:rPr>
                <w:rFonts w:asciiTheme="minorEastAsia" w:hAnsiTheme="minorEastAsia" w:eastAsiaTheme="minorEastAsia"/>
                <w:sz w:val="24"/>
                <w:szCs w:val="24"/>
              </w:rPr>
            </w:pPr>
            <w:r>
              <w:rPr>
                <w:rFonts w:ascii="宋体" w:hAnsi="宋体"/>
                <w:sz w:val="24"/>
                <w:szCs w:val="24"/>
              </w:rPr>
              <w:t>加强厂区管理，提高厂区人员土壤和地下水污染防治意识；建立健全完善的土壤和地下水污染防治响应机制。</w:t>
            </w:r>
          </w:p>
          <w:p w14:paraId="3EBA8C5B">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六</w:t>
            </w:r>
            <w:r>
              <w:rPr>
                <w:rFonts w:asciiTheme="minorEastAsia" w:hAnsiTheme="minorEastAsia" w:eastAsiaTheme="minorEastAsia"/>
                <w:sz w:val="24"/>
                <w:szCs w:val="24"/>
                <w:u w:val="single"/>
              </w:rPr>
              <w:t>、环境风险</w:t>
            </w:r>
          </w:p>
          <w:p w14:paraId="65CB4581">
            <w:pPr>
              <w:spacing w:line="360" w:lineRule="auto"/>
              <w:ind w:firstLine="480" w:firstLineChars="200"/>
              <w:jc w:val="left"/>
              <w:rPr>
                <w:rFonts w:ascii="宋体" w:hAnsi="宋体"/>
                <w:sz w:val="24"/>
                <w:u w:val="single"/>
              </w:rPr>
            </w:pPr>
            <w:r>
              <w:rPr>
                <w:rFonts w:hint="eastAsia" w:ascii="宋体" w:hAnsi="宋体"/>
                <w:sz w:val="24"/>
                <w:u w:val="single"/>
              </w:rPr>
              <w:t>环境风险评价的目的是分析和预测建设项目存在的潜在危险、有害因素，建设项目建设和运营期间可能发生的突发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315E0057">
            <w:pPr>
              <w:spacing w:line="360" w:lineRule="auto"/>
              <w:ind w:firstLine="480" w:firstLineChars="200"/>
              <w:rPr>
                <w:bCs/>
                <w:sz w:val="24"/>
                <w:u w:val="single"/>
              </w:rPr>
            </w:pPr>
            <w:r>
              <w:rPr>
                <w:rFonts w:hint="eastAsia"/>
                <w:bCs/>
                <w:sz w:val="24"/>
                <w:u w:val="single"/>
              </w:rPr>
              <w:t>（1）评价依据</w:t>
            </w:r>
          </w:p>
          <w:p w14:paraId="65A6CD46">
            <w:pPr>
              <w:spacing w:line="360" w:lineRule="auto"/>
              <w:ind w:firstLine="480" w:firstLineChars="200"/>
              <w:rPr>
                <w:bCs/>
                <w:sz w:val="24"/>
                <w:u w:val="single"/>
              </w:rPr>
            </w:pPr>
            <w:r>
              <w:rPr>
                <w:rFonts w:hint="eastAsia"/>
                <w:bCs/>
                <w:sz w:val="24"/>
                <w:u w:val="single"/>
              </w:rPr>
              <w:t>根据《建设项目环境风险评价技术导则》(HJ169-2018)，本项目风险物质为</w:t>
            </w:r>
            <w:r>
              <w:rPr>
                <w:rFonts w:ascii="宋体" w:hAnsi="宋体"/>
                <w:sz w:val="24"/>
                <w:szCs w:val="24"/>
                <w:u w:val="single"/>
              </w:rPr>
              <w:t>废机油、废油桶、废含油抹布（由于本项目所在地距离乡镇较近，交通便利，故不储存原料机油等，原料机油在有需要更换时由指定单位携带进行上门更换，本环评不将其纳入本次风险评价范围内）</w:t>
            </w:r>
            <w:r>
              <w:rPr>
                <w:rFonts w:hint="eastAsia"/>
                <w:bCs/>
                <w:sz w:val="24"/>
                <w:u w:val="single"/>
              </w:rPr>
              <w:t>。</w:t>
            </w:r>
          </w:p>
          <w:p w14:paraId="564B8F22">
            <w:pPr>
              <w:spacing w:line="360" w:lineRule="auto"/>
              <w:ind w:firstLine="480" w:firstLineChars="200"/>
              <w:rPr>
                <w:bCs/>
                <w:sz w:val="24"/>
                <w:u w:val="single"/>
              </w:rPr>
            </w:pPr>
            <w:r>
              <w:rPr>
                <w:rFonts w:hint="eastAsia"/>
                <w:bCs/>
                <w:sz w:val="24"/>
                <w:u w:val="single"/>
              </w:rPr>
              <w:t>根据《建设项目环境风险评价技术导则》(HJ169-2018)，计算涉及的每种危险物质在厂界内最大存在量与其附录B中对应的临界量的比值(Q)。当只涉及一种危险物质时，计算该物质的总量与其临界量比值，即为Q；</w:t>
            </w:r>
          </w:p>
          <w:p w14:paraId="0B867B92">
            <w:pPr>
              <w:spacing w:line="360" w:lineRule="auto"/>
              <w:ind w:firstLine="480" w:firstLineChars="200"/>
              <w:rPr>
                <w:bCs/>
                <w:sz w:val="24"/>
                <w:u w:val="single"/>
              </w:rPr>
            </w:pPr>
            <w:r>
              <w:rPr>
                <w:rFonts w:hint="eastAsia"/>
                <w:bCs/>
                <w:sz w:val="24"/>
                <w:u w:val="single"/>
              </w:rPr>
              <w:t>当企业存在多种危险物质时，则按式(C.1)计算物质总量与其临界量比值（Q）：</w:t>
            </w:r>
          </w:p>
          <w:p w14:paraId="1D20236F">
            <w:pPr>
              <w:adjustRightInd w:val="0"/>
              <w:snapToGrid w:val="0"/>
              <w:spacing w:line="360" w:lineRule="auto"/>
              <w:ind w:firstLine="480"/>
              <w:jc w:val="center"/>
              <w:rPr>
                <w:szCs w:val="21"/>
                <w:u w:val="single"/>
              </w:rPr>
            </w:pPr>
            <w:r>
              <w:rPr>
                <w:szCs w:val="21"/>
                <w:u w:val="single"/>
              </w:rPr>
              <w:drawing>
                <wp:anchor distT="0" distB="0" distL="114300" distR="114300" simplePos="0" relativeHeight="251662336" behindDoc="1" locked="0" layoutInCell="1" allowOverlap="1">
                  <wp:simplePos x="0" y="0"/>
                  <wp:positionH relativeFrom="column">
                    <wp:posOffset>307975</wp:posOffset>
                  </wp:positionH>
                  <wp:positionV relativeFrom="paragraph">
                    <wp:align>inside</wp:align>
                  </wp:positionV>
                  <wp:extent cx="5153025" cy="1866900"/>
                  <wp:effectExtent l="19050" t="0" r="9525" b="0"/>
                  <wp:wrapTight wrapText="bothSides">
                    <wp:wrapPolygon>
                      <wp:start x="-80" y="0"/>
                      <wp:lineTo x="-80" y="21380"/>
                      <wp:lineTo x="21640" y="21380"/>
                      <wp:lineTo x="21640" y="0"/>
                      <wp:lineTo x="-80" y="0"/>
                    </wp:wrapPolygon>
                  </wp:wrapTight>
                  <wp:docPr id="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pic:cNvPicPr>
                            <a:picLocks noChangeAspect="1" noChangeArrowheads="1"/>
                          </pic:cNvPicPr>
                        </pic:nvPicPr>
                        <pic:blipFill>
                          <a:blip r:embed="rId22" cstate="print"/>
                          <a:srcRect/>
                          <a:stretch>
                            <a:fillRect/>
                          </a:stretch>
                        </pic:blipFill>
                        <pic:spPr>
                          <a:xfrm>
                            <a:off x="0" y="0"/>
                            <a:ext cx="5153025" cy="1866900"/>
                          </a:xfrm>
                          <a:prstGeom prst="rect">
                            <a:avLst/>
                          </a:prstGeom>
                          <a:noFill/>
                          <a:ln w="9525">
                            <a:noFill/>
                            <a:miter lim="800000"/>
                            <a:headEnd/>
                            <a:tailEnd/>
                          </a:ln>
                        </pic:spPr>
                      </pic:pic>
                    </a:graphicData>
                  </a:graphic>
                </wp:anchor>
              </w:drawing>
            </w:r>
            <w:r>
              <w:rPr>
                <w:rFonts w:hint="eastAsia"/>
                <w:szCs w:val="21"/>
                <w:u w:val="single"/>
              </w:rPr>
              <w:t>表</w:t>
            </w:r>
          </w:p>
          <w:p w14:paraId="7737AA6B">
            <w:pPr>
              <w:adjustRightInd w:val="0"/>
              <w:snapToGrid w:val="0"/>
              <w:spacing w:line="360" w:lineRule="auto"/>
              <w:ind w:firstLine="480"/>
              <w:jc w:val="center"/>
              <w:rPr>
                <w:szCs w:val="21"/>
                <w:u w:val="single"/>
              </w:rPr>
            </w:pPr>
          </w:p>
          <w:p w14:paraId="19E1BBEA">
            <w:pPr>
              <w:adjustRightInd w:val="0"/>
              <w:snapToGrid w:val="0"/>
              <w:spacing w:line="360" w:lineRule="auto"/>
              <w:ind w:firstLine="480"/>
              <w:jc w:val="center"/>
              <w:rPr>
                <w:szCs w:val="21"/>
                <w:u w:val="single"/>
              </w:rPr>
            </w:pPr>
          </w:p>
          <w:p w14:paraId="330F2F5B">
            <w:pPr>
              <w:adjustRightInd w:val="0"/>
              <w:snapToGrid w:val="0"/>
              <w:spacing w:line="360" w:lineRule="auto"/>
              <w:ind w:firstLine="480"/>
              <w:jc w:val="center"/>
              <w:rPr>
                <w:szCs w:val="21"/>
                <w:u w:val="single"/>
              </w:rPr>
            </w:pPr>
          </w:p>
          <w:p w14:paraId="121917B3">
            <w:pPr>
              <w:adjustRightInd w:val="0"/>
              <w:snapToGrid w:val="0"/>
              <w:spacing w:line="360" w:lineRule="auto"/>
              <w:ind w:firstLine="480"/>
              <w:jc w:val="center"/>
              <w:rPr>
                <w:szCs w:val="21"/>
                <w:u w:val="single"/>
              </w:rPr>
            </w:pPr>
          </w:p>
          <w:p w14:paraId="5E385860">
            <w:pPr>
              <w:adjustRightInd w:val="0"/>
              <w:snapToGrid w:val="0"/>
              <w:spacing w:line="360" w:lineRule="auto"/>
              <w:ind w:firstLine="480"/>
              <w:jc w:val="center"/>
              <w:rPr>
                <w:szCs w:val="21"/>
                <w:u w:val="single"/>
              </w:rPr>
            </w:pPr>
          </w:p>
          <w:p w14:paraId="7759BE40">
            <w:pPr>
              <w:adjustRightInd w:val="0"/>
              <w:snapToGrid w:val="0"/>
              <w:spacing w:line="360" w:lineRule="auto"/>
              <w:ind w:firstLine="480"/>
              <w:jc w:val="center"/>
              <w:rPr>
                <w:szCs w:val="21"/>
                <w:u w:val="single"/>
              </w:rPr>
            </w:pPr>
          </w:p>
          <w:p w14:paraId="1D07D8A8">
            <w:pPr>
              <w:adjustRightInd w:val="0"/>
              <w:snapToGrid w:val="0"/>
              <w:spacing w:line="360" w:lineRule="auto"/>
              <w:ind w:firstLine="480"/>
              <w:jc w:val="center"/>
              <w:rPr>
                <w:szCs w:val="21"/>
                <w:u w:val="single"/>
              </w:rPr>
            </w:pPr>
          </w:p>
          <w:p w14:paraId="263B449D">
            <w:pPr>
              <w:adjustRightInd w:val="0"/>
              <w:snapToGrid w:val="0"/>
              <w:spacing w:line="360" w:lineRule="auto"/>
              <w:ind w:firstLine="482"/>
              <w:jc w:val="center"/>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表4-12  项目Q值确定</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35"/>
              <w:gridCol w:w="1746"/>
              <w:gridCol w:w="2410"/>
              <w:gridCol w:w="1559"/>
              <w:gridCol w:w="850"/>
              <w:gridCol w:w="1062"/>
            </w:tblGrid>
            <w:tr w14:paraId="6E98D41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44" w:hRule="atLeast"/>
                <w:jc w:val="center"/>
              </w:trPr>
              <w:tc>
                <w:tcPr>
                  <w:tcW w:w="735" w:type="dxa"/>
                </w:tcPr>
                <w:p w14:paraId="0EE24233">
                  <w:pPr>
                    <w:jc w:val="center"/>
                    <w:rPr>
                      <w:rFonts w:ascii="宋体" w:hAnsi="宋体"/>
                      <w:iCs/>
                      <w:szCs w:val="21"/>
                      <w:u w:val="single"/>
                    </w:rPr>
                  </w:pPr>
                  <w:r>
                    <w:rPr>
                      <w:rFonts w:hint="eastAsia" w:ascii="宋体" w:hAnsi="宋体"/>
                      <w:iCs/>
                      <w:szCs w:val="21"/>
                      <w:u w:val="single"/>
                    </w:rPr>
                    <w:t>序号</w:t>
                  </w:r>
                </w:p>
              </w:tc>
              <w:tc>
                <w:tcPr>
                  <w:tcW w:w="1746" w:type="dxa"/>
                </w:tcPr>
                <w:p w14:paraId="6849EED3">
                  <w:pPr>
                    <w:jc w:val="center"/>
                    <w:rPr>
                      <w:rFonts w:ascii="宋体" w:hAnsi="宋体"/>
                      <w:iCs/>
                      <w:szCs w:val="21"/>
                      <w:u w:val="single"/>
                    </w:rPr>
                  </w:pPr>
                  <w:r>
                    <w:rPr>
                      <w:rFonts w:hint="eastAsia" w:ascii="宋体" w:hAnsi="宋体"/>
                      <w:iCs/>
                      <w:szCs w:val="21"/>
                      <w:u w:val="single"/>
                    </w:rPr>
                    <w:t>位置</w:t>
                  </w:r>
                </w:p>
              </w:tc>
              <w:tc>
                <w:tcPr>
                  <w:tcW w:w="2410" w:type="dxa"/>
                </w:tcPr>
                <w:p w14:paraId="0578B552">
                  <w:pPr>
                    <w:jc w:val="center"/>
                    <w:rPr>
                      <w:rFonts w:ascii="宋体" w:hAnsi="宋体"/>
                      <w:iCs/>
                      <w:szCs w:val="21"/>
                      <w:u w:val="single"/>
                    </w:rPr>
                  </w:pPr>
                  <w:r>
                    <w:rPr>
                      <w:rFonts w:hint="eastAsia" w:ascii="宋体" w:hAnsi="宋体"/>
                      <w:iCs/>
                      <w:szCs w:val="21"/>
                      <w:u w:val="single"/>
                    </w:rPr>
                    <w:t>危险物质名称</w:t>
                  </w:r>
                </w:p>
              </w:tc>
              <w:tc>
                <w:tcPr>
                  <w:tcW w:w="1559" w:type="dxa"/>
                </w:tcPr>
                <w:p w14:paraId="73EFF508">
                  <w:pPr>
                    <w:jc w:val="center"/>
                    <w:rPr>
                      <w:rFonts w:ascii="宋体" w:hAnsi="宋体"/>
                      <w:iCs/>
                      <w:szCs w:val="21"/>
                      <w:u w:val="single"/>
                    </w:rPr>
                  </w:pPr>
                  <w:r>
                    <w:rPr>
                      <w:rFonts w:hint="eastAsia" w:ascii="宋体" w:hAnsi="宋体"/>
                      <w:iCs/>
                      <w:szCs w:val="21"/>
                      <w:u w:val="single"/>
                    </w:rPr>
                    <w:t>最大存在总量</w:t>
                  </w:r>
                </w:p>
              </w:tc>
              <w:tc>
                <w:tcPr>
                  <w:tcW w:w="850" w:type="dxa"/>
                </w:tcPr>
                <w:p w14:paraId="18CD595C">
                  <w:pPr>
                    <w:jc w:val="center"/>
                    <w:rPr>
                      <w:rFonts w:ascii="宋体" w:hAnsi="宋体"/>
                      <w:iCs/>
                      <w:szCs w:val="21"/>
                      <w:u w:val="single"/>
                    </w:rPr>
                  </w:pPr>
                  <w:r>
                    <w:rPr>
                      <w:rFonts w:hint="eastAsia" w:ascii="宋体" w:hAnsi="宋体"/>
                      <w:iCs/>
                      <w:szCs w:val="21"/>
                      <w:u w:val="single"/>
                    </w:rPr>
                    <w:t>临界量</w:t>
                  </w:r>
                </w:p>
              </w:tc>
              <w:tc>
                <w:tcPr>
                  <w:tcW w:w="1062" w:type="dxa"/>
                </w:tcPr>
                <w:p w14:paraId="074A2A28">
                  <w:pPr>
                    <w:jc w:val="center"/>
                    <w:rPr>
                      <w:rFonts w:ascii="宋体" w:hAnsi="宋体"/>
                      <w:iCs/>
                      <w:szCs w:val="21"/>
                      <w:u w:val="single"/>
                    </w:rPr>
                  </w:pPr>
                  <w:r>
                    <w:rPr>
                      <w:rFonts w:hint="eastAsia" w:ascii="宋体" w:hAnsi="宋体"/>
                      <w:iCs/>
                      <w:szCs w:val="21"/>
                      <w:u w:val="single"/>
                    </w:rPr>
                    <w:t>Q值</w:t>
                  </w:r>
                </w:p>
              </w:tc>
            </w:tr>
            <w:tr w14:paraId="2EBEFB3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25" w:hRule="atLeast"/>
                <w:jc w:val="center"/>
              </w:trPr>
              <w:tc>
                <w:tcPr>
                  <w:tcW w:w="735" w:type="dxa"/>
                </w:tcPr>
                <w:p w14:paraId="03898312">
                  <w:pPr>
                    <w:jc w:val="center"/>
                    <w:rPr>
                      <w:rFonts w:ascii="宋体" w:hAnsi="宋体"/>
                      <w:iCs/>
                      <w:szCs w:val="21"/>
                      <w:u w:val="single"/>
                    </w:rPr>
                  </w:pPr>
                  <w:r>
                    <w:rPr>
                      <w:rFonts w:hint="eastAsia" w:ascii="宋体" w:hAnsi="宋体"/>
                      <w:iCs/>
                      <w:szCs w:val="21"/>
                      <w:u w:val="single"/>
                    </w:rPr>
                    <w:t>1</w:t>
                  </w:r>
                </w:p>
              </w:tc>
              <w:tc>
                <w:tcPr>
                  <w:tcW w:w="1746" w:type="dxa"/>
                </w:tcPr>
                <w:p w14:paraId="19FF8083">
                  <w:pPr>
                    <w:jc w:val="center"/>
                    <w:rPr>
                      <w:rFonts w:ascii="宋体" w:hAnsi="宋体"/>
                      <w:iCs/>
                      <w:szCs w:val="21"/>
                      <w:u w:val="single"/>
                    </w:rPr>
                  </w:pPr>
                  <w:r>
                    <w:rPr>
                      <w:rFonts w:hint="eastAsia" w:ascii="宋体" w:hAnsi="宋体"/>
                      <w:iCs/>
                      <w:szCs w:val="21"/>
                      <w:u w:val="single"/>
                    </w:rPr>
                    <w:t>危险废物储存间</w:t>
                  </w:r>
                </w:p>
              </w:tc>
              <w:tc>
                <w:tcPr>
                  <w:tcW w:w="2410" w:type="dxa"/>
                </w:tcPr>
                <w:p w14:paraId="255843A4">
                  <w:pPr>
                    <w:jc w:val="center"/>
                    <w:rPr>
                      <w:rFonts w:ascii="宋体" w:hAnsi="宋体"/>
                      <w:iCs/>
                      <w:szCs w:val="21"/>
                      <w:u w:val="single"/>
                    </w:rPr>
                  </w:pPr>
                  <w:r>
                    <w:rPr>
                      <w:rFonts w:hint="eastAsia" w:ascii="宋体" w:hAnsi="宋体"/>
                      <w:iCs/>
                      <w:szCs w:val="21"/>
                      <w:u w:val="single"/>
                    </w:rPr>
                    <w:t>废机油、废油桶、废含油抹布</w:t>
                  </w:r>
                </w:p>
              </w:tc>
              <w:tc>
                <w:tcPr>
                  <w:tcW w:w="1559" w:type="dxa"/>
                </w:tcPr>
                <w:p w14:paraId="4B67965E">
                  <w:pPr>
                    <w:jc w:val="center"/>
                    <w:rPr>
                      <w:rFonts w:ascii="宋体" w:hAnsi="宋体"/>
                      <w:iCs/>
                      <w:szCs w:val="21"/>
                      <w:u w:val="single"/>
                    </w:rPr>
                  </w:pPr>
                  <w:r>
                    <w:rPr>
                      <w:rFonts w:hint="eastAsia" w:ascii="宋体" w:hAnsi="宋体"/>
                      <w:iCs/>
                      <w:szCs w:val="21"/>
                      <w:u w:val="single"/>
                    </w:rPr>
                    <w:t>0.12</w:t>
                  </w:r>
                </w:p>
              </w:tc>
              <w:tc>
                <w:tcPr>
                  <w:tcW w:w="850" w:type="dxa"/>
                </w:tcPr>
                <w:p w14:paraId="74D26412">
                  <w:pPr>
                    <w:jc w:val="center"/>
                    <w:rPr>
                      <w:rFonts w:ascii="宋体" w:hAnsi="宋体"/>
                      <w:iCs/>
                      <w:szCs w:val="21"/>
                      <w:u w:val="single"/>
                    </w:rPr>
                  </w:pPr>
                  <w:r>
                    <w:rPr>
                      <w:rFonts w:hint="eastAsia" w:ascii="宋体" w:hAnsi="宋体"/>
                      <w:iCs/>
                      <w:szCs w:val="21"/>
                      <w:u w:val="single"/>
                    </w:rPr>
                    <w:t>2500</w:t>
                  </w:r>
                </w:p>
              </w:tc>
              <w:tc>
                <w:tcPr>
                  <w:tcW w:w="1062" w:type="dxa"/>
                </w:tcPr>
                <w:p w14:paraId="11BD4624">
                  <w:pPr>
                    <w:jc w:val="center"/>
                    <w:rPr>
                      <w:rFonts w:ascii="宋体" w:hAnsi="宋体"/>
                      <w:iCs/>
                      <w:szCs w:val="21"/>
                      <w:u w:val="single"/>
                    </w:rPr>
                  </w:pPr>
                  <w:r>
                    <w:rPr>
                      <w:rFonts w:hint="eastAsia" w:ascii="宋体" w:hAnsi="宋体"/>
                      <w:iCs/>
                      <w:szCs w:val="21"/>
                      <w:u w:val="single"/>
                    </w:rPr>
                    <w:t>0.000048</w:t>
                  </w:r>
                </w:p>
              </w:tc>
            </w:tr>
            <w:tr w14:paraId="53CC363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20" w:hRule="atLeast"/>
                <w:jc w:val="center"/>
              </w:trPr>
              <w:tc>
                <w:tcPr>
                  <w:tcW w:w="735" w:type="dxa"/>
                </w:tcPr>
                <w:p w14:paraId="05771682">
                  <w:pPr>
                    <w:jc w:val="center"/>
                    <w:rPr>
                      <w:rFonts w:ascii="宋体" w:hAnsi="宋体"/>
                      <w:iCs/>
                      <w:szCs w:val="21"/>
                      <w:u w:val="single"/>
                    </w:rPr>
                  </w:pPr>
                  <w:r>
                    <w:rPr>
                      <w:rFonts w:hint="eastAsia" w:ascii="宋体" w:hAnsi="宋体"/>
                      <w:iCs/>
                      <w:szCs w:val="21"/>
                      <w:u w:val="single"/>
                    </w:rPr>
                    <w:t>合计</w:t>
                  </w:r>
                </w:p>
              </w:tc>
              <w:tc>
                <w:tcPr>
                  <w:tcW w:w="1746" w:type="dxa"/>
                </w:tcPr>
                <w:p w14:paraId="60443F48">
                  <w:pPr>
                    <w:jc w:val="center"/>
                    <w:rPr>
                      <w:rFonts w:ascii="宋体" w:hAnsi="宋体"/>
                      <w:iCs/>
                      <w:szCs w:val="21"/>
                      <w:u w:val="single"/>
                    </w:rPr>
                  </w:pPr>
                  <w:r>
                    <w:rPr>
                      <w:rFonts w:hint="eastAsia" w:ascii="宋体" w:hAnsi="宋体"/>
                      <w:iCs/>
                      <w:szCs w:val="21"/>
                      <w:u w:val="single"/>
                    </w:rPr>
                    <w:t>/</w:t>
                  </w:r>
                </w:p>
              </w:tc>
              <w:tc>
                <w:tcPr>
                  <w:tcW w:w="2410" w:type="dxa"/>
                </w:tcPr>
                <w:p w14:paraId="7524CD76">
                  <w:pPr>
                    <w:jc w:val="center"/>
                    <w:rPr>
                      <w:rFonts w:ascii="宋体" w:hAnsi="宋体"/>
                      <w:iCs/>
                      <w:szCs w:val="21"/>
                      <w:u w:val="single"/>
                    </w:rPr>
                  </w:pPr>
                  <w:r>
                    <w:rPr>
                      <w:rFonts w:hint="eastAsia" w:ascii="宋体" w:hAnsi="宋体"/>
                      <w:iCs/>
                      <w:szCs w:val="21"/>
                      <w:u w:val="single"/>
                    </w:rPr>
                    <w:t>/</w:t>
                  </w:r>
                </w:p>
              </w:tc>
              <w:tc>
                <w:tcPr>
                  <w:tcW w:w="1559" w:type="dxa"/>
                </w:tcPr>
                <w:p w14:paraId="4074FD1F">
                  <w:pPr>
                    <w:jc w:val="center"/>
                    <w:rPr>
                      <w:rFonts w:ascii="宋体" w:hAnsi="宋体"/>
                      <w:iCs/>
                      <w:szCs w:val="21"/>
                      <w:u w:val="single"/>
                    </w:rPr>
                  </w:pPr>
                  <w:r>
                    <w:rPr>
                      <w:rFonts w:hint="eastAsia" w:ascii="宋体" w:hAnsi="宋体"/>
                      <w:iCs/>
                      <w:szCs w:val="21"/>
                      <w:u w:val="single"/>
                    </w:rPr>
                    <w:t>/</w:t>
                  </w:r>
                </w:p>
              </w:tc>
              <w:tc>
                <w:tcPr>
                  <w:tcW w:w="850" w:type="dxa"/>
                </w:tcPr>
                <w:p w14:paraId="55848F9C">
                  <w:pPr>
                    <w:jc w:val="center"/>
                    <w:rPr>
                      <w:rFonts w:ascii="宋体" w:hAnsi="宋体"/>
                      <w:iCs/>
                      <w:szCs w:val="21"/>
                      <w:u w:val="single"/>
                    </w:rPr>
                  </w:pPr>
                  <w:r>
                    <w:rPr>
                      <w:rFonts w:hint="eastAsia" w:ascii="宋体" w:hAnsi="宋体"/>
                      <w:iCs/>
                      <w:szCs w:val="21"/>
                      <w:u w:val="single"/>
                    </w:rPr>
                    <w:t>/</w:t>
                  </w:r>
                </w:p>
              </w:tc>
              <w:tc>
                <w:tcPr>
                  <w:tcW w:w="1062" w:type="dxa"/>
                </w:tcPr>
                <w:p w14:paraId="6CB088B4">
                  <w:pPr>
                    <w:jc w:val="center"/>
                    <w:rPr>
                      <w:rFonts w:ascii="宋体" w:hAnsi="宋体"/>
                      <w:iCs/>
                      <w:szCs w:val="21"/>
                      <w:u w:val="single"/>
                    </w:rPr>
                  </w:pPr>
                  <w:r>
                    <w:rPr>
                      <w:rFonts w:hint="eastAsia" w:ascii="宋体" w:hAnsi="宋体"/>
                      <w:iCs/>
                      <w:szCs w:val="21"/>
                      <w:u w:val="single"/>
                    </w:rPr>
                    <w:t>0.000048</w:t>
                  </w:r>
                </w:p>
              </w:tc>
            </w:tr>
          </w:tbl>
          <w:p w14:paraId="67A4873E">
            <w:pPr>
              <w:spacing w:line="360" w:lineRule="auto"/>
              <w:ind w:firstLine="480" w:firstLineChars="200"/>
              <w:rPr>
                <w:bCs/>
                <w:sz w:val="24"/>
                <w:u w:val="single"/>
              </w:rPr>
            </w:pPr>
            <w:r>
              <w:rPr>
                <w:rFonts w:hint="eastAsia"/>
                <w:bCs/>
                <w:sz w:val="24"/>
                <w:u w:val="single"/>
              </w:rPr>
              <w:t>由上表可知，本项目Q=0.000048＜1，项目环境风险潜势为Ⅰ。根据《建设项目环境风险评价技术导则》（HJ169-2018）表1，本次评价环境风险评价等级为简单分析。</w:t>
            </w:r>
          </w:p>
          <w:p w14:paraId="066815C8">
            <w:pPr>
              <w:spacing w:line="360" w:lineRule="auto"/>
              <w:ind w:firstLine="480" w:firstLineChars="200"/>
              <w:rPr>
                <w:bCs/>
                <w:sz w:val="24"/>
                <w:u w:val="single"/>
              </w:rPr>
            </w:pPr>
            <w:r>
              <w:rPr>
                <w:rFonts w:hint="eastAsia"/>
                <w:bCs/>
                <w:sz w:val="24"/>
                <w:u w:val="single"/>
              </w:rPr>
              <w:t>（2）环境敏感目标</w:t>
            </w:r>
          </w:p>
          <w:p w14:paraId="0C0E1CB2">
            <w:pPr>
              <w:spacing w:line="360" w:lineRule="auto"/>
              <w:ind w:firstLine="480" w:firstLineChars="200"/>
              <w:rPr>
                <w:bCs/>
                <w:sz w:val="24"/>
                <w:u w:val="single"/>
              </w:rPr>
            </w:pPr>
            <w:r>
              <w:rPr>
                <w:rFonts w:hint="eastAsia"/>
                <w:bCs/>
                <w:sz w:val="24"/>
                <w:u w:val="single"/>
              </w:rPr>
              <w:t>本项目位于</w:t>
            </w:r>
            <w:r>
              <w:rPr>
                <w:rFonts w:hint="eastAsia" w:asciiTheme="minorEastAsia" w:hAnsiTheme="minorEastAsia" w:eastAsiaTheme="minorEastAsia"/>
                <w:sz w:val="24"/>
                <w:szCs w:val="24"/>
                <w:u w:val="single"/>
              </w:rPr>
              <w:t>白山市浑江区胜利煤业厂区内</w:t>
            </w:r>
            <w:r>
              <w:rPr>
                <w:rFonts w:hint="eastAsia"/>
                <w:bCs/>
                <w:sz w:val="24"/>
                <w:u w:val="single"/>
              </w:rPr>
              <w:t>，距离本项目最近敏感点为西侧75m处后山村村民。</w:t>
            </w:r>
          </w:p>
          <w:p w14:paraId="3A3983F1">
            <w:pPr>
              <w:spacing w:line="360" w:lineRule="auto"/>
              <w:ind w:firstLine="480" w:firstLineChars="200"/>
              <w:rPr>
                <w:bCs/>
                <w:sz w:val="24"/>
                <w:u w:val="single"/>
              </w:rPr>
            </w:pPr>
            <w:r>
              <w:rPr>
                <w:rFonts w:hint="eastAsia"/>
                <w:bCs/>
                <w:sz w:val="24"/>
                <w:u w:val="single"/>
              </w:rPr>
              <w:t>（3）环境风险识别</w:t>
            </w:r>
          </w:p>
          <w:p w14:paraId="464FC04D">
            <w:pPr>
              <w:spacing w:line="360" w:lineRule="auto"/>
              <w:ind w:firstLine="480" w:firstLineChars="200"/>
              <w:rPr>
                <w:bCs/>
                <w:sz w:val="24"/>
                <w:u w:val="single"/>
              </w:rPr>
            </w:pPr>
            <w:r>
              <w:rPr>
                <w:rFonts w:hint="eastAsia"/>
                <w:bCs/>
                <w:sz w:val="24"/>
                <w:u w:val="single"/>
              </w:rPr>
              <w:t>①物质危险性识别</w:t>
            </w:r>
          </w:p>
          <w:p w14:paraId="53F5245F">
            <w:pPr>
              <w:spacing w:line="360" w:lineRule="auto"/>
              <w:ind w:firstLine="480" w:firstLineChars="200"/>
              <w:rPr>
                <w:bCs/>
                <w:sz w:val="24"/>
                <w:u w:val="single"/>
              </w:rPr>
            </w:pPr>
            <w:r>
              <w:rPr>
                <w:rFonts w:hint="eastAsia"/>
                <w:bCs/>
                <w:sz w:val="24"/>
                <w:u w:val="single"/>
              </w:rPr>
              <w:t>根据《建设项目环境风险评价技术导则》(HJ169-2018)，本项目危险物质为</w:t>
            </w:r>
            <w:r>
              <w:rPr>
                <w:rFonts w:ascii="宋体" w:hAnsi="宋体"/>
                <w:sz w:val="24"/>
                <w:szCs w:val="24"/>
                <w:u w:val="single"/>
              </w:rPr>
              <w:t>废机油、废油桶、废含油抹布</w:t>
            </w:r>
            <w:r>
              <w:rPr>
                <w:rFonts w:hint="eastAsia"/>
                <w:bCs/>
                <w:sz w:val="24"/>
                <w:u w:val="single"/>
              </w:rPr>
              <w:t>等泄漏发生的直接、伴生、生次生污染物排放。</w:t>
            </w:r>
          </w:p>
          <w:p w14:paraId="4D11BEE6">
            <w:pPr>
              <w:spacing w:line="360" w:lineRule="auto"/>
              <w:ind w:firstLine="480" w:firstLineChars="200"/>
              <w:jc w:val="center"/>
              <w:rPr>
                <w:rFonts w:ascii="宋体" w:hAnsi="宋体"/>
                <w:sz w:val="24"/>
                <w:u w:val="single"/>
              </w:rPr>
            </w:pPr>
            <w:r>
              <w:rPr>
                <w:rFonts w:hint="eastAsia" w:ascii="宋体" w:hAnsi="宋体"/>
                <w:b/>
                <w:bCs/>
                <w:sz w:val="24"/>
                <w:u w:val="single"/>
              </w:rPr>
              <w:t>表4-13  本项目主要危险物质理化性质及危险性一览表</w:t>
            </w:r>
          </w:p>
          <w:tbl>
            <w:tblPr>
              <w:tblStyle w:val="22"/>
              <w:tblW w:w="855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62"/>
              <w:gridCol w:w="958"/>
              <w:gridCol w:w="752"/>
              <w:gridCol w:w="1822"/>
              <w:gridCol w:w="403"/>
              <w:gridCol w:w="2566"/>
              <w:gridCol w:w="1193"/>
            </w:tblGrid>
            <w:tr w14:paraId="4AB236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restart"/>
                  <w:vAlign w:val="center"/>
                </w:tcPr>
                <w:p w14:paraId="0107E21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标识</w:t>
                  </w:r>
                </w:p>
              </w:tc>
              <w:tc>
                <w:tcPr>
                  <w:tcW w:w="7694" w:type="dxa"/>
                  <w:gridSpan w:val="6"/>
                  <w:vAlign w:val="center"/>
                </w:tcPr>
                <w:p w14:paraId="6B50285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中文名：废机油等</w:t>
                  </w:r>
                </w:p>
              </w:tc>
            </w:tr>
            <w:tr w14:paraId="01B46F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0E2AAE39">
                  <w:pPr>
                    <w:adjustRightInd w:val="0"/>
                    <w:snapToGrid w:val="0"/>
                    <w:jc w:val="center"/>
                    <w:rPr>
                      <w:rFonts w:asciiTheme="minorEastAsia" w:hAnsiTheme="minorEastAsia" w:eastAsiaTheme="minorEastAsia"/>
                      <w:szCs w:val="21"/>
                      <w:u w:val="single"/>
                    </w:rPr>
                  </w:pPr>
                </w:p>
              </w:tc>
              <w:tc>
                <w:tcPr>
                  <w:tcW w:w="7694" w:type="dxa"/>
                  <w:gridSpan w:val="6"/>
                  <w:vAlign w:val="center"/>
                </w:tcPr>
                <w:p w14:paraId="1B7874D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英文名：Lube oil、lubricating oil</w:t>
                  </w:r>
                </w:p>
              </w:tc>
            </w:tr>
            <w:tr w14:paraId="082AB2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1BF21B3C">
                  <w:pPr>
                    <w:adjustRightInd w:val="0"/>
                    <w:snapToGrid w:val="0"/>
                    <w:jc w:val="center"/>
                    <w:rPr>
                      <w:rFonts w:asciiTheme="minorEastAsia" w:hAnsiTheme="minorEastAsia" w:eastAsiaTheme="minorEastAsia"/>
                      <w:szCs w:val="21"/>
                      <w:u w:val="single"/>
                    </w:rPr>
                  </w:pPr>
                </w:p>
              </w:tc>
              <w:tc>
                <w:tcPr>
                  <w:tcW w:w="7694" w:type="dxa"/>
                  <w:gridSpan w:val="6"/>
                  <w:vAlign w:val="center"/>
                </w:tcPr>
                <w:p w14:paraId="6CB5ACC7">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危险性类别：无</w:t>
                  </w:r>
                </w:p>
              </w:tc>
            </w:tr>
            <w:tr w14:paraId="2C1D273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restart"/>
                  <w:vAlign w:val="center"/>
                </w:tcPr>
                <w:p w14:paraId="79D3A57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理化性质</w:t>
                  </w:r>
                </w:p>
              </w:tc>
              <w:tc>
                <w:tcPr>
                  <w:tcW w:w="7694" w:type="dxa"/>
                  <w:gridSpan w:val="6"/>
                  <w:vAlign w:val="center"/>
                </w:tcPr>
                <w:p w14:paraId="05A2F0C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外观与性状：油状液体</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淡黄色至褐色</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无气味或略带异味。</w:t>
                  </w:r>
                </w:p>
              </w:tc>
            </w:tr>
            <w:tr w14:paraId="6A46EC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48CA7AEE">
                  <w:pPr>
                    <w:adjustRightInd w:val="0"/>
                    <w:snapToGrid w:val="0"/>
                    <w:jc w:val="center"/>
                    <w:rPr>
                      <w:rFonts w:asciiTheme="minorEastAsia" w:hAnsiTheme="minorEastAsia" w:eastAsiaTheme="minorEastAsia"/>
                      <w:szCs w:val="21"/>
                      <w:u w:val="single"/>
                    </w:rPr>
                  </w:pPr>
                </w:p>
              </w:tc>
              <w:tc>
                <w:tcPr>
                  <w:tcW w:w="3935" w:type="dxa"/>
                  <w:gridSpan w:val="4"/>
                  <w:vAlign w:val="center"/>
                </w:tcPr>
                <w:p w14:paraId="3574C2A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熔点（</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）：无资料</w:t>
                  </w:r>
                </w:p>
              </w:tc>
              <w:tc>
                <w:tcPr>
                  <w:tcW w:w="3759" w:type="dxa"/>
                  <w:gridSpan w:val="2"/>
                  <w:vAlign w:val="center"/>
                </w:tcPr>
                <w:p w14:paraId="7DE2118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沸点（</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）：无资料</w:t>
                  </w:r>
                </w:p>
              </w:tc>
            </w:tr>
            <w:tr w14:paraId="2F2855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40403692">
                  <w:pPr>
                    <w:adjustRightInd w:val="0"/>
                    <w:snapToGrid w:val="0"/>
                    <w:jc w:val="center"/>
                    <w:rPr>
                      <w:rFonts w:asciiTheme="minorEastAsia" w:hAnsiTheme="minorEastAsia" w:eastAsiaTheme="minorEastAsia"/>
                      <w:szCs w:val="21"/>
                      <w:u w:val="single"/>
                    </w:rPr>
                  </w:pPr>
                </w:p>
              </w:tc>
              <w:tc>
                <w:tcPr>
                  <w:tcW w:w="3935" w:type="dxa"/>
                  <w:gridSpan w:val="4"/>
                  <w:vAlign w:val="center"/>
                </w:tcPr>
                <w:p w14:paraId="7E88D6B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临界温度（</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）：无资料</w:t>
                  </w:r>
                </w:p>
              </w:tc>
              <w:tc>
                <w:tcPr>
                  <w:tcW w:w="3759" w:type="dxa"/>
                  <w:gridSpan w:val="2"/>
                  <w:vAlign w:val="center"/>
                </w:tcPr>
                <w:p w14:paraId="58DEAD9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临界压力（MPa）：无资料</w:t>
                  </w:r>
                </w:p>
              </w:tc>
            </w:tr>
            <w:tr w14:paraId="256BF2F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58423217">
                  <w:pPr>
                    <w:adjustRightInd w:val="0"/>
                    <w:snapToGrid w:val="0"/>
                    <w:jc w:val="center"/>
                    <w:rPr>
                      <w:rFonts w:asciiTheme="minorEastAsia" w:hAnsiTheme="minorEastAsia" w:eastAsiaTheme="minorEastAsia"/>
                      <w:szCs w:val="21"/>
                      <w:u w:val="single"/>
                    </w:rPr>
                  </w:pPr>
                </w:p>
              </w:tc>
              <w:tc>
                <w:tcPr>
                  <w:tcW w:w="7694" w:type="dxa"/>
                  <w:gridSpan w:val="6"/>
                  <w:vAlign w:val="center"/>
                </w:tcPr>
                <w:p w14:paraId="574F508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主要用途：用于机械的摩擦部分</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起润滑、冷却和密封作用。</w:t>
                  </w:r>
                </w:p>
              </w:tc>
            </w:tr>
            <w:tr w14:paraId="7F9112F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restart"/>
                  <w:vAlign w:val="center"/>
                </w:tcPr>
                <w:p w14:paraId="7F1177D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燃烧爆炸危险性</w:t>
                  </w:r>
                </w:p>
              </w:tc>
              <w:tc>
                <w:tcPr>
                  <w:tcW w:w="7694" w:type="dxa"/>
                  <w:gridSpan w:val="6"/>
                  <w:vAlign w:val="center"/>
                </w:tcPr>
                <w:p w14:paraId="1C731F4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燃烧性：本品可燃，具刺激性。</w:t>
                  </w:r>
                </w:p>
              </w:tc>
            </w:tr>
            <w:tr w14:paraId="2AC7FA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66B0559E">
                  <w:pPr>
                    <w:adjustRightInd w:val="0"/>
                    <w:snapToGrid w:val="0"/>
                    <w:jc w:val="center"/>
                    <w:rPr>
                      <w:rFonts w:asciiTheme="minorEastAsia" w:hAnsiTheme="minorEastAsia" w:eastAsiaTheme="minorEastAsia"/>
                      <w:szCs w:val="21"/>
                      <w:u w:val="single"/>
                    </w:rPr>
                  </w:pPr>
                </w:p>
              </w:tc>
              <w:tc>
                <w:tcPr>
                  <w:tcW w:w="3935" w:type="dxa"/>
                  <w:gridSpan w:val="4"/>
                  <w:vAlign w:val="center"/>
                </w:tcPr>
                <w:p w14:paraId="55C3F5A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引燃温度（</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248</w:t>
                  </w:r>
                </w:p>
              </w:tc>
              <w:tc>
                <w:tcPr>
                  <w:tcW w:w="3759" w:type="dxa"/>
                  <w:gridSpan w:val="2"/>
                  <w:vAlign w:val="center"/>
                </w:tcPr>
                <w:p w14:paraId="1960948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闪点（</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76</w:t>
                  </w:r>
                </w:p>
              </w:tc>
            </w:tr>
            <w:tr w14:paraId="5342D0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12204944">
                  <w:pPr>
                    <w:adjustRightInd w:val="0"/>
                    <w:snapToGrid w:val="0"/>
                    <w:jc w:val="center"/>
                    <w:rPr>
                      <w:rFonts w:asciiTheme="minorEastAsia" w:hAnsiTheme="minorEastAsia" w:eastAsiaTheme="minorEastAsia"/>
                      <w:szCs w:val="21"/>
                      <w:u w:val="single"/>
                    </w:rPr>
                  </w:pPr>
                </w:p>
              </w:tc>
              <w:tc>
                <w:tcPr>
                  <w:tcW w:w="3935" w:type="dxa"/>
                  <w:gridSpan w:val="4"/>
                  <w:vAlign w:val="center"/>
                </w:tcPr>
                <w:p w14:paraId="1C3D4F1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爆炸下限（%）：   无资料</w:t>
                  </w:r>
                </w:p>
              </w:tc>
              <w:tc>
                <w:tcPr>
                  <w:tcW w:w="3759" w:type="dxa"/>
                  <w:gridSpan w:val="2"/>
                  <w:vAlign w:val="center"/>
                </w:tcPr>
                <w:p w14:paraId="070A563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爆炸上限（%）：     无资料</w:t>
                  </w:r>
                </w:p>
              </w:tc>
            </w:tr>
            <w:tr w14:paraId="304CA9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1E322607">
                  <w:pPr>
                    <w:adjustRightInd w:val="0"/>
                    <w:snapToGrid w:val="0"/>
                    <w:jc w:val="center"/>
                    <w:rPr>
                      <w:rFonts w:asciiTheme="minorEastAsia" w:hAnsiTheme="minorEastAsia" w:eastAsiaTheme="minorEastAsia"/>
                      <w:szCs w:val="21"/>
                      <w:u w:val="single"/>
                    </w:rPr>
                  </w:pPr>
                </w:p>
              </w:tc>
              <w:tc>
                <w:tcPr>
                  <w:tcW w:w="3935" w:type="dxa"/>
                  <w:gridSpan w:val="4"/>
                  <w:vAlign w:val="center"/>
                </w:tcPr>
                <w:p w14:paraId="408A0595">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危险特性：遇明火、高热可燃。</w:t>
                  </w:r>
                </w:p>
              </w:tc>
              <w:tc>
                <w:tcPr>
                  <w:tcW w:w="3759" w:type="dxa"/>
                  <w:gridSpan w:val="2"/>
                  <w:vAlign w:val="center"/>
                </w:tcPr>
                <w:p w14:paraId="4A239D1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有害燃烧产物：一氧化碳、二氧化碳。</w:t>
                  </w:r>
                </w:p>
              </w:tc>
            </w:tr>
            <w:tr w14:paraId="688E3D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0" w:hRule="atLeast"/>
                <w:jc w:val="center"/>
              </w:trPr>
              <w:tc>
                <w:tcPr>
                  <w:tcW w:w="862" w:type="dxa"/>
                  <w:vMerge w:val="continue"/>
                  <w:vAlign w:val="center"/>
                </w:tcPr>
                <w:p w14:paraId="79CB0EFB">
                  <w:pPr>
                    <w:adjustRightInd w:val="0"/>
                    <w:snapToGrid w:val="0"/>
                    <w:jc w:val="center"/>
                    <w:rPr>
                      <w:rFonts w:asciiTheme="minorEastAsia" w:hAnsiTheme="minorEastAsia" w:eastAsiaTheme="minorEastAsia"/>
                      <w:szCs w:val="21"/>
                      <w:u w:val="single"/>
                    </w:rPr>
                  </w:pPr>
                </w:p>
              </w:tc>
              <w:tc>
                <w:tcPr>
                  <w:tcW w:w="958" w:type="dxa"/>
                  <w:vAlign w:val="center"/>
                </w:tcPr>
                <w:p w14:paraId="4A8CAEB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禁配物</w:t>
                  </w:r>
                </w:p>
              </w:tc>
              <w:tc>
                <w:tcPr>
                  <w:tcW w:w="6735" w:type="dxa"/>
                  <w:gridSpan w:val="5"/>
                  <w:vAlign w:val="center"/>
                </w:tcPr>
                <w:p w14:paraId="42E9361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强氧化剂</w:t>
                  </w:r>
                </w:p>
              </w:tc>
            </w:tr>
            <w:tr w14:paraId="03D6BF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5" w:hRule="atLeast"/>
                <w:jc w:val="center"/>
              </w:trPr>
              <w:tc>
                <w:tcPr>
                  <w:tcW w:w="862" w:type="dxa"/>
                  <w:vMerge w:val="continue"/>
                  <w:vAlign w:val="center"/>
                </w:tcPr>
                <w:p w14:paraId="59BAABE1">
                  <w:pPr>
                    <w:adjustRightInd w:val="0"/>
                    <w:snapToGrid w:val="0"/>
                    <w:jc w:val="center"/>
                    <w:rPr>
                      <w:rFonts w:asciiTheme="minorEastAsia" w:hAnsiTheme="minorEastAsia" w:eastAsiaTheme="minorEastAsia"/>
                      <w:szCs w:val="21"/>
                      <w:u w:val="single"/>
                    </w:rPr>
                  </w:pPr>
                </w:p>
              </w:tc>
              <w:tc>
                <w:tcPr>
                  <w:tcW w:w="958" w:type="dxa"/>
                  <w:vAlign w:val="center"/>
                </w:tcPr>
                <w:p w14:paraId="1EF798D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消防措施</w:t>
                  </w:r>
                </w:p>
              </w:tc>
              <w:tc>
                <w:tcPr>
                  <w:tcW w:w="6735" w:type="dxa"/>
                  <w:gridSpan w:val="5"/>
                  <w:vAlign w:val="center"/>
                </w:tcPr>
                <w:p w14:paraId="57765A7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14:paraId="76BC00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00" w:hRule="atLeast"/>
                <w:jc w:val="center"/>
              </w:trPr>
              <w:tc>
                <w:tcPr>
                  <w:tcW w:w="862" w:type="dxa"/>
                  <w:vMerge w:val="restart"/>
                  <w:vAlign w:val="center"/>
                </w:tcPr>
                <w:p w14:paraId="1AF7362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毒性</w:t>
                  </w:r>
                </w:p>
              </w:tc>
              <w:tc>
                <w:tcPr>
                  <w:tcW w:w="958" w:type="dxa"/>
                  <w:vAlign w:val="center"/>
                </w:tcPr>
                <w:p w14:paraId="4203663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急性毒性</w:t>
                  </w:r>
                </w:p>
              </w:tc>
              <w:tc>
                <w:tcPr>
                  <w:tcW w:w="6735" w:type="dxa"/>
                  <w:gridSpan w:val="5"/>
                  <w:vAlign w:val="center"/>
                </w:tcPr>
                <w:p w14:paraId="02104ED6">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LD50 ：无资料</w:t>
                  </w:r>
                </w:p>
                <w:p w14:paraId="510B1B5F">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LC50 ：无资料</w:t>
                  </w:r>
                </w:p>
              </w:tc>
            </w:tr>
            <w:tr w14:paraId="18493E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5" w:hRule="atLeast"/>
                <w:jc w:val="center"/>
              </w:trPr>
              <w:tc>
                <w:tcPr>
                  <w:tcW w:w="862" w:type="dxa"/>
                  <w:vMerge w:val="continue"/>
                  <w:vAlign w:val="center"/>
                </w:tcPr>
                <w:p w14:paraId="29CE2DBB">
                  <w:pPr>
                    <w:adjustRightInd w:val="0"/>
                    <w:snapToGrid w:val="0"/>
                    <w:jc w:val="center"/>
                    <w:rPr>
                      <w:rFonts w:asciiTheme="minorEastAsia" w:hAnsiTheme="minorEastAsia" w:eastAsiaTheme="minorEastAsia"/>
                      <w:szCs w:val="21"/>
                      <w:u w:val="single"/>
                    </w:rPr>
                  </w:pPr>
                </w:p>
              </w:tc>
              <w:tc>
                <w:tcPr>
                  <w:tcW w:w="958" w:type="dxa"/>
                  <w:vAlign w:val="center"/>
                </w:tcPr>
                <w:p w14:paraId="59CF2C3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毒性</w:t>
                  </w:r>
                </w:p>
              </w:tc>
              <w:tc>
                <w:tcPr>
                  <w:tcW w:w="6735" w:type="dxa"/>
                  <w:gridSpan w:val="5"/>
                  <w:vAlign w:val="center"/>
                </w:tcPr>
                <w:p w14:paraId="27CED2AC">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无资料</w:t>
                  </w:r>
                </w:p>
              </w:tc>
            </w:tr>
            <w:tr w14:paraId="2CC0B3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97" w:hRule="atLeast"/>
                <w:jc w:val="center"/>
              </w:trPr>
              <w:tc>
                <w:tcPr>
                  <w:tcW w:w="862" w:type="dxa"/>
                  <w:vMerge w:val="continue"/>
                  <w:vAlign w:val="center"/>
                </w:tcPr>
                <w:p w14:paraId="655FE09C">
                  <w:pPr>
                    <w:adjustRightInd w:val="0"/>
                    <w:snapToGrid w:val="0"/>
                    <w:jc w:val="center"/>
                    <w:rPr>
                      <w:rFonts w:asciiTheme="minorEastAsia" w:hAnsiTheme="minorEastAsia" w:eastAsiaTheme="minorEastAsia"/>
                      <w:szCs w:val="21"/>
                      <w:u w:val="single"/>
                    </w:rPr>
                  </w:pPr>
                </w:p>
              </w:tc>
              <w:tc>
                <w:tcPr>
                  <w:tcW w:w="958" w:type="dxa"/>
                  <w:vAlign w:val="center"/>
                </w:tcPr>
                <w:p w14:paraId="27B17E5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健康危害</w:t>
                  </w:r>
                </w:p>
              </w:tc>
              <w:tc>
                <w:tcPr>
                  <w:tcW w:w="6735" w:type="dxa"/>
                  <w:gridSpan w:val="5"/>
                  <w:vAlign w:val="center"/>
                </w:tcPr>
                <w:p w14:paraId="3220269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14:paraId="4B7EFAA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862" w:type="dxa"/>
                  <w:vMerge w:val="continue"/>
                  <w:vAlign w:val="center"/>
                </w:tcPr>
                <w:p w14:paraId="57C84720">
                  <w:pPr>
                    <w:adjustRightInd w:val="0"/>
                    <w:snapToGrid w:val="0"/>
                    <w:jc w:val="center"/>
                    <w:rPr>
                      <w:rFonts w:asciiTheme="minorEastAsia" w:hAnsiTheme="minorEastAsia" w:eastAsiaTheme="minorEastAsia"/>
                      <w:szCs w:val="21"/>
                      <w:u w:val="single"/>
                    </w:rPr>
                  </w:pPr>
                </w:p>
              </w:tc>
              <w:tc>
                <w:tcPr>
                  <w:tcW w:w="958" w:type="dxa"/>
                  <w:vAlign w:val="center"/>
                </w:tcPr>
                <w:p w14:paraId="12F3F94E">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急救措施</w:t>
                  </w:r>
                </w:p>
              </w:tc>
              <w:tc>
                <w:tcPr>
                  <w:tcW w:w="6735" w:type="dxa"/>
                  <w:gridSpan w:val="5"/>
                  <w:vAlign w:val="center"/>
                </w:tcPr>
                <w:p w14:paraId="5391FC1A">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皮肤接触：脱去污染的衣着，用大量流动清水冲洗。就医。</w:t>
                  </w:r>
                </w:p>
                <w:p w14:paraId="1448F34B">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眼睛接触：提起眼睑，用流动清水或生理盐水冲洗。就医。</w:t>
                  </w:r>
                </w:p>
                <w:p w14:paraId="069BC629">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吸入：迅速脱离现场至空气新鲜处。保持呼吸道通畅。如呼吸困难，给输氧。如呼吸停止，立即进行人工呼吸。就医。</w:t>
                  </w:r>
                </w:p>
                <w:p w14:paraId="5CAFD49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食    入：饮足量温水，催吐。就医。</w:t>
                  </w:r>
                </w:p>
              </w:tc>
            </w:tr>
            <w:tr w14:paraId="698629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73" w:hRule="atLeast"/>
                <w:jc w:val="center"/>
              </w:trPr>
              <w:tc>
                <w:tcPr>
                  <w:tcW w:w="862" w:type="dxa"/>
                  <w:vAlign w:val="center"/>
                </w:tcPr>
                <w:p w14:paraId="2C62EEE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操作注意事项</w:t>
                  </w:r>
                </w:p>
              </w:tc>
              <w:tc>
                <w:tcPr>
                  <w:tcW w:w="7694" w:type="dxa"/>
                  <w:gridSpan w:val="6"/>
                  <w:vAlign w:val="center"/>
                </w:tcPr>
                <w:p w14:paraId="11AEA3A2">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密闭操作，注意通风。操作人员必须经过专门培训，严格遵守操作规程。建议操作人员佩戴自吸过滤式防毒面具（半面罩），戴化学安全防护眼镜，穿防毒物渗透工作服，戴橡胶耐油手套。远离火种、热源，工作场所严禁吸烟。使用防爆型的通风系统和设备。防止蒸气泄漏到工作场所空气中。避免与氧化剂接触。搬运时要轻装轻卸，防止包装及容器损坏。配备相应品种和数量的消防器材及泄漏应急处理设备。倒空的容器可能残留有害物。</w:t>
                  </w:r>
                </w:p>
              </w:tc>
            </w:tr>
            <w:tr w14:paraId="02487D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0" w:hRule="atLeast"/>
                <w:jc w:val="center"/>
              </w:trPr>
              <w:tc>
                <w:tcPr>
                  <w:tcW w:w="862" w:type="dxa"/>
                  <w:vMerge w:val="restart"/>
                  <w:vAlign w:val="center"/>
                </w:tcPr>
                <w:p w14:paraId="3CBFDE3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贮存条 件</w:t>
                  </w:r>
                </w:p>
              </w:tc>
              <w:tc>
                <w:tcPr>
                  <w:tcW w:w="1710" w:type="dxa"/>
                  <w:gridSpan w:val="2"/>
                  <w:vAlign w:val="center"/>
                </w:tcPr>
                <w:p w14:paraId="77DB597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危规号：</w:t>
                  </w:r>
                </w:p>
              </w:tc>
              <w:tc>
                <w:tcPr>
                  <w:tcW w:w="1822" w:type="dxa"/>
                  <w:vAlign w:val="center"/>
                </w:tcPr>
                <w:p w14:paraId="5E46AD1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UN编号：</w:t>
                  </w:r>
                </w:p>
              </w:tc>
              <w:tc>
                <w:tcPr>
                  <w:tcW w:w="2969" w:type="dxa"/>
                  <w:gridSpan w:val="2"/>
                  <w:vAlign w:val="center"/>
                </w:tcPr>
                <w:p w14:paraId="627BD870">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包装标志：</w:t>
                  </w:r>
                </w:p>
              </w:tc>
              <w:tc>
                <w:tcPr>
                  <w:tcW w:w="1193" w:type="dxa"/>
                  <w:vAlign w:val="center"/>
                </w:tcPr>
                <w:p w14:paraId="4A6DD37D">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包装类别：Z01</w:t>
                  </w:r>
                </w:p>
              </w:tc>
            </w:tr>
            <w:tr w14:paraId="19AF8A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73" w:hRule="atLeast"/>
                <w:jc w:val="center"/>
              </w:trPr>
              <w:tc>
                <w:tcPr>
                  <w:tcW w:w="862" w:type="dxa"/>
                  <w:vMerge w:val="continue"/>
                  <w:vAlign w:val="center"/>
                </w:tcPr>
                <w:p w14:paraId="4B79EB8C">
                  <w:pPr>
                    <w:adjustRightInd w:val="0"/>
                    <w:snapToGrid w:val="0"/>
                    <w:jc w:val="center"/>
                    <w:rPr>
                      <w:rFonts w:asciiTheme="minorEastAsia" w:hAnsiTheme="minorEastAsia" w:eastAsiaTheme="minorEastAsia"/>
                      <w:szCs w:val="21"/>
                      <w:u w:val="single"/>
                    </w:rPr>
                  </w:pPr>
                </w:p>
              </w:tc>
              <w:tc>
                <w:tcPr>
                  <w:tcW w:w="7694" w:type="dxa"/>
                  <w:gridSpan w:val="6"/>
                  <w:vAlign w:val="center"/>
                </w:tcPr>
                <w:p w14:paraId="35DC6B5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储存于阴凉、通风的库房。远离火种、热源。应与氧化剂分开存放，切忌混储。配备相应品种和数量的消防器材。储区应备有泄漏应急处理设备和合适的收容材料。</w:t>
                  </w:r>
                </w:p>
              </w:tc>
            </w:tr>
            <w:tr w14:paraId="17E8CFD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73" w:hRule="atLeast"/>
                <w:jc w:val="center"/>
              </w:trPr>
              <w:tc>
                <w:tcPr>
                  <w:tcW w:w="862" w:type="dxa"/>
                  <w:vAlign w:val="center"/>
                </w:tcPr>
                <w:p w14:paraId="3F349E01">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运输注意事项</w:t>
                  </w:r>
                </w:p>
              </w:tc>
              <w:tc>
                <w:tcPr>
                  <w:tcW w:w="7694" w:type="dxa"/>
                  <w:gridSpan w:val="6"/>
                  <w:vAlign w:val="center"/>
                </w:tcPr>
                <w:p w14:paraId="6492F378">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运输前应先检查包装容器是否完整、密封，运输过程中要确保容器不泄漏、不倒塌、不坠落、不损坏。严禁与氧化剂、食用化学品等混装混运。运输车船必须彻底清洗、消毒，否则不得装运其它物品。船运时，配装位置应远离卧室、厨房，并与机舱、电源、火源等部位隔离。公路运输时要按规定路线行驶。</w:t>
                  </w:r>
                </w:p>
              </w:tc>
            </w:tr>
            <w:tr w14:paraId="2285DE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09" w:hRule="atLeast"/>
                <w:jc w:val="center"/>
              </w:trPr>
              <w:tc>
                <w:tcPr>
                  <w:tcW w:w="862" w:type="dxa"/>
                  <w:vAlign w:val="center"/>
                </w:tcPr>
                <w:p w14:paraId="75645BC3">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泄漏应急处理</w:t>
                  </w:r>
                </w:p>
              </w:tc>
              <w:tc>
                <w:tcPr>
                  <w:tcW w:w="7694" w:type="dxa"/>
                  <w:gridSpan w:val="6"/>
                  <w:vAlign w:val="center"/>
                </w:tcPr>
                <w:p w14:paraId="0C3EDC2A">
                  <w:pPr>
                    <w:adjustRightInd w:val="0"/>
                    <w:snapToGrid w:val="0"/>
                    <w:jc w:val="center"/>
                    <w:rPr>
                      <w:rFonts w:asciiTheme="minorEastAsia" w:hAnsiTheme="minorEastAsia" w:eastAsiaTheme="minorEastAsia"/>
                      <w:szCs w:val="21"/>
                      <w:u w:val="single"/>
                    </w:rPr>
                  </w:pPr>
                  <w:r>
                    <w:rPr>
                      <w:rFonts w:asciiTheme="minorEastAsia" w:hAnsiTheme="minorEastAsia" w:eastAsiaTheme="minorEastAsia"/>
                      <w:szCs w:val="21"/>
                      <w:u w:val="single"/>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泵转移至槽车或专用收集器内，回收或运至废物处理场所处置。</w:t>
                  </w:r>
                </w:p>
              </w:tc>
            </w:tr>
          </w:tbl>
          <w:p w14:paraId="34816B8C">
            <w:pPr>
              <w:spacing w:line="360" w:lineRule="auto"/>
              <w:ind w:firstLine="480" w:firstLineChars="200"/>
              <w:rPr>
                <w:bCs/>
                <w:sz w:val="24"/>
                <w:u w:val="single"/>
              </w:rPr>
            </w:pPr>
            <w:r>
              <w:rPr>
                <w:rFonts w:hint="eastAsia"/>
                <w:bCs/>
                <w:sz w:val="24"/>
                <w:u w:val="single"/>
              </w:rPr>
              <w:t>②生产系统危险性</w:t>
            </w:r>
          </w:p>
          <w:p w14:paraId="2548322F">
            <w:pPr>
              <w:spacing w:line="360" w:lineRule="auto"/>
              <w:ind w:firstLine="480" w:firstLineChars="200"/>
              <w:rPr>
                <w:bCs/>
                <w:sz w:val="24"/>
                <w:u w:val="single"/>
              </w:rPr>
            </w:pPr>
            <w:r>
              <w:rPr>
                <w:rFonts w:hint="eastAsia"/>
                <w:bCs/>
                <w:sz w:val="24"/>
                <w:u w:val="single"/>
              </w:rPr>
              <w:t>风险单元为危险废物暂存间。</w:t>
            </w:r>
          </w:p>
          <w:p w14:paraId="66196ECB">
            <w:pPr>
              <w:spacing w:line="360" w:lineRule="auto"/>
              <w:ind w:firstLine="480" w:firstLineChars="200"/>
              <w:rPr>
                <w:bCs/>
                <w:sz w:val="24"/>
                <w:u w:val="single"/>
              </w:rPr>
            </w:pPr>
            <w:r>
              <w:rPr>
                <w:rFonts w:hint="eastAsia"/>
                <w:bCs/>
                <w:sz w:val="24"/>
                <w:u w:val="single"/>
              </w:rPr>
              <w:t>③危险物质向环境转移的途径</w:t>
            </w:r>
          </w:p>
          <w:p w14:paraId="2B88511F">
            <w:pPr>
              <w:spacing w:line="360" w:lineRule="auto"/>
              <w:ind w:firstLine="480" w:firstLineChars="200"/>
              <w:rPr>
                <w:b/>
                <w:bCs/>
                <w:sz w:val="24"/>
                <w:u w:val="single"/>
              </w:rPr>
            </w:pPr>
            <w:r>
              <w:rPr>
                <w:rFonts w:hint="eastAsia"/>
                <w:bCs/>
                <w:sz w:val="24"/>
                <w:u w:val="single"/>
              </w:rPr>
              <w:t>主要包括</w:t>
            </w:r>
            <w:r>
              <w:rPr>
                <w:rFonts w:ascii="宋体" w:hAnsi="宋体"/>
                <w:sz w:val="24"/>
                <w:szCs w:val="24"/>
                <w:u w:val="single"/>
              </w:rPr>
              <w:t>废机油、废油桶、废含油抹布等</w:t>
            </w:r>
            <w:r>
              <w:rPr>
                <w:rFonts w:hint="eastAsia"/>
                <w:bCs/>
                <w:sz w:val="24"/>
                <w:u w:val="single"/>
              </w:rPr>
              <w:t>泄漏渗透进入土壤和地下水，易燃物质燃烧造成的火灾以及引发的爆炸等伴生、次生污染对大气环境、土壤环境和地下水环境的影响。</w:t>
            </w:r>
          </w:p>
          <w:p w14:paraId="68A66CBF">
            <w:pPr>
              <w:spacing w:line="360" w:lineRule="auto"/>
              <w:ind w:firstLine="480" w:firstLineChars="200"/>
              <w:jc w:val="center"/>
              <w:rPr>
                <w:b/>
                <w:bCs/>
                <w:sz w:val="24"/>
                <w:u w:val="single"/>
              </w:rPr>
            </w:pPr>
            <w:r>
              <w:rPr>
                <w:rFonts w:hint="eastAsia"/>
                <w:b/>
                <w:bCs/>
                <w:sz w:val="24"/>
                <w:u w:val="single"/>
              </w:rPr>
              <w:t>表4-14  风险识别结果一览表</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525"/>
              <w:gridCol w:w="724"/>
              <w:gridCol w:w="1060"/>
              <w:gridCol w:w="1276"/>
              <w:gridCol w:w="1843"/>
              <w:gridCol w:w="1208"/>
              <w:gridCol w:w="1666"/>
            </w:tblGrid>
            <w:tr w14:paraId="43637F4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525" w:type="dxa"/>
                </w:tcPr>
                <w:p w14:paraId="172F118A">
                  <w:pPr>
                    <w:jc w:val="center"/>
                    <w:rPr>
                      <w:rFonts w:ascii="宋体" w:hAnsi="宋体"/>
                      <w:iCs/>
                      <w:szCs w:val="21"/>
                      <w:u w:val="single"/>
                    </w:rPr>
                  </w:pPr>
                  <w:r>
                    <w:rPr>
                      <w:rFonts w:hint="eastAsia" w:ascii="宋体" w:hAnsi="宋体"/>
                      <w:iCs/>
                      <w:szCs w:val="21"/>
                      <w:u w:val="single"/>
                    </w:rPr>
                    <w:t>序号</w:t>
                  </w:r>
                </w:p>
              </w:tc>
              <w:tc>
                <w:tcPr>
                  <w:tcW w:w="724" w:type="dxa"/>
                </w:tcPr>
                <w:p w14:paraId="26B73B5D">
                  <w:pPr>
                    <w:jc w:val="center"/>
                    <w:rPr>
                      <w:rFonts w:ascii="宋体" w:hAnsi="宋体"/>
                      <w:iCs/>
                      <w:szCs w:val="21"/>
                      <w:u w:val="single"/>
                    </w:rPr>
                  </w:pPr>
                  <w:r>
                    <w:rPr>
                      <w:rFonts w:hint="eastAsia" w:ascii="宋体" w:hAnsi="宋体"/>
                      <w:iCs/>
                      <w:szCs w:val="21"/>
                      <w:u w:val="single"/>
                    </w:rPr>
                    <w:t>危险单元</w:t>
                  </w:r>
                </w:p>
              </w:tc>
              <w:tc>
                <w:tcPr>
                  <w:tcW w:w="1060" w:type="dxa"/>
                </w:tcPr>
                <w:p w14:paraId="64F149E7">
                  <w:pPr>
                    <w:jc w:val="center"/>
                    <w:rPr>
                      <w:rFonts w:ascii="宋体" w:hAnsi="宋体"/>
                      <w:iCs/>
                      <w:szCs w:val="21"/>
                      <w:u w:val="single"/>
                    </w:rPr>
                  </w:pPr>
                  <w:r>
                    <w:rPr>
                      <w:rFonts w:hint="eastAsia" w:ascii="宋体" w:hAnsi="宋体"/>
                      <w:iCs/>
                      <w:szCs w:val="21"/>
                      <w:u w:val="single"/>
                    </w:rPr>
                    <w:t>风险源</w:t>
                  </w:r>
                </w:p>
              </w:tc>
              <w:tc>
                <w:tcPr>
                  <w:tcW w:w="1276" w:type="dxa"/>
                </w:tcPr>
                <w:p w14:paraId="454BC42E">
                  <w:pPr>
                    <w:jc w:val="center"/>
                    <w:rPr>
                      <w:rFonts w:ascii="宋体" w:hAnsi="宋体"/>
                      <w:iCs/>
                      <w:szCs w:val="21"/>
                      <w:u w:val="single"/>
                    </w:rPr>
                  </w:pPr>
                  <w:r>
                    <w:rPr>
                      <w:rFonts w:hint="eastAsia" w:ascii="宋体" w:hAnsi="宋体"/>
                      <w:iCs/>
                      <w:szCs w:val="21"/>
                      <w:u w:val="single"/>
                    </w:rPr>
                    <w:t>主要危险物质</w:t>
                  </w:r>
                </w:p>
              </w:tc>
              <w:tc>
                <w:tcPr>
                  <w:tcW w:w="1843" w:type="dxa"/>
                </w:tcPr>
                <w:p w14:paraId="1205AD18">
                  <w:pPr>
                    <w:jc w:val="center"/>
                    <w:rPr>
                      <w:rFonts w:ascii="宋体" w:hAnsi="宋体"/>
                      <w:iCs/>
                      <w:szCs w:val="21"/>
                      <w:u w:val="single"/>
                    </w:rPr>
                  </w:pPr>
                  <w:r>
                    <w:rPr>
                      <w:rFonts w:hint="eastAsia" w:ascii="宋体" w:hAnsi="宋体"/>
                      <w:iCs/>
                      <w:szCs w:val="21"/>
                      <w:u w:val="single"/>
                    </w:rPr>
                    <w:t>环境风险类型</w:t>
                  </w:r>
                </w:p>
              </w:tc>
              <w:tc>
                <w:tcPr>
                  <w:tcW w:w="1208" w:type="dxa"/>
                </w:tcPr>
                <w:p w14:paraId="4E120524">
                  <w:pPr>
                    <w:jc w:val="center"/>
                    <w:rPr>
                      <w:rFonts w:ascii="宋体" w:hAnsi="宋体"/>
                      <w:iCs/>
                      <w:szCs w:val="21"/>
                      <w:u w:val="single"/>
                    </w:rPr>
                  </w:pPr>
                  <w:r>
                    <w:rPr>
                      <w:rFonts w:hint="eastAsia" w:ascii="宋体" w:hAnsi="宋体"/>
                      <w:iCs/>
                      <w:szCs w:val="21"/>
                      <w:u w:val="single"/>
                    </w:rPr>
                    <w:t>环境影响途径</w:t>
                  </w:r>
                </w:p>
              </w:tc>
              <w:tc>
                <w:tcPr>
                  <w:tcW w:w="1666" w:type="dxa"/>
                </w:tcPr>
                <w:p w14:paraId="27AC021B">
                  <w:pPr>
                    <w:jc w:val="center"/>
                    <w:rPr>
                      <w:rFonts w:ascii="宋体" w:hAnsi="宋体"/>
                      <w:iCs/>
                      <w:szCs w:val="21"/>
                      <w:u w:val="single"/>
                    </w:rPr>
                  </w:pPr>
                  <w:r>
                    <w:rPr>
                      <w:rFonts w:hint="eastAsia" w:ascii="宋体" w:hAnsi="宋体"/>
                      <w:iCs/>
                      <w:szCs w:val="21"/>
                      <w:u w:val="single"/>
                    </w:rPr>
                    <w:t>可能受影响的环境敏感目标</w:t>
                  </w:r>
                </w:p>
              </w:tc>
            </w:tr>
            <w:tr w14:paraId="1C165D8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525" w:type="dxa"/>
                </w:tcPr>
                <w:p w14:paraId="472C3D04">
                  <w:pPr>
                    <w:jc w:val="center"/>
                    <w:rPr>
                      <w:rFonts w:ascii="宋体" w:hAnsi="宋体"/>
                      <w:iCs/>
                      <w:szCs w:val="21"/>
                      <w:u w:val="single"/>
                    </w:rPr>
                  </w:pPr>
                  <w:r>
                    <w:rPr>
                      <w:rFonts w:hint="eastAsia" w:ascii="宋体" w:hAnsi="宋体"/>
                      <w:iCs/>
                      <w:szCs w:val="21"/>
                      <w:u w:val="single"/>
                    </w:rPr>
                    <w:t>1</w:t>
                  </w:r>
                </w:p>
              </w:tc>
              <w:tc>
                <w:tcPr>
                  <w:tcW w:w="724" w:type="dxa"/>
                </w:tcPr>
                <w:p w14:paraId="4041DCA3">
                  <w:pPr>
                    <w:jc w:val="center"/>
                    <w:rPr>
                      <w:rFonts w:ascii="宋体" w:hAnsi="宋体"/>
                      <w:iCs/>
                      <w:szCs w:val="21"/>
                      <w:u w:val="single"/>
                    </w:rPr>
                  </w:pPr>
                  <w:r>
                    <w:rPr>
                      <w:rFonts w:hint="eastAsia" w:ascii="宋体" w:hAnsi="宋体"/>
                      <w:iCs/>
                      <w:szCs w:val="21"/>
                      <w:u w:val="single"/>
                    </w:rPr>
                    <w:t>储存单元</w:t>
                  </w:r>
                </w:p>
              </w:tc>
              <w:tc>
                <w:tcPr>
                  <w:tcW w:w="1060" w:type="dxa"/>
                </w:tcPr>
                <w:p w14:paraId="3ACD5DCC">
                  <w:pPr>
                    <w:jc w:val="center"/>
                    <w:rPr>
                      <w:rFonts w:ascii="宋体" w:hAnsi="宋体"/>
                      <w:iCs/>
                      <w:szCs w:val="21"/>
                      <w:u w:val="single"/>
                    </w:rPr>
                  </w:pPr>
                  <w:r>
                    <w:rPr>
                      <w:rFonts w:hint="eastAsia" w:ascii="宋体" w:hAnsi="宋体"/>
                      <w:iCs/>
                      <w:szCs w:val="21"/>
                      <w:u w:val="single"/>
                    </w:rPr>
                    <w:t>危险废物储存间</w:t>
                  </w:r>
                </w:p>
              </w:tc>
              <w:tc>
                <w:tcPr>
                  <w:tcW w:w="1276" w:type="dxa"/>
                </w:tcPr>
                <w:p w14:paraId="552CF1D7">
                  <w:pPr>
                    <w:jc w:val="center"/>
                    <w:rPr>
                      <w:rFonts w:ascii="宋体" w:hAnsi="宋体"/>
                      <w:iCs/>
                      <w:szCs w:val="21"/>
                      <w:u w:val="single"/>
                    </w:rPr>
                  </w:pPr>
                  <w:r>
                    <w:rPr>
                      <w:rFonts w:ascii="宋体" w:hAnsi="宋体"/>
                      <w:iCs/>
                      <w:szCs w:val="21"/>
                      <w:u w:val="single"/>
                    </w:rPr>
                    <w:t>废机油、废油桶、废含油抹布</w:t>
                  </w:r>
                </w:p>
              </w:tc>
              <w:tc>
                <w:tcPr>
                  <w:tcW w:w="1843" w:type="dxa"/>
                </w:tcPr>
                <w:p w14:paraId="361F1F5E">
                  <w:pPr>
                    <w:jc w:val="center"/>
                    <w:rPr>
                      <w:rFonts w:ascii="宋体" w:hAnsi="宋体"/>
                      <w:iCs/>
                      <w:szCs w:val="21"/>
                      <w:u w:val="single"/>
                    </w:rPr>
                  </w:pPr>
                  <w:r>
                    <w:rPr>
                      <w:rFonts w:hint="eastAsia" w:ascii="宋体" w:hAnsi="宋体"/>
                      <w:iCs/>
                      <w:szCs w:val="21"/>
                      <w:u w:val="single"/>
                    </w:rPr>
                    <w:t>泄露、泄露并应发火灾/爆炸</w:t>
                  </w:r>
                </w:p>
              </w:tc>
              <w:tc>
                <w:tcPr>
                  <w:tcW w:w="1208" w:type="dxa"/>
                  <w:vMerge w:val="restart"/>
                </w:tcPr>
                <w:p w14:paraId="7E207113">
                  <w:pPr>
                    <w:jc w:val="center"/>
                    <w:rPr>
                      <w:rFonts w:ascii="宋体" w:hAnsi="宋体"/>
                      <w:iCs/>
                      <w:szCs w:val="21"/>
                      <w:u w:val="single"/>
                    </w:rPr>
                  </w:pPr>
                  <w:r>
                    <w:rPr>
                      <w:rFonts w:hint="eastAsia" w:ascii="宋体" w:hAnsi="宋体"/>
                      <w:iCs/>
                      <w:szCs w:val="21"/>
                      <w:u w:val="single"/>
                    </w:rPr>
                    <w:t>大气污染/水污染/土壤污染/人体健康</w:t>
                  </w:r>
                </w:p>
              </w:tc>
              <w:tc>
                <w:tcPr>
                  <w:tcW w:w="1666" w:type="dxa"/>
                  <w:vMerge w:val="restart"/>
                </w:tcPr>
                <w:p w14:paraId="5B20B270">
                  <w:pPr>
                    <w:jc w:val="center"/>
                    <w:rPr>
                      <w:rFonts w:ascii="宋体" w:hAnsi="宋体"/>
                      <w:iCs/>
                      <w:szCs w:val="21"/>
                      <w:u w:val="single"/>
                    </w:rPr>
                  </w:pPr>
                  <w:r>
                    <w:rPr>
                      <w:rFonts w:hint="eastAsia" w:ascii="宋体" w:hAnsi="宋体"/>
                      <w:iCs/>
                      <w:szCs w:val="21"/>
                      <w:u w:val="single"/>
                    </w:rPr>
                    <w:t>周边居民/地表水/地下水/土壤</w:t>
                  </w:r>
                </w:p>
              </w:tc>
            </w:tr>
            <w:tr w14:paraId="39AF436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525" w:type="dxa"/>
                </w:tcPr>
                <w:p w14:paraId="4164E8E4">
                  <w:pPr>
                    <w:jc w:val="center"/>
                    <w:rPr>
                      <w:rFonts w:ascii="宋体" w:hAnsi="宋体"/>
                      <w:iCs/>
                      <w:szCs w:val="21"/>
                      <w:u w:val="single"/>
                    </w:rPr>
                  </w:pPr>
                  <w:r>
                    <w:rPr>
                      <w:rFonts w:hint="eastAsia" w:ascii="宋体" w:hAnsi="宋体"/>
                      <w:iCs/>
                      <w:szCs w:val="21"/>
                      <w:u w:val="single"/>
                    </w:rPr>
                    <w:t>2</w:t>
                  </w:r>
                </w:p>
              </w:tc>
              <w:tc>
                <w:tcPr>
                  <w:tcW w:w="724" w:type="dxa"/>
                </w:tcPr>
                <w:p w14:paraId="34D34F04">
                  <w:pPr>
                    <w:jc w:val="center"/>
                    <w:rPr>
                      <w:rFonts w:ascii="宋体" w:hAnsi="宋体"/>
                      <w:iCs/>
                      <w:szCs w:val="21"/>
                      <w:u w:val="single"/>
                    </w:rPr>
                  </w:pPr>
                  <w:r>
                    <w:rPr>
                      <w:rFonts w:hint="eastAsia" w:ascii="宋体" w:hAnsi="宋体"/>
                      <w:iCs/>
                      <w:szCs w:val="21"/>
                      <w:u w:val="single"/>
                    </w:rPr>
                    <w:t>运输单元</w:t>
                  </w:r>
                </w:p>
              </w:tc>
              <w:tc>
                <w:tcPr>
                  <w:tcW w:w="1060" w:type="dxa"/>
                </w:tcPr>
                <w:p w14:paraId="57211595">
                  <w:pPr>
                    <w:jc w:val="center"/>
                    <w:rPr>
                      <w:rFonts w:ascii="宋体" w:hAnsi="宋体"/>
                      <w:iCs/>
                      <w:szCs w:val="21"/>
                      <w:u w:val="single"/>
                    </w:rPr>
                  </w:pPr>
                  <w:r>
                    <w:rPr>
                      <w:rFonts w:hint="eastAsia" w:ascii="宋体" w:hAnsi="宋体"/>
                      <w:iCs/>
                      <w:szCs w:val="21"/>
                      <w:u w:val="single"/>
                    </w:rPr>
                    <w:t>运输车辆</w:t>
                  </w:r>
                </w:p>
              </w:tc>
              <w:tc>
                <w:tcPr>
                  <w:tcW w:w="1276" w:type="dxa"/>
                </w:tcPr>
                <w:p w14:paraId="138173AB">
                  <w:pPr>
                    <w:jc w:val="center"/>
                    <w:rPr>
                      <w:rFonts w:ascii="宋体" w:hAnsi="宋体"/>
                      <w:iCs/>
                      <w:szCs w:val="21"/>
                      <w:u w:val="single"/>
                    </w:rPr>
                  </w:pPr>
                  <w:r>
                    <w:rPr>
                      <w:rFonts w:hint="eastAsia" w:ascii="宋体" w:hAnsi="宋体"/>
                      <w:iCs/>
                      <w:szCs w:val="21"/>
                      <w:u w:val="single"/>
                    </w:rPr>
                    <w:t>危险废物</w:t>
                  </w:r>
                </w:p>
              </w:tc>
              <w:tc>
                <w:tcPr>
                  <w:tcW w:w="1843" w:type="dxa"/>
                </w:tcPr>
                <w:p w14:paraId="3856E165">
                  <w:pPr>
                    <w:jc w:val="center"/>
                    <w:rPr>
                      <w:rFonts w:ascii="宋体" w:hAnsi="宋体"/>
                      <w:iCs/>
                      <w:szCs w:val="21"/>
                      <w:u w:val="single"/>
                    </w:rPr>
                  </w:pPr>
                  <w:r>
                    <w:rPr>
                      <w:rFonts w:hint="eastAsia" w:ascii="宋体" w:hAnsi="宋体"/>
                      <w:iCs/>
                      <w:szCs w:val="21"/>
                      <w:u w:val="single"/>
                    </w:rPr>
                    <w:t>泄露、泄露并应发火灾/爆炸</w:t>
                  </w:r>
                </w:p>
              </w:tc>
              <w:tc>
                <w:tcPr>
                  <w:tcW w:w="1208" w:type="dxa"/>
                  <w:vMerge w:val="continue"/>
                </w:tcPr>
                <w:p w14:paraId="3B962240">
                  <w:pPr>
                    <w:jc w:val="center"/>
                    <w:rPr>
                      <w:rFonts w:ascii="宋体" w:hAnsi="宋体"/>
                      <w:iCs/>
                      <w:szCs w:val="21"/>
                      <w:u w:val="single"/>
                    </w:rPr>
                  </w:pPr>
                </w:p>
              </w:tc>
              <w:tc>
                <w:tcPr>
                  <w:tcW w:w="1666" w:type="dxa"/>
                  <w:vMerge w:val="continue"/>
                </w:tcPr>
                <w:p w14:paraId="5C92D8D7">
                  <w:pPr>
                    <w:jc w:val="center"/>
                    <w:rPr>
                      <w:rFonts w:ascii="宋体" w:hAnsi="宋体"/>
                      <w:iCs/>
                      <w:szCs w:val="21"/>
                      <w:u w:val="single"/>
                    </w:rPr>
                  </w:pPr>
                </w:p>
              </w:tc>
            </w:tr>
            <w:tr w14:paraId="5EC9D3F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525" w:type="dxa"/>
                </w:tcPr>
                <w:p w14:paraId="1A738B9A">
                  <w:pPr>
                    <w:jc w:val="center"/>
                    <w:rPr>
                      <w:rFonts w:ascii="宋体" w:hAnsi="宋体"/>
                      <w:iCs/>
                      <w:szCs w:val="21"/>
                      <w:u w:val="single"/>
                    </w:rPr>
                  </w:pPr>
                  <w:r>
                    <w:rPr>
                      <w:rFonts w:hint="eastAsia" w:ascii="宋体" w:hAnsi="宋体"/>
                      <w:iCs/>
                      <w:szCs w:val="21"/>
                      <w:u w:val="single"/>
                    </w:rPr>
                    <w:t>3</w:t>
                  </w:r>
                </w:p>
              </w:tc>
              <w:tc>
                <w:tcPr>
                  <w:tcW w:w="724" w:type="dxa"/>
                </w:tcPr>
                <w:p w14:paraId="4F8D0A4A">
                  <w:pPr>
                    <w:jc w:val="center"/>
                    <w:rPr>
                      <w:rFonts w:ascii="宋体" w:hAnsi="宋体"/>
                      <w:iCs/>
                      <w:szCs w:val="21"/>
                      <w:u w:val="single"/>
                    </w:rPr>
                  </w:pPr>
                  <w:r>
                    <w:rPr>
                      <w:rFonts w:hint="eastAsia" w:ascii="宋体" w:hAnsi="宋体"/>
                      <w:iCs/>
                      <w:szCs w:val="21"/>
                      <w:u w:val="single"/>
                    </w:rPr>
                    <w:t>环保单元</w:t>
                  </w:r>
                </w:p>
              </w:tc>
              <w:tc>
                <w:tcPr>
                  <w:tcW w:w="1060" w:type="dxa"/>
                </w:tcPr>
                <w:p w14:paraId="5EC0291E">
                  <w:pPr>
                    <w:jc w:val="center"/>
                    <w:rPr>
                      <w:rFonts w:ascii="宋体" w:hAnsi="宋体"/>
                      <w:iCs/>
                      <w:szCs w:val="21"/>
                      <w:u w:val="single"/>
                    </w:rPr>
                  </w:pPr>
                  <w:r>
                    <w:rPr>
                      <w:rFonts w:hint="eastAsia" w:ascii="宋体" w:hAnsi="宋体"/>
                      <w:iCs/>
                      <w:szCs w:val="21"/>
                      <w:u w:val="single"/>
                    </w:rPr>
                    <w:t>各项污染治理设施</w:t>
                  </w:r>
                </w:p>
              </w:tc>
              <w:tc>
                <w:tcPr>
                  <w:tcW w:w="1276" w:type="dxa"/>
                </w:tcPr>
                <w:p w14:paraId="33CB1D54">
                  <w:pPr>
                    <w:jc w:val="center"/>
                    <w:rPr>
                      <w:rFonts w:ascii="宋体" w:hAnsi="宋体"/>
                      <w:iCs/>
                      <w:szCs w:val="21"/>
                      <w:u w:val="single"/>
                    </w:rPr>
                  </w:pPr>
                  <w:r>
                    <w:rPr>
                      <w:rFonts w:hint="eastAsia" w:ascii="宋体" w:hAnsi="宋体"/>
                      <w:iCs/>
                      <w:szCs w:val="21"/>
                      <w:u w:val="single"/>
                    </w:rPr>
                    <w:t>废水、废气</w:t>
                  </w:r>
                </w:p>
              </w:tc>
              <w:tc>
                <w:tcPr>
                  <w:tcW w:w="1843" w:type="dxa"/>
                </w:tcPr>
                <w:p w14:paraId="0B86A5C5">
                  <w:pPr>
                    <w:jc w:val="center"/>
                    <w:rPr>
                      <w:rFonts w:ascii="宋体" w:hAnsi="宋体"/>
                      <w:iCs/>
                      <w:szCs w:val="21"/>
                      <w:u w:val="single"/>
                    </w:rPr>
                  </w:pPr>
                  <w:r>
                    <w:rPr>
                      <w:rFonts w:hint="eastAsia" w:ascii="宋体" w:hAnsi="宋体"/>
                      <w:iCs/>
                      <w:szCs w:val="21"/>
                      <w:u w:val="single"/>
                    </w:rPr>
                    <w:t>异常排放</w:t>
                  </w:r>
                </w:p>
              </w:tc>
              <w:tc>
                <w:tcPr>
                  <w:tcW w:w="1208" w:type="dxa"/>
                  <w:vMerge w:val="continue"/>
                </w:tcPr>
                <w:p w14:paraId="420E0F5A">
                  <w:pPr>
                    <w:jc w:val="center"/>
                    <w:rPr>
                      <w:rFonts w:ascii="宋体" w:hAnsi="宋体"/>
                      <w:iCs/>
                      <w:szCs w:val="21"/>
                      <w:u w:val="single"/>
                    </w:rPr>
                  </w:pPr>
                </w:p>
              </w:tc>
              <w:tc>
                <w:tcPr>
                  <w:tcW w:w="1666" w:type="dxa"/>
                  <w:vMerge w:val="continue"/>
                </w:tcPr>
                <w:p w14:paraId="09C5727E">
                  <w:pPr>
                    <w:jc w:val="center"/>
                    <w:rPr>
                      <w:rFonts w:ascii="宋体" w:hAnsi="宋体"/>
                      <w:iCs/>
                      <w:szCs w:val="21"/>
                      <w:u w:val="single"/>
                    </w:rPr>
                  </w:pPr>
                </w:p>
              </w:tc>
            </w:tr>
          </w:tbl>
          <w:p w14:paraId="66DC1AC0">
            <w:pPr>
              <w:spacing w:line="360" w:lineRule="auto"/>
              <w:ind w:firstLine="480" w:firstLineChars="200"/>
              <w:rPr>
                <w:bCs/>
                <w:sz w:val="24"/>
                <w:u w:val="single"/>
              </w:rPr>
            </w:pPr>
            <w:r>
              <w:rPr>
                <w:rFonts w:hint="eastAsia"/>
                <w:bCs/>
                <w:sz w:val="24"/>
                <w:u w:val="single"/>
              </w:rPr>
              <w:t>（4）环境风险分析</w:t>
            </w:r>
          </w:p>
          <w:p w14:paraId="269688DE">
            <w:pPr>
              <w:spacing w:line="360" w:lineRule="auto"/>
              <w:ind w:firstLine="480" w:firstLineChars="200"/>
              <w:rPr>
                <w:bCs/>
                <w:sz w:val="24"/>
                <w:u w:val="single"/>
              </w:rPr>
            </w:pPr>
            <w:r>
              <w:rPr>
                <w:rFonts w:hint="eastAsia"/>
                <w:bCs/>
                <w:sz w:val="24"/>
                <w:u w:val="single"/>
              </w:rPr>
              <w:t>①化学品泄漏环境风险影响分析</w:t>
            </w:r>
          </w:p>
          <w:p w14:paraId="10A7EFBE">
            <w:pPr>
              <w:spacing w:line="360" w:lineRule="auto"/>
              <w:ind w:firstLine="480" w:firstLineChars="200"/>
              <w:rPr>
                <w:bCs/>
                <w:sz w:val="24"/>
                <w:u w:val="single"/>
              </w:rPr>
            </w:pPr>
            <w:r>
              <w:rPr>
                <w:rFonts w:hint="eastAsia"/>
                <w:bCs/>
                <w:sz w:val="24"/>
                <w:u w:val="single"/>
              </w:rPr>
              <w:t>根据《化学品分类和危险性公示 通则》(GB13690-2009)内容，危险化学品包括8类：爆炸品、压缩气体和液化气体、易燃液体，易燃固体、自燃物品和遇湿易燃物品、氧化剂和有机过氧化物、有毒品、辐射性物品和腐蚀品。按照危险化学品鉴别方法，本项目设置专门的危险废物储存间，并安排专业人员管理。</w:t>
            </w:r>
          </w:p>
          <w:p w14:paraId="5B471714">
            <w:pPr>
              <w:spacing w:line="360" w:lineRule="auto"/>
              <w:ind w:firstLine="480" w:firstLineChars="200"/>
              <w:rPr>
                <w:bCs/>
                <w:sz w:val="24"/>
                <w:u w:val="single"/>
              </w:rPr>
            </w:pPr>
            <w:r>
              <w:rPr>
                <w:rFonts w:hint="eastAsia"/>
                <w:bCs/>
                <w:sz w:val="24"/>
                <w:u w:val="single"/>
              </w:rPr>
              <w:t>②火灾影响分析</w:t>
            </w:r>
          </w:p>
          <w:p w14:paraId="648DB139">
            <w:pPr>
              <w:spacing w:line="360" w:lineRule="auto"/>
              <w:ind w:firstLine="480" w:firstLineChars="200"/>
              <w:rPr>
                <w:bCs/>
                <w:sz w:val="24"/>
                <w:u w:val="single"/>
              </w:rPr>
            </w:pPr>
            <w:r>
              <w:rPr>
                <w:rFonts w:hint="eastAsia"/>
                <w:bCs/>
                <w:sz w:val="24"/>
                <w:u w:val="single"/>
              </w:rPr>
              <w:t>项目可能引起火灾事故主要包括项目内电器、电路等因短路、过载和接触不良等原因可能引起火灾，危险废物中废机油、废油桶、废含油抹布遇明火引起火灾。</w:t>
            </w:r>
          </w:p>
          <w:p w14:paraId="7F7181A2">
            <w:pPr>
              <w:spacing w:line="360" w:lineRule="auto"/>
              <w:ind w:firstLine="480" w:firstLineChars="200"/>
              <w:rPr>
                <w:bCs/>
                <w:sz w:val="24"/>
                <w:u w:val="single"/>
              </w:rPr>
            </w:pPr>
            <w:r>
              <w:rPr>
                <w:rFonts w:hint="eastAsia"/>
                <w:bCs/>
                <w:sz w:val="24"/>
                <w:u w:val="single"/>
              </w:rPr>
              <w:t>火灾事故可能造成建筑损坏，人员伤亡，波及周边环境；火灾事故中燃烧释放的浓烟和有毒有害气体直接排放，对周边大气环境造成影响。本项目火势较小时，通常采用手提式干粉灭火器进行灭火救援，不会产生消防废水；本项目火势较大甚至蔓延时，通常采用消防栓喷水进行灭火救援，因此火灾后的消防废水未收集处理直接排放进入雨水收集系统，会对地表水造成影响。</w:t>
            </w:r>
          </w:p>
          <w:p w14:paraId="4C5E2680">
            <w:pPr>
              <w:spacing w:line="360" w:lineRule="auto"/>
              <w:ind w:firstLine="480" w:firstLineChars="200"/>
              <w:rPr>
                <w:bCs/>
                <w:sz w:val="24"/>
                <w:u w:val="single"/>
              </w:rPr>
            </w:pPr>
            <w:r>
              <w:rPr>
                <w:rFonts w:hint="eastAsia"/>
                <w:bCs/>
                <w:sz w:val="24"/>
                <w:u w:val="single"/>
              </w:rPr>
              <w:t>（5）环境风险防范措施及应急要求</w:t>
            </w:r>
          </w:p>
          <w:p w14:paraId="5734D141">
            <w:pPr>
              <w:spacing w:line="360" w:lineRule="auto"/>
              <w:ind w:firstLine="480" w:firstLineChars="200"/>
              <w:rPr>
                <w:bCs/>
                <w:sz w:val="24"/>
                <w:u w:val="single"/>
              </w:rPr>
            </w:pPr>
            <w:r>
              <w:rPr>
                <w:rFonts w:hint="eastAsia"/>
                <w:bCs/>
                <w:sz w:val="24"/>
                <w:u w:val="single"/>
              </w:rPr>
              <w:t>为使本项目环境风险减小到最低限度，必须加强安全环保管理，制定完备、有效的安全环保防范措施，尽可能降低火灾及泄漏事故发生的概率。项目在总平面布置方面，应严格执行相关规范要求，所有区域之间或与其它场所之间留有足够的防火间距，防止在火灾或爆炸时相互影响；严格按环境风险特性，对进行危险区划分。在总平面布置中配套建设应急救援设施救援通道、应急疏散避难所等防护设施。按《安全标志》规定在装置区设置有关的安全标志。</w:t>
            </w:r>
          </w:p>
          <w:p w14:paraId="040B68E6">
            <w:pPr>
              <w:spacing w:line="360" w:lineRule="auto"/>
              <w:ind w:firstLine="480" w:firstLineChars="200"/>
              <w:rPr>
                <w:bCs/>
                <w:sz w:val="24"/>
                <w:u w:val="single"/>
              </w:rPr>
            </w:pPr>
            <w:r>
              <w:rPr>
                <w:rFonts w:hint="eastAsia"/>
                <w:bCs/>
                <w:sz w:val="24"/>
                <w:u w:val="single"/>
              </w:rPr>
              <w:t>危险废物泄漏风险防范措施</w:t>
            </w:r>
          </w:p>
          <w:p w14:paraId="7804CB9B">
            <w:pPr>
              <w:spacing w:line="360" w:lineRule="auto"/>
              <w:ind w:firstLine="480" w:firstLineChars="200"/>
              <w:rPr>
                <w:bCs/>
                <w:sz w:val="24"/>
                <w:u w:val="single"/>
              </w:rPr>
            </w:pPr>
            <w:r>
              <w:rPr>
                <w:rFonts w:hint="eastAsia"/>
                <w:bCs/>
                <w:sz w:val="24"/>
                <w:u w:val="single"/>
              </w:rPr>
              <w:t>其他危废分类收集后暂存于危废暂存间，盛装危险废物的容器应当符合标准，禁止将不相容(相互反应)的危险废物在同一容器内混装，盛装危险废物的容器上必须粘贴符合《危险废物识别标志设置技术规范》(HJ1276-2022)标准中所示的标签。危废暂存库地面采取重点防渗措施，其防渗系数应满足《危险废物贮存污染控制标准》(GB18597-2023)要求进行防渗处理，地面有良好的排水性能，易于清洁和消毒。制定危废暂存管理的规章制度、工作程序以及应急处理措施。</w:t>
            </w:r>
          </w:p>
          <w:p w14:paraId="470F796D">
            <w:pPr>
              <w:spacing w:line="360" w:lineRule="auto"/>
              <w:ind w:firstLine="480" w:firstLineChars="200"/>
              <w:rPr>
                <w:bCs/>
                <w:sz w:val="24"/>
                <w:u w:val="single"/>
              </w:rPr>
            </w:pPr>
            <w:r>
              <w:rPr>
                <w:rFonts w:hint="eastAsia"/>
                <w:bCs/>
                <w:sz w:val="24"/>
                <w:u w:val="single"/>
              </w:rPr>
              <w:t>火灾风险事故防范措施</w:t>
            </w:r>
          </w:p>
          <w:p w14:paraId="68636BB8">
            <w:pPr>
              <w:spacing w:line="360" w:lineRule="auto"/>
              <w:ind w:firstLine="480" w:firstLineChars="200"/>
              <w:rPr>
                <w:bCs/>
                <w:sz w:val="24"/>
                <w:u w:val="single"/>
              </w:rPr>
            </w:pPr>
            <w:r>
              <w:rPr>
                <w:rFonts w:hint="eastAsia"/>
                <w:bCs/>
                <w:sz w:val="24"/>
                <w:u w:val="single"/>
              </w:rPr>
              <w:t>消防设施均按照国家相关规范设计实施，根据《建筑灭火器配置设计规范》的规定，在项目内配备足够的消防器材。安装火灾烟雾报警器，以便及时发现险情。发生事故时，三级沉淀池作为事故储池使用，事故废水经收集后抽运至污水处理厂处理达标后排放。加强人员的安全防火意识，电气设备定期巡检，防止电气火灾发生。火灾一旦发生，在消防员未赶到前全体员工必须听从指挥，根据职责和要求，分头迅速开展火灾抢救、报警、开启应急通道，疏散人流，切断电源等工作；必须保持消防通道畅通，出入口有明显标志，应急照明，消防通道及安全门不能锁闭，疏散路线有明显的引导图例；当火灾发生时，采用适当的方法组织灭火、疏散，必须配备足够的消防器材；所有参加灭火与应急疏散工作的领导、工作人员应打开通信工具，确保通讯畅通，确保行动协调统一指挥。</w:t>
            </w:r>
          </w:p>
          <w:p w14:paraId="44CA9825">
            <w:pPr>
              <w:spacing w:line="360" w:lineRule="auto"/>
              <w:ind w:firstLine="480" w:firstLineChars="200"/>
              <w:rPr>
                <w:bCs/>
                <w:sz w:val="24"/>
                <w:u w:val="single"/>
              </w:rPr>
            </w:pPr>
            <w:r>
              <w:rPr>
                <w:rFonts w:hint="eastAsia"/>
                <w:bCs/>
                <w:sz w:val="24"/>
                <w:u w:val="single"/>
              </w:rPr>
              <w:t>（6）应急预案</w:t>
            </w:r>
          </w:p>
          <w:p w14:paraId="0FCEC6BE">
            <w:pPr>
              <w:spacing w:line="360" w:lineRule="auto"/>
              <w:ind w:firstLine="480" w:firstLineChars="200"/>
              <w:rPr>
                <w:bCs/>
                <w:sz w:val="24"/>
                <w:u w:val="single"/>
              </w:rPr>
            </w:pPr>
            <w:r>
              <w:rPr>
                <w:rFonts w:hint="eastAsia"/>
                <w:bCs/>
                <w:sz w:val="24"/>
                <w:u w:val="single"/>
              </w:rPr>
              <w:t>根据《企业事业单位突发环境事件应急预案备案管理办法(试行)》、《中华人民共和国突发事件应对法》、《突发事件应急预案管理办法》等规定和要求，建设单位应进行突发环境事件应急预案的备案工作，包括环境应急预案及编制说明、环境风险评估报告、环境应急资源调查报告、环境应急预案评审意见、发布令等内容，并在项目投入生产或使用前到当地主管部门进行备案。</w:t>
            </w:r>
          </w:p>
          <w:p w14:paraId="2E52961D">
            <w:pPr>
              <w:spacing w:line="360" w:lineRule="auto"/>
              <w:ind w:firstLine="480" w:firstLineChars="200"/>
              <w:rPr>
                <w:bCs/>
                <w:sz w:val="24"/>
                <w:u w:val="single"/>
              </w:rPr>
            </w:pPr>
            <w:r>
              <w:rPr>
                <w:rFonts w:hint="eastAsia"/>
                <w:bCs/>
                <w:sz w:val="24"/>
                <w:u w:val="single"/>
              </w:rPr>
              <w:t>A、成立环境应急预案编制组，明确编制组组长和成员组成、工作任务、编制计划和经费预算等。</w:t>
            </w:r>
          </w:p>
          <w:p w14:paraId="649F6780">
            <w:pPr>
              <w:spacing w:line="360" w:lineRule="auto"/>
              <w:ind w:firstLine="480" w:firstLineChars="200"/>
              <w:rPr>
                <w:bCs/>
                <w:sz w:val="24"/>
                <w:u w:val="single"/>
              </w:rPr>
            </w:pPr>
            <w:r>
              <w:rPr>
                <w:rFonts w:hint="eastAsia"/>
                <w:bCs/>
                <w:sz w:val="24"/>
                <w:u w:val="single"/>
              </w:rPr>
              <w:t>B、开展环境风险评估和应急资源调查。环境风险评估包括但不限于：分析各类事故衍化规律、自然灾害影响程度，识别环境危害因素，分析与周边可能受影响的居民、单位、区域环境的关系，构建突发环境事件及其后果情景，确定环境风险等级。应急资源调查包括但不限于：调查第一时间可调用的环境应急队伍、装备、物资、场所等应急资源状况和可请求援助或协议援助的应急资源状况。</w:t>
            </w:r>
          </w:p>
          <w:p w14:paraId="557EDAC7">
            <w:pPr>
              <w:spacing w:line="360" w:lineRule="auto"/>
              <w:ind w:firstLine="480" w:firstLineChars="200"/>
              <w:rPr>
                <w:bCs/>
                <w:sz w:val="24"/>
                <w:u w:val="single"/>
              </w:rPr>
            </w:pPr>
            <w:r>
              <w:rPr>
                <w:rFonts w:hint="eastAsia"/>
                <w:bCs/>
                <w:sz w:val="24"/>
                <w:u w:val="single"/>
              </w:rPr>
              <w:t>C、编制风险应急预案。合理选择类别，确定内容，重点说明可能的突发环境事件情景下需要采取的处置措施、向可能受影响的居民和单位通报的内容与方式、向环境保护部门和有关部门报告的内容与方式、以及与政府预案的衔接方式，形式环境应急预案。编制过程中，应征求可能受到影响的居民和单位代表的意见。</w:t>
            </w:r>
          </w:p>
          <w:p w14:paraId="6C34326A">
            <w:pPr>
              <w:spacing w:line="360" w:lineRule="auto"/>
              <w:ind w:firstLine="480" w:firstLineChars="200"/>
              <w:rPr>
                <w:bCs/>
                <w:sz w:val="24"/>
                <w:u w:val="single"/>
              </w:rPr>
            </w:pPr>
            <w:r>
              <w:rPr>
                <w:rFonts w:hint="eastAsia"/>
                <w:bCs/>
                <w:sz w:val="24"/>
                <w:u w:val="single"/>
              </w:rPr>
              <w:t>D、评审和演练环境应急预案。企业组织专家和可能受影响的居民、单位代表对环境应急预案进行评审；开展演练进行检验。评审专家一般应包括环境应急预案涉及的相关政府管理部门人员、相关行业协议代表、具有相关领域经验的人员等。</w:t>
            </w:r>
          </w:p>
          <w:p w14:paraId="0D1E1D96">
            <w:pPr>
              <w:spacing w:line="360" w:lineRule="auto"/>
              <w:ind w:firstLine="480" w:firstLineChars="200"/>
              <w:rPr>
                <w:bCs/>
                <w:sz w:val="24"/>
                <w:u w:val="single"/>
              </w:rPr>
            </w:pPr>
            <w:r>
              <w:rPr>
                <w:rFonts w:hint="eastAsia"/>
                <w:bCs/>
                <w:sz w:val="24"/>
                <w:u w:val="single"/>
              </w:rPr>
              <w:t>E、签署发布环境应急预案。环境应急预案经企业有关会议审议，由企业主要负责人签署发布。在编制的突发环境事件应急预案中应包括以下重点内容。</w:t>
            </w:r>
          </w:p>
          <w:p w14:paraId="6FD06F08">
            <w:pPr>
              <w:spacing w:line="360" w:lineRule="auto"/>
              <w:ind w:firstLine="480" w:firstLineChars="200"/>
              <w:jc w:val="center"/>
              <w:rPr>
                <w:b/>
                <w:bCs/>
                <w:sz w:val="24"/>
                <w:u w:val="single"/>
              </w:rPr>
            </w:pPr>
            <w:r>
              <w:rPr>
                <w:rFonts w:hint="eastAsia"/>
                <w:b/>
                <w:bCs/>
                <w:sz w:val="24"/>
                <w:u w:val="single"/>
              </w:rPr>
              <w:t>表4-15  突发环境事件应急预案纲要</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38"/>
              <w:gridCol w:w="3083"/>
              <w:gridCol w:w="4577"/>
            </w:tblGrid>
            <w:tr w14:paraId="79D5F09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738" w:type="dxa"/>
                </w:tcPr>
                <w:p w14:paraId="71C4E8CE">
                  <w:pPr>
                    <w:jc w:val="center"/>
                    <w:rPr>
                      <w:rFonts w:ascii="宋体" w:hAnsi="宋体"/>
                      <w:bCs/>
                      <w:szCs w:val="21"/>
                      <w:u w:val="single"/>
                    </w:rPr>
                  </w:pPr>
                  <w:r>
                    <w:rPr>
                      <w:rFonts w:hint="eastAsia" w:ascii="宋体" w:hAnsi="宋体"/>
                      <w:bCs/>
                      <w:szCs w:val="21"/>
                      <w:u w:val="single"/>
                    </w:rPr>
                    <w:t>序号</w:t>
                  </w:r>
                </w:p>
              </w:tc>
              <w:tc>
                <w:tcPr>
                  <w:tcW w:w="3083" w:type="dxa"/>
                </w:tcPr>
                <w:p w14:paraId="2E811C68">
                  <w:pPr>
                    <w:jc w:val="center"/>
                    <w:rPr>
                      <w:rFonts w:ascii="宋体" w:hAnsi="宋体"/>
                      <w:bCs/>
                      <w:szCs w:val="21"/>
                      <w:u w:val="single"/>
                    </w:rPr>
                  </w:pPr>
                  <w:r>
                    <w:rPr>
                      <w:rFonts w:hint="eastAsia" w:ascii="宋体" w:hAnsi="宋体"/>
                      <w:bCs/>
                      <w:szCs w:val="21"/>
                      <w:u w:val="single"/>
                    </w:rPr>
                    <w:t>项目</w:t>
                  </w:r>
                </w:p>
              </w:tc>
              <w:tc>
                <w:tcPr>
                  <w:tcW w:w="4577" w:type="dxa"/>
                </w:tcPr>
                <w:p w14:paraId="3A95AABC">
                  <w:pPr>
                    <w:jc w:val="center"/>
                    <w:rPr>
                      <w:rFonts w:ascii="宋体" w:hAnsi="宋体"/>
                      <w:bCs/>
                      <w:szCs w:val="21"/>
                      <w:u w:val="single"/>
                    </w:rPr>
                  </w:pPr>
                  <w:r>
                    <w:rPr>
                      <w:rFonts w:hint="eastAsia" w:ascii="宋体" w:hAnsi="宋体"/>
                      <w:bCs/>
                      <w:szCs w:val="21"/>
                      <w:u w:val="single"/>
                    </w:rPr>
                    <w:t>内容及要求</w:t>
                  </w:r>
                </w:p>
              </w:tc>
            </w:tr>
            <w:tr w14:paraId="3A314F3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738" w:type="dxa"/>
                </w:tcPr>
                <w:p w14:paraId="084532F8">
                  <w:pPr>
                    <w:jc w:val="center"/>
                    <w:rPr>
                      <w:rFonts w:ascii="宋体" w:hAnsi="宋体"/>
                      <w:bCs/>
                      <w:szCs w:val="21"/>
                      <w:u w:val="single"/>
                    </w:rPr>
                  </w:pPr>
                  <w:r>
                    <w:rPr>
                      <w:rFonts w:hint="eastAsia" w:ascii="宋体" w:hAnsi="宋体"/>
                      <w:bCs/>
                      <w:szCs w:val="21"/>
                      <w:u w:val="single"/>
                    </w:rPr>
                    <w:t>1</w:t>
                  </w:r>
                </w:p>
              </w:tc>
              <w:tc>
                <w:tcPr>
                  <w:tcW w:w="3083" w:type="dxa"/>
                </w:tcPr>
                <w:p w14:paraId="2E99E1F3">
                  <w:pPr>
                    <w:jc w:val="center"/>
                    <w:rPr>
                      <w:rFonts w:ascii="宋体" w:hAnsi="宋体"/>
                      <w:bCs/>
                      <w:szCs w:val="21"/>
                      <w:u w:val="single"/>
                    </w:rPr>
                  </w:pPr>
                  <w:r>
                    <w:rPr>
                      <w:rFonts w:hint="eastAsia" w:ascii="宋体" w:hAnsi="宋体"/>
                      <w:bCs/>
                      <w:szCs w:val="21"/>
                      <w:u w:val="single"/>
                    </w:rPr>
                    <w:t>总则</w:t>
                  </w:r>
                </w:p>
              </w:tc>
              <w:tc>
                <w:tcPr>
                  <w:tcW w:w="4577" w:type="dxa"/>
                </w:tcPr>
                <w:p w14:paraId="0255BDE1">
                  <w:pPr>
                    <w:jc w:val="left"/>
                    <w:rPr>
                      <w:rFonts w:ascii="宋体" w:hAnsi="宋体"/>
                      <w:bCs/>
                      <w:szCs w:val="21"/>
                      <w:u w:val="single"/>
                    </w:rPr>
                  </w:pPr>
                  <w:r>
                    <w:rPr>
                      <w:rFonts w:hint="eastAsia" w:ascii="宋体" w:hAnsi="宋体"/>
                      <w:bCs/>
                      <w:szCs w:val="21"/>
                      <w:u w:val="single"/>
                    </w:rPr>
                    <w:t>/</w:t>
                  </w:r>
                </w:p>
              </w:tc>
            </w:tr>
            <w:tr w14:paraId="6405EA0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38" w:type="dxa"/>
                </w:tcPr>
                <w:p w14:paraId="4EAFCA4C">
                  <w:pPr>
                    <w:jc w:val="center"/>
                    <w:rPr>
                      <w:rFonts w:ascii="宋体" w:hAnsi="宋体"/>
                      <w:bCs/>
                      <w:szCs w:val="21"/>
                      <w:u w:val="single"/>
                    </w:rPr>
                  </w:pPr>
                  <w:r>
                    <w:rPr>
                      <w:rFonts w:hint="eastAsia" w:ascii="宋体" w:hAnsi="宋体"/>
                      <w:bCs/>
                      <w:szCs w:val="21"/>
                      <w:u w:val="single"/>
                    </w:rPr>
                    <w:t>2</w:t>
                  </w:r>
                </w:p>
              </w:tc>
              <w:tc>
                <w:tcPr>
                  <w:tcW w:w="3083" w:type="dxa"/>
                </w:tcPr>
                <w:p w14:paraId="2F2164DB">
                  <w:pPr>
                    <w:jc w:val="center"/>
                    <w:rPr>
                      <w:rFonts w:ascii="宋体" w:hAnsi="宋体"/>
                      <w:bCs/>
                      <w:szCs w:val="21"/>
                      <w:u w:val="single"/>
                    </w:rPr>
                  </w:pPr>
                  <w:r>
                    <w:rPr>
                      <w:rFonts w:hint="eastAsia" w:ascii="宋体" w:hAnsi="宋体"/>
                      <w:bCs/>
                      <w:szCs w:val="21"/>
                      <w:u w:val="single"/>
                    </w:rPr>
                    <w:t>危险源概况</w:t>
                  </w:r>
                </w:p>
              </w:tc>
              <w:tc>
                <w:tcPr>
                  <w:tcW w:w="4577" w:type="dxa"/>
                </w:tcPr>
                <w:p w14:paraId="2EFC116E">
                  <w:pPr>
                    <w:jc w:val="left"/>
                    <w:rPr>
                      <w:rFonts w:ascii="宋体" w:hAnsi="宋体"/>
                      <w:bCs/>
                      <w:szCs w:val="21"/>
                      <w:u w:val="single"/>
                    </w:rPr>
                  </w:pPr>
                  <w:r>
                    <w:rPr>
                      <w:rFonts w:hint="eastAsia" w:ascii="宋体" w:hAnsi="宋体"/>
                      <w:bCs/>
                      <w:szCs w:val="21"/>
                      <w:u w:val="single"/>
                    </w:rPr>
                    <w:t>详述危险源类型、数量及其分布，如化学品存储位置、存储量等</w:t>
                  </w:r>
                </w:p>
              </w:tc>
            </w:tr>
            <w:tr w14:paraId="63D08D1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738" w:type="dxa"/>
                </w:tcPr>
                <w:p w14:paraId="7A4C4951">
                  <w:pPr>
                    <w:jc w:val="center"/>
                    <w:rPr>
                      <w:rFonts w:ascii="宋体" w:hAnsi="宋体"/>
                      <w:bCs/>
                      <w:szCs w:val="21"/>
                      <w:u w:val="single"/>
                    </w:rPr>
                  </w:pPr>
                  <w:r>
                    <w:rPr>
                      <w:rFonts w:hint="eastAsia" w:ascii="宋体" w:hAnsi="宋体"/>
                      <w:bCs/>
                      <w:szCs w:val="21"/>
                      <w:u w:val="single"/>
                    </w:rPr>
                    <w:t>3</w:t>
                  </w:r>
                </w:p>
              </w:tc>
              <w:tc>
                <w:tcPr>
                  <w:tcW w:w="3083" w:type="dxa"/>
                </w:tcPr>
                <w:p w14:paraId="01BA8992">
                  <w:pPr>
                    <w:jc w:val="center"/>
                    <w:rPr>
                      <w:rFonts w:ascii="宋体" w:hAnsi="宋体"/>
                      <w:bCs/>
                      <w:szCs w:val="21"/>
                      <w:u w:val="single"/>
                    </w:rPr>
                  </w:pPr>
                  <w:r>
                    <w:rPr>
                      <w:rFonts w:hint="eastAsia" w:ascii="宋体" w:hAnsi="宋体"/>
                      <w:bCs/>
                      <w:szCs w:val="21"/>
                      <w:u w:val="single"/>
                    </w:rPr>
                    <w:t>应急计划区</w:t>
                  </w:r>
                </w:p>
              </w:tc>
              <w:tc>
                <w:tcPr>
                  <w:tcW w:w="4577" w:type="dxa"/>
                </w:tcPr>
                <w:p w14:paraId="4D274DBC">
                  <w:pPr>
                    <w:jc w:val="left"/>
                    <w:rPr>
                      <w:rFonts w:ascii="宋体" w:hAnsi="宋体"/>
                      <w:bCs/>
                      <w:szCs w:val="21"/>
                      <w:u w:val="single"/>
                    </w:rPr>
                  </w:pPr>
                  <w:r>
                    <w:rPr>
                      <w:rFonts w:hint="eastAsia" w:ascii="宋体" w:hAnsi="宋体"/>
                      <w:bCs/>
                      <w:szCs w:val="21"/>
                      <w:u w:val="single"/>
                    </w:rPr>
                    <w:t>布置区、储藏区、邻区</w:t>
                  </w:r>
                </w:p>
              </w:tc>
            </w:tr>
            <w:tr w14:paraId="23A38CE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38" w:type="dxa"/>
                </w:tcPr>
                <w:p w14:paraId="0EEECAC6">
                  <w:pPr>
                    <w:jc w:val="center"/>
                    <w:rPr>
                      <w:rFonts w:ascii="宋体" w:hAnsi="宋体"/>
                      <w:bCs/>
                      <w:szCs w:val="21"/>
                      <w:u w:val="single"/>
                    </w:rPr>
                  </w:pPr>
                  <w:r>
                    <w:rPr>
                      <w:rFonts w:hint="eastAsia" w:ascii="宋体" w:hAnsi="宋体"/>
                      <w:bCs/>
                      <w:szCs w:val="21"/>
                      <w:u w:val="single"/>
                    </w:rPr>
                    <w:t>4</w:t>
                  </w:r>
                </w:p>
              </w:tc>
              <w:tc>
                <w:tcPr>
                  <w:tcW w:w="3083" w:type="dxa"/>
                </w:tcPr>
                <w:p w14:paraId="1DA3EF95">
                  <w:pPr>
                    <w:jc w:val="center"/>
                    <w:rPr>
                      <w:rFonts w:ascii="宋体" w:hAnsi="宋体"/>
                      <w:bCs/>
                      <w:szCs w:val="21"/>
                      <w:u w:val="single"/>
                    </w:rPr>
                  </w:pPr>
                  <w:r>
                    <w:rPr>
                      <w:rFonts w:hint="eastAsia" w:ascii="宋体" w:hAnsi="宋体"/>
                      <w:bCs/>
                      <w:szCs w:val="21"/>
                      <w:u w:val="single"/>
                    </w:rPr>
                    <w:t>应急组织</w:t>
                  </w:r>
                </w:p>
              </w:tc>
              <w:tc>
                <w:tcPr>
                  <w:tcW w:w="4577" w:type="dxa"/>
                </w:tcPr>
                <w:p w14:paraId="5AC08802">
                  <w:pPr>
                    <w:jc w:val="left"/>
                    <w:rPr>
                      <w:rFonts w:ascii="宋体" w:hAnsi="宋体"/>
                      <w:bCs/>
                      <w:szCs w:val="21"/>
                      <w:u w:val="single"/>
                    </w:rPr>
                  </w:pPr>
                  <w:r>
                    <w:rPr>
                      <w:rFonts w:hint="eastAsia" w:ascii="宋体" w:hAnsi="宋体"/>
                      <w:bCs/>
                      <w:szCs w:val="21"/>
                      <w:u w:val="single"/>
                    </w:rPr>
                    <w:t>院指挥部--负责现场全面指挥专业的救援队伍</w:t>
                  </w:r>
                </w:p>
                <w:p w14:paraId="5206FE36">
                  <w:pPr>
                    <w:jc w:val="left"/>
                    <w:rPr>
                      <w:rFonts w:ascii="宋体" w:hAnsi="宋体"/>
                      <w:bCs/>
                      <w:szCs w:val="21"/>
                      <w:u w:val="single"/>
                    </w:rPr>
                  </w:pPr>
                  <w:r>
                    <w:rPr>
                      <w:rFonts w:hint="eastAsia" w:ascii="宋体" w:hAnsi="宋体"/>
                      <w:bCs/>
                      <w:szCs w:val="21"/>
                      <w:u w:val="single"/>
                    </w:rPr>
                    <w:t>--负责事故控制、救援、善后处理</w:t>
                  </w:r>
                </w:p>
              </w:tc>
            </w:tr>
            <w:tr w14:paraId="15A84C9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738" w:type="dxa"/>
                </w:tcPr>
                <w:p w14:paraId="0AE11A75">
                  <w:pPr>
                    <w:jc w:val="center"/>
                    <w:rPr>
                      <w:rFonts w:ascii="宋体" w:hAnsi="宋体"/>
                      <w:bCs/>
                      <w:szCs w:val="21"/>
                      <w:u w:val="single"/>
                    </w:rPr>
                  </w:pPr>
                  <w:r>
                    <w:rPr>
                      <w:rFonts w:hint="eastAsia" w:ascii="宋体" w:hAnsi="宋体"/>
                      <w:bCs/>
                      <w:szCs w:val="21"/>
                      <w:u w:val="single"/>
                    </w:rPr>
                    <w:t>5</w:t>
                  </w:r>
                </w:p>
              </w:tc>
              <w:tc>
                <w:tcPr>
                  <w:tcW w:w="3083" w:type="dxa"/>
                </w:tcPr>
                <w:p w14:paraId="023C213D">
                  <w:pPr>
                    <w:jc w:val="center"/>
                    <w:rPr>
                      <w:rFonts w:ascii="宋体" w:hAnsi="宋体"/>
                      <w:bCs/>
                      <w:szCs w:val="21"/>
                      <w:u w:val="single"/>
                    </w:rPr>
                  </w:pPr>
                  <w:r>
                    <w:rPr>
                      <w:rFonts w:hint="eastAsia" w:ascii="宋体" w:hAnsi="宋体"/>
                      <w:bCs/>
                      <w:szCs w:val="21"/>
                      <w:u w:val="single"/>
                    </w:rPr>
                    <w:t>应急状态分类及应急响应程序</w:t>
                  </w:r>
                </w:p>
              </w:tc>
              <w:tc>
                <w:tcPr>
                  <w:tcW w:w="4577" w:type="dxa"/>
                </w:tcPr>
                <w:p w14:paraId="686F8440">
                  <w:pPr>
                    <w:jc w:val="left"/>
                    <w:rPr>
                      <w:rFonts w:ascii="宋体" w:hAnsi="宋体"/>
                      <w:bCs/>
                      <w:szCs w:val="21"/>
                      <w:u w:val="single"/>
                    </w:rPr>
                  </w:pPr>
                  <w:r>
                    <w:rPr>
                      <w:rFonts w:hint="eastAsia" w:ascii="宋体" w:hAnsi="宋体"/>
                      <w:bCs/>
                      <w:szCs w:val="21"/>
                      <w:u w:val="single"/>
                    </w:rPr>
                    <w:t>规定事故的级别及相应的应急分类相应程序</w:t>
                  </w:r>
                </w:p>
              </w:tc>
            </w:tr>
            <w:tr w14:paraId="2A181A9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738" w:type="dxa"/>
                </w:tcPr>
                <w:p w14:paraId="49E89482">
                  <w:pPr>
                    <w:jc w:val="center"/>
                    <w:rPr>
                      <w:rFonts w:ascii="宋体" w:hAnsi="宋体"/>
                      <w:bCs/>
                      <w:szCs w:val="21"/>
                      <w:u w:val="single"/>
                    </w:rPr>
                  </w:pPr>
                  <w:r>
                    <w:rPr>
                      <w:rFonts w:hint="eastAsia" w:ascii="宋体" w:hAnsi="宋体"/>
                      <w:bCs/>
                      <w:szCs w:val="21"/>
                      <w:u w:val="single"/>
                    </w:rPr>
                    <w:t>6</w:t>
                  </w:r>
                </w:p>
              </w:tc>
              <w:tc>
                <w:tcPr>
                  <w:tcW w:w="3083" w:type="dxa"/>
                </w:tcPr>
                <w:p w14:paraId="4FE81097">
                  <w:pPr>
                    <w:jc w:val="center"/>
                    <w:rPr>
                      <w:rFonts w:ascii="宋体" w:hAnsi="宋体"/>
                      <w:bCs/>
                      <w:szCs w:val="21"/>
                      <w:u w:val="single"/>
                    </w:rPr>
                  </w:pPr>
                  <w:r>
                    <w:rPr>
                      <w:rFonts w:hint="eastAsia" w:ascii="宋体" w:hAnsi="宋体"/>
                      <w:bCs/>
                      <w:szCs w:val="21"/>
                      <w:u w:val="single"/>
                    </w:rPr>
                    <w:t>应急设施设备与材料</w:t>
                  </w:r>
                </w:p>
              </w:tc>
              <w:tc>
                <w:tcPr>
                  <w:tcW w:w="4577" w:type="dxa"/>
                </w:tcPr>
                <w:p w14:paraId="39B70BC7">
                  <w:pPr>
                    <w:jc w:val="left"/>
                    <w:rPr>
                      <w:rFonts w:ascii="宋体" w:hAnsi="宋体"/>
                      <w:bCs/>
                      <w:szCs w:val="21"/>
                      <w:u w:val="single"/>
                    </w:rPr>
                  </w:pPr>
                  <w:r>
                    <w:rPr>
                      <w:rFonts w:hint="eastAsia" w:ascii="宋体" w:hAnsi="宋体"/>
                      <w:bCs/>
                      <w:szCs w:val="21"/>
                      <w:u w:val="single"/>
                    </w:rPr>
                    <w:t>防泄漏事故应急设施、设备材料</w:t>
                  </w:r>
                </w:p>
              </w:tc>
            </w:tr>
            <w:tr w14:paraId="1F1486A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738" w:type="dxa"/>
                </w:tcPr>
                <w:p w14:paraId="06C94AEB">
                  <w:pPr>
                    <w:jc w:val="center"/>
                    <w:rPr>
                      <w:rFonts w:ascii="宋体" w:hAnsi="宋体"/>
                      <w:bCs/>
                      <w:szCs w:val="21"/>
                      <w:u w:val="single"/>
                    </w:rPr>
                  </w:pPr>
                  <w:r>
                    <w:rPr>
                      <w:rFonts w:hint="eastAsia" w:ascii="宋体" w:hAnsi="宋体"/>
                      <w:bCs/>
                      <w:szCs w:val="21"/>
                      <w:u w:val="single"/>
                    </w:rPr>
                    <w:t>7</w:t>
                  </w:r>
                </w:p>
              </w:tc>
              <w:tc>
                <w:tcPr>
                  <w:tcW w:w="3083" w:type="dxa"/>
                </w:tcPr>
                <w:p w14:paraId="0F6C1C44">
                  <w:pPr>
                    <w:jc w:val="center"/>
                    <w:rPr>
                      <w:rFonts w:ascii="宋体" w:hAnsi="宋体"/>
                      <w:bCs/>
                      <w:szCs w:val="21"/>
                      <w:u w:val="single"/>
                    </w:rPr>
                  </w:pPr>
                  <w:r>
                    <w:rPr>
                      <w:rFonts w:hint="eastAsia" w:ascii="宋体" w:hAnsi="宋体"/>
                      <w:bCs/>
                      <w:szCs w:val="21"/>
                      <w:u w:val="single"/>
                    </w:rPr>
                    <w:t>应急通讯</w:t>
                  </w:r>
                </w:p>
              </w:tc>
              <w:tc>
                <w:tcPr>
                  <w:tcW w:w="4577" w:type="dxa"/>
                </w:tcPr>
                <w:p w14:paraId="0FD787F5">
                  <w:pPr>
                    <w:jc w:val="left"/>
                    <w:rPr>
                      <w:rFonts w:ascii="宋体" w:hAnsi="宋体"/>
                      <w:bCs/>
                      <w:szCs w:val="21"/>
                      <w:u w:val="single"/>
                    </w:rPr>
                  </w:pPr>
                  <w:r>
                    <w:rPr>
                      <w:rFonts w:hint="eastAsia" w:ascii="宋体" w:hAnsi="宋体"/>
                      <w:bCs/>
                      <w:szCs w:val="21"/>
                      <w:u w:val="single"/>
                    </w:rPr>
                    <w:t>规定应急状态下的通讯方式、通知方式</w:t>
                  </w:r>
                </w:p>
              </w:tc>
            </w:tr>
            <w:tr w14:paraId="6BC1F5A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38" w:type="dxa"/>
                </w:tcPr>
                <w:p w14:paraId="2E2D6245">
                  <w:pPr>
                    <w:jc w:val="center"/>
                    <w:rPr>
                      <w:rFonts w:ascii="宋体" w:hAnsi="宋体"/>
                      <w:bCs/>
                      <w:szCs w:val="21"/>
                      <w:u w:val="single"/>
                    </w:rPr>
                  </w:pPr>
                  <w:r>
                    <w:rPr>
                      <w:rFonts w:hint="eastAsia" w:ascii="宋体" w:hAnsi="宋体"/>
                      <w:bCs/>
                      <w:szCs w:val="21"/>
                      <w:u w:val="single"/>
                    </w:rPr>
                    <w:t>8</w:t>
                  </w:r>
                </w:p>
              </w:tc>
              <w:tc>
                <w:tcPr>
                  <w:tcW w:w="3083" w:type="dxa"/>
                </w:tcPr>
                <w:p w14:paraId="2F71F573">
                  <w:pPr>
                    <w:jc w:val="center"/>
                    <w:rPr>
                      <w:rFonts w:ascii="宋体" w:hAnsi="宋体"/>
                      <w:bCs/>
                      <w:szCs w:val="21"/>
                      <w:u w:val="single"/>
                    </w:rPr>
                  </w:pPr>
                  <w:r>
                    <w:rPr>
                      <w:rFonts w:hint="eastAsia" w:ascii="宋体" w:hAnsi="宋体"/>
                      <w:bCs/>
                      <w:szCs w:val="21"/>
                      <w:u w:val="single"/>
                    </w:rPr>
                    <w:t>应急环境监测及事故后评估</w:t>
                  </w:r>
                </w:p>
              </w:tc>
              <w:tc>
                <w:tcPr>
                  <w:tcW w:w="4577" w:type="dxa"/>
                </w:tcPr>
                <w:p w14:paraId="74065D1B">
                  <w:pPr>
                    <w:jc w:val="left"/>
                    <w:rPr>
                      <w:rFonts w:ascii="宋体" w:hAnsi="宋体"/>
                      <w:bCs/>
                      <w:szCs w:val="21"/>
                      <w:u w:val="single"/>
                    </w:rPr>
                  </w:pPr>
                  <w:r>
                    <w:rPr>
                      <w:rFonts w:hint="eastAsia" w:ascii="宋体" w:hAnsi="宋体"/>
                      <w:bCs/>
                      <w:szCs w:val="21"/>
                      <w:u w:val="single"/>
                    </w:rPr>
                    <w:t>由专业队伍负责对事故现场进行勘察监测，对事故性质、参数与后果进行评估，为指挥部门提供决策依据</w:t>
                  </w:r>
                </w:p>
              </w:tc>
            </w:tr>
            <w:tr w14:paraId="1BB8F43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37" w:hRule="atLeast"/>
                <w:jc w:val="center"/>
              </w:trPr>
              <w:tc>
                <w:tcPr>
                  <w:tcW w:w="738" w:type="dxa"/>
                </w:tcPr>
                <w:p w14:paraId="1732416B">
                  <w:pPr>
                    <w:jc w:val="center"/>
                    <w:rPr>
                      <w:rFonts w:ascii="宋体" w:hAnsi="宋体"/>
                      <w:bCs/>
                      <w:szCs w:val="21"/>
                      <w:u w:val="single"/>
                    </w:rPr>
                  </w:pPr>
                  <w:r>
                    <w:rPr>
                      <w:rFonts w:hint="eastAsia" w:ascii="宋体" w:hAnsi="宋体"/>
                      <w:bCs/>
                      <w:szCs w:val="21"/>
                      <w:u w:val="single"/>
                    </w:rPr>
                    <w:t>9</w:t>
                  </w:r>
                </w:p>
              </w:tc>
              <w:tc>
                <w:tcPr>
                  <w:tcW w:w="3083" w:type="dxa"/>
                </w:tcPr>
                <w:p w14:paraId="543CECD1">
                  <w:pPr>
                    <w:jc w:val="center"/>
                    <w:rPr>
                      <w:rFonts w:ascii="宋体" w:hAnsi="宋体"/>
                      <w:bCs/>
                      <w:szCs w:val="21"/>
                      <w:u w:val="single"/>
                    </w:rPr>
                  </w:pPr>
                  <w:r>
                    <w:rPr>
                      <w:rFonts w:hint="eastAsia" w:ascii="宋体" w:hAnsi="宋体"/>
                      <w:bCs/>
                      <w:szCs w:val="21"/>
                      <w:u w:val="single"/>
                    </w:rPr>
                    <w:t>应急防护措施、消除泄露措施、方法和器材</w:t>
                  </w:r>
                </w:p>
              </w:tc>
              <w:tc>
                <w:tcPr>
                  <w:tcW w:w="4577" w:type="dxa"/>
                </w:tcPr>
                <w:p w14:paraId="296F1AC0">
                  <w:pPr>
                    <w:jc w:val="left"/>
                    <w:rPr>
                      <w:rFonts w:ascii="宋体" w:hAnsi="宋体"/>
                      <w:bCs/>
                      <w:szCs w:val="21"/>
                      <w:u w:val="single"/>
                    </w:rPr>
                  </w:pPr>
                  <w:r>
                    <w:rPr>
                      <w:rFonts w:hint="eastAsia" w:ascii="宋体" w:hAnsi="宋体"/>
                      <w:bCs/>
                      <w:szCs w:val="21"/>
                      <w:u w:val="single"/>
                    </w:rPr>
                    <w:t>事故现场：控制事故，防止扩大、蔓延及连锁反应消除现场泄漏物，降低危害，相应的设施器材配备临近区域：控制防火区域，控制和消除污染措施及相应设备</w:t>
                  </w:r>
                </w:p>
              </w:tc>
            </w:tr>
            <w:tr w14:paraId="4F2D1A3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00" w:hRule="atLeast"/>
                <w:jc w:val="center"/>
              </w:trPr>
              <w:tc>
                <w:tcPr>
                  <w:tcW w:w="738" w:type="dxa"/>
                </w:tcPr>
                <w:p w14:paraId="3EA1B235">
                  <w:pPr>
                    <w:jc w:val="center"/>
                    <w:rPr>
                      <w:rFonts w:ascii="宋体" w:hAnsi="宋体"/>
                      <w:bCs/>
                      <w:szCs w:val="21"/>
                      <w:u w:val="single"/>
                    </w:rPr>
                  </w:pPr>
                  <w:r>
                    <w:rPr>
                      <w:rFonts w:hint="eastAsia" w:ascii="宋体" w:hAnsi="宋体"/>
                      <w:bCs/>
                      <w:szCs w:val="21"/>
                      <w:u w:val="single"/>
                    </w:rPr>
                    <w:t>10</w:t>
                  </w:r>
                </w:p>
              </w:tc>
              <w:tc>
                <w:tcPr>
                  <w:tcW w:w="3083" w:type="dxa"/>
                </w:tcPr>
                <w:p w14:paraId="541B3017">
                  <w:pPr>
                    <w:jc w:val="center"/>
                    <w:rPr>
                      <w:rFonts w:ascii="宋体" w:hAnsi="宋体"/>
                      <w:bCs/>
                      <w:szCs w:val="21"/>
                      <w:u w:val="single"/>
                    </w:rPr>
                  </w:pPr>
                  <w:r>
                    <w:rPr>
                      <w:rFonts w:hint="eastAsia" w:ascii="宋体" w:hAnsi="宋体"/>
                      <w:bCs/>
                      <w:szCs w:val="21"/>
                      <w:u w:val="single"/>
                    </w:rPr>
                    <w:t>应急剂量控制、撤离组织计划、医疗救护与公众健康</w:t>
                  </w:r>
                </w:p>
              </w:tc>
              <w:tc>
                <w:tcPr>
                  <w:tcW w:w="4577" w:type="dxa"/>
                </w:tcPr>
                <w:p w14:paraId="3200E059">
                  <w:pPr>
                    <w:jc w:val="left"/>
                    <w:rPr>
                      <w:rFonts w:ascii="宋体" w:hAnsi="宋体"/>
                      <w:bCs/>
                      <w:szCs w:val="21"/>
                      <w:u w:val="single"/>
                    </w:rPr>
                  </w:pPr>
                  <w:r>
                    <w:rPr>
                      <w:rFonts w:hint="eastAsia" w:ascii="宋体" w:hAnsi="宋体"/>
                      <w:bCs/>
                      <w:szCs w:val="21"/>
                      <w:u w:val="single"/>
                    </w:rPr>
                    <w:t>事故现场：事故处理人员对毒物的应急剂量控制规定，现场及邻近装置，人员撤离组织计划及救护</w:t>
                  </w:r>
                </w:p>
              </w:tc>
            </w:tr>
            <w:tr w14:paraId="01599DD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38" w:type="dxa"/>
                </w:tcPr>
                <w:p w14:paraId="39FCE508">
                  <w:pPr>
                    <w:jc w:val="center"/>
                    <w:rPr>
                      <w:rFonts w:ascii="宋体" w:hAnsi="宋体"/>
                      <w:bCs/>
                      <w:szCs w:val="21"/>
                      <w:u w:val="single"/>
                    </w:rPr>
                  </w:pPr>
                  <w:r>
                    <w:rPr>
                      <w:rFonts w:hint="eastAsia" w:ascii="宋体" w:hAnsi="宋体"/>
                      <w:bCs/>
                      <w:szCs w:val="21"/>
                      <w:u w:val="single"/>
                    </w:rPr>
                    <w:t>11</w:t>
                  </w:r>
                </w:p>
              </w:tc>
              <w:tc>
                <w:tcPr>
                  <w:tcW w:w="3083" w:type="dxa"/>
                </w:tcPr>
                <w:p w14:paraId="3794E1A8">
                  <w:pPr>
                    <w:jc w:val="center"/>
                    <w:rPr>
                      <w:rFonts w:ascii="宋体" w:hAnsi="宋体"/>
                      <w:bCs/>
                      <w:szCs w:val="21"/>
                      <w:u w:val="single"/>
                    </w:rPr>
                  </w:pPr>
                  <w:r>
                    <w:rPr>
                      <w:rFonts w:hint="eastAsia" w:ascii="宋体" w:hAnsi="宋体"/>
                      <w:bCs/>
                      <w:szCs w:val="21"/>
                      <w:u w:val="single"/>
                    </w:rPr>
                    <w:t>应急状态终止</w:t>
                  </w:r>
                </w:p>
              </w:tc>
              <w:tc>
                <w:tcPr>
                  <w:tcW w:w="4577" w:type="dxa"/>
                </w:tcPr>
                <w:p w14:paraId="60D6DC16">
                  <w:pPr>
                    <w:jc w:val="left"/>
                    <w:rPr>
                      <w:rFonts w:ascii="宋体" w:hAnsi="宋体"/>
                      <w:bCs/>
                      <w:szCs w:val="21"/>
                      <w:u w:val="single"/>
                    </w:rPr>
                  </w:pPr>
                  <w:r>
                    <w:rPr>
                      <w:rFonts w:hint="eastAsia" w:ascii="宋体" w:hAnsi="宋体"/>
                      <w:bCs/>
                      <w:szCs w:val="21"/>
                      <w:u w:val="single"/>
                    </w:rPr>
                    <w:t>规定应急状态终止程序事故现场善后处理，恢复措施</w:t>
                  </w:r>
                </w:p>
              </w:tc>
            </w:tr>
            <w:tr w14:paraId="4E752E1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738" w:type="dxa"/>
                </w:tcPr>
                <w:p w14:paraId="1CA97B43">
                  <w:pPr>
                    <w:jc w:val="center"/>
                    <w:rPr>
                      <w:rFonts w:ascii="宋体" w:hAnsi="宋体"/>
                      <w:bCs/>
                      <w:szCs w:val="21"/>
                      <w:u w:val="single"/>
                    </w:rPr>
                  </w:pPr>
                  <w:r>
                    <w:rPr>
                      <w:rFonts w:hint="eastAsia" w:ascii="宋体" w:hAnsi="宋体"/>
                      <w:bCs/>
                      <w:szCs w:val="21"/>
                      <w:u w:val="single"/>
                    </w:rPr>
                    <w:t>12</w:t>
                  </w:r>
                </w:p>
              </w:tc>
              <w:tc>
                <w:tcPr>
                  <w:tcW w:w="3083" w:type="dxa"/>
                </w:tcPr>
                <w:p w14:paraId="05F60B5E">
                  <w:pPr>
                    <w:jc w:val="center"/>
                    <w:rPr>
                      <w:rFonts w:ascii="宋体" w:hAnsi="宋体"/>
                      <w:bCs/>
                      <w:szCs w:val="21"/>
                      <w:u w:val="single"/>
                    </w:rPr>
                  </w:pPr>
                  <w:r>
                    <w:rPr>
                      <w:rFonts w:hint="eastAsia" w:ascii="宋体" w:hAnsi="宋体"/>
                      <w:bCs/>
                      <w:szCs w:val="21"/>
                      <w:u w:val="single"/>
                    </w:rPr>
                    <w:t>人员培训与演练</w:t>
                  </w:r>
                </w:p>
              </w:tc>
              <w:tc>
                <w:tcPr>
                  <w:tcW w:w="4577" w:type="dxa"/>
                </w:tcPr>
                <w:p w14:paraId="5DAC9CD7">
                  <w:pPr>
                    <w:jc w:val="left"/>
                    <w:rPr>
                      <w:rFonts w:ascii="宋体" w:hAnsi="宋体"/>
                      <w:bCs/>
                      <w:szCs w:val="21"/>
                      <w:u w:val="single"/>
                    </w:rPr>
                  </w:pPr>
                  <w:r>
                    <w:rPr>
                      <w:rFonts w:hint="eastAsia" w:ascii="宋体" w:hAnsi="宋体"/>
                      <w:bCs/>
                      <w:szCs w:val="21"/>
                      <w:u w:val="single"/>
                    </w:rPr>
                    <w:t>应急计划制定后，定期安排人员培训和训练</w:t>
                  </w:r>
                </w:p>
              </w:tc>
            </w:tr>
            <w:tr w14:paraId="35F6B20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38" w:type="dxa"/>
                </w:tcPr>
                <w:p w14:paraId="7DB33938">
                  <w:pPr>
                    <w:jc w:val="center"/>
                    <w:rPr>
                      <w:rFonts w:ascii="宋体" w:hAnsi="宋体"/>
                      <w:bCs/>
                      <w:szCs w:val="21"/>
                      <w:u w:val="single"/>
                    </w:rPr>
                  </w:pPr>
                  <w:r>
                    <w:rPr>
                      <w:rFonts w:hint="eastAsia" w:ascii="宋体" w:hAnsi="宋体"/>
                      <w:bCs/>
                      <w:szCs w:val="21"/>
                      <w:u w:val="single"/>
                    </w:rPr>
                    <w:t>13</w:t>
                  </w:r>
                </w:p>
              </w:tc>
              <w:tc>
                <w:tcPr>
                  <w:tcW w:w="3083" w:type="dxa"/>
                </w:tcPr>
                <w:p w14:paraId="47F83159">
                  <w:pPr>
                    <w:jc w:val="center"/>
                    <w:rPr>
                      <w:rFonts w:ascii="宋体" w:hAnsi="宋体"/>
                      <w:bCs/>
                      <w:szCs w:val="21"/>
                      <w:u w:val="single"/>
                    </w:rPr>
                  </w:pPr>
                  <w:r>
                    <w:rPr>
                      <w:rFonts w:hint="eastAsia" w:ascii="宋体" w:hAnsi="宋体"/>
                      <w:bCs/>
                      <w:szCs w:val="21"/>
                      <w:u w:val="single"/>
                    </w:rPr>
                    <w:t>记录和报告</w:t>
                  </w:r>
                </w:p>
              </w:tc>
              <w:tc>
                <w:tcPr>
                  <w:tcW w:w="4577" w:type="dxa"/>
                </w:tcPr>
                <w:p w14:paraId="7043D349">
                  <w:pPr>
                    <w:jc w:val="left"/>
                    <w:rPr>
                      <w:rFonts w:ascii="宋体" w:hAnsi="宋体"/>
                      <w:bCs/>
                      <w:szCs w:val="21"/>
                      <w:u w:val="single"/>
                    </w:rPr>
                  </w:pPr>
                  <w:r>
                    <w:rPr>
                      <w:rFonts w:hint="eastAsia" w:ascii="宋体" w:hAnsi="宋体"/>
                      <w:bCs/>
                      <w:szCs w:val="21"/>
                      <w:u w:val="single"/>
                    </w:rPr>
                    <w:t>设置应急事故专门记录，建立档案盒专门报告制度，设专门部门负责管理。</w:t>
                  </w:r>
                </w:p>
              </w:tc>
            </w:tr>
            <w:tr w14:paraId="5EA38B4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738" w:type="dxa"/>
                </w:tcPr>
                <w:p w14:paraId="4ACB47C1">
                  <w:pPr>
                    <w:jc w:val="center"/>
                    <w:rPr>
                      <w:rFonts w:ascii="宋体" w:hAnsi="宋体"/>
                      <w:bCs/>
                      <w:szCs w:val="21"/>
                      <w:u w:val="single"/>
                    </w:rPr>
                  </w:pPr>
                  <w:r>
                    <w:rPr>
                      <w:rFonts w:hint="eastAsia" w:ascii="宋体" w:hAnsi="宋体"/>
                      <w:bCs/>
                      <w:szCs w:val="21"/>
                      <w:u w:val="single"/>
                    </w:rPr>
                    <w:t>14</w:t>
                  </w:r>
                </w:p>
              </w:tc>
              <w:tc>
                <w:tcPr>
                  <w:tcW w:w="3083" w:type="dxa"/>
                </w:tcPr>
                <w:p w14:paraId="3B342302">
                  <w:pPr>
                    <w:jc w:val="center"/>
                    <w:rPr>
                      <w:rFonts w:ascii="宋体" w:hAnsi="宋体"/>
                      <w:bCs/>
                      <w:szCs w:val="21"/>
                      <w:u w:val="single"/>
                    </w:rPr>
                  </w:pPr>
                  <w:r>
                    <w:rPr>
                      <w:rFonts w:hint="eastAsia" w:ascii="宋体" w:hAnsi="宋体"/>
                      <w:bCs/>
                      <w:szCs w:val="21"/>
                      <w:u w:val="single"/>
                    </w:rPr>
                    <w:t>附件</w:t>
                  </w:r>
                </w:p>
              </w:tc>
              <w:tc>
                <w:tcPr>
                  <w:tcW w:w="4577" w:type="dxa"/>
                </w:tcPr>
                <w:p w14:paraId="1C74611C">
                  <w:pPr>
                    <w:jc w:val="left"/>
                    <w:rPr>
                      <w:rFonts w:ascii="宋体" w:hAnsi="宋体"/>
                      <w:bCs/>
                      <w:szCs w:val="21"/>
                      <w:u w:val="single"/>
                    </w:rPr>
                  </w:pPr>
                  <w:r>
                    <w:rPr>
                      <w:rFonts w:hint="eastAsia" w:ascii="宋体" w:hAnsi="宋体"/>
                      <w:bCs/>
                      <w:szCs w:val="21"/>
                      <w:u w:val="single"/>
                    </w:rPr>
                    <w:t>与应急事故有关的多种附件材料的准备和形成。</w:t>
                  </w:r>
                </w:p>
              </w:tc>
            </w:tr>
          </w:tbl>
          <w:p w14:paraId="3295A7A1">
            <w:pPr>
              <w:spacing w:line="360" w:lineRule="auto"/>
              <w:ind w:firstLine="480" w:firstLineChars="200"/>
              <w:rPr>
                <w:bCs/>
                <w:sz w:val="24"/>
                <w:u w:val="single"/>
              </w:rPr>
            </w:pPr>
            <w:r>
              <w:rPr>
                <w:rFonts w:hint="eastAsia"/>
                <w:bCs/>
                <w:sz w:val="24"/>
                <w:u w:val="single"/>
              </w:rPr>
              <w:t>（6）结论</w:t>
            </w:r>
          </w:p>
          <w:p w14:paraId="289B22EC">
            <w:pPr>
              <w:spacing w:line="360" w:lineRule="auto"/>
              <w:ind w:firstLine="480" w:firstLineChars="200"/>
              <w:rPr>
                <w:bCs/>
                <w:sz w:val="24"/>
                <w:u w:val="single"/>
              </w:rPr>
            </w:pPr>
            <w:r>
              <w:rPr>
                <w:rFonts w:hint="eastAsia"/>
                <w:bCs/>
                <w:sz w:val="24"/>
                <w:u w:val="single"/>
              </w:rPr>
              <w:t>本项目生产过程中存在的环境风险主要为污水处理设施发生故障导致的环境风险及危险废物环境风险，本项目具有潜在事故风险。企业要从建设、运行、污染防治等多方面积极采取防护措施，加强风险管理，通过相应的技术手段降低风险发生概率，并在风险事故发生后，及时采取风险防范措施及应急预案，在严格落实上述风险防范措施后，可以使风险事故对环境的危害得到有效控制，将事故风险控制在可以接受的范围内。</w:t>
            </w:r>
          </w:p>
          <w:p w14:paraId="438124F9">
            <w:pPr>
              <w:spacing w:line="360" w:lineRule="auto"/>
              <w:ind w:firstLine="480" w:firstLineChars="200"/>
              <w:jc w:val="center"/>
              <w:rPr>
                <w:b/>
                <w:bCs/>
                <w:sz w:val="24"/>
                <w:u w:val="single"/>
              </w:rPr>
            </w:pPr>
            <w:r>
              <w:rPr>
                <w:rFonts w:hint="eastAsia"/>
                <w:b/>
                <w:bCs/>
                <w:sz w:val="24"/>
                <w:u w:val="single"/>
              </w:rPr>
              <w:t>表4-16  建设项目环境风险简单分析内容表</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319"/>
              <w:gridCol w:w="2112"/>
              <w:gridCol w:w="867"/>
              <w:gridCol w:w="2028"/>
            </w:tblGrid>
            <w:tr w14:paraId="0D47C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72" w:type="dxa"/>
                  <w:vAlign w:val="center"/>
                </w:tcPr>
                <w:p w14:paraId="50DD4963">
                  <w:pPr>
                    <w:adjustRightInd w:val="0"/>
                    <w:snapToGrid w:val="0"/>
                    <w:jc w:val="center"/>
                    <w:rPr>
                      <w:rFonts w:ascii="宋体" w:hAnsi="宋体"/>
                      <w:szCs w:val="21"/>
                      <w:u w:val="single"/>
                    </w:rPr>
                  </w:pPr>
                  <w:r>
                    <w:rPr>
                      <w:rFonts w:ascii="宋体" w:hAnsi="宋体"/>
                      <w:szCs w:val="21"/>
                      <w:u w:val="single"/>
                    </w:rPr>
                    <w:t>建设项目名称</w:t>
                  </w:r>
                </w:p>
              </w:tc>
              <w:tc>
                <w:tcPr>
                  <w:tcW w:w="6325" w:type="dxa"/>
                  <w:gridSpan w:val="4"/>
                  <w:vAlign w:val="center"/>
                </w:tcPr>
                <w:p w14:paraId="5B555AF3">
                  <w:pPr>
                    <w:adjustRightInd w:val="0"/>
                    <w:snapToGrid w:val="0"/>
                    <w:jc w:val="center"/>
                    <w:rPr>
                      <w:rFonts w:ascii="宋体" w:hAnsi="宋体"/>
                      <w:szCs w:val="21"/>
                      <w:u w:val="single"/>
                    </w:rPr>
                  </w:pPr>
                  <w:r>
                    <w:rPr>
                      <w:rFonts w:hint="eastAsia" w:ascii="宋体" w:hAnsi="宋体"/>
                      <w:szCs w:val="21"/>
                      <w:u w:val="single"/>
                    </w:rPr>
                    <w:t>吉林省和马科技有限责任公司建设项目</w:t>
                  </w:r>
                </w:p>
              </w:tc>
            </w:tr>
            <w:tr w14:paraId="59C4BB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72" w:type="dxa"/>
                  <w:vAlign w:val="center"/>
                </w:tcPr>
                <w:p w14:paraId="76035749">
                  <w:pPr>
                    <w:adjustRightInd w:val="0"/>
                    <w:snapToGrid w:val="0"/>
                    <w:jc w:val="center"/>
                    <w:rPr>
                      <w:rFonts w:ascii="宋体" w:hAnsi="宋体"/>
                      <w:szCs w:val="21"/>
                      <w:u w:val="single"/>
                    </w:rPr>
                  </w:pPr>
                  <w:r>
                    <w:rPr>
                      <w:rFonts w:ascii="宋体" w:hAnsi="宋体"/>
                      <w:szCs w:val="21"/>
                      <w:u w:val="single"/>
                    </w:rPr>
                    <w:t>建设地点</w:t>
                  </w:r>
                </w:p>
              </w:tc>
              <w:tc>
                <w:tcPr>
                  <w:tcW w:w="1319" w:type="dxa"/>
                  <w:vAlign w:val="center"/>
                </w:tcPr>
                <w:p w14:paraId="3C2EEFAA">
                  <w:pPr>
                    <w:adjustRightInd w:val="0"/>
                    <w:snapToGrid w:val="0"/>
                    <w:jc w:val="center"/>
                    <w:rPr>
                      <w:rFonts w:ascii="宋体" w:hAnsi="宋体"/>
                      <w:szCs w:val="21"/>
                      <w:u w:val="single"/>
                    </w:rPr>
                  </w:pPr>
                  <w:r>
                    <w:rPr>
                      <w:rFonts w:ascii="宋体" w:hAnsi="宋体"/>
                      <w:szCs w:val="21"/>
                      <w:u w:val="single"/>
                    </w:rPr>
                    <w:t>吉林省</w:t>
                  </w:r>
                </w:p>
              </w:tc>
              <w:tc>
                <w:tcPr>
                  <w:tcW w:w="2112" w:type="dxa"/>
                  <w:vAlign w:val="center"/>
                </w:tcPr>
                <w:p w14:paraId="7D72D196">
                  <w:pPr>
                    <w:adjustRightInd w:val="0"/>
                    <w:snapToGrid w:val="0"/>
                    <w:jc w:val="center"/>
                    <w:rPr>
                      <w:rFonts w:ascii="宋体" w:hAnsi="宋体"/>
                      <w:szCs w:val="21"/>
                      <w:u w:val="single"/>
                    </w:rPr>
                  </w:pPr>
                  <w:r>
                    <w:rPr>
                      <w:rFonts w:ascii="宋体" w:hAnsi="宋体"/>
                      <w:szCs w:val="21"/>
                      <w:u w:val="single"/>
                    </w:rPr>
                    <w:t>白山市</w:t>
                  </w:r>
                </w:p>
              </w:tc>
              <w:tc>
                <w:tcPr>
                  <w:tcW w:w="2895" w:type="dxa"/>
                  <w:gridSpan w:val="2"/>
                  <w:vAlign w:val="center"/>
                </w:tcPr>
                <w:p w14:paraId="1AAEF613">
                  <w:pPr>
                    <w:adjustRightInd w:val="0"/>
                    <w:snapToGrid w:val="0"/>
                    <w:jc w:val="center"/>
                    <w:rPr>
                      <w:rFonts w:ascii="宋体" w:hAnsi="宋体"/>
                      <w:szCs w:val="21"/>
                      <w:u w:val="single"/>
                    </w:rPr>
                  </w:pPr>
                  <w:r>
                    <w:rPr>
                      <w:rFonts w:hint="eastAsia" w:ascii="宋体" w:hAnsi="宋体"/>
                      <w:kern w:val="21"/>
                      <w:szCs w:val="21"/>
                      <w:u w:val="single"/>
                    </w:rPr>
                    <w:t>浑江区胜利煤业厂区内</w:t>
                  </w:r>
                </w:p>
              </w:tc>
            </w:tr>
            <w:tr w14:paraId="41DDBC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2072" w:type="dxa"/>
                  <w:vAlign w:val="center"/>
                </w:tcPr>
                <w:p w14:paraId="69630EF0">
                  <w:pPr>
                    <w:adjustRightInd w:val="0"/>
                    <w:snapToGrid w:val="0"/>
                    <w:jc w:val="center"/>
                    <w:rPr>
                      <w:rFonts w:ascii="宋体" w:hAnsi="宋体"/>
                      <w:szCs w:val="21"/>
                      <w:u w:val="single"/>
                    </w:rPr>
                  </w:pPr>
                  <w:r>
                    <w:rPr>
                      <w:rFonts w:ascii="宋体" w:hAnsi="宋体"/>
                      <w:szCs w:val="21"/>
                      <w:u w:val="single"/>
                    </w:rPr>
                    <w:t>地理坐标</w:t>
                  </w:r>
                </w:p>
              </w:tc>
              <w:tc>
                <w:tcPr>
                  <w:tcW w:w="1319" w:type="dxa"/>
                  <w:vAlign w:val="center"/>
                </w:tcPr>
                <w:p w14:paraId="3D6957DD">
                  <w:pPr>
                    <w:adjustRightInd w:val="0"/>
                    <w:snapToGrid w:val="0"/>
                    <w:jc w:val="center"/>
                    <w:rPr>
                      <w:rFonts w:ascii="宋体" w:hAnsi="宋体"/>
                      <w:szCs w:val="21"/>
                      <w:u w:val="single"/>
                    </w:rPr>
                  </w:pPr>
                  <w:r>
                    <w:rPr>
                      <w:rFonts w:ascii="宋体" w:hAnsi="宋体"/>
                      <w:szCs w:val="21"/>
                      <w:u w:val="single"/>
                    </w:rPr>
                    <w:t>经度</w:t>
                  </w:r>
                </w:p>
              </w:tc>
              <w:tc>
                <w:tcPr>
                  <w:tcW w:w="2112" w:type="dxa"/>
                  <w:vAlign w:val="center"/>
                </w:tcPr>
                <w:p w14:paraId="2940B1D5">
                  <w:pPr>
                    <w:adjustRightInd w:val="0"/>
                    <w:snapToGrid w:val="0"/>
                    <w:jc w:val="center"/>
                    <w:rPr>
                      <w:rFonts w:ascii="宋体" w:hAnsi="宋体"/>
                      <w:szCs w:val="21"/>
                      <w:u w:val="single"/>
                    </w:rPr>
                  </w:pPr>
                  <w:r>
                    <w:rPr>
                      <w:rFonts w:hint="eastAsia" w:ascii="宋体" w:hAnsi="宋体"/>
                      <w:szCs w:val="21"/>
                      <w:u w:val="single"/>
                    </w:rPr>
                    <w:t>126°19′53.072″</w:t>
                  </w:r>
                </w:p>
              </w:tc>
              <w:tc>
                <w:tcPr>
                  <w:tcW w:w="867" w:type="dxa"/>
                  <w:vAlign w:val="center"/>
                </w:tcPr>
                <w:p w14:paraId="3BD02698">
                  <w:pPr>
                    <w:adjustRightInd w:val="0"/>
                    <w:snapToGrid w:val="0"/>
                    <w:jc w:val="center"/>
                    <w:rPr>
                      <w:rFonts w:ascii="宋体" w:hAnsi="宋体"/>
                      <w:szCs w:val="21"/>
                      <w:u w:val="single"/>
                    </w:rPr>
                  </w:pPr>
                  <w:r>
                    <w:rPr>
                      <w:rFonts w:ascii="宋体" w:hAnsi="宋体"/>
                      <w:szCs w:val="21"/>
                      <w:u w:val="single"/>
                    </w:rPr>
                    <w:t>纬度</w:t>
                  </w:r>
                </w:p>
              </w:tc>
              <w:tc>
                <w:tcPr>
                  <w:tcW w:w="2028" w:type="dxa"/>
                  <w:vAlign w:val="center"/>
                </w:tcPr>
                <w:p w14:paraId="66A40948">
                  <w:pPr>
                    <w:adjustRightInd w:val="0"/>
                    <w:snapToGrid w:val="0"/>
                    <w:jc w:val="center"/>
                    <w:rPr>
                      <w:rFonts w:ascii="宋体" w:hAnsi="宋体"/>
                      <w:szCs w:val="21"/>
                      <w:u w:val="single"/>
                    </w:rPr>
                  </w:pPr>
                  <w:r>
                    <w:rPr>
                      <w:rFonts w:hint="eastAsia" w:ascii="宋体" w:hAnsi="宋体"/>
                      <w:szCs w:val="21"/>
                      <w:u w:val="single"/>
                    </w:rPr>
                    <w:t>41°53′27.128″</w:t>
                  </w:r>
                </w:p>
              </w:tc>
            </w:tr>
            <w:tr w14:paraId="30DC6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72" w:type="dxa"/>
                  <w:vAlign w:val="center"/>
                </w:tcPr>
                <w:p w14:paraId="21CF5CE7">
                  <w:pPr>
                    <w:adjustRightInd w:val="0"/>
                    <w:snapToGrid w:val="0"/>
                    <w:jc w:val="center"/>
                    <w:rPr>
                      <w:rFonts w:ascii="宋体" w:hAnsi="宋体"/>
                      <w:szCs w:val="21"/>
                      <w:u w:val="single"/>
                    </w:rPr>
                  </w:pPr>
                  <w:r>
                    <w:rPr>
                      <w:rFonts w:ascii="宋体" w:hAnsi="宋体"/>
                      <w:szCs w:val="21"/>
                      <w:u w:val="single"/>
                    </w:rPr>
                    <w:t>主要危险物质及分布</w:t>
                  </w:r>
                </w:p>
              </w:tc>
              <w:tc>
                <w:tcPr>
                  <w:tcW w:w="6325" w:type="dxa"/>
                  <w:gridSpan w:val="4"/>
                  <w:vAlign w:val="center"/>
                </w:tcPr>
                <w:p w14:paraId="1629D42A">
                  <w:pPr>
                    <w:adjustRightInd w:val="0"/>
                    <w:snapToGrid w:val="0"/>
                    <w:jc w:val="center"/>
                    <w:rPr>
                      <w:rFonts w:ascii="宋体" w:hAnsi="宋体"/>
                      <w:szCs w:val="21"/>
                      <w:u w:val="single"/>
                    </w:rPr>
                  </w:pPr>
                  <w:r>
                    <w:rPr>
                      <w:rFonts w:hint="eastAsia" w:ascii="宋体" w:hAnsi="宋体"/>
                      <w:szCs w:val="21"/>
                      <w:u w:val="single"/>
                    </w:rPr>
                    <w:t>储存于危险废物储存间内的废机油、废油桶、废含油抹布</w:t>
                  </w:r>
                </w:p>
              </w:tc>
            </w:tr>
            <w:tr w14:paraId="65734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72" w:type="dxa"/>
                  <w:vAlign w:val="center"/>
                </w:tcPr>
                <w:p w14:paraId="2C62B01C">
                  <w:pPr>
                    <w:adjustRightInd w:val="0"/>
                    <w:snapToGrid w:val="0"/>
                    <w:jc w:val="center"/>
                    <w:rPr>
                      <w:rFonts w:ascii="宋体" w:hAnsi="宋体"/>
                      <w:szCs w:val="21"/>
                      <w:u w:val="single"/>
                    </w:rPr>
                  </w:pPr>
                  <w:r>
                    <w:rPr>
                      <w:rFonts w:ascii="宋体" w:hAnsi="宋体"/>
                      <w:szCs w:val="21"/>
                      <w:u w:val="single"/>
                    </w:rPr>
                    <w:t>环境影响途径及危害后果（大气、地表水、地下水等）</w:t>
                  </w:r>
                </w:p>
              </w:tc>
              <w:tc>
                <w:tcPr>
                  <w:tcW w:w="6325" w:type="dxa"/>
                  <w:gridSpan w:val="4"/>
                  <w:vAlign w:val="center"/>
                </w:tcPr>
                <w:p w14:paraId="655800B0">
                  <w:pPr>
                    <w:adjustRightInd w:val="0"/>
                    <w:snapToGrid w:val="0"/>
                    <w:jc w:val="center"/>
                    <w:rPr>
                      <w:rFonts w:ascii="宋体" w:hAnsi="宋体"/>
                      <w:szCs w:val="21"/>
                      <w:u w:val="single"/>
                    </w:rPr>
                  </w:pPr>
                  <w:r>
                    <w:rPr>
                      <w:rFonts w:hint="eastAsia" w:ascii="宋体" w:hAnsi="宋体"/>
                      <w:szCs w:val="21"/>
                      <w:u w:val="single"/>
                    </w:rPr>
                    <w:t>主要包括危险废物中废机油、废油桶、废含油抹布等易燃物质燃烧造成的火灾以及引发的爆炸等伴生、次生污染对大气环境、土壤环境和水环境的影响。</w:t>
                  </w:r>
                </w:p>
              </w:tc>
            </w:tr>
            <w:tr w14:paraId="62DCF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072" w:type="dxa"/>
                  <w:vAlign w:val="center"/>
                </w:tcPr>
                <w:p w14:paraId="6B003B40">
                  <w:pPr>
                    <w:adjustRightInd w:val="0"/>
                    <w:snapToGrid w:val="0"/>
                    <w:jc w:val="center"/>
                    <w:rPr>
                      <w:rFonts w:ascii="宋体" w:hAnsi="宋体"/>
                      <w:szCs w:val="21"/>
                      <w:u w:val="single"/>
                    </w:rPr>
                  </w:pPr>
                  <w:r>
                    <w:rPr>
                      <w:rFonts w:ascii="宋体" w:hAnsi="宋体"/>
                      <w:szCs w:val="21"/>
                      <w:u w:val="single"/>
                    </w:rPr>
                    <w:t>风险防范措施要求</w:t>
                  </w:r>
                </w:p>
              </w:tc>
              <w:tc>
                <w:tcPr>
                  <w:tcW w:w="6325" w:type="dxa"/>
                  <w:gridSpan w:val="4"/>
                  <w:vAlign w:val="center"/>
                </w:tcPr>
                <w:p w14:paraId="62974949">
                  <w:pPr>
                    <w:adjustRightInd w:val="0"/>
                    <w:snapToGrid w:val="0"/>
                    <w:jc w:val="center"/>
                    <w:rPr>
                      <w:rFonts w:ascii="宋体" w:hAnsi="宋体"/>
                      <w:szCs w:val="21"/>
                      <w:u w:val="single"/>
                    </w:rPr>
                  </w:pPr>
                  <w:r>
                    <w:rPr>
                      <w:rFonts w:hint="eastAsia" w:ascii="宋体" w:hAnsi="宋体"/>
                      <w:szCs w:val="21"/>
                      <w:u w:val="single"/>
                    </w:rPr>
                    <w:t>1、危险化学品的购买、储存、保管、使用等需按照《危险化学品安全管理条例》之规定管理。危险化学品必须储存在专用仓库、专用场地或者专用储存室内，其储存方式、方法与储存数量必须符合国家有关规定，并由专人管理，危险化学品出入库，必须进行核查登记，并定期检查库存。</w:t>
                  </w:r>
                </w:p>
                <w:p w14:paraId="2978F297">
                  <w:pPr>
                    <w:adjustRightInd w:val="0"/>
                    <w:snapToGrid w:val="0"/>
                    <w:jc w:val="center"/>
                    <w:rPr>
                      <w:rFonts w:ascii="宋体" w:hAnsi="宋体"/>
                      <w:szCs w:val="21"/>
                      <w:u w:val="single"/>
                    </w:rPr>
                  </w:pPr>
                  <w:r>
                    <w:rPr>
                      <w:rFonts w:hint="eastAsia" w:ascii="宋体" w:hAnsi="宋体"/>
                      <w:szCs w:val="21"/>
                      <w:u w:val="single"/>
                    </w:rPr>
                    <w:t>2、危废暂存间、医疗废物暂存间地面进行防渗措施，其防渗系数应满足《危险废物贮存污染控制标准》(GB18597-2023)要求进行建设和管理，设置符合《危险废物识别标志设置技术规范》(HJ1276-2022)中要求的标志。</w:t>
                  </w:r>
                </w:p>
                <w:p w14:paraId="42CAE3D5">
                  <w:pPr>
                    <w:adjustRightInd w:val="0"/>
                    <w:snapToGrid w:val="0"/>
                    <w:jc w:val="center"/>
                    <w:rPr>
                      <w:szCs w:val="21"/>
                      <w:u w:val="single"/>
                    </w:rPr>
                  </w:pPr>
                  <w:r>
                    <w:rPr>
                      <w:rFonts w:hint="eastAsia" w:ascii="宋体" w:hAnsi="宋体"/>
                      <w:szCs w:val="21"/>
                      <w:u w:val="single"/>
                    </w:rPr>
                    <w:t>3、消防设施均按照国家相关规范设计实施，根据《建筑灭火器配置设计规范》的规定，在项目内配备足够的消防器材。编制应急预案并到当地主管部门进行备案。</w:t>
                  </w:r>
                </w:p>
              </w:tc>
            </w:tr>
            <w:tr w14:paraId="3318EE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397" w:type="dxa"/>
                  <w:gridSpan w:val="5"/>
                  <w:vAlign w:val="center"/>
                </w:tcPr>
                <w:p w14:paraId="648EEA34">
                  <w:pPr>
                    <w:adjustRightInd w:val="0"/>
                    <w:snapToGrid w:val="0"/>
                    <w:jc w:val="center"/>
                    <w:rPr>
                      <w:rFonts w:ascii="宋体" w:hAnsi="宋体"/>
                      <w:szCs w:val="21"/>
                      <w:u w:val="single"/>
                    </w:rPr>
                  </w:pPr>
                  <w:r>
                    <w:rPr>
                      <w:rFonts w:ascii="宋体" w:hAnsi="宋体"/>
                      <w:szCs w:val="21"/>
                      <w:u w:val="single"/>
                    </w:rPr>
                    <w:t>填表说明（列出项目相关信息及评价说明）</w:t>
                  </w:r>
                </w:p>
                <w:p w14:paraId="012EC252">
                  <w:pPr>
                    <w:pStyle w:val="29"/>
                    <w:spacing w:before="156"/>
                    <w:ind w:firstLine="420"/>
                    <w:jc w:val="center"/>
                    <w:rPr>
                      <w:u w:val="single"/>
                    </w:rPr>
                  </w:pPr>
                  <w:r>
                    <w:rPr>
                      <w:rFonts w:hint="eastAsia"/>
                      <w:sz w:val="21"/>
                      <w:szCs w:val="21"/>
                      <w:u w:val="single"/>
                    </w:rPr>
                    <w:t>项目Q＜1，环境风险潜势为Ⅰ级，评价等级为简单分析，对本项目采取了前述一系列的防范措施。</w:t>
                  </w:r>
                </w:p>
              </w:tc>
            </w:tr>
          </w:tbl>
          <w:p w14:paraId="77D4D994">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、环保投资</w:t>
            </w:r>
          </w:p>
          <w:p w14:paraId="24F58966">
            <w:pPr>
              <w:spacing w:line="360" w:lineRule="auto"/>
              <w:ind w:firstLine="480" w:firstLineChars="200"/>
              <w:jc w:val="left"/>
              <w:rPr>
                <w:rFonts w:asciiTheme="minorEastAsia" w:hAnsiTheme="minorEastAsia" w:eastAsiaTheme="minorEastAsia"/>
                <w:sz w:val="24"/>
                <w:szCs w:val="24"/>
              </w:rPr>
            </w:pPr>
            <w:bookmarkStart w:id="14" w:name="_Toc383006559"/>
            <w:r>
              <w:rPr>
                <w:rFonts w:asciiTheme="minorEastAsia" w:hAnsiTheme="minorEastAsia" w:eastAsiaTheme="minorEastAsia"/>
                <w:sz w:val="24"/>
                <w:szCs w:val="24"/>
              </w:rPr>
              <w:t>本工程总投资</w:t>
            </w:r>
            <w:r>
              <w:rPr>
                <w:rFonts w:hint="eastAsia" w:asciiTheme="minorEastAsia" w:hAnsiTheme="minorEastAsia" w:eastAsiaTheme="minorEastAsia"/>
                <w:sz w:val="24"/>
                <w:szCs w:val="24"/>
              </w:rPr>
              <w:t>5000</w:t>
            </w:r>
            <w:r>
              <w:rPr>
                <w:rFonts w:asciiTheme="minorEastAsia" w:hAnsiTheme="minorEastAsia" w:eastAsiaTheme="minorEastAsia"/>
                <w:sz w:val="24"/>
                <w:szCs w:val="24"/>
              </w:rPr>
              <w:t>万元，环保投资为</w:t>
            </w:r>
            <w:r>
              <w:rPr>
                <w:rFonts w:hint="eastAsia" w:asciiTheme="minorEastAsia" w:hAnsiTheme="minorEastAsia" w:eastAsiaTheme="minorEastAsia"/>
                <w:sz w:val="24"/>
                <w:szCs w:val="24"/>
              </w:rPr>
              <w:t>18.5</w:t>
            </w:r>
            <w:r>
              <w:rPr>
                <w:rFonts w:asciiTheme="minorEastAsia" w:hAnsiTheme="minorEastAsia" w:eastAsiaTheme="minorEastAsia"/>
                <w:sz w:val="24"/>
                <w:szCs w:val="24"/>
              </w:rPr>
              <w:t>万元，占总投资的</w:t>
            </w:r>
            <w:r>
              <w:rPr>
                <w:rFonts w:hint="eastAsia" w:asciiTheme="minorEastAsia" w:hAnsiTheme="minorEastAsia" w:eastAsiaTheme="minorEastAsia"/>
                <w:sz w:val="24"/>
                <w:szCs w:val="24"/>
              </w:rPr>
              <w:t>0.37</w:t>
            </w:r>
            <w:r>
              <w:rPr>
                <w:rFonts w:asciiTheme="minorEastAsia" w:hAnsiTheme="minorEastAsia" w:eastAsiaTheme="minorEastAsia"/>
                <w:sz w:val="24"/>
                <w:szCs w:val="24"/>
              </w:rPr>
              <w:t>%。工程环保投资估算详见表</w:t>
            </w:r>
            <w:r>
              <w:rPr>
                <w:rFonts w:hint="eastAsia" w:asciiTheme="minorEastAsia" w:hAnsiTheme="minorEastAsia" w:eastAsiaTheme="minorEastAsia"/>
                <w:sz w:val="24"/>
                <w:szCs w:val="24"/>
              </w:rPr>
              <w:t>4-17</w:t>
            </w:r>
            <w:r>
              <w:rPr>
                <w:rFonts w:asciiTheme="minorEastAsia" w:hAnsiTheme="minorEastAsia" w:eastAsiaTheme="minorEastAsia"/>
                <w:sz w:val="24"/>
                <w:szCs w:val="24"/>
              </w:rPr>
              <w:t>。</w:t>
            </w:r>
            <w:bookmarkEnd w:id="14"/>
          </w:p>
          <w:p w14:paraId="2AF6397B">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4-17</w:t>
            </w:r>
            <w:r>
              <w:rPr>
                <w:rFonts w:asciiTheme="minorEastAsia" w:hAnsiTheme="minorEastAsia" w:eastAsiaTheme="minorEastAsia"/>
                <w:b/>
                <w:bCs/>
                <w:sz w:val="24"/>
                <w:szCs w:val="24"/>
              </w:rPr>
              <w:t xml:space="preserve">  本项目环保投资一览表</w:t>
            </w:r>
          </w:p>
          <w:tbl>
            <w:tblPr>
              <w:tblStyle w:val="22"/>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5457"/>
              <w:gridCol w:w="1768"/>
            </w:tblGrid>
            <w:tr w14:paraId="72C4EC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4242D70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治理项目</w:t>
                  </w:r>
                </w:p>
              </w:tc>
              <w:tc>
                <w:tcPr>
                  <w:tcW w:w="3208" w:type="pct"/>
                  <w:vAlign w:val="center"/>
                </w:tcPr>
                <w:p w14:paraId="7C6070A9">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治理设施内容</w:t>
                  </w:r>
                </w:p>
              </w:tc>
              <w:tc>
                <w:tcPr>
                  <w:tcW w:w="1040" w:type="pct"/>
                  <w:vAlign w:val="center"/>
                </w:tcPr>
                <w:p w14:paraId="4BB19E6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金额（万元）</w:t>
                  </w:r>
                </w:p>
              </w:tc>
            </w:tr>
            <w:tr w14:paraId="6EB499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02EA02A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废水</w:t>
                  </w:r>
                </w:p>
              </w:tc>
              <w:tc>
                <w:tcPr>
                  <w:tcW w:w="3208" w:type="pct"/>
                  <w:vAlign w:val="center"/>
                </w:tcPr>
                <w:p w14:paraId="37C887A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防渗旱厕、沉淀池</w:t>
                  </w:r>
                </w:p>
              </w:tc>
              <w:tc>
                <w:tcPr>
                  <w:tcW w:w="1040" w:type="pct"/>
                  <w:vAlign w:val="center"/>
                </w:tcPr>
                <w:p w14:paraId="3A5D1BCC">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3CE9FD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30DAB97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废气</w:t>
                  </w:r>
                </w:p>
              </w:tc>
              <w:tc>
                <w:tcPr>
                  <w:tcW w:w="3208" w:type="pct"/>
                  <w:vAlign w:val="center"/>
                </w:tcPr>
                <w:p w14:paraId="0D38A36B">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袋式除尘器、排气筒</w:t>
                  </w:r>
                  <w:r>
                    <w:rPr>
                      <w:rFonts w:hint="eastAsia" w:asciiTheme="minorEastAsia" w:hAnsiTheme="minorEastAsia" w:eastAsiaTheme="minorEastAsia"/>
                      <w:szCs w:val="21"/>
                    </w:rPr>
                    <w:t>、苫布、抑尘网、洒水车、雾炮</w:t>
                  </w:r>
                </w:p>
              </w:tc>
              <w:tc>
                <w:tcPr>
                  <w:tcW w:w="1040" w:type="pct"/>
                  <w:vAlign w:val="center"/>
                </w:tcPr>
                <w:p w14:paraId="1F821C02">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w:t>
                  </w:r>
                </w:p>
              </w:tc>
            </w:tr>
            <w:tr w14:paraId="7826B2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0389CA5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噪声</w:t>
                  </w:r>
                </w:p>
              </w:tc>
              <w:tc>
                <w:tcPr>
                  <w:tcW w:w="3208" w:type="pct"/>
                  <w:vAlign w:val="center"/>
                </w:tcPr>
                <w:p w14:paraId="4C16D95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选购低噪设备、基础减震、按时对设备进行维护</w:t>
                  </w:r>
                </w:p>
              </w:tc>
              <w:tc>
                <w:tcPr>
                  <w:tcW w:w="1040" w:type="pct"/>
                  <w:vAlign w:val="center"/>
                </w:tcPr>
                <w:p w14:paraId="33E3C043">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14:paraId="64F8ED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57AB1B1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固体废物</w:t>
                  </w:r>
                </w:p>
              </w:tc>
              <w:tc>
                <w:tcPr>
                  <w:tcW w:w="3208" w:type="pct"/>
                  <w:vAlign w:val="center"/>
                </w:tcPr>
                <w:p w14:paraId="1DBB6631">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暂存外运</w:t>
                  </w:r>
                </w:p>
              </w:tc>
              <w:tc>
                <w:tcPr>
                  <w:tcW w:w="1040" w:type="pct"/>
                  <w:vAlign w:val="center"/>
                </w:tcPr>
                <w:p w14:paraId="10587E3A">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0.5</w:t>
                  </w:r>
                </w:p>
              </w:tc>
            </w:tr>
            <w:tr w14:paraId="5346EB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1FA74BC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环境风险</w:t>
                  </w:r>
                </w:p>
              </w:tc>
              <w:tc>
                <w:tcPr>
                  <w:tcW w:w="3208" w:type="pct"/>
                  <w:vAlign w:val="center"/>
                </w:tcPr>
                <w:p w14:paraId="1924163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地面硬化、地面防渗</w:t>
                  </w:r>
                  <w:r>
                    <w:rPr>
                      <w:rFonts w:hint="eastAsia" w:asciiTheme="minorEastAsia" w:hAnsiTheme="minorEastAsia" w:eastAsiaTheme="minorEastAsia"/>
                      <w:szCs w:val="21"/>
                    </w:rPr>
                    <w:t>等</w:t>
                  </w:r>
                </w:p>
              </w:tc>
              <w:tc>
                <w:tcPr>
                  <w:tcW w:w="1040" w:type="pct"/>
                  <w:vAlign w:val="center"/>
                </w:tcPr>
                <w:p w14:paraId="28B019AF">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r>
            <w:tr w14:paraId="67BF82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1" w:type="pct"/>
                  <w:vAlign w:val="center"/>
                </w:tcPr>
                <w:p w14:paraId="12049CB5">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合计</w:t>
                  </w:r>
                </w:p>
              </w:tc>
              <w:tc>
                <w:tcPr>
                  <w:tcW w:w="3208" w:type="pct"/>
                  <w:vAlign w:val="center"/>
                </w:tcPr>
                <w:p w14:paraId="7CFB2C42">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w:t>
                  </w:r>
                </w:p>
              </w:tc>
              <w:tc>
                <w:tcPr>
                  <w:tcW w:w="1040" w:type="pct"/>
                  <w:vAlign w:val="center"/>
                </w:tcPr>
                <w:p w14:paraId="2045B34D">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18.5</w:t>
                  </w:r>
                </w:p>
              </w:tc>
            </w:tr>
          </w:tbl>
          <w:p w14:paraId="669D8C9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w:t>
            </w:r>
            <w:r>
              <w:rPr>
                <w:rFonts w:asciiTheme="minorEastAsia" w:hAnsiTheme="minorEastAsia" w:eastAsiaTheme="minorEastAsia"/>
                <w:sz w:val="24"/>
                <w:szCs w:val="24"/>
              </w:rPr>
              <w:t>、“三同时”验收</w:t>
            </w:r>
          </w:p>
          <w:p w14:paraId="63747E87">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本项目环境保护“三同时”验收详见见表</w:t>
            </w:r>
            <w:r>
              <w:rPr>
                <w:rFonts w:hint="eastAsia" w:asciiTheme="minorEastAsia" w:hAnsiTheme="minorEastAsia" w:eastAsiaTheme="minorEastAsia"/>
                <w:sz w:val="24"/>
                <w:szCs w:val="24"/>
              </w:rPr>
              <w:t>4-18</w:t>
            </w:r>
            <w:r>
              <w:rPr>
                <w:rFonts w:asciiTheme="minorEastAsia" w:hAnsiTheme="minorEastAsia" w:eastAsiaTheme="minorEastAsia"/>
                <w:sz w:val="24"/>
                <w:szCs w:val="24"/>
              </w:rPr>
              <w:t>。</w:t>
            </w:r>
          </w:p>
          <w:p w14:paraId="692BDB3C">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表</w:t>
            </w:r>
            <w:r>
              <w:rPr>
                <w:rFonts w:hint="eastAsia" w:asciiTheme="minorEastAsia" w:hAnsiTheme="minorEastAsia" w:eastAsiaTheme="minorEastAsia"/>
                <w:b/>
                <w:bCs/>
                <w:sz w:val="24"/>
                <w:szCs w:val="24"/>
              </w:rPr>
              <w:t>4-18</w:t>
            </w:r>
            <w:r>
              <w:rPr>
                <w:rFonts w:asciiTheme="minorEastAsia" w:hAnsiTheme="minorEastAsia" w:eastAsiaTheme="minorEastAsia"/>
                <w:b/>
                <w:bCs/>
                <w:sz w:val="24"/>
                <w:szCs w:val="24"/>
              </w:rPr>
              <w:t xml:space="preserve">  工程竣工环境保护验收“三同时”一览表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68"/>
              <w:gridCol w:w="3540"/>
            </w:tblGrid>
            <w:tr w14:paraId="22CB2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vAlign w:val="center"/>
                </w:tcPr>
                <w:p w14:paraId="1B7FF58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项目</w:t>
                  </w:r>
                </w:p>
              </w:tc>
              <w:tc>
                <w:tcPr>
                  <w:tcW w:w="2334" w:type="pct"/>
                  <w:vAlign w:val="center"/>
                </w:tcPr>
                <w:p w14:paraId="11E8AC1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治理措施</w:t>
                  </w:r>
                </w:p>
              </w:tc>
              <w:tc>
                <w:tcPr>
                  <w:tcW w:w="2082" w:type="pct"/>
                  <w:vAlign w:val="center"/>
                </w:tcPr>
                <w:p w14:paraId="0C33A127">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处理效果</w:t>
                  </w:r>
                </w:p>
              </w:tc>
            </w:tr>
            <w:tr w14:paraId="592FA4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4" w:type="pct"/>
                  <w:vAlign w:val="center"/>
                </w:tcPr>
                <w:p w14:paraId="5E1F94D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固体废物</w:t>
                  </w:r>
                </w:p>
              </w:tc>
              <w:tc>
                <w:tcPr>
                  <w:tcW w:w="2334" w:type="pct"/>
                  <w:vAlign w:val="center"/>
                </w:tcPr>
                <w:p w14:paraId="7E2EE32A">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1.分类贮存：设置专用的室内固废暂存间，分类分区存放。</w:t>
                  </w:r>
                </w:p>
                <w:p w14:paraId="4376AB24">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3.场所要求：固废暂存间及厂区所有地面（包括厂房内、道路、产品堆放区）均需完成硬化及防渗处理，无裸露土壤。</w:t>
                  </w:r>
                </w:p>
              </w:tc>
              <w:tc>
                <w:tcPr>
                  <w:tcW w:w="2082" w:type="pct"/>
                  <w:vAlign w:val="center"/>
                </w:tcPr>
                <w:p w14:paraId="232A4571">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《一般工业固体废物贮存和填埋污染控制标准》（GB18599-2020）</w:t>
                  </w:r>
                </w:p>
              </w:tc>
            </w:tr>
            <w:tr w14:paraId="48B5A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84" w:type="pct"/>
                  <w:vAlign w:val="center"/>
                </w:tcPr>
                <w:p w14:paraId="65D98A0E">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噪声</w:t>
                  </w:r>
                </w:p>
              </w:tc>
              <w:tc>
                <w:tcPr>
                  <w:tcW w:w="2334" w:type="pct"/>
                  <w:vAlign w:val="center"/>
                </w:tcPr>
                <w:p w14:paraId="6CA772D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采用隔音材料，基础做减振处理设置封闭间</w:t>
                  </w:r>
                </w:p>
              </w:tc>
              <w:tc>
                <w:tcPr>
                  <w:tcW w:w="2082" w:type="pct"/>
                  <w:vAlign w:val="center"/>
                </w:tcPr>
                <w:p w14:paraId="501AD5CD">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厂界外噪声满足工业企业厂界环境噪声排放标准》（GB12348-2008）中</w:t>
                  </w:r>
                  <w:r>
                    <w:rPr>
                      <w:rFonts w:hint="eastAsia" w:asciiTheme="minorEastAsia" w:hAnsiTheme="minorEastAsia" w:eastAsiaTheme="minorEastAsia"/>
                      <w:szCs w:val="21"/>
                    </w:rPr>
                    <w:t>3</w:t>
                  </w:r>
                  <w:r>
                    <w:rPr>
                      <w:rFonts w:asciiTheme="minorEastAsia" w:hAnsiTheme="minorEastAsia" w:eastAsiaTheme="minorEastAsia"/>
                      <w:szCs w:val="21"/>
                    </w:rPr>
                    <w:t>类标准要求</w:t>
                  </w:r>
                </w:p>
              </w:tc>
            </w:tr>
            <w:tr w14:paraId="4A1B6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pct"/>
                  <w:vAlign w:val="center"/>
                </w:tcPr>
                <w:p w14:paraId="26DB4613">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废气</w:t>
                  </w:r>
                </w:p>
              </w:tc>
              <w:tc>
                <w:tcPr>
                  <w:tcW w:w="2334" w:type="pct"/>
                  <w:vAlign w:val="center"/>
                </w:tcPr>
                <w:p w14:paraId="50AB9504">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破碎、筛分等工序采用布袋除尘器及15m排气筒</w:t>
                  </w:r>
                </w:p>
              </w:tc>
              <w:tc>
                <w:tcPr>
                  <w:tcW w:w="2082" w:type="pct"/>
                  <w:vAlign w:val="center"/>
                </w:tcPr>
                <w:p w14:paraId="72CCC1E0">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满足《大气污染物综合排放标准》（GB16297-1996）</w:t>
                  </w:r>
                </w:p>
              </w:tc>
            </w:tr>
            <w:tr w14:paraId="19BC45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4" w:type="pct"/>
                  <w:vAlign w:val="center"/>
                </w:tcPr>
                <w:p w14:paraId="7D7F3A28">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地下水、土壤</w:t>
                  </w:r>
                </w:p>
              </w:tc>
              <w:tc>
                <w:tcPr>
                  <w:tcW w:w="2334" w:type="pct"/>
                  <w:vAlign w:val="center"/>
                </w:tcPr>
                <w:p w14:paraId="52B88A4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厂区及厂房地面要求：</w:t>
                  </w:r>
                  <w:r>
                    <w:rPr>
                      <w:rFonts w:asciiTheme="minorEastAsia" w:hAnsiTheme="minorEastAsia" w:eastAsiaTheme="minorEastAsia"/>
                      <w:szCs w:val="21"/>
                    </w:rPr>
                    <w:t xml:space="preserve"> </w:t>
                  </w:r>
                  <w:r>
                    <w:rPr>
                      <w:rFonts w:hint="eastAsia" w:asciiTheme="minorEastAsia" w:hAnsiTheme="minorEastAsia" w:eastAsiaTheme="minorEastAsia"/>
                      <w:szCs w:val="21"/>
                    </w:rPr>
                    <w:t>严格落实分区防渗。重点区域渗透系数≤</w:t>
                  </w:r>
                  <w:r>
                    <w:rPr>
                      <w:rFonts w:asciiTheme="minorEastAsia" w:hAnsiTheme="minorEastAsia" w:eastAsiaTheme="minorEastAsia"/>
                      <w:szCs w:val="21"/>
                    </w:rPr>
                    <w:t>1.0×10</w:t>
                  </w:r>
                  <w:r>
                    <w:rPr>
                      <w:rFonts w:hint="eastAsia" w:eastAsia="MS Mincho" w:cs="MS Mincho" w:asciiTheme="minorEastAsia" w:hAnsiTheme="minorEastAsia"/>
                      <w:szCs w:val="21"/>
                    </w:rPr>
                    <w:t>⁻⁷</w:t>
                  </w:r>
                  <w:r>
                    <w:rPr>
                      <w:rFonts w:hint="eastAsia" w:cs="宋体" w:asciiTheme="minorEastAsia" w:hAnsiTheme="minorEastAsia" w:eastAsiaTheme="minorEastAsia"/>
                      <w:szCs w:val="21"/>
                    </w:rPr>
                    <w:t>cm/s</w:t>
                  </w:r>
                  <w:r>
                    <w:rPr>
                      <w:rFonts w:hint="eastAsia" w:asciiTheme="minorEastAsia" w:hAnsiTheme="minorEastAsia" w:eastAsiaTheme="minorEastAsia"/>
                      <w:szCs w:val="21"/>
                    </w:rPr>
                    <w:t>；一般区域地面完成硬化防渗。</w:t>
                  </w:r>
                </w:p>
                <w:p w14:paraId="6EEAEC5B">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2.无露天加工行为要求： 所有生产行为必须在封闭的车间内进行，厂区内不得进行任何露天生产加工活动。</w:t>
                  </w:r>
                </w:p>
              </w:tc>
              <w:tc>
                <w:tcPr>
                  <w:tcW w:w="2082" w:type="pct"/>
                  <w:vAlign w:val="center"/>
                </w:tcPr>
                <w:p w14:paraId="0C2A83B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避免对地下水造成污染与破坏</w:t>
                  </w:r>
                </w:p>
              </w:tc>
            </w:tr>
            <w:tr w14:paraId="0E2A6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4" w:type="pct"/>
                  <w:vAlign w:val="center"/>
                </w:tcPr>
                <w:p w14:paraId="1ECB8D24">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绿化</w:t>
                  </w:r>
                </w:p>
              </w:tc>
              <w:tc>
                <w:tcPr>
                  <w:tcW w:w="2334" w:type="pct"/>
                  <w:vAlign w:val="center"/>
                </w:tcPr>
                <w:p w14:paraId="412BC720">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植树种草</w:t>
                  </w:r>
                </w:p>
              </w:tc>
              <w:tc>
                <w:tcPr>
                  <w:tcW w:w="2082" w:type="pct"/>
                  <w:vAlign w:val="center"/>
                </w:tcPr>
                <w:p w14:paraId="4F76E7AA">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绿化面积不低于20.0%</w:t>
                  </w:r>
                </w:p>
              </w:tc>
            </w:tr>
          </w:tbl>
          <w:p w14:paraId="313AF638">
            <w:pPr>
              <w:spacing w:line="360" w:lineRule="auto"/>
              <w:ind w:firstLine="420" w:firstLineChars="200"/>
              <w:jc w:val="left"/>
              <w:rPr>
                <w:rFonts w:asciiTheme="minorEastAsia" w:hAnsiTheme="minorEastAsia" w:eastAsiaTheme="minorEastAsia"/>
              </w:rPr>
            </w:pPr>
          </w:p>
        </w:tc>
      </w:tr>
    </w:tbl>
    <w:p w14:paraId="49BE617F">
      <w:pPr>
        <w:pStyle w:val="2"/>
        <w:keepLines w:val="0"/>
        <w:spacing w:before="0" w:after="0" w:line="240" w:lineRule="auto"/>
        <w:ind w:firstLine="147" w:firstLineChars="49"/>
        <w:jc w:val="center"/>
        <w:rPr>
          <w:rFonts w:asciiTheme="minorEastAsia" w:hAnsiTheme="minorEastAsia" w:eastAsiaTheme="minorEastAsia"/>
          <w:snapToGrid w:val="0"/>
          <w:sz w:val="30"/>
          <w:szCs w:val="30"/>
        </w:rPr>
        <w:sectPr>
          <w:pgSz w:w="11906" w:h="16838"/>
          <w:pgMar w:top="1701" w:right="1701" w:bottom="1701" w:left="1701" w:header="851" w:footer="992" w:gutter="0"/>
          <w:cols w:space="0" w:num="1"/>
          <w:docGrid w:type="linesAndChars" w:linePitch="312" w:charSpace="0"/>
        </w:sectPr>
      </w:pPr>
      <w:bookmarkStart w:id="15" w:name="_Toc20866"/>
    </w:p>
    <w:p w14:paraId="3D273B7C">
      <w:pPr>
        <w:pStyle w:val="2"/>
        <w:keepLines w:val="0"/>
        <w:spacing w:before="0" w:after="0" w:line="240" w:lineRule="auto"/>
        <w:ind w:firstLine="148" w:firstLineChars="49"/>
        <w:jc w:val="center"/>
        <w:rPr>
          <w:rFonts w:asciiTheme="minorEastAsia" w:hAnsiTheme="minorEastAsia" w:eastAsiaTheme="minorEastAsia"/>
          <w:bCs w:val="0"/>
          <w:kern w:val="2"/>
          <w:sz w:val="30"/>
          <w:szCs w:val="20"/>
        </w:rPr>
      </w:pPr>
      <w:r>
        <w:rPr>
          <w:rFonts w:asciiTheme="minorEastAsia" w:hAnsiTheme="minorEastAsia" w:eastAsiaTheme="minorEastAsia"/>
          <w:snapToGrid w:val="0"/>
          <w:sz w:val="30"/>
          <w:szCs w:val="30"/>
        </w:rPr>
        <w:t>五、</w:t>
      </w:r>
      <w:bookmarkStart w:id="16" w:name="_Hlk54167917"/>
      <w:r>
        <w:rPr>
          <w:rFonts w:asciiTheme="minorEastAsia" w:hAnsiTheme="minorEastAsia" w:eastAsiaTheme="minorEastAsia"/>
          <w:snapToGrid w:val="0"/>
          <w:sz w:val="30"/>
          <w:szCs w:val="30"/>
        </w:rPr>
        <w:t>环境保护措施监督检查清单</w:t>
      </w:r>
      <w:bookmarkEnd w:id="15"/>
      <w:bookmarkEnd w:id="16"/>
    </w:p>
    <w:tbl>
      <w:tblPr>
        <w:tblStyle w:val="22"/>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02"/>
        <w:gridCol w:w="886"/>
        <w:gridCol w:w="2635"/>
        <w:gridCol w:w="2268"/>
      </w:tblGrid>
      <w:tr w14:paraId="7EE1C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02EB8002">
            <w:pPr>
              <w:adjustRightInd w:val="0"/>
              <w:snapToGrid w:val="0"/>
              <w:ind w:firstLine="840"/>
              <w:jc w:val="center"/>
              <w:rPr>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1270</wp:posOffset>
                      </wp:positionV>
                      <wp:extent cx="944880" cy="350520"/>
                      <wp:effectExtent l="1905" t="4445" r="5715" b="6985"/>
                      <wp:wrapNone/>
                      <wp:docPr id="65" name="直接连接符 65"/>
                      <wp:cNvGraphicFramePr/>
                      <a:graphic xmlns:a="http://schemas.openxmlformats.org/drawingml/2006/main">
                        <a:graphicData uri="http://schemas.microsoft.com/office/word/2010/wordprocessingShape">
                          <wps:wsp>
                            <wps:cNvCnPr/>
                            <wps:spPr>
                              <a:xfrm>
                                <a:off x="0" y="0"/>
                                <a:ext cx="944880" cy="35052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0.1pt;height:27.6pt;width:74.4pt;z-index:251661312;mso-width-relative:page;mso-height-relative:page;" filled="f" stroked="t" coordsize="21600,21600" o:gfxdata="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Sh+ldYAAAAGAQAADwAAAAAAAAABACAAAAAiAAAAZHJzL2Rvd25y&#10;ZXYueG1sUEsBAhQAFAAAAAgAh07iQLPDh2UAAgAA+AMAAA4AAAAAAAAAAQAgAAAAJQEAAGRycy9l&#10;Mm9Eb2MueG1sUEsFBgAAAAAGAAYAWQEAAJcFAAAAAA==&#10;">
                      <v:fill on="f" focussize="0,0"/>
                      <v:stroke weight="0.25pt" color="#000000" joinstyle="round"/>
                      <v:imagedata o:title=""/>
                      <o:lock v:ext="edit" aspectratio="f"/>
                    </v:line>
                  </w:pict>
                </mc:Fallback>
              </mc:AlternateContent>
            </w:r>
            <w:r>
              <w:rPr>
                <w:szCs w:val="21"/>
              </w:rPr>
              <w:t>内容</w:t>
            </w:r>
          </w:p>
          <w:p w14:paraId="4A880C2D">
            <w:pPr>
              <w:adjustRightInd w:val="0"/>
              <w:snapToGrid w:val="0"/>
              <w:jc w:val="left"/>
              <w:rPr>
                <w:szCs w:val="21"/>
              </w:rPr>
            </w:pPr>
            <w:r>
              <w:rPr>
                <w:szCs w:val="21"/>
              </w:rPr>
              <w:t>要素</w:t>
            </w:r>
          </w:p>
        </w:tc>
        <w:tc>
          <w:tcPr>
            <w:tcW w:w="1502" w:type="dxa"/>
            <w:shd w:val="clear" w:color="auto" w:fill="auto"/>
            <w:vAlign w:val="center"/>
          </w:tcPr>
          <w:p w14:paraId="4978F691">
            <w:pPr>
              <w:adjustRightInd w:val="0"/>
              <w:snapToGrid w:val="0"/>
              <w:jc w:val="center"/>
              <w:rPr>
                <w:szCs w:val="21"/>
              </w:rPr>
            </w:pPr>
            <w:r>
              <w:rPr>
                <w:szCs w:val="21"/>
              </w:rPr>
              <w:t>排放口（编号、</w:t>
            </w:r>
          </w:p>
          <w:p w14:paraId="304F0537">
            <w:pPr>
              <w:adjustRightInd w:val="0"/>
              <w:snapToGrid w:val="0"/>
              <w:jc w:val="center"/>
              <w:rPr>
                <w:szCs w:val="21"/>
              </w:rPr>
            </w:pPr>
            <w:r>
              <w:rPr>
                <w:szCs w:val="21"/>
              </w:rPr>
              <w:t>名称）/污染源</w:t>
            </w:r>
          </w:p>
        </w:tc>
        <w:tc>
          <w:tcPr>
            <w:tcW w:w="886" w:type="dxa"/>
            <w:shd w:val="clear" w:color="auto" w:fill="auto"/>
            <w:vAlign w:val="center"/>
          </w:tcPr>
          <w:p w14:paraId="5C8464E5">
            <w:pPr>
              <w:adjustRightInd w:val="0"/>
              <w:snapToGrid w:val="0"/>
              <w:jc w:val="center"/>
              <w:rPr>
                <w:szCs w:val="21"/>
              </w:rPr>
            </w:pPr>
            <w:r>
              <w:rPr>
                <w:szCs w:val="21"/>
              </w:rPr>
              <w:t>污染物</w:t>
            </w:r>
          </w:p>
          <w:p w14:paraId="409ED5EE">
            <w:pPr>
              <w:adjustRightInd w:val="0"/>
              <w:snapToGrid w:val="0"/>
              <w:jc w:val="center"/>
              <w:rPr>
                <w:szCs w:val="21"/>
              </w:rPr>
            </w:pPr>
            <w:r>
              <w:rPr>
                <w:szCs w:val="21"/>
              </w:rPr>
              <w:t>项目</w:t>
            </w:r>
          </w:p>
        </w:tc>
        <w:tc>
          <w:tcPr>
            <w:tcW w:w="2635" w:type="dxa"/>
            <w:shd w:val="clear" w:color="auto" w:fill="auto"/>
            <w:vAlign w:val="center"/>
          </w:tcPr>
          <w:p w14:paraId="538E6838">
            <w:pPr>
              <w:adjustRightInd w:val="0"/>
              <w:snapToGrid w:val="0"/>
              <w:jc w:val="center"/>
              <w:rPr>
                <w:szCs w:val="21"/>
              </w:rPr>
            </w:pPr>
            <w:r>
              <w:rPr>
                <w:szCs w:val="21"/>
              </w:rPr>
              <w:t>环境保护措施</w:t>
            </w:r>
          </w:p>
        </w:tc>
        <w:tc>
          <w:tcPr>
            <w:tcW w:w="2268" w:type="dxa"/>
            <w:shd w:val="clear" w:color="auto" w:fill="auto"/>
            <w:vAlign w:val="center"/>
          </w:tcPr>
          <w:p w14:paraId="1C006090">
            <w:pPr>
              <w:adjustRightInd w:val="0"/>
              <w:snapToGrid w:val="0"/>
              <w:jc w:val="center"/>
              <w:rPr>
                <w:szCs w:val="21"/>
              </w:rPr>
            </w:pPr>
            <w:r>
              <w:rPr>
                <w:szCs w:val="21"/>
              </w:rPr>
              <w:t>执行标准</w:t>
            </w:r>
          </w:p>
        </w:tc>
      </w:tr>
      <w:tr w14:paraId="18C94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shd w:val="clear" w:color="auto" w:fill="auto"/>
            <w:vAlign w:val="center"/>
          </w:tcPr>
          <w:p w14:paraId="619A49DA">
            <w:pPr>
              <w:adjustRightInd w:val="0"/>
              <w:snapToGrid w:val="0"/>
              <w:jc w:val="center"/>
              <w:rPr>
                <w:szCs w:val="21"/>
              </w:rPr>
            </w:pPr>
            <w:r>
              <w:rPr>
                <w:szCs w:val="21"/>
              </w:rPr>
              <w:t>大气环境</w:t>
            </w:r>
          </w:p>
        </w:tc>
        <w:tc>
          <w:tcPr>
            <w:tcW w:w="1502" w:type="dxa"/>
            <w:shd w:val="clear" w:color="auto" w:fill="auto"/>
            <w:vAlign w:val="center"/>
          </w:tcPr>
          <w:p w14:paraId="08535895">
            <w:pPr>
              <w:adjustRightInd w:val="0"/>
              <w:snapToGrid w:val="0"/>
              <w:jc w:val="center"/>
              <w:rPr>
                <w:szCs w:val="21"/>
              </w:rPr>
            </w:pPr>
            <w:r>
              <w:rPr>
                <w:szCs w:val="21"/>
              </w:rPr>
              <w:t>破碎厂房</w:t>
            </w:r>
          </w:p>
          <w:p w14:paraId="5741C37E">
            <w:pPr>
              <w:adjustRightInd w:val="0"/>
              <w:snapToGrid w:val="0"/>
              <w:jc w:val="center"/>
              <w:rPr>
                <w:szCs w:val="21"/>
              </w:rPr>
            </w:pPr>
            <w:r>
              <w:rPr>
                <w:szCs w:val="21"/>
              </w:rPr>
              <w:t>（DA001）</w:t>
            </w:r>
          </w:p>
        </w:tc>
        <w:tc>
          <w:tcPr>
            <w:tcW w:w="886" w:type="dxa"/>
            <w:shd w:val="clear" w:color="auto" w:fill="auto"/>
            <w:vAlign w:val="center"/>
          </w:tcPr>
          <w:p w14:paraId="0FFFD226">
            <w:pPr>
              <w:adjustRightInd w:val="0"/>
              <w:snapToGrid w:val="0"/>
              <w:jc w:val="center"/>
              <w:rPr>
                <w:szCs w:val="21"/>
              </w:rPr>
            </w:pPr>
            <w:r>
              <w:rPr>
                <w:szCs w:val="21"/>
              </w:rPr>
              <w:t>颗粒物</w:t>
            </w:r>
          </w:p>
        </w:tc>
        <w:tc>
          <w:tcPr>
            <w:tcW w:w="2635" w:type="dxa"/>
            <w:shd w:val="clear" w:color="auto" w:fill="auto"/>
            <w:vAlign w:val="center"/>
          </w:tcPr>
          <w:p w14:paraId="70E43883">
            <w:pPr>
              <w:adjustRightInd w:val="0"/>
              <w:snapToGrid w:val="0"/>
              <w:jc w:val="center"/>
              <w:rPr>
                <w:szCs w:val="21"/>
              </w:rPr>
            </w:pPr>
            <w:r>
              <w:rPr>
                <w:szCs w:val="21"/>
              </w:rPr>
              <w:t>厂房密闭</w:t>
            </w:r>
          </w:p>
          <w:p w14:paraId="6321EEBC">
            <w:pPr>
              <w:adjustRightInd w:val="0"/>
              <w:snapToGrid w:val="0"/>
              <w:jc w:val="center"/>
              <w:rPr>
                <w:szCs w:val="21"/>
              </w:rPr>
            </w:pPr>
            <w:r>
              <w:rPr>
                <w:szCs w:val="21"/>
              </w:rPr>
              <w:t>+集气罩收集+布袋除尘器+15m高排气筒</w:t>
            </w:r>
          </w:p>
        </w:tc>
        <w:tc>
          <w:tcPr>
            <w:tcW w:w="2268" w:type="dxa"/>
            <w:shd w:val="clear" w:color="auto" w:fill="auto"/>
            <w:vAlign w:val="center"/>
          </w:tcPr>
          <w:p w14:paraId="20CDD3C7">
            <w:pPr>
              <w:adjustRightInd w:val="0"/>
              <w:snapToGrid w:val="0"/>
              <w:jc w:val="center"/>
              <w:rPr>
                <w:szCs w:val="21"/>
              </w:rPr>
            </w:pPr>
            <w:r>
              <w:rPr>
                <w:szCs w:val="21"/>
              </w:rPr>
              <w:t>颗粒物满足《大气污染物综合排放标准》（GB16297-1996）标准要求</w:t>
            </w:r>
          </w:p>
        </w:tc>
      </w:tr>
      <w:tr w14:paraId="7C0B3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shd w:val="clear" w:color="auto" w:fill="auto"/>
            <w:vAlign w:val="center"/>
          </w:tcPr>
          <w:p w14:paraId="1280D0ED">
            <w:pPr>
              <w:adjustRightInd w:val="0"/>
              <w:snapToGrid w:val="0"/>
              <w:jc w:val="center"/>
              <w:rPr>
                <w:szCs w:val="21"/>
              </w:rPr>
            </w:pPr>
          </w:p>
        </w:tc>
        <w:tc>
          <w:tcPr>
            <w:tcW w:w="1502" w:type="dxa"/>
            <w:shd w:val="clear" w:color="auto" w:fill="auto"/>
            <w:vAlign w:val="center"/>
          </w:tcPr>
          <w:p w14:paraId="002F2CF1">
            <w:pPr>
              <w:adjustRightInd w:val="0"/>
              <w:snapToGrid w:val="0"/>
              <w:jc w:val="center"/>
              <w:rPr>
                <w:szCs w:val="21"/>
              </w:rPr>
            </w:pPr>
            <w:r>
              <w:rPr>
                <w:szCs w:val="21"/>
              </w:rPr>
              <w:t>物料生产存储</w:t>
            </w:r>
            <w:r>
              <w:rPr>
                <w:rFonts w:hint="eastAsia"/>
                <w:szCs w:val="21"/>
              </w:rPr>
              <w:t>（无组织）</w:t>
            </w:r>
          </w:p>
        </w:tc>
        <w:tc>
          <w:tcPr>
            <w:tcW w:w="886" w:type="dxa"/>
            <w:shd w:val="clear" w:color="auto" w:fill="auto"/>
            <w:vAlign w:val="center"/>
          </w:tcPr>
          <w:p w14:paraId="026AF120">
            <w:pPr>
              <w:adjustRightInd w:val="0"/>
              <w:snapToGrid w:val="0"/>
              <w:jc w:val="center"/>
              <w:rPr>
                <w:szCs w:val="21"/>
              </w:rPr>
            </w:pPr>
            <w:r>
              <w:rPr>
                <w:szCs w:val="21"/>
              </w:rPr>
              <w:t>颗粒物</w:t>
            </w:r>
          </w:p>
        </w:tc>
        <w:tc>
          <w:tcPr>
            <w:tcW w:w="2635" w:type="dxa"/>
            <w:shd w:val="clear" w:color="auto" w:fill="auto"/>
            <w:vAlign w:val="center"/>
          </w:tcPr>
          <w:p w14:paraId="66603BDB">
            <w:pPr>
              <w:adjustRightInd w:val="0"/>
              <w:snapToGrid w:val="0"/>
              <w:jc w:val="center"/>
              <w:rPr>
                <w:szCs w:val="21"/>
              </w:rPr>
            </w:pPr>
            <w:r>
              <w:rPr>
                <w:szCs w:val="21"/>
              </w:rPr>
              <w:t>通过保持厂房密闭、维持微负压状态、定期检查维护集气系统；原料堆场采用洒水降尘</w:t>
            </w:r>
            <w:r>
              <w:rPr>
                <w:rFonts w:hint="eastAsia"/>
                <w:szCs w:val="21"/>
              </w:rPr>
              <w:t>、</w:t>
            </w:r>
            <w:r>
              <w:rPr>
                <w:szCs w:val="21"/>
              </w:rPr>
              <w:t>苫布及抑尘网覆盖；运输道路洒水降尘</w:t>
            </w:r>
          </w:p>
        </w:tc>
        <w:tc>
          <w:tcPr>
            <w:tcW w:w="2268" w:type="dxa"/>
            <w:shd w:val="clear" w:color="auto" w:fill="auto"/>
            <w:vAlign w:val="center"/>
          </w:tcPr>
          <w:p w14:paraId="748ACAED">
            <w:pPr>
              <w:adjustRightInd w:val="0"/>
              <w:snapToGrid w:val="0"/>
              <w:jc w:val="center"/>
              <w:rPr>
                <w:szCs w:val="21"/>
              </w:rPr>
            </w:pPr>
            <w:r>
              <w:rPr>
                <w:szCs w:val="21"/>
              </w:rPr>
              <w:t>确保厂界颗粒物无组织排放浓度满足《大气污染物综合排放标准》（GB16297-1996）相关限值要求</w:t>
            </w:r>
          </w:p>
        </w:tc>
      </w:tr>
      <w:tr w14:paraId="705D2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shd w:val="clear" w:color="auto" w:fill="auto"/>
            <w:vAlign w:val="center"/>
          </w:tcPr>
          <w:p w14:paraId="6ACB2D47">
            <w:pPr>
              <w:adjustRightInd w:val="0"/>
              <w:snapToGrid w:val="0"/>
              <w:jc w:val="center"/>
              <w:rPr>
                <w:szCs w:val="21"/>
              </w:rPr>
            </w:pPr>
          </w:p>
        </w:tc>
        <w:tc>
          <w:tcPr>
            <w:tcW w:w="1502" w:type="dxa"/>
            <w:shd w:val="clear" w:color="auto" w:fill="auto"/>
            <w:vAlign w:val="center"/>
          </w:tcPr>
          <w:p w14:paraId="1B905509">
            <w:pPr>
              <w:adjustRightInd w:val="0"/>
              <w:snapToGrid w:val="0"/>
              <w:jc w:val="center"/>
              <w:rPr>
                <w:szCs w:val="21"/>
                <w:u w:val="single"/>
              </w:rPr>
            </w:pPr>
            <w:r>
              <w:rPr>
                <w:szCs w:val="21"/>
                <w:u w:val="single"/>
              </w:rPr>
              <w:t>筒仓粉尘</w:t>
            </w:r>
          </w:p>
        </w:tc>
        <w:tc>
          <w:tcPr>
            <w:tcW w:w="886" w:type="dxa"/>
            <w:shd w:val="clear" w:color="auto" w:fill="auto"/>
            <w:vAlign w:val="center"/>
          </w:tcPr>
          <w:p w14:paraId="140ED8D3">
            <w:pPr>
              <w:adjustRightInd w:val="0"/>
              <w:snapToGrid w:val="0"/>
              <w:jc w:val="center"/>
              <w:rPr>
                <w:szCs w:val="21"/>
                <w:u w:val="single"/>
              </w:rPr>
            </w:pPr>
            <w:r>
              <w:rPr>
                <w:szCs w:val="21"/>
                <w:u w:val="single"/>
              </w:rPr>
              <w:t>颗粒物</w:t>
            </w:r>
          </w:p>
        </w:tc>
        <w:tc>
          <w:tcPr>
            <w:tcW w:w="2635" w:type="dxa"/>
            <w:shd w:val="clear" w:color="auto" w:fill="auto"/>
            <w:vAlign w:val="center"/>
          </w:tcPr>
          <w:p w14:paraId="4CE65C5B">
            <w:pPr>
              <w:adjustRightInd w:val="0"/>
              <w:snapToGrid w:val="0"/>
              <w:jc w:val="center"/>
              <w:rPr>
                <w:szCs w:val="21"/>
                <w:u w:val="single"/>
              </w:rPr>
            </w:pPr>
            <w:r>
              <w:rPr>
                <w:rFonts w:hint="eastAsia"/>
                <w:szCs w:val="21"/>
                <w:u w:val="single"/>
              </w:rPr>
              <w:t>经仓顶除尘器处理后通过排气口（20m）直接排出</w:t>
            </w:r>
          </w:p>
        </w:tc>
        <w:tc>
          <w:tcPr>
            <w:tcW w:w="2268" w:type="dxa"/>
            <w:shd w:val="clear" w:color="auto" w:fill="auto"/>
            <w:vAlign w:val="center"/>
          </w:tcPr>
          <w:p w14:paraId="16EA1E93">
            <w:pPr>
              <w:adjustRightInd w:val="0"/>
              <w:snapToGrid w:val="0"/>
              <w:jc w:val="center"/>
              <w:rPr>
                <w:szCs w:val="21"/>
                <w:u w:val="single"/>
              </w:rPr>
            </w:pPr>
            <w:r>
              <w:rPr>
                <w:szCs w:val="21"/>
                <w:u w:val="single"/>
              </w:rPr>
              <w:t>颗粒物满足《大气污染物综合排放标准》（GB16297-1996）标准要求</w:t>
            </w:r>
          </w:p>
        </w:tc>
      </w:tr>
      <w:tr w14:paraId="26F0B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shd w:val="clear" w:color="auto" w:fill="auto"/>
            <w:vAlign w:val="center"/>
          </w:tcPr>
          <w:p w14:paraId="684A09CF">
            <w:pPr>
              <w:adjustRightInd w:val="0"/>
              <w:snapToGrid w:val="0"/>
              <w:jc w:val="center"/>
              <w:rPr>
                <w:szCs w:val="21"/>
              </w:rPr>
            </w:pPr>
            <w:r>
              <w:rPr>
                <w:szCs w:val="21"/>
              </w:rPr>
              <w:t>地表水环境</w:t>
            </w:r>
          </w:p>
        </w:tc>
        <w:tc>
          <w:tcPr>
            <w:tcW w:w="1502" w:type="dxa"/>
            <w:shd w:val="clear" w:color="auto" w:fill="auto"/>
            <w:vAlign w:val="center"/>
          </w:tcPr>
          <w:p w14:paraId="29A1E68A">
            <w:pPr>
              <w:adjustRightInd w:val="0"/>
              <w:snapToGrid w:val="0"/>
              <w:jc w:val="center"/>
              <w:rPr>
                <w:szCs w:val="21"/>
              </w:rPr>
            </w:pPr>
            <w:r>
              <w:rPr>
                <w:szCs w:val="21"/>
              </w:rPr>
              <w:t>生活污水</w:t>
            </w:r>
          </w:p>
        </w:tc>
        <w:tc>
          <w:tcPr>
            <w:tcW w:w="886" w:type="dxa"/>
            <w:shd w:val="clear" w:color="auto" w:fill="auto"/>
            <w:vAlign w:val="center"/>
          </w:tcPr>
          <w:p w14:paraId="281C40B7">
            <w:pPr>
              <w:adjustRightInd w:val="0"/>
              <w:snapToGrid w:val="0"/>
              <w:jc w:val="center"/>
              <w:rPr>
                <w:szCs w:val="21"/>
              </w:rPr>
            </w:pPr>
            <w:r>
              <w:rPr>
                <w:szCs w:val="21"/>
              </w:rPr>
              <w:t>COD</w:t>
            </w:r>
          </w:p>
          <w:p w14:paraId="28BBE969">
            <w:pPr>
              <w:adjustRightInd w:val="0"/>
              <w:snapToGrid w:val="0"/>
              <w:jc w:val="center"/>
              <w:rPr>
                <w:szCs w:val="21"/>
              </w:rPr>
            </w:pPr>
            <w:r>
              <w:rPr>
                <w:szCs w:val="21"/>
              </w:rPr>
              <w:t>SS</w:t>
            </w:r>
          </w:p>
          <w:p w14:paraId="73F14A32">
            <w:pPr>
              <w:adjustRightInd w:val="0"/>
              <w:snapToGrid w:val="0"/>
              <w:jc w:val="center"/>
              <w:rPr>
                <w:szCs w:val="21"/>
              </w:rPr>
            </w:pPr>
            <w:r>
              <w:rPr>
                <w:szCs w:val="21"/>
              </w:rPr>
              <w:t>BOD</w:t>
            </w:r>
            <w:r>
              <w:rPr>
                <w:szCs w:val="21"/>
                <w:vertAlign w:val="subscript"/>
              </w:rPr>
              <w:t>5</w:t>
            </w:r>
          </w:p>
          <w:p w14:paraId="3675DBD4">
            <w:pPr>
              <w:adjustRightInd w:val="0"/>
              <w:snapToGrid w:val="0"/>
              <w:jc w:val="center"/>
              <w:rPr>
                <w:szCs w:val="21"/>
              </w:rPr>
            </w:pPr>
            <w:r>
              <w:rPr>
                <w:szCs w:val="21"/>
              </w:rPr>
              <w:t>NH</w:t>
            </w:r>
            <w:r>
              <w:rPr>
                <w:szCs w:val="21"/>
                <w:vertAlign w:val="subscript"/>
              </w:rPr>
              <w:t>3</w:t>
            </w:r>
            <w:r>
              <w:rPr>
                <w:szCs w:val="21"/>
              </w:rPr>
              <w:t>-N</w:t>
            </w:r>
          </w:p>
        </w:tc>
        <w:tc>
          <w:tcPr>
            <w:tcW w:w="2635" w:type="dxa"/>
            <w:shd w:val="clear" w:color="auto" w:fill="auto"/>
            <w:vAlign w:val="center"/>
          </w:tcPr>
          <w:p w14:paraId="7CD64E72">
            <w:pPr>
              <w:adjustRightInd w:val="0"/>
              <w:snapToGrid w:val="0"/>
              <w:jc w:val="center"/>
              <w:rPr>
                <w:szCs w:val="21"/>
              </w:rPr>
            </w:pPr>
            <w:r>
              <w:rPr>
                <w:szCs w:val="21"/>
              </w:rPr>
              <w:t>生活污水排入防渗旱厕，</w:t>
            </w:r>
            <w:r>
              <w:rPr>
                <w:rFonts w:hint="eastAsia"/>
                <w:szCs w:val="21"/>
              </w:rPr>
              <w:t>定期委托环卫部门清掏</w:t>
            </w:r>
          </w:p>
        </w:tc>
        <w:tc>
          <w:tcPr>
            <w:tcW w:w="2268" w:type="dxa"/>
            <w:vMerge w:val="restart"/>
            <w:shd w:val="clear" w:color="auto" w:fill="auto"/>
            <w:vAlign w:val="center"/>
          </w:tcPr>
          <w:p w14:paraId="52A2E9AA">
            <w:pPr>
              <w:adjustRightInd w:val="0"/>
              <w:snapToGrid w:val="0"/>
              <w:jc w:val="center"/>
              <w:rPr>
                <w:szCs w:val="21"/>
              </w:rPr>
            </w:pPr>
            <w:r>
              <w:rPr>
                <w:szCs w:val="21"/>
              </w:rPr>
              <w:t>全场废水不外排</w:t>
            </w:r>
          </w:p>
        </w:tc>
      </w:tr>
      <w:tr w14:paraId="0DEAC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shd w:val="clear" w:color="auto" w:fill="auto"/>
            <w:vAlign w:val="center"/>
          </w:tcPr>
          <w:p w14:paraId="37D0207F">
            <w:pPr>
              <w:adjustRightInd w:val="0"/>
              <w:snapToGrid w:val="0"/>
              <w:jc w:val="center"/>
              <w:rPr>
                <w:szCs w:val="21"/>
              </w:rPr>
            </w:pPr>
          </w:p>
        </w:tc>
        <w:tc>
          <w:tcPr>
            <w:tcW w:w="1502" w:type="dxa"/>
            <w:shd w:val="clear" w:color="auto" w:fill="auto"/>
            <w:vAlign w:val="center"/>
          </w:tcPr>
          <w:p w14:paraId="2E5FDE17">
            <w:pPr>
              <w:adjustRightInd w:val="0"/>
              <w:snapToGrid w:val="0"/>
              <w:jc w:val="center"/>
              <w:rPr>
                <w:szCs w:val="21"/>
              </w:rPr>
            </w:pPr>
            <w:r>
              <w:rPr>
                <w:szCs w:val="21"/>
              </w:rPr>
              <w:t>原料堆场</w:t>
            </w:r>
          </w:p>
          <w:p w14:paraId="7A663370">
            <w:pPr>
              <w:adjustRightInd w:val="0"/>
              <w:snapToGrid w:val="0"/>
              <w:jc w:val="center"/>
              <w:rPr>
                <w:szCs w:val="21"/>
              </w:rPr>
            </w:pPr>
            <w:r>
              <w:rPr>
                <w:szCs w:val="21"/>
              </w:rPr>
              <w:t>淋溶水</w:t>
            </w:r>
          </w:p>
        </w:tc>
        <w:tc>
          <w:tcPr>
            <w:tcW w:w="886" w:type="dxa"/>
            <w:vMerge w:val="restart"/>
            <w:shd w:val="clear" w:color="auto" w:fill="auto"/>
            <w:vAlign w:val="center"/>
          </w:tcPr>
          <w:p w14:paraId="7F9C9DA1">
            <w:pPr>
              <w:adjustRightInd w:val="0"/>
              <w:snapToGrid w:val="0"/>
              <w:jc w:val="center"/>
              <w:rPr>
                <w:szCs w:val="21"/>
              </w:rPr>
            </w:pPr>
            <w:r>
              <w:rPr>
                <w:szCs w:val="21"/>
              </w:rPr>
              <w:t>SS</w:t>
            </w:r>
          </w:p>
        </w:tc>
        <w:tc>
          <w:tcPr>
            <w:tcW w:w="2635" w:type="dxa"/>
            <w:vMerge w:val="restart"/>
            <w:shd w:val="clear" w:color="auto" w:fill="auto"/>
            <w:vAlign w:val="center"/>
          </w:tcPr>
          <w:p w14:paraId="2E2A3685">
            <w:pPr>
              <w:adjustRightInd w:val="0"/>
              <w:snapToGrid w:val="0"/>
              <w:jc w:val="center"/>
              <w:rPr>
                <w:szCs w:val="21"/>
              </w:rPr>
            </w:pPr>
            <w:r>
              <w:rPr>
                <w:szCs w:val="21"/>
              </w:rPr>
              <w:t>经</w:t>
            </w:r>
            <w:r>
              <w:rPr>
                <w:rFonts w:hint="eastAsia"/>
                <w:szCs w:val="21"/>
              </w:rPr>
              <w:t>沟渠</w:t>
            </w:r>
            <w:r>
              <w:rPr>
                <w:szCs w:val="21"/>
              </w:rPr>
              <w:t>收集后进入沉淀池（有效容积72.00m</w:t>
            </w:r>
            <w:r>
              <w:rPr>
                <w:rFonts w:hint="eastAsia"/>
                <w:szCs w:val="21"/>
                <w:vertAlign w:val="superscript"/>
              </w:rPr>
              <w:t>3</w:t>
            </w:r>
            <w:r>
              <w:rPr>
                <w:szCs w:val="21"/>
              </w:rPr>
              <w:t>），沉淀处理后全部回用于场区洒水降尘</w:t>
            </w:r>
          </w:p>
        </w:tc>
        <w:tc>
          <w:tcPr>
            <w:tcW w:w="2268" w:type="dxa"/>
            <w:vMerge w:val="continue"/>
            <w:shd w:val="clear" w:color="auto" w:fill="auto"/>
            <w:vAlign w:val="center"/>
          </w:tcPr>
          <w:p w14:paraId="3A723964">
            <w:pPr>
              <w:adjustRightInd w:val="0"/>
              <w:snapToGrid w:val="0"/>
              <w:jc w:val="center"/>
              <w:rPr>
                <w:szCs w:val="21"/>
              </w:rPr>
            </w:pPr>
          </w:p>
        </w:tc>
      </w:tr>
      <w:tr w14:paraId="7694C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shd w:val="clear" w:color="auto" w:fill="auto"/>
            <w:vAlign w:val="center"/>
          </w:tcPr>
          <w:p w14:paraId="5E081C60">
            <w:pPr>
              <w:adjustRightInd w:val="0"/>
              <w:snapToGrid w:val="0"/>
              <w:jc w:val="center"/>
              <w:rPr>
                <w:szCs w:val="21"/>
              </w:rPr>
            </w:pPr>
          </w:p>
        </w:tc>
        <w:tc>
          <w:tcPr>
            <w:tcW w:w="1502" w:type="dxa"/>
            <w:shd w:val="clear" w:color="auto" w:fill="auto"/>
            <w:vAlign w:val="center"/>
          </w:tcPr>
          <w:p w14:paraId="6F96B7CE">
            <w:pPr>
              <w:adjustRightInd w:val="0"/>
              <w:snapToGrid w:val="0"/>
              <w:jc w:val="center"/>
              <w:rPr>
                <w:szCs w:val="21"/>
              </w:rPr>
            </w:pPr>
            <w:r>
              <w:rPr>
                <w:szCs w:val="21"/>
              </w:rPr>
              <w:t>洗车废水</w:t>
            </w:r>
          </w:p>
        </w:tc>
        <w:tc>
          <w:tcPr>
            <w:tcW w:w="886" w:type="dxa"/>
            <w:vMerge w:val="continue"/>
            <w:shd w:val="clear" w:color="auto" w:fill="auto"/>
            <w:vAlign w:val="center"/>
          </w:tcPr>
          <w:p w14:paraId="59B11158">
            <w:pPr>
              <w:adjustRightInd w:val="0"/>
              <w:snapToGrid w:val="0"/>
              <w:jc w:val="center"/>
              <w:rPr>
                <w:szCs w:val="21"/>
              </w:rPr>
            </w:pPr>
          </w:p>
        </w:tc>
        <w:tc>
          <w:tcPr>
            <w:tcW w:w="2635" w:type="dxa"/>
            <w:vMerge w:val="continue"/>
            <w:shd w:val="clear" w:color="auto" w:fill="auto"/>
            <w:vAlign w:val="center"/>
          </w:tcPr>
          <w:p w14:paraId="612EEA52">
            <w:pPr>
              <w:adjustRightInd w:val="0"/>
              <w:snapToGrid w:val="0"/>
              <w:jc w:val="center"/>
              <w:rPr>
                <w:szCs w:val="21"/>
              </w:rPr>
            </w:pPr>
          </w:p>
        </w:tc>
        <w:tc>
          <w:tcPr>
            <w:tcW w:w="2268" w:type="dxa"/>
            <w:vMerge w:val="continue"/>
            <w:shd w:val="clear" w:color="auto" w:fill="auto"/>
            <w:vAlign w:val="center"/>
          </w:tcPr>
          <w:p w14:paraId="25331976">
            <w:pPr>
              <w:adjustRightInd w:val="0"/>
              <w:snapToGrid w:val="0"/>
              <w:jc w:val="center"/>
              <w:rPr>
                <w:szCs w:val="21"/>
              </w:rPr>
            </w:pPr>
          </w:p>
        </w:tc>
      </w:tr>
      <w:tr w14:paraId="26B4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0321CB03">
            <w:pPr>
              <w:adjustRightInd w:val="0"/>
              <w:snapToGrid w:val="0"/>
              <w:jc w:val="center"/>
              <w:rPr>
                <w:szCs w:val="21"/>
              </w:rPr>
            </w:pPr>
            <w:r>
              <w:rPr>
                <w:szCs w:val="21"/>
              </w:rPr>
              <w:t>声环境</w:t>
            </w:r>
          </w:p>
        </w:tc>
        <w:tc>
          <w:tcPr>
            <w:tcW w:w="1502" w:type="dxa"/>
            <w:shd w:val="clear" w:color="auto" w:fill="auto"/>
            <w:vAlign w:val="center"/>
          </w:tcPr>
          <w:p w14:paraId="4A7D2726">
            <w:pPr>
              <w:adjustRightInd w:val="0"/>
              <w:snapToGrid w:val="0"/>
              <w:jc w:val="center"/>
              <w:rPr>
                <w:szCs w:val="21"/>
              </w:rPr>
            </w:pPr>
            <w:r>
              <w:rPr>
                <w:szCs w:val="21"/>
              </w:rPr>
              <w:t>产噪设备</w:t>
            </w:r>
          </w:p>
        </w:tc>
        <w:tc>
          <w:tcPr>
            <w:tcW w:w="886" w:type="dxa"/>
            <w:shd w:val="clear" w:color="auto" w:fill="auto"/>
            <w:vAlign w:val="center"/>
          </w:tcPr>
          <w:p w14:paraId="1237027D">
            <w:pPr>
              <w:adjustRightInd w:val="0"/>
              <w:snapToGrid w:val="0"/>
              <w:jc w:val="center"/>
              <w:rPr>
                <w:szCs w:val="21"/>
              </w:rPr>
            </w:pPr>
            <w:r>
              <w:rPr>
                <w:szCs w:val="21"/>
              </w:rPr>
              <w:t>噪声</w:t>
            </w:r>
          </w:p>
        </w:tc>
        <w:tc>
          <w:tcPr>
            <w:tcW w:w="2635" w:type="dxa"/>
            <w:shd w:val="clear" w:color="auto" w:fill="auto"/>
            <w:vAlign w:val="center"/>
          </w:tcPr>
          <w:p w14:paraId="6BDBFF7F">
            <w:pPr>
              <w:adjustRightInd w:val="0"/>
              <w:snapToGrid w:val="0"/>
              <w:jc w:val="center"/>
              <w:rPr>
                <w:szCs w:val="21"/>
              </w:rPr>
            </w:pPr>
            <w:r>
              <w:rPr>
                <w:szCs w:val="21"/>
              </w:rPr>
              <w:t>选购低噪设备、基础减震、按时对设备进行维护</w:t>
            </w:r>
          </w:p>
        </w:tc>
        <w:tc>
          <w:tcPr>
            <w:tcW w:w="2268" w:type="dxa"/>
            <w:shd w:val="clear" w:color="auto" w:fill="auto"/>
            <w:vAlign w:val="center"/>
          </w:tcPr>
          <w:p w14:paraId="69C7CA05">
            <w:pPr>
              <w:adjustRightInd w:val="0"/>
              <w:snapToGrid w:val="0"/>
              <w:jc w:val="center"/>
              <w:rPr>
                <w:szCs w:val="21"/>
              </w:rPr>
            </w:pPr>
            <w:r>
              <w:rPr>
                <w:szCs w:val="21"/>
              </w:rPr>
              <w:t>满足《工业企业厂界环境噪声排放标准》（GB12348-2008）3类标准</w:t>
            </w:r>
          </w:p>
        </w:tc>
      </w:tr>
      <w:tr w14:paraId="4263F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1667D94A">
            <w:pPr>
              <w:adjustRightInd w:val="0"/>
              <w:snapToGrid w:val="0"/>
              <w:jc w:val="center"/>
              <w:rPr>
                <w:szCs w:val="21"/>
              </w:rPr>
            </w:pPr>
            <w:r>
              <w:rPr>
                <w:szCs w:val="21"/>
              </w:rPr>
              <w:t>固体废物</w:t>
            </w:r>
          </w:p>
        </w:tc>
        <w:tc>
          <w:tcPr>
            <w:tcW w:w="7291" w:type="dxa"/>
            <w:gridSpan w:val="4"/>
            <w:shd w:val="clear" w:color="auto" w:fill="auto"/>
            <w:vAlign w:val="center"/>
          </w:tcPr>
          <w:p w14:paraId="423EA80C">
            <w:pPr>
              <w:jc w:val="center"/>
              <w:rPr>
                <w:szCs w:val="21"/>
                <w:u w:val="single"/>
              </w:rPr>
            </w:pPr>
            <w:r>
              <w:rPr>
                <w:rFonts w:asciiTheme="minorEastAsia" w:hAnsiTheme="minorEastAsia" w:eastAsiaTheme="minorEastAsia"/>
                <w:szCs w:val="21"/>
                <w:u w:val="single"/>
              </w:rPr>
              <w:t>生活垃圾、</w:t>
            </w:r>
            <w:r>
              <w:rPr>
                <w:rFonts w:hint="eastAsia" w:asciiTheme="minorEastAsia" w:hAnsiTheme="minorEastAsia" w:eastAsiaTheme="minorEastAsia"/>
                <w:szCs w:val="21"/>
                <w:u w:val="single"/>
              </w:rPr>
              <w:t>沉淀物</w:t>
            </w:r>
            <w:r>
              <w:rPr>
                <w:rFonts w:asciiTheme="minorEastAsia" w:hAnsiTheme="minorEastAsia" w:eastAsiaTheme="minorEastAsia"/>
                <w:szCs w:val="21"/>
                <w:u w:val="single"/>
              </w:rPr>
              <w:t>暂存垃圾箱，由环卫部门统一处理；</w:t>
            </w:r>
            <w:r>
              <w:rPr>
                <w:rFonts w:hint="eastAsia" w:asciiTheme="minorEastAsia" w:hAnsiTheme="minorEastAsia" w:eastAsiaTheme="minorEastAsia"/>
                <w:szCs w:val="21"/>
                <w:u w:val="single"/>
              </w:rPr>
              <w:t>除尘灰</w:t>
            </w:r>
            <w:r>
              <w:rPr>
                <w:rFonts w:asciiTheme="minorEastAsia" w:hAnsiTheme="minorEastAsia" w:eastAsiaTheme="minorEastAsia"/>
                <w:szCs w:val="21"/>
                <w:u w:val="single"/>
              </w:rPr>
              <w:t>及自然沉降粉尘作为产品外售，废旧布袋</w:t>
            </w:r>
            <w:r>
              <w:rPr>
                <w:rFonts w:hint="eastAsia" w:asciiTheme="minorEastAsia" w:hAnsiTheme="minorEastAsia" w:eastAsiaTheme="minorEastAsia"/>
                <w:szCs w:val="21"/>
                <w:u w:val="single"/>
              </w:rPr>
              <w:t>由厂家回收利用，废机油、废油桶、废含油抹布暂存于危险废物储存间，定期委托有资质单位处理</w:t>
            </w:r>
          </w:p>
        </w:tc>
      </w:tr>
      <w:tr w14:paraId="21A5A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6C90FE4F">
            <w:pPr>
              <w:adjustRightInd w:val="0"/>
              <w:snapToGrid w:val="0"/>
              <w:jc w:val="center"/>
              <w:rPr>
                <w:szCs w:val="21"/>
              </w:rPr>
            </w:pPr>
            <w:r>
              <w:rPr>
                <w:szCs w:val="21"/>
              </w:rPr>
              <w:t>土壤及地下水</w:t>
            </w:r>
          </w:p>
          <w:p w14:paraId="46C785B6">
            <w:pPr>
              <w:adjustRightInd w:val="0"/>
              <w:snapToGrid w:val="0"/>
              <w:jc w:val="center"/>
              <w:rPr>
                <w:szCs w:val="21"/>
              </w:rPr>
            </w:pPr>
            <w:r>
              <w:rPr>
                <w:szCs w:val="21"/>
              </w:rPr>
              <w:t>污染防治措施</w:t>
            </w:r>
          </w:p>
        </w:tc>
        <w:tc>
          <w:tcPr>
            <w:tcW w:w="7291" w:type="dxa"/>
            <w:gridSpan w:val="4"/>
            <w:shd w:val="clear" w:color="auto" w:fill="auto"/>
            <w:vAlign w:val="center"/>
          </w:tcPr>
          <w:p w14:paraId="0E214B1C">
            <w:pPr>
              <w:adjustRightInd w:val="0"/>
              <w:snapToGrid w:val="0"/>
              <w:jc w:val="center"/>
              <w:rPr>
                <w:szCs w:val="21"/>
              </w:rPr>
            </w:pPr>
            <w:r>
              <w:rPr>
                <w:rFonts w:hint="eastAsia" w:ascii="宋体" w:hAnsi="宋体" w:cs="宋体"/>
                <w:szCs w:val="21"/>
              </w:rPr>
              <w:t>①</w:t>
            </w:r>
            <w:r>
              <w:rPr>
                <w:rFonts w:hint="eastAsia"/>
                <w:szCs w:val="21"/>
              </w:rPr>
              <w:t>危险废物储存间</w:t>
            </w:r>
            <w:r>
              <w:rPr>
                <w:szCs w:val="21"/>
              </w:rPr>
              <w:t>、防渗旱厕、沉淀池为重点污染防治区，防渗性能等效黏土防渗层Mb≥6.0m，渗透系数≤1.0×10</w:t>
            </w:r>
            <w:r>
              <w:rPr>
                <w:rFonts w:hint="eastAsia"/>
                <w:szCs w:val="21"/>
                <w:vertAlign w:val="superscript"/>
              </w:rPr>
              <w:t>-7</w:t>
            </w:r>
            <w:r>
              <w:rPr>
                <w:szCs w:val="21"/>
              </w:rPr>
              <w:t>cm/s（或采用水泥基础防渗+2mm厚HDPE膜+环氧地坪漆，渗透系数≤10</w:t>
            </w:r>
            <w:r>
              <w:rPr>
                <w:rFonts w:hint="eastAsia"/>
                <w:szCs w:val="21"/>
                <w:vertAlign w:val="superscript"/>
              </w:rPr>
              <w:t>-10</w:t>
            </w:r>
            <w:r>
              <w:rPr>
                <w:szCs w:val="21"/>
              </w:rPr>
              <w:t>cm/s）；</w:t>
            </w:r>
            <w:r>
              <w:rPr>
                <w:rFonts w:hint="eastAsia" w:ascii="宋体" w:hAnsi="宋体" w:cs="宋体"/>
                <w:szCs w:val="21"/>
              </w:rPr>
              <w:t>②</w:t>
            </w:r>
            <w:r>
              <w:rPr>
                <w:rFonts w:hint="eastAsia"/>
                <w:szCs w:val="21"/>
              </w:rPr>
              <w:t>原料</w:t>
            </w:r>
            <w:r>
              <w:rPr>
                <w:szCs w:val="21"/>
              </w:rPr>
              <w:t>堆场、产品库房为一般污染防治区，防渗性能等效黏土防渗层Mb≥1.5m，渗透系数≤1.0×10</w:t>
            </w:r>
            <w:r>
              <w:rPr>
                <w:rFonts w:hint="eastAsia"/>
                <w:szCs w:val="21"/>
                <w:vertAlign w:val="superscript"/>
              </w:rPr>
              <w:t>-7</w:t>
            </w:r>
            <w:r>
              <w:rPr>
                <w:szCs w:val="21"/>
              </w:rPr>
              <w:t>cm/s；</w:t>
            </w:r>
            <w:r>
              <w:rPr>
                <w:rFonts w:hint="eastAsia" w:ascii="宋体" w:hAnsi="宋体" w:cs="宋体"/>
                <w:szCs w:val="21"/>
              </w:rPr>
              <w:t>③</w:t>
            </w:r>
            <w:r>
              <w:rPr>
                <w:szCs w:val="21"/>
              </w:rPr>
              <w:t>加强厂区管理，建立健全土壤和地下水污染防治响应机制</w:t>
            </w:r>
          </w:p>
        </w:tc>
      </w:tr>
      <w:tr w14:paraId="46740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113BC2CA">
            <w:pPr>
              <w:adjustRightInd w:val="0"/>
              <w:snapToGrid w:val="0"/>
              <w:jc w:val="center"/>
              <w:rPr>
                <w:szCs w:val="21"/>
              </w:rPr>
            </w:pPr>
            <w:r>
              <w:rPr>
                <w:szCs w:val="21"/>
              </w:rPr>
              <w:t>生态保护措施</w:t>
            </w:r>
          </w:p>
        </w:tc>
        <w:tc>
          <w:tcPr>
            <w:tcW w:w="7291" w:type="dxa"/>
            <w:gridSpan w:val="4"/>
            <w:shd w:val="clear" w:color="auto" w:fill="auto"/>
            <w:vAlign w:val="center"/>
          </w:tcPr>
          <w:p w14:paraId="2C7812D8">
            <w:pPr>
              <w:adjustRightInd w:val="0"/>
              <w:snapToGrid w:val="0"/>
              <w:jc w:val="center"/>
              <w:rPr>
                <w:szCs w:val="21"/>
              </w:rPr>
            </w:pPr>
            <w:r>
              <w:rPr>
                <w:szCs w:val="21"/>
              </w:rPr>
              <w:t>无</w:t>
            </w:r>
          </w:p>
        </w:tc>
      </w:tr>
      <w:tr w14:paraId="0AA31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509" w:type="dxa"/>
            <w:vMerge w:val="restart"/>
            <w:shd w:val="clear" w:color="auto" w:fill="auto"/>
            <w:vAlign w:val="center"/>
          </w:tcPr>
          <w:p w14:paraId="2494BB95">
            <w:pPr>
              <w:adjustRightInd w:val="0"/>
              <w:snapToGrid w:val="0"/>
              <w:jc w:val="center"/>
              <w:rPr>
                <w:spacing w:val="-8"/>
                <w:szCs w:val="21"/>
              </w:rPr>
            </w:pPr>
            <w:r>
              <w:rPr>
                <w:spacing w:val="-8"/>
                <w:szCs w:val="21"/>
              </w:rPr>
              <w:t>环境风险</w:t>
            </w:r>
          </w:p>
          <w:p w14:paraId="0EBC9E1A">
            <w:pPr>
              <w:adjustRightInd w:val="0"/>
              <w:snapToGrid w:val="0"/>
              <w:jc w:val="center"/>
              <w:rPr>
                <w:spacing w:val="-8"/>
                <w:szCs w:val="21"/>
              </w:rPr>
            </w:pPr>
            <w:r>
              <w:rPr>
                <w:spacing w:val="-8"/>
                <w:szCs w:val="21"/>
              </w:rPr>
              <w:t>防范措施</w:t>
            </w:r>
          </w:p>
        </w:tc>
        <w:tc>
          <w:tcPr>
            <w:tcW w:w="7291" w:type="dxa"/>
            <w:gridSpan w:val="4"/>
            <w:shd w:val="clear" w:color="auto" w:fill="auto"/>
            <w:vAlign w:val="center"/>
          </w:tcPr>
          <w:p w14:paraId="02FCD810">
            <w:pPr>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废气处理设施故障：非正常工况下污染物超标排放。防范与应急措施：1. 制定操作规程，定期检修维护废气处理设施。2. 一旦发生故障，立即停产检修，停止污泥进料。</w:t>
            </w:r>
          </w:p>
        </w:tc>
      </w:tr>
      <w:tr w14:paraId="16B74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509" w:type="dxa"/>
            <w:vMerge w:val="continue"/>
            <w:shd w:val="clear" w:color="auto" w:fill="auto"/>
            <w:vAlign w:val="center"/>
          </w:tcPr>
          <w:p w14:paraId="54B02D5F">
            <w:pPr>
              <w:adjustRightInd w:val="0"/>
              <w:snapToGrid w:val="0"/>
              <w:jc w:val="center"/>
              <w:rPr>
                <w:spacing w:val="-8"/>
                <w:szCs w:val="21"/>
              </w:rPr>
            </w:pPr>
          </w:p>
        </w:tc>
        <w:tc>
          <w:tcPr>
            <w:tcW w:w="7291" w:type="dxa"/>
            <w:gridSpan w:val="4"/>
            <w:shd w:val="clear" w:color="auto" w:fill="auto"/>
            <w:vAlign w:val="center"/>
          </w:tcPr>
          <w:p w14:paraId="5B5B0D29">
            <w:pPr>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危险废物泄漏：废机油等泄漏污染土壤、地下水。防范与应急措施：1、危险化学品的购买、储存、保管、使用等需按照《危险化学品安全管理条例》之规定管理。危险化学品必须储存在专用仓库、专用场地或者专用储存室内，其储存方式、方法与储存数量必须符合国家有关规定，并由专人管理，危险化学品出入库，必须进行核查登记，并定期检查库存。</w:t>
            </w:r>
          </w:p>
          <w:p w14:paraId="089EC059">
            <w:pPr>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2、危废暂存间地面进行防渗措施，其防渗系数应满足《危险废物贮存污染控制标准》(GB18597-2023)要求进行建设和管理，设置符合《危险废物识别标志设置技术规范》(HJ1276-2022)中要求的标志。</w:t>
            </w:r>
          </w:p>
          <w:p w14:paraId="42906E2E">
            <w:pPr>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3、消防设施均按照国家相关规范设计实施，根据《建筑灭火器配置设计规范》的规定，在项目内配备足够的消防器材。编制应急预案并到当地主管部门进行备案。</w:t>
            </w:r>
          </w:p>
        </w:tc>
      </w:tr>
      <w:tr w14:paraId="6CD68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509" w:type="dxa"/>
            <w:vMerge w:val="continue"/>
            <w:shd w:val="clear" w:color="auto" w:fill="auto"/>
            <w:vAlign w:val="center"/>
          </w:tcPr>
          <w:p w14:paraId="5B74EF66">
            <w:pPr>
              <w:adjustRightInd w:val="0"/>
              <w:snapToGrid w:val="0"/>
              <w:jc w:val="center"/>
              <w:rPr>
                <w:spacing w:val="-8"/>
                <w:szCs w:val="21"/>
              </w:rPr>
            </w:pPr>
          </w:p>
        </w:tc>
        <w:tc>
          <w:tcPr>
            <w:tcW w:w="7291" w:type="dxa"/>
            <w:gridSpan w:val="4"/>
            <w:shd w:val="clear" w:color="auto" w:fill="auto"/>
            <w:vAlign w:val="center"/>
          </w:tcPr>
          <w:p w14:paraId="2ABBD53C">
            <w:pPr>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与开发区风险联动：项目风险物质单一、量少，但需纳入区域体系。防范与应急措施：待吉林浑江经济开发区规划及规划环评修编后，建立与开发区的环境风险应急联动体系。</w:t>
            </w:r>
          </w:p>
        </w:tc>
      </w:tr>
      <w:tr w14:paraId="38BBE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shd w:val="clear" w:color="auto" w:fill="auto"/>
            <w:vAlign w:val="center"/>
          </w:tcPr>
          <w:p w14:paraId="33B42EEE">
            <w:pPr>
              <w:adjustRightInd w:val="0"/>
              <w:snapToGrid w:val="0"/>
              <w:jc w:val="center"/>
              <w:rPr>
                <w:spacing w:val="-8"/>
                <w:szCs w:val="21"/>
              </w:rPr>
            </w:pPr>
            <w:r>
              <w:rPr>
                <w:spacing w:val="-8"/>
                <w:szCs w:val="21"/>
              </w:rPr>
              <w:t>其他环境</w:t>
            </w:r>
          </w:p>
          <w:p w14:paraId="6E8CDC2A">
            <w:pPr>
              <w:adjustRightInd w:val="0"/>
              <w:snapToGrid w:val="0"/>
              <w:jc w:val="center"/>
              <w:rPr>
                <w:spacing w:val="-8"/>
                <w:szCs w:val="21"/>
              </w:rPr>
            </w:pPr>
            <w:r>
              <w:rPr>
                <w:spacing w:val="-8"/>
                <w:szCs w:val="21"/>
              </w:rPr>
              <w:t>管理要求</w:t>
            </w:r>
          </w:p>
        </w:tc>
        <w:tc>
          <w:tcPr>
            <w:tcW w:w="7291" w:type="dxa"/>
            <w:gridSpan w:val="4"/>
            <w:shd w:val="clear" w:color="auto" w:fill="auto"/>
            <w:vAlign w:val="center"/>
          </w:tcPr>
          <w:p w14:paraId="147EFCE1">
            <w:pPr>
              <w:adjustRightInd w:val="0"/>
              <w:snapToGrid w:val="0"/>
              <w:jc w:val="center"/>
              <w:rPr>
                <w:szCs w:val="21"/>
              </w:rPr>
            </w:pPr>
            <w:r>
              <w:rPr>
                <w:rFonts w:hint="eastAsia" w:ascii="宋体" w:hAnsi="宋体" w:cs="宋体"/>
                <w:szCs w:val="21"/>
              </w:rPr>
              <w:t>①</w:t>
            </w:r>
            <w:r>
              <w:rPr>
                <w:szCs w:val="21"/>
              </w:rPr>
              <w:t>企业建立环境管理体系，落实环保资金、例行监测制度，做好环境信息统计；</w:t>
            </w:r>
            <w:r>
              <w:rPr>
                <w:rFonts w:hint="eastAsia" w:ascii="宋体" w:hAnsi="宋体" w:cs="宋体"/>
                <w:szCs w:val="21"/>
              </w:rPr>
              <w:t>②</w:t>
            </w:r>
            <w:r>
              <w:rPr>
                <w:szCs w:val="21"/>
              </w:rPr>
              <w:t>根据《建设项目竣工环境保护验收暂行办法》中的相关规定，落实“三同时”验收；</w:t>
            </w:r>
            <w:r>
              <w:rPr>
                <w:rFonts w:hint="eastAsia" w:ascii="宋体" w:hAnsi="宋体" w:cs="宋体"/>
                <w:szCs w:val="21"/>
              </w:rPr>
              <w:t>③</w:t>
            </w:r>
            <w:r>
              <w:rPr>
                <w:szCs w:val="21"/>
              </w:rPr>
              <w:t xml:space="preserve">根据《排污许可管理办法》，在取得环评批复后，尽快落实排污许可制度； </w:t>
            </w:r>
          </w:p>
        </w:tc>
      </w:tr>
    </w:tbl>
    <w:p w14:paraId="3081CDC7">
      <w:pPr>
        <w:spacing w:line="360" w:lineRule="auto"/>
        <w:rPr>
          <w:rFonts w:asciiTheme="minorEastAsia" w:hAnsiTheme="minorEastAsia" w:eastAsiaTheme="minorEastAsia"/>
          <w:sz w:val="24"/>
          <w:szCs w:val="24"/>
        </w:rPr>
      </w:pPr>
    </w:p>
    <w:p w14:paraId="44BE8DB3">
      <w:pPr>
        <w:pStyle w:val="2"/>
        <w:keepLines w:val="0"/>
        <w:spacing w:before="0" w:after="0" w:line="240" w:lineRule="auto"/>
        <w:ind w:firstLine="148" w:firstLineChars="49"/>
        <w:jc w:val="center"/>
        <w:rPr>
          <w:rFonts w:asciiTheme="minorEastAsia" w:hAnsiTheme="minorEastAsia" w:eastAsiaTheme="minorEastAsia"/>
          <w:bCs w:val="0"/>
          <w:kern w:val="2"/>
          <w:sz w:val="30"/>
          <w:szCs w:val="20"/>
        </w:rPr>
      </w:pPr>
      <w:bookmarkStart w:id="17" w:name="_Toc7282"/>
      <w:r>
        <w:rPr>
          <w:rFonts w:asciiTheme="minorEastAsia" w:hAnsiTheme="minorEastAsia" w:eastAsiaTheme="minorEastAsia"/>
          <w:snapToGrid w:val="0"/>
          <w:sz w:val="30"/>
          <w:szCs w:val="30"/>
        </w:rPr>
        <w:t>六、结论</w:t>
      </w:r>
      <w:bookmarkEnd w:id="17"/>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B3F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5" w:hRule="atLeast"/>
        </w:trPr>
        <w:tc>
          <w:tcPr>
            <w:tcW w:w="5000" w:type="pct"/>
          </w:tcPr>
          <w:p w14:paraId="2C63A089">
            <w:pPr>
              <w:spacing w:line="360" w:lineRule="auto"/>
              <w:ind w:firstLine="480" w:firstLineChars="200"/>
              <w:jc w:val="left"/>
              <w:rPr>
                <w:rFonts w:asciiTheme="minorEastAsia" w:hAnsiTheme="minorEastAsia" w:eastAsiaTheme="minorEastAsia"/>
              </w:rPr>
            </w:pPr>
            <w:r>
              <w:rPr>
                <w:rFonts w:hint="eastAsia" w:asciiTheme="minorEastAsia" w:hAnsiTheme="minorEastAsia" w:eastAsiaTheme="minorEastAsia"/>
                <w:sz w:val="24"/>
                <w:szCs w:val="24"/>
              </w:rPr>
              <w:t>本项目建设符合国家产业政策，符合吉林省管控单元要求，通过现场踏查、工程分析、类比调查与污染防治措施的论证，项目在采取有效的污染防治措施后，各项污染物可实现达标排放，对环境影响较小。建设单位在建设及运营过程中应严格按照环境保护“三同时”，要求落实好环评报告中所提出各项环保措施。在建设单位积极落实报告表中所提出的各项污染防治措施，加强环境管理，保证治理措施正常运行的情况下，可以实现污染物达标排放。从环保角度考虑，该项目是可行的。</w:t>
            </w:r>
          </w:p>
        </w:tc>
      </w:tr>
    </w:tbl>
    <w:p w14:paraId="2CAE4098">
      <w:pPr>
        <w:spacing w:line="360" w:lineRule="auto"/>
        <w:rPr>
          <w:rFonts w:asciiTheme="minorEastAsia" w:hAnsiTheme="minorEastAsia" w:eastAsiaTheme="minorEastAsia"/>
          <w:sz w:val="24"/>
          <w:szCs w:val="24"/>
        </w:rPr>
      </w:pPr>
    </w:p>
    <w:p w14:paraId="2049EB8C">
      <w:pPr>
        <w:spacing w:line="360" w:lineRule="auto"/>
        <w:rPr>
          <w:rFonts w:asciiTheme="minorEastAsia" w:hAnsiTheme="minorEastAsia" w:eastAsiaTheme="minorEastAsia"/>
          <w:sz w:val="24"/>
          <w:szCs w:val="24"/>
        </w:rPr>
        <w:sectPr>
          <w:pgSz w:w="11906" w:h="16838"/>
          <w:pgMar w:top="1701" w:right="1701" w:bottom="1701" w:left="1701" w:header="851" w:footer="992" w:gutter="0"/>
          <w:cols w:space="0" w:num="1"/>
          <w:docGrid w:type="lines" w:linePitch="312" w:charSpace="0"/>
        </w:sectPr>
      </w:pPr>
    </w:p>
    <w:p w14:paraId="5D5D713F">
      <w:pPr>
        <w:pStyle w:val="2"/>
        <w:keepLines w:val="0"/>
        <w:spacing w:before="0" w:after="0" w:line="240" w:lineRule="auto"/>
        <w:ind w:firstLine="186" w:firstLineChars="49"/>
        <w:jc w:val="center"/>
        <w:rPr>
          <w:rFonts w:asciiTheme="minorEastAsia" w:hAnsiTheme="minorEastAsia" w:eastAsiaTheme="minorEastAsia"/>
          <w:b w:val="0"/>
          <w:bCs w:val="0"/>
          <w:kern w:val="2"/>
          <w:sz w:val="30"/>
          <w:szCs w:val="20"/>
        </w:rPr>
      </w:pPr>
      <w:bookmarkStart w:id="18" w:name="_Toc4245"/>
      <w:r>
        <w:rPr>
          <w:rFonts w:asciiTheme="minorEastAsia" w:hAnsiTheme="minorEastAsia" w:eastAsiaTheme="minorEastAsia"/>
          <w:b w:val="0"/>
          <w:bCs w:val="0"/>
          <w:snapToGrid w:val="0"/>
          <w:sz w:val="38"/>
          <w:szCs w:val="38"/>
        </w:rPr>
        <w:t>建设项目污染物排放量汇总表</w:t>
      </w:r>
      <w:bookmarkEnd w:id="18"/>
    </w:p>
    <w:tbl>
      <w:tblPr>
        <w:tblStyle w:val="22"/>
        <w:tblW w:w="510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794"/>
        <w:gridCol w:w="1483"/>
        <w:gridCol w:w="1149"/>
        <w:gridCol w:w="1577"/>
        <w:gridCol w:w="1582"/>
        <w:gridCol w:w="1615"/>
        <w:gridCol w:w="1838"/>
        <w:gridCol w:w="1681"/>
      </w:tblGrid>
      <w:tr w14:paraId="178E8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tcBorders>
              <w:tl2br w:val="single" w:color="auto" w:sz="4" w:space="0"/>
            </w:tcBorders>
            <w:tcMar>
              <w:left w:w="28" w:type="dxa"/>
              <w:right w:w="28" w:type="dxa"/>
            </w:tcMar>
            <w:vAlign w:val="center"/>
          </w:tcPr>
          <w:p w14:paraId="12B47FDD">
            <w:pPr>
              <w:jc w:val="center"/>
              <w:rPr>
                <w:rFonts w:asciiTheme="minorEastAsia" w:hAnsiTheme="minorEastAsia" w:eastAsiaTheme="minorEastAsia"/>
              </w:rPr>
            </w:pPr>
            <w:r>
              <w:rPr>
                <w:rFonts w:asciiTheme="minorEastAsia" w:hAnsiTheme="minorEastAsia" w:eastAsiaTheme="minorEastAsia"/>
              </w:rPr>
              <w:t>项目</w:t>
            </w:r>
          </w:p>
          <w:p w14:paraId="16A6FD0F">
            <w:pPr>
              <w:jc w:val="center"/>
              <w:rPr>
                <w:rFonts w:asciiTheme="minorEastAsia" w:hAnsiTheme="minorEastAsia" w:eastAsiaTheme="minorEastAsia"/>
              </w:rPr>
            </w:pPr>
            <w:r>
              <w:rPr>
                <w:rFonts w:asciiTheme="minorEastAsia" w:hAnsiTheme="minorEastAsia" w:eastAsiaTheme="minorEastAsia"/>
              </w:rPr>
              <w:t>分类</w:t>
            </w:r>
          </w:p>
        </w:tc>
        <w:tc>
          <w:tcPr>
            <w:tcW w:w="651" w:type="pct"/>
            <w:tcMar>
              <w:left w:w="28" w:type="dxa"/>
              <w:right w:w="28" w:type="dxa"/>
            </w:tcMar>
            <w:vAlign w:val="center"/>
          </w:tcPr>
          <w:p w14:paraId="69134E80">
            <w:pPr>
              <w:jc w:val="center"/>
              <w:rPr>
                <w:rFonts w:asciiTheme="minorEastAsia" w:hAnsiTheme="minorEastAsia" w:eastAsiaTheme="minorEastAsia"/>
              </w:rPr>
            </w:pPr>
            <w:r>
              <w:rPr>
                <w:rFonts w:asciiTheme="minorEastAsia" w:hAnsiTheme="minorEastAsia" w:eastAsiaTheme="minorEastAsia"/>
              </w:rPr>
              <w:t>污染物名称</w:t>
            </w:r>
          </w:p>
        </w:tc>
        <w:tc>
          <w:tcPr>
            <w:tcW w:w="538" w:type="pct"/>
            <w:tcMar>
              <w:left w:w="28" w:type="dxa"/>
              <w:right w:w="28" w:type="dxa"/>
            </w:tcMar>
            <w:vAlign w:val="center"/>
          </w:tcPr>
          <w:p w14:paraId="5EE36565">
            <w:pPr>
              <w:jc w:val="center"/>
              <w:rPr>
                <w:rFonts w:asciiTheme="minorEastAsia" w:hAnsiTheme="minorEastAsia" w:eastAsiaTheme="minorEastAsia"/>
              </w:rPr>
            </w:pPr>
            <w:r>
              <w:rPr>
                <w:rFonts w:asciiTheme="minorEastAsia" w:hAnsiTheme="minorEastAsia" w:eastAsiaTheme="minorEastAsia"/>
              </w:rPr>
              <w:t>现有工程</w:t>
            </w:r>
          </w:p>
          <w:p w14:paraId="5EEDDACD">
            <w:pPr>
              <w:jc w:val="center"/>
              <w:rPr>
                <w:rFonts w:asciiTheme="minorEastAsia" w:hAnsiTheme="minorEastAsia" w:eastAsiaTheme="minorEastAsia"/>
              </w:rPr>
            </w:pPr>
            <w:r>
              <w:rPr>
                <w:rFonts w:asciiTheme="minorEastAsia" w:hAnsiTheme="minorEastAsia" w:eastAsiaTheme="minorEastAsia"/>
              </w:rPr>
              <w:t>排放量（固体废物产生量）</w:t>
            </w:r>
            <w:r>
              <w:rPr>
                <w:rFonts w:asciiTheme="minorEastAsia" w:hAnsiTheme="minorEastAsia" w:eastAsiaTheme="minorEastAsia"/>
              </w:rPr>
              <w:fldChar w:fldCharType="begin"/>
            </w:r>
            <w:r>
              <w:rPr>
                <w:rFonts w:asciiTheme="minorEastAsia" w:hAnsiTheme="minorEastAsia" w:eastAsiaTheme="minorEastAsia"/>
              </w:rPr>
              <w:instrText xml:space="preserve"> = 1 \* GB3 \* MERGEFORMAT </w:instrText>
            </w:r>
            <w:r>
              <w:rPr>
                <w:rFonts w:asciiTheme="minorEastAsia" w:hAnsiTheme="minorEastAsia" w:eastAsiaTheme="minorEastAsia"/>
              </w:rPr>
              <w:fldChar w:fldCharType="separate"/>
            </w:r>
            <w:r>
              <w:rPr>
                <w:rFonts w:asciiTheme="minorEastAsia" w:hAnsiTheme="minorEastAsia" w:eastAsiaTheme="minorEastAsia"/>
              </w:rPr>
              <w:t>①</w:t>
            </w:r>
            <w:r>
              <w:rPr>
                <w:rFonts w:asciiTheme="minorEastAsia" w:hAnsiTheme="minorEastAsia" w:eastAsiaTheme="minorEastAsia"/>
              </w:rPr>
              <w:fldChar w:fldCharType="end"/>
            </w:r>
          </w:p>
        </w:tc>
        <w:tc>
          <w:tcPr>
            <w:tcW w:w="417" w:type="pct"/>
            <w:tcMar>
              <w:left w:w="28" w:type="dxa"/>
              <w:right w:w="28" w:type="dxa"/>
            </w:tcMar>
            <w:vAlign w:val="center"/>
          </w:tcPr>
          <w:p w14:paraId="00DB7879">
            <w:pPr>
              <w:jc w:val="center"/>
              <w:rPr>
                <w:rFonts w:asciiTheme="minorEastAsia" w:hAnsiTheme="minorEastAsia" w:eastAsiaTheme="minorEastAsia"/>
              </w:rPr>
            </w:pPr>
            <w:r>
              <w:rPr>
                <w:rFonts w:asciiTheme="minorEastAsia" w:hAnsiTheme="minorEastAsia" w:eastAsiaTheme="minorEastAsia"/>
              </w:rPr>
              <w:t>现有工程</w:t>
            </w:r>
          </w:p>
          <w:p w14:paraId="369DBCAD">
            <w:pPr>
              <w:jc w:val="center"/>
              <w:rPr>
                <w:rFonts w:asciiTheme="minorEastAsia" w:hAnsiTheme="minorEastAsia" w:eastAsiaTheme="minorEastAsia"/>
              </w:rPr>
            </w:pPr>
            <w:r>
              <w:rPr>
                <w:rFonts w:asciiTheme="minorEastAsia" w:hAnsiTheme="minorEastAsia" w:eastAsiaTheme="minorEastAsia"/>
              </w:rPr>
              <w:t>许可排放量</w:t>
            </w:r>
          </w:p>
          <w:p w14:paraId="06EFF2F0">
            <w:pPr>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 2 \* GB3 \* MERGEFORMAT </w:instrText>
            </w:r>
            <w:r>
              <w:rPr>
                <w:rFonts w:asciiTheme="minorEastAsia" w:hAnsiTheme="minorEastAsia" w:eastAsiaTheme="minorEastAsia"/>
              </w:rPr>
              <w:fldChar w:fldCharType="separate"/>
            </w:r>
            <w:r>
              <w:rPr>
                <w:rFonts w:asciiTheme="minorEastAsia" w:hAnsiTheme="minorEastAsia" w:eastAsiaTheme="minorEastAsia"/>
              </w:rPr>
              <w:t>②</w:t>
            </w:r>
            <w:r>
              <w:rPr>
                <w:rFonts w:asciiTheme="minorEastAsia" w:hAnsiTheme="minorEastAsia" w:eastAsiaTheme="minorEastAsia"/>
              </w:rPr>
              <w:fldChar w:fldCharType="end"/>
            </w:r>
          </w:p>
        </w:tc>
        <w:tc>
          <w:tcPr>
            <w:tcW w:w="572" w:type="pct"/>
            <w:tcMar>
              <w:left w:w="28" w:type="dxa"/>
              <w:right w:w="28" w:type="dxa"/>
            </w:tcMar>
            <w:vAlign w:val="center"/>
          </w:tcPr>
          <w:p w14:paraId="26BD4538">
            <w:pPr>
              <w:jc w:val="center"/>
              <w:rPr>
                <w:rFonts w:asciiTheme="minorEastAsia" w:hAnsiTheme="minorEastAsia" w:eastAsiaTheme="minorEastAsia"/>
              </w:rPr>
            </w:pPr>
            <w:r>
              <w:rPr>
                <w:rFonts w:asciiTheme="minorEastAsia" w:hAnsiTheme="minorEastAsia" w:eastAsiaTheme="minorEastAsia"/>
              </w:rPr>
              <w:t>在建工程</w:t>
            </w:r>
          </w:p>
          <w:p w14:paraId="0BBEE0A6">
            <w:pPr>
              <w:jc w:val="center"/>
              <w:rPr>
                <w:rFonts w:asciiTheme="minorEastAsia" w:hAnsiTheme="minorEastAsia" w:eastAsiaTheme="minorEastAsia"/>
              </w:rPr>
            </w:pPr>
            <w:r>
              <w:rPr>
                <w:rFonts w:asciiTheme="minorEastAsia" w:hAnsiTheme="minorEastAsia" w:eastAsiaTheme="minorEastAsia"/>
              </w:rPr>
              <w:t>排放量（固体废物产生量）</w:t>
            </w:r>
            <w:r>
              <w:rPr>
                <w:rFonts w:asciiTheme="minorEastAsia" w:hAnsiTheme="minorEastAsia" w:eastAsiaTheme="minorEastAsia"/>
              </w:rPr>
              <w:fldChar w:fldCharType="begin"/>
            </w:r>
            <w:r>
              <w:rPr>
                <w:rFonts w:asciiTheme="minorEastAsia" w:hAnsiTheme="minorEastAsia" w:eastAsiaTheme="minorEastAsia"/>
              </w:rPr>
              <w:instrText xml:space="preserve"> = 3 \* GB3 \* MERGEFORMAT </w:instrText>
            </w:r>
            <w:r>
              <w:rPr>
                <w:rFonts w:asciiTheme="minorEastAsia" w:hAnsiTheme="minorEastAsia" w:eastAsiaTheme="minorEastAsia"/>
              </w:rPr>
              <w:fldChar w:fldCharType="separate"/>
            </w:r>
            <w:r>
              <w:rPr>
                <w:rFonts w:asciiTheme="minorEastAsia" w:hAnsiTheme="minorEastAsia" w:eastAsiaTheme="minorEastAsia"/>
              </w:rPr>
              <w:t>③</w:t>
            </w:r>
            <w:r>
              <w:rPr>
                <w:rFonts w:asciiTheme="minorEastAsia" w:hAnsiTheme="minorEastAsia" w:eastAsiaTheme="minorEastAsia"/>
              </w:rPr>
              <w:fldChar w:fldCharType="end"/>
            </w:r>
          </w:p>
        </w:tc>
        <w:tc>
          <w:tcPr>
            <w:tcW w:w="574" w:type="pct"/>
            <w:tcMar>
              <w:left w:w="28" w:type="dxa"/>
              <w:right w:w="28" w:type="dxa"/>
            </w:tcMar>
            <w:vAlign w:val="center"/>
          </w:tcPr>
          <w:p w14:paraId="7E48D989">
            <w:pPr>
              <w:jc w:val="center"/>
              <w:rPr>
                <w:rFonts w:asciiTheme="minorEastAsia" w:hAnsiTheme="minorEastAsia" w:eastAsiaTheme="minorEastAsia"/>
              </w:rPr>
            </w:pPr>
            <w:r>
              <w:rPr>
                <w:rFonts w:asciiTheme="minorEastAsia" w:hAnsiTheme="minorEastAsia" w:eastAsiaTheme="minorEastAsia"/>
              </w:rPr>
              <w:t>本项目</w:t>
            </w:r>
          </w:p>
          <w:p w14:paraId="7ED7DB2E">
            <w:pPr>
              <w:jc w:val="center"/>
              <w:rPr>
                <w:rFonts w:asciiTheme="minorEastAsia" w:hAnsiTheme="minorEastAsia" w:eastAsiaTheme="minorEastAsia"/>
              </w:rPr>
            </w:pPr>
            <w:r>
              <w:rPr>
                <w:rFonts w:asciiTheme="minorEastAsia" w:hAnsiTheme="minorEastAsia" w:eastAsiaTheme="minorEastAsia"/>
              </w:rPr>
              <w:t>排放量（固体废物产生量）</w:t>
            </w:r>
            <w:r>
              <w:rPr>
                <w:rFonts w:asciiTheme="minorEastAsia" w:hAnsiTheme="minorEastAsia" w:eastAsiaTheme="minorEastAsia"/>
              </w:rPr>
              <w:fldChar w:fldCharType="begin"/>
            </w:r>
            <w:r>
              <w:rPr>
                <w:rFonts w:asciiTheme="minorEastAsia" w:hAnsiTheme="minorEastAsia" w:eastAsiaTheme="minorEastAsia"/>
              </w:rPr>
              <w:instrText xml:space="preserve"> = 4 \* GB3 \* MERGEFORMAT </w:instrText>
            </w:r>
            <w:r>
              <w:rPr>
                <w:rFonts w:asciiTheme="minorEastAsia" w:hAnsiTheme="minorEastAsia" w:eastAsiaTheme="minorEastAsia"/>
              </w:rPr>
              <w:fldChar w:fldCharType="separate"/>
            </w:r>
            <w:r>
              <w:rPr>
                <w:rFonts w:asciiTheme="minorEastAsia" w:hAnsiTheme="minorEastAsia" w:eastAsiaTheme="minorEastAsia"/>
              </w:rPr>
              <w:t>④</w:t>
            </w:r>
            <w:r>
              <w:rPr>
                <w:rFonts w:asciiTheme="minorEastAsia" w:hAnsiTheme="minorEastAsia" w:eastAsiaTheme="minorEastAsia"/>
              </w:rPr>
              <w:fldChar w:fldCharType="end"/>
            </w:r>
          </w:p>
        </w:tc>
        <w:tc>
          <w:tcPr>
            <w:tcW w:w="586" w:type="pct"/>
            <w:tcMar>
              <w:left w:w="28" w:type="dxa"/>
              <w:right w:w="28" w:type="dxa"/>
            </w:tcMar>
            <w:vAlign w:val="center"/>
          </w:tcPr>
          <w:p w14:paraId="63675F27">
            <w:pPr>
              <w:jc w:val="center"/>
              <w:rPr>
                <w:rFonts w:asciiTheme="minorEastAsia" w:hAnsiTheme="minorEastAsia" w:eastAsiaTheme="minorEastAsia"/>
              </w:rPr>
            </w:pPr>
            <w:r>
              <w:rPr>
                <w:rFonts w:asciiTheme="minorEastAsia" w:hAnsiTheme="minorEastAsia" w:eastAsiaTheme="minorEastAsia"/>
              </w:rPr>
              <w:t>以新带老削减量</w:t>
            </w:r>
          </w:p>
          <w:p w14:paraId="07AAC92A">
            <w:pPr>
              <w:jc w:val="center"/>
              <w:rPr>
                <w:rFonts w:asciiTheme="minorEastAsia" w:hAnsiTheme="minorEastAsia" w:eastAsiaTheme="minorEastAsia"/>
              </w:rPr>
            </w:pPr>
            <w:r>
              <w:rPr>
                <w:rFonts w:asciiTheme="minorEastAsia" w:hAnsiTheme="minorEastAsia" w:eastAsiaTheme="minorEastAsia"/>
              </w:rPr>
              <w:t>（新建项目不填）</w:t>
            </w:r>
            <w:r>
              <w:rPr>
                <w:rFonts w:asciiTheme="minorEastAsia" w:hAnsiTheme="minorEastAsia" w:eastAsiaTheme="minorEastAsia"/>
              </w:rPr>
              <w:fldChar w:fldCharType="begin"/>
            </w:r>
            <w:r>
              <w:rPr>
                <w:rFonts w:asciiTheme="minorEastAsia" w:hAnsiTheme="minorEastAsia" w:eastAsiaTheme="minorEastAsia"/>
              </w:rPr>
              <w:instrText xml:space="preserve"> = 5 \* GB3 \* MERGEFORMAT </w:instrText>
            </w:r>
            <w:r>
              <w:rPr>
                <w:rFonts w:asciiTheme="minorEastAsia" w:hAnsiTheme="minorEastAsia" w:eastAsiaTheme="minorEastAsia"/>
              </w:rPr>
              <w:fldChar w:fldCharType="separate"/>
            </w:r>
            <w:r>
              <w:rPr>
                <w:rFonts w:asciiTheme="minorEastAsia" w:hAnsiTheme="minorEastAsia" w:eastAsiaTheme="minorEastAsia"/>
              </w:rPr>
              <w:t>⑤</w:t>
            </w:r>
            <w:r>
              <w:rPr>
                <w:rFonts w:asciiTheme="minorEastAsia" w:hAnsiTheme="minorEastAsia" w:eastAsiaTheme="minorEastAsia"/>
              </w:rPr>
              <w:fldChar w:fldCharType="end"/>
            </w:r>
          </w:p>
        </w:tc>
        <w:tc>
          <w:tcPr>
            <w:tcW w:w="667" w:type="pct"/>
            <w:tcMar>
              <w:left w:w="28" w:type="dxa"/>
              <w:right w:w="28" w:type="dxa"/>
            </w:tcMar>
            <w:vAlign w:val="center"/>
          </w:tcPr>
          <w:p w14:paraId="2B9C93C9">
            <w:pPr>
              <w:jc w:val="center"/>
              <w:rPr>
                <w:rFonts w:asciiTheme="minorEastAsia" w:hAnsiTheme="minorEastAsia" w:eastAsiaTheme="minorEastAsia"/>
              </w:rPr>
            </w:pPr>
            <w:r>
              <w:rPr>
                <w:rFonts w:asciiTheme="minorEastAsia" w:hAnsiTheme="minorEastAsia" w:eastAsiaTheme="minorEastAsia"/>
              </w:rPr>
              <w:t>本项目建成后</w:t>
            </w:r>
          </w:p>
          <w:p w14:paraId="12CB8B6B">
            <w:pPr>
              <w:jc w:val="center"/>
              <w:rPr>
                <w:rFonts w:asciiTheme="minorEastAsia" w:hAnsiTheme="minorEastAsia" w:eastAsiaTheme="minorEastAsia"/>
              </w:rPr>
            </w:pPr>
            <w:r>
              <w:rPr>
                <w:rFonts w:asciiTheme="minorEastAsia" w:hAnsiTheme="minorEastAsia" w:eastAsiaTheme="minorEastAsia"/>
              </w:rPr>
              <w:t>全厂排放量（固体废物产生量）</w:t>
            </w:r>
            <w:r>
              <w:rPr>
                <w:rFonts w:asciiTheme="minorEastAsia" w:hAnsiTheme="minorEastAsia" w:eastAsiaTheme="minorEastAsia"/>
              </w:rPr>
              <w:fldChar w:fldCharType="begin"/>
            </w:r>
            <w:r>
              <w:rPr>
                <w:rFonts w:asciiTheme="minorEastAsia" w:hAnsiTheme="minorEastAsia" w:eastAsiaTheme="minorEastAsia"/>
              </w:rPr>
              <w:instrText xml:space="preserve"> = 6 \* GB3 \* MERGEFORMAT </w:instrText>
            </w:r>
            <w:r>
              <w:rPr>
                <w:rFonts w:asciiTheme="minorEastAsia" w:hAnsiTheme="minorEastAsia" w:eastAsiaTheme="minorEastAsia"/>
              </w:rPr>
              <w:fldChar w:fldCharType="separate"/>
            </w:r>
            <w:r>
              <w:rPr>
                <w:rFonts w:asciiTheme="minorEastAsia" w:hAnsiTheme="minorEastAsia" w:eastAsiaTheme="minorEastAsia"/>
              </w:rPr>
              <w:t>⑥</w:t>
            </w:r>
            <w:r>
              <w:rPr>
                <w:rFonts w:asciiTheme="minorEastAsia" w:hAnsiTheme="minorEastAsia" w:eastAsiaTheme="minorEastAsia"/>
              </w:rPr>
              <w:fldChar w:fldCharType="end"/>
            </w:r>
          </w:p>
        </w:tc>
        <w:tc>
          <w:tcPr>
            <w:tcW w:w="610" w:type="pct"/>
            <w:tcMar>
              <w:left w:w="28" w:type="dxa"/>
              <w:right w:w="28" w:type="dxa"/>
            </w:tcMar>
            <w:vAlign w:val="center"/>
          </w:tcPr>
          <w:p w14:paraId="5296446A">
            <w:pPr>
              <w:jc w:val="center"/>
              <w:rPr>
                <w:rFonts w:asciiTheme="minorEastAsia" w:hAnsiTheme="minorEastAsia" w:eastAsiaTheme="minorEastAsia"/>
              </w:rPr>
            </w:pPr>
            <w:r>
              <w:rPr>
                <w:rFonts w:asciiTheme="minorEastAsia" w:hAnsiTheme="minorEastAsia" w:eastAsiaTheme="minorEastAsia"/>
              </w:rPr>
              <w:t>变化量</w:t>
            </w:r>
          </w:p>
          <w:p w14:paraId="58E056B1">
            <w:pPr>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 7 \* GB3 \* MERGEFORMAT </w:instrText>
            </w:r>
            <w:r>
              <w:rPr>
                <w:rFonts w:asciiTheme="minorEastAsia" w:hAnsiTheme="minorEastAsia" w:eastAsiaTheme="minorEastAsia"/>
              </w:rPr>
              <w:fldChar w:fldCharType="separate"/>
            </w:r>
            <w:r>
              <w:rPr>
                <w:rFonts w:asciiTheme="minorEastAsia" w:hAnsiTheme="minorEastAsia" w:eastAsiaTheme="minorEastAsia"/>
              </w:rPr>
              <w:t>⑦</w:t>
            </w:r>
            <w:r>
              <w:rPr>
                <w:rFonts w:asciiTheme="minorEastAsia" w:hAnsiTheme="minorEastAsia" w:eastAsiaTheme="minorEastAsia"/>
              </w:rPr>
              <w:fldChar w:fldCharType="end"/>
            </w:r>
          </w:p>
        </w:tc>
      </w:tr>
      <w:tr w14:paraId="2376D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7CDBD8A">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废气</w:t>
            </w:r>
          </w:p>
        </w:tc>
        <w:tc>
          <w:tcPr>
            <w:tcW w:w="651" w:type="pct"/>
            <w:vAlign w:val="center"/>
          </w:tcPr>
          <w:p w14:paraId="1D6CF10E">
            <w:pPr>
              <w:adjustRightInd w:val="0"/>
              <w:snapToGrid w:val="0"/>
              <w:jc w:val="center"/>
              <w:rPr>
                <w:rFonts w:asciiTheme="minorEastAsia" w:hAnsiTheme="minorEastAsia" w:eastAsiaTheme="minorEastAsia"/>
                <w:snapToGrid w:val="0"/>
                <w:color w:val="000000"/>
                <w:kern w:val="21"/>
                <w:szCs w:val="21"/>
              </w:rPr>
            </w:pPr>
            <w:r>
              <w:rPr>
                <w:rFonts w:asciiTheme="minorEastAsia" w:hAnsiTheme="minorEastAsia" w:eastAsiaTheme="minorEastAsia"/>
                <w:szCs w:val="21"/>
              </w:rPr>
              <w:t>颗粒物</w:t>
            </w:r>
          </w:p>
        </w:tc>
        <w:tc>
          <w:tcPr>
            <w:tcW w:w="538" w:type="pct"/>
            <w:vAlign w:val="center"/>
          </w:tcPr>
          <w:p w14:paraId="0B1CE189">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417" w:type="pct"/>
            <w:vAlign w:val="center"/>
          </w:tcPr>
          <w:p w14:paraId="34093789">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2" w:type="pct"/>
            <w:vAlign w:val="center"/>
          </w:tcPr>
          <w:p w14:paraId="2701C30A">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4" w:type="pct"/>
            <w:vAlign w:val="center"/>
          </w:tcPr>
          <w:p w14:paraId="202CA5A3">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5.482t/a</w:t>
            </w:r>
          </w:p>
        </w:tc>
        <w:tc>
          <w:tcPr>
            <w:tcW w:w="586" w:type="pct"/>
            <w:vAlign w:val="center"/>
          </w:tcPr>
          <w:p w14:paraId="771DC8D3">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667" w:type="pct"/>
            <w:vAlign w:val="center"/>
          </w:tcPr>
          <w:p w14:paraId="7D418106">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5.482t/a</w:t>
            </w:r>
          </w:p>
        </w:tc>
        <w:tc>
          <w:tcPr>
            <w:tcW w:w="610" w:type="pct"/>
            <w:vAlign w:val="center"/>
          </w:tcPr>
          <w:p w14:paraId="2682C8C6">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+5.482t/a</w:t>
            </w:r>
          </w:p>
        </w:tc>
      </w:tr>
      <w:tr w14:paraId="36206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11E7B737">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废水</w:t>
            </w:r>
          </w:p>
        </w:tc>
        <w:tc>
          <w:tcPr>
            <w:tcW w:w="651" w:type="pct"/>
            <w:vAlign w:val="center"/>
          </w:tcPr>
          <w:p w14:paraId="77289837">
            <w:pPr>
              <w:adjustRightInd w:val="0"/>
              <w:snapToGrid w:val="0"/>
              <w:jc w:val="center"/>
              <w:rPr>
                <w:rFonts w:asciiTheme="minorEastAsia" w:hAnsiTheme="minorEastAsia" w:eastAsiaTheme="minorEastAsia"/>
                <w:szCs w:val="21"/>
                <w:lang w:eastAsia="zh-TW"/>
              </w:rPr>
            </w:pPr>
            <w:r>
              <w:rPr>
                <w:rFonts w:asciiTheme="minorEastAsia" w:hAnsiTheme="minorEastAsia" w:eastAsiaTheme="minorEastAsia"/>
                <w:szCs w:val="21"/>
                <w:lang w:eastAsia="zh-TW"/>
              </w:rPr>
              <w:t>COD</w:t>
            </w:r>
          </w:p>
        </w:tc>
        <w:tc>
          <w:tcPr>
            <w:tcW w:w="538" w:type="pct"/>
            <w:vAlign w:val="center"/>
          </w:tcPr>
          <w:p w14:paraId="505DB701">
            <w:pPr>
              <w:pStyle w:val="30"/>
              <w:spacing w:beforeLines="0" w:afterLines="0" w:line="240" w:lineRule="auto"/>
              <w:rPr>
                <w:rFonts w:asciiTheme="minorEastAsia" w:hAnsiTheme="minorEastAsia" w:eastAsiaTheme="minorEastAsia"/>
                <w:kern w:val="2"/>
                <w:sz w:val="18"/>
                <w:szCs w:val="18"/>
                <w:lang w:eastAsia="zh-TW"/>
              </w:rPr>
            </w:pPr>
            <w:r>
              <w:rPr>
                <w:rFonts w:asciiTheme="minorEastAsia" w:hAnsiTheme="minorEastAsia" w:eastAsiaTheme="minorEastAsia"/>
                <w:snapToGrid w:val="0"/>
                <w:color w:val="000000"/>
                <w:kern w:val="21"/>
                <w:szCs w:val="21"/>
              </w:rPr>
              <w:t>0</w:t>
            </w:r>
          </w:p>
        </w:tc>
        <w:tc>
          <w:tcPr>
            <w:tcW w:w="417" w:type="pct"/>
            <w:vAlign w:val="center"/>
          </w:tcPr>
          <w:p w14:paraId="352ECE3E">
            <w:pPr>
              <w:pStyle w:val="30"/>
              <w:spacing w:beforeLines="0" w:afterLines="0" w:line="240" w:lineRule="auto"/>
              <w:rPr>
                <w:rFonts w:asciiTheme="minorEastAsia" w:hAnsiTheme="minorEastAsia" w:eastAsiaTheme="minorEastAsia"/>
                <w:kern w:val="2"/>
                <w:sz w:val="18"/>
                <w:szCs w:val="18"/>
                <w:lang w:eastAsia="zh-TW"/>
              </w:rPr>
            </w:pPr>
            <w:r>
              <w:rPr>
                <w:rFonts w:asciiTheme="minorEastAsia" w:hAnsiTheme="minorEastAsia" w:eastAsiaTheme="minorEastAsia"/>
                <w:snapToGrid w:val="0"/>
                <w:color w:val="000000"/>
                <w:kern w:val="21"/>
                <w:szCs w:val="21"/>
              </w:rPr>
              <w:t>0</w:t>
            </w:r>
          </w:p>
        </w:tc>
        <w:tc>
          <w:tcPr>
            <w:tcW w:w="572" w:type="pct"/>
            <w:vAlign w:val="center"/>
          </w:tcPr>
          <w:p w14:paraId="4536B1C3">
            <w:pPr>
              <w:pStyle w:val="30"/>
              <w:spacing w:beforeLines="0" w:afterLines="0" w:line="240" w:lineRule="auto"/>
              <w:rPr>
                <w:rFonts w:asciiTheme="minorEastAsia" w:hAnsiTheme="minorEastAsia" w:eastAsiaTheme="minorEastAsia"/>
                <w:kern w:val="2"/>
                <w:sz w:val="18"/>
                <w:szCs w:val="18"/>
                <w:lang w:eastAsia="zh-TW"/>
              </w:rPr>
            </w:pPr>
            <w:r>
              <w:rPr>
                <w:rFonts w:asciiTheme="minorEastAsia" w:hAnsiTheme="minorEastAsia" w:eastAsiaTheme="minorEastAsia"/>
                <w:snapToGrid w:val="0"/>
                <w:color w:val="000000"/>
                <w:kern w:val="21"/>
                <w:szCs w:val="21"/>
              </w:rPr>
              <w:t>0</w:t>
            </w:r>
          </w:p>
        </w:tc>
        <w:tc>
          <w:tcPr>
            <w:tcW w:w="574" w:type="pct"/>
            <w:vAlign w:val="center"/>
          </w:tcPr>
          <w:p w14:paraId="22473471">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0.3218t/a</w:t>
            </w:r>
          </w:p>
        </w:tc>
        <w:tc>
          <w:tcPr>
            <w:tcW w:w="586" w:type="pct"/>
            <w:vAlign w:val="center"/>
          </w:tcPr>
          <w:p w14:paraId="5D657F82">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667" w:type="pct"/>
            <w:vAlign w:val="center"/>
          </w:tcPr>
          <w:p w14:paraId="1CA2F357">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0.3218t/a</w:t>
            </w:r>
          </w:p>
        </w:tc>
        <w:tc>
          <w:tcPr>
            <w:tcW w:w="610" w:type="pct"/>
            <w:vAlign w:val="center"/>
          </w:tcPr>
          <w:p w14:paraId="075A4525">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+0.0113t/a</w:t>
            </w:r>
          </w:p>
        </w:tc>
      </w:tr>
      <w:tr w14:paraId="4F6B1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1EDA22A7">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63624905">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zCs w:val="21"/>
                <w:lang w:eastAsia="zh-TW"/>
              </w:rPr>
              <w:t>BOD</w:t>
            </w:r>
            <w:r>
              <w:rPr>
                <w:rFonts w:asciiTheme="minorEastAsia" w:hAnsiTheme="minorEastAsia" w:eastAsiaTheme="minorEastAsia"/>
                <w:szCs w:val="21"/>
                <w:vertAlign w:val="subscript"/>
                <w:lang w:eastAsia="zh-TW"/>
              </w:rPr>
              <w:t>5</w:t>
            </w:r>
          </w:p>
        </w:tc>
        <w:tc>
          <w:tcPr>
            <w:tcW w:w="538" w:type="pct"/>
            <w:vAlign w:val="center"/>
          </w:tcPr>
          <w:p w14:paraId="7D6955C0">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417" w:type="pct"/>
            <w:vAlign w:val="center"/>
          </w:tcPr>
          <w:p w14:paraId="7F51F08E">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2" w:type="pct"/>
            <w:vAlign w:val="center"/>
          </w:tcPr>
          <w:p w14:paraId="67978DA4">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4" w:type="pct"/>
            <w:vAlign w:val="center"/>
          </w:tcPr>
          <w:p w14:paraId="047EB758">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0.20475t/a</w:t>
            </w:r>
          </w:p>
        </w:tc>
        <w:tc>
          <w:tcPr>
            <w:tcW w:w="586" w:type="pct"/>
            <w:vAlign w:val="center"/>
          </w:tcPr>
          <w:p w14:paraId="2C23CFD4">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667" w:type="pct"/>
            <w:vAlign w:val="center"/>
          </w:tcPr>
          <w:p w14:paraId="101404AE">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0.20475t/a</w:t>
            </w:r>
          </w:p>
        </w:tc>
        <w:tc>
          <w:tcPr>
            <w:tcW w:w="610" w:type="pct"/>
            <w:vAlign w:val="center"/>
          </w:tcPr>
          <w:p w14:paraId="42629942">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+0.009t/a</w:t>
            </w:r>
          </w:p>
        </w:tc>
      </w:tr>
      <w:tr w14:paraId="43E43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65296512">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77916E07">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zCs w:val="21"/>
                <w:lang w:eastAsia="zh-TW"/>
              </w:rPr>
              <w:t>SS</w:t>
            </w:r>
          </w:p>
        </w:tc>
        <w:tc>
          <w:tcPr>
            <w:tcW w:w="538" w:type="pct"/>
            <w:vAlign w:val="center"/>
          </w:tcPr>
          <w:p w14:paraId="34F8A6D7">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417" w:type="pct"/>
            <w:vAlign w:val="center"/>
          </w:tcPr>
          <w:p w14:paraId="532C7665">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2" w:type="pct"/>
            <w:vAlign w:val="center"/>
          </w:tcPr>
          <w:p w14:paraId="540B453A">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4" w:type="pct"/>
            <w:vAlign w:val="center"/>
          </w:tcPr>
          <w:p w14:paraId="51D3F7F4">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0.4793t/a</w:t>
            </w:r>
          </w:p>
        </w:tc>
        <w:tc>
          <w:tcPr>
            <w:tcW w:w="586" w:type="pct"/>
            <w:vAlign w:val="center"/>
          </w:tcPr>
          <w:p w14:paraId="3F608BED">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667" w:type="pct"/>
            <w:vAlign w:val="center"/>
          </w:tcPr>
          <w:p w14:paraId="35E1E051">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0.4793t/a</w:t>
            </w:r>
          </w:p>
        </w:tc>
        <w:tc>
          <w:tcPr>
            <w:tcW w:w="610" w:type="pct"/>
            <w:vAlign w:val="center"/>
          </w:tcPr>
          <w:p w14:paraId="1060DBAF">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+0.0068t/a</w:t>
            </w:r>
          </w:p>
        </w:tc>
      </w:tr>
      <w:tr w14:paraId="2C3FF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0EE77D65">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662BCC54">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zCs w:val="21"/>
                <w:lang w:eastAsia="zh-TW"/>
              </w:rPr>
              <w:t>NH</w:t>
            </w:r>
            <w:r>
              <w:rPr>
                <w:rFonts w:asciiTheme="minorEastAsia" w:hAnsiTheme="minorEastAsia" w:eastAsiaTheme="minorEastAsia"/>
                <w:szCs w:val="21"/>
                <w:vertAlign w:val="subscript"/>
                <w:lang w:eastAsia="zh-TW"/>
              </w:rPr>
              <w:t>3</w:t>
            </w:r>
            <w:r>
              <w:rPr>
                <w:rFonts w:asciiTheme="minorEastAsia" w:hAnsiTheme="minorEastAsia" w:eastAsiaTheme="minorEastAsia"/>
                <w:szCs w:val="21"/>
                <w:lang w:eastAsia="zh-TW"/>
              </w:rPr>
              <w:t>-N</w:t>
            </w:r>
          </w:p>
        </w:tc>
        <w:tc>
          <w:tcPr>
            <w:tcW w:w="538" w:type="pct"/>
            <w:vAlign w:val="center"/>
          </w:tcPr>
          <w:p w14:paraId="295D6D13">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417" w:type="pct"/>
            <w:vAlign w:val="center"/>
          </w:tcPr>
          <w:p w14:paraId="7275592F">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2" w:type="pct"/>
            <w:vAlign w:val="center"/>
          </w:tcPr>
          <w:p w14:paraId="45F4C2D2">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574" w:type="pct"/>
            <w:vAlign w:val="center"/>
          </w:tcPr>
          <w:p w14:paraId="599FDD74">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0.020975t/a</w:t>
            </w:r>
          </w:p>
        </w:tc>
        <w:tc>
          <w:tcPr>
            <w:tcW w:w="586" w:type="pct"/>
            <w:vAlign w:val="center"/>
          </w:tcPr>
          <w:p w14:paraId="798A3BEE">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0</w:t>
            </w:r>
          </w:p>
        </w:tc>
        <w:tc>
          <w:tcPr>
            <w:tcW w:w="667" w:type="pct"/>
            <w:vAlign w:val="center"/>
          </w:tcPr>
          <w:p w14:paraId="0F00CC47">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0.020975t/a</w:t>
            </w:r>
          </w:p>
        </w:tc>
        <w:tc>
          <w:tcPr>
            <w:tcW w:w="610" w:type="pct"/>
            <w:vAlign w:val="center"/>
          </w:tcPr>
          <w:p w14:paraId="1AE40116">
            <w:pPr>
              <w:pStyle w:val="30"/>
              <w:spacing w:beforeLines="0" w:afterLines="0" w:line="240" w:lineRule="auto"/>
              <w:rPr>
                <w:rFonts w:asciiTheme="minorEastAsia" w:hAnsiTheme="minorEastAsia" w:eastAsiaTheme="minorEastAsia"/>
                <w:snapToGrid w:val="0"/>
                <w:color w:val="000000"/>
                <w:kern w:val="21"/>
                <w:szCs w:val="21"/>
              </w:rPr>
            </w:pPr>
            <w:r>
              <w:rPr>
                <w:rFonts w:hint="eastAsia" w:asciiTheme="minorEastAsia" w:hAnsiTheme="minorEastAsia" w:eastAsiaTheme="minorEastAsia"/>
                <w:snapToGrid w:val="0"/>
                <w:color w:val="000000"/>
                <w:kern w:val="21"/>
                <w:szCs w:val="21"/>
              </w:rPr>
              <w:t>+0.020975t/a</w:t>
            </w:r>
          </w:p>
        </w:tc>
      </w:tr>
      <w:tr w14:paraId="36B88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6F362CE5">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一般工业</w:t>
            </w:r>
          </w:p>
          <w:p w14:paraId="2870A6E0">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固体废物</w:t>
            </w:r>
          </w:p>
        </w:tc>
        <w:tc>
          <w:tcPr>
            <w:tcW w:w="651" w:type="pct"/>
            <w:vAlign w:val="center"/>
          </w:tcPr>
          <w:p w14:paraId="6276EA6D">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生活垃圾</w:t>
            </w:r>
          </w:p>
        </w:tc>
        <w:tc>
          <w:tcPr>
            <w:tcW w:w="538" w:type="pct"/>
            <w:vAlign w:val="center"/>
          </w:tcPr>
          <w:p w14:paraId="126A3AC7">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417" w:type="pct"/>
            <w:vAlign w:val="center"/>
          </w:tcPr>
          <w:p w14:paraId="45C25C63">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572" w:type="pct"/>
            <w:vAlign w:val="center"/>
          </w:tcPr>
          <w:p w14:paraId="217E2F39">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574" w:type="pct"/>
            <w:vAlign w:val="center"/>
          </w:tcPr>
          <w:p w14:paraId="54BC1C0B">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0.38t/a</w:t>
            </w:r>
          </w:p>
        </w:tc>
        <w:tc>
          <w:tcPr>
            <w:tcW w:w="586" w:type="pct"/>
            <w:vAlign w:val="center"/>
          </w:tcPr>
          <w:p w14:paraId="37441939">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667" w:type="pct"/>
            <w:vAlign w:val="center"/>
          </w:tcPr>
          <w:p w14:paraId="12387DBC">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0.38t/a</w:t>
            </w:r>
          </w:p>
        </w:tc>
        <w:tc>
          <w:tcPr>
            <w:tcW w:w="610" w:type="pct"/>
            <w:vAlign w:val="center"/>
          </w:tcPr>
          <w:p w14:paraId="171CBB1C">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+0.38t/a</w:t>
            </w:r>
          </w:p>
        </w:tc>
      </w:tr>
      <w:tr w14:paraId="74ED4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078389E9">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1F830D8D">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破旧布袋</w:t>
            </w:r>
          </w:p>
        </w:tc>
        <w:tc>
          <w:tcPr>
            <w:tcW w:w="538" w:type="pct"/>
            <w:vAlign w:val="center"/>
          </w:tcPr>
          <w:p w14:paraId="622B1266">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0</w:t>
            </w:r>
          </w:p>
        </w:tc>
        <w:tc>
          <w:tcPr>
            <w:tcW w:w="417" w:type="pct"/>
            <w:vAlign w:val="center"/>
          </w:tcPr>
          <w:p w14:paraId="40C9F046">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0</w:t>
            </w:r>
          </w:p>
        </w:tc>
        <w:tc>
          <w:tcPr>
            <w:tcW w:w="572" w:type="pct"/>
            <w:vAlign w:val="center"/>
          </w:tcPr>
          <w:p w14:paraId="1CF1262A">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0</w:t>
            </w:r>
          </w:p>
        </w:tc>
        <w:tc>
          <w:tcPr>
            <w:tcW w:w="574" w:type="pct"/>
            <w:vAlign w:val="center"/>
          </w:tcPr>
          <w:p w14:paraId="5DBA9B8C">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0.01t/a</w:t>
            </w:r>
          </w:p>
        </w:tc>
        <w:tc>
          <w:tcPr>
            <w:tcW w:w="586" w:type="pct"/>
            <w:vAlign w:val="center"/>
          </w:tcPr>
          <w:p w14:paraId="510D530C">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0</w:t>
            </w:r>
          </w:p>
        </w:tc>
        <w:tc>
          <w:tcPr>
            <w:tcW w:w="667" w:type="pct"/>
            <w:vAlign w:val="center"/>
          </w:tcPr>
          <w:p w14:paraId="114E0826">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0.01t/a</w:t>
            </w:r>
          </w:p>
        </w:tc>
        <w:tc>
          <w:tcPr>
            <w:tcW w:w="610" w:type="pct"/>
            <w:vAlign w:val="center"/>
          </w:tcPr>
          <w:p w14:paraId="7B2F3E42">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+0.01t/a</w:t>
            </w:r>
          </w:p>
        </w:tc>
      </w:tr>
      <w:tr w14:paraId="7C69C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1A316799">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2CD05283">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lang w:eastAsia="zh-TW"/>
              </w:rPr>
              <w:t>除尘灰</w:t>
            </w:r>
          </w:p>
        </w:tc>
        <w:tc>
          <w:tcPr>
            <w:tcW w:w="538" w:type="pct"/>
            <w:vAlign w:val="center"/>
          </w:tcPr>
          <w:p w14:paraId="76F09428">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417" w:type="pct"/>
            <w:vAlign w:val="center"/>
          </w:tcPr>
          <w:p w14:paraId="5CB4215B">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572" w:type="pct"/>
            <w:vAlign w:val="center"/>
          </w:tcPr>
          <w:p w14:paraId="139F7A2B">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574" w:type="pct"/>
            <w:vAlign w:val="center"/>
          </w:tcPr>
          <w:p w14:paraId="5544EDAD">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napToGrid w:val="0"/>
                <w:color w:val="000000"/>
                <w:kern w:val="21"/>
                <w:szCs w:val="21"/>
              </w:rPr>
              <w:t>505.794</w:t>
            </w:r>
            <w:r>
              <w:rPr>
                <w:rFonts w:hint="eastAsia" w:asciiTheme="minorEastAsia" w:hAnsiTheme="minorEastAsia" w:eastAsiaTheme="minorEastAsia"/>
                <w:snapToGrid w:val="0"/>
                <w:color w:val="000000"/>
                <w:kern w:val="21"/>
                <w:szCs w:val="21"/>
              </w:rPr>
              <w:t>t/a</w:t>
            </w:r>
          </w:p>
        </w:tc>
        <w:tc>
          <w:tcPr>
            <w:tcW w:w="586" w:type="pct"/>
            <w:vAlign w:val="center"/>
          </w:tcPr>
          <w:p w14:paraId="1F94D1FF">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667" w:type="pct"/>
            <w:vAlign w:val="center"/>
          </w:tcPr>
          <w:p w14:paraId="44A69AD4">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napToGrid w:val="0"/>
                <w:color w:val="000000"/>
                <w:kern w:val="21"/>
                <w:szCs w:val="21"/>
              </w:rPr>
              <w:t>505.794</w:t>
            </w:r>
            <w:r>
              <w:rPr>
                <w:rFonts w:hint="eastAsia" w:asciiTheme="minorEastAsia" w:hAnsiTheme="minorEastAsia" w:eastAsiaTheme="minorEastAsia"/>
                <w:snapToGrid w:val="0"/>
                <w:color w:val="000000"/>
                <w:kern w:val="21"/>
                <w:szCs w:val="21"/>
              </w:rPr>
              <w:t>t/a</w:t>
            </w:r>
          </w:p>
        </w:tc>
        <w:tc>
          <w:tcPr>
            <w:tcW w:w="610" w:type="pct"/>
            <w:vAlign w:val="center"/>
          </w:tcPr>
          <w:p w14:paraId="797B8CAE">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w:t>
            </w:r>
            <w:r>
              <w:rPr>
                <w:rFonts w:asciiTheme="minorEastAsia" w:hAnsiTheme="minorEastAsia" w:eastAsiaTheme="minorEastAsia"/>
                <w:snapToGrid w:val="0"/>
                <w:color w:val="000000"/>
                <w:kern w:val="21"/>
                <w:szCs w:val="21"/>
              </w:rPr>
              <w:t>505.794</w:t>
            </w:r>
            <w:r>
              <w:rPr>
                <w:rFonts w:hint="eastAsia" w:asciiTheme="minorEastAsia" w:hAnsiTheme="minorEastAsia" w:eastAsiaTheme="minorEastAsia"/>
                <w:snapToGrid w:val="0"/>
                <w:color w:val="000000"/>
                <w:kern w:val="21"/>
                <w:szCs w:val="21"/>
              </w:rPr>
              <w:t>t/a</w:t>
            </w:r>
          </w:p>
        </w:tc>
      </w:tr>
      <w:tr w14:paraId="6EFB6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7693A598">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45173739">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车间内自然沉降粉尘</w:t>
            </w:r>
          </w:p>
        </w:tc>
        <w:tc>
          <w:tcPr>
            <w:tcW w:w="538" w:type="pct"/>
            <w:vAlign w:val="center"/>
          </w:tcPr>
          <w:p w14:paraId="54075806">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417" w:type="pct"/>
            <w:vAlign w:val="center"/>
          </w:tcPr>
          <w:p w14:paraId="2F0ABF62">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572" w:type="pct"/>
            <w:vAlign w:val="center"/>
          </w:tcPr>
          <w:p w14:paraId="6CD1FAF0">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574" w:type="pct"/>
            <w:vAlign w:val="center"/>
          </w:tcPr>
          <w:p w14:paraId="10D809E9">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56.7t/a</w:t>
            </w:r>
          </w:p>
        </w:tc>
        <w:tc>
          <w:tcPr>
            <w:tcW w:w="586" w:type="pct"/>
            <w:vAlign w:val="center"/>
          </w:tcPr>
          <w:p w14:paraId="22C43954">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0</w:t>
            </w:r>
          </w:p>
        </w:tc>
        <w:tc>
          <w:tcPr>
            <w:tcW w:w="667" w:type="pct"/>
            <w:vAlign w:val="center"/>
          </w:tcPr>
          <w:p w14:paraId="33F244A0">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56.7t/a</w:t>
            </w:r>
          </w:p>
        </w:tc>
        <w:tc>
          <w:tcPr>
            <w:tcW w:w="610" w:type="pct"/>
            <w:vAlign w:val="center"/>
          </w:tcPr>
          <w:p w14:paraId="79CECC5E">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napToGrid w:val="0"/>
                <w:color w:val="000000"/>
                <w:kern w:val="21"/>
                <w:szCs w:val="21"/>
              </w:rPr>
              <w:t>+56.7t/a</w:t>
            </w:r>
          </w:p>
        </w:tc>
      </w:tr>
      <w:tr w14:paraId="0EEC2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Merge w:val="continue"/>
            <w:vAlign w:val="center"/>
          </w:tcPr>
          <w:p w14:paraId="3B12961F">
            <w:pPr>
              <w:pStyle w:val="30"/>
              <w:spacing w:beforeLines="0" w:afterLines="0" w:line="240" w:lineRule="auto"/>
              <w:rPr>
                <w:rFonts w:asciiTheme="minorEastAsia" w:hAnsiTheme="minorEastAsia" w:eastAsiaTheme="minorEastAsia"/>
                <w:snapToGrid w:val="0"/>
                <w:color w:val="000000"/>
                <w:kern w:val="21"/>
                <w:szCs w:val="21"/>
              </w:rPr>
            </w:pPr>
          </w:p>
        </w:tc>
        <w:tc>
          <w:tcPr>
            <w:tcW w:w="651" w:type="pct"/>
            <w:vAlign w:val="center"/>
          </w:tcPr>
          <w:p w14:paraId="49F060A3">
            <w:pPr>
              <w:pStyle w:val="30"/>
              <w:spacing w:beforeLines="0" w:afterLines="0" w:line="240" w:lineRule="auto"/>
              <w:rPr>
                <w:rFonts w:asciiTheme="minorEastAsia" w:hAnsiTheme="minorEastAsia" w:eastAsiaTheme="minorEastAsia"/>
                <w:szCs w:val="21"/>
              </w:rPr>
            </w:pPr>
            <w:r>
              <w:rPr>
                <w:rFonts w:asciiTheme="minorEastAsia" w:hAnsiTheme="minorEastAsia" w:eastAsiaTheme="minorEastAsia"/>
                <w:szCs w:val="21"/>
              </w:rPr>
              <w:t>沉淀池沉渣</w:t>
            </w:r>
          </w:p>
        </w:tc>
        <w:tc>
          <w:tcPr>
            <w:tcW w:w="538" w:type="pct"/>
            <w:vAlign w:val="center"/>
          </w:tcPr>
          <w:p w14:paraId="5C2F5B15">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417" w:type="pct"/>
            <w:vAlign w:val="center"/>
          </w:tcPr>
          <w:p w14:paraId="629217AA">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572" w:type="pct"/>
            <w:vAlign w:val="center"/>
          </w:tcPr>
          <w:p w14:paraId="0CFD7662">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574" w:type="pct"/>
            <w:vAlign w:val="center"/>
          </w:tcPr>
          <w:p w14:paraId="01504580">
            <w:pPr>
              <w:pStyle w:val="30"/>
              <w:spacing w:beforeLines="0" w:afterLines="0" w:line="240" w:lineRule="auto"/>
              <w:rPr>
                <w:rFonts w:asciiTheme="minorEastAsia" w:hAnsiTheme="minorEastAsia" w:eastAsiaTheme="minorEastAsia"/>
                <w:szCs w:val="21"/>
                <w:lang w:eastAsia="zh-TW"/>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TW"/>
              </w:rPr>
              <w:t>t/a</w:t>
            </w:r>
          </w:p>
        </w:tc>
        <w:tc>
          <w:tcPr>
            <w:tcW w:w="586" w:type="pct"/>
            <w:vAlign w:val="center"/>
          </w:tcPr>
          <w:p w14:paraId="2CAAEC73">
            <w:pPr>
              <w:pStyle w:val="30"/>
              <w:spacing w:beforeLines="0" w:afterLines="0" w:line="240" w:lineRule="auto"/>
              <w:rPr>
                <w:rFonts w:asciiTheme="minorEastAsia" w:hAnsiTheme="minorEastAsia" w:eastAsiaTheme="minorEastAsia"/>
                <w:szCs w:val="21"/>
                <w:lang w:eastAsia="zh-TW"/>
              </w:rPr>
            </w:pPr>
            <w:r>
              <w:rPr>
                <w:rFonts w:asciiTheme="minorEastAsia" w:hAnsiTheme="minorEastAsia" w:eastAsiaTheme="minorEastAsia"/>
                <w:szCs w:val="21"/>
                <w:lang w:eastAsia="zh-TW"/>
              </w:rPr>
              <w:t>0</w:t>
            </w:r>
          </w:p>
        </w:tc>
        <w:tc>
          <w:tcPr>
            <w:tcW w:w="667" w:type="pct"/>
            <w:vAlign w:val="center"/>
          </w:tcPr>
          <w:p w14:paraId="5DCAA373">
            <w:pPr>
              <w:pStyle w:val="30"/>
              <w:spacing w:beforeLines="0" w:afterLines="0" w:line="240" w:lineRule="auto"/>
              <w:rPr>
                <w:rFonts w:asciiTheme="minorEastAsia" w:hAnsiTheme="minorEastAsia" w:eastAsiaTheme="minorEastAsia"/>
                <w:szCs w:val="21"/>
                <w:lang w:eastAsia="zh-TW"/>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TW"/>
              </w:rPr>
              <w:t>t/a</w:t>
            </w:r>
          </w:p>
        </w:tc>
        <w:tc>
          <w:tcPr>
            <w:tcW w:w="610" w:type="pct"/>
            <w:vAlign w:val="center"/>
          </w:tcPr>
          <w:p w14:paraId="2BEB33E3">
            <w:pPr>
              <w:pStyle w:val="30"/>
              <w:spacing w:beforeLines="0" w:afterLines="0" w:line="240" w:lineRule="auto"/>
              <w:rPr>
                <w:rFonts w:asciiTheme="minorEastAsia" w:hAnsiTheme="minorEastAsia" w:eastAsiaTheme="minorEastAsia"/>
                <w:szCs w:val="21"/>
                <w:lang w:eastAsia="zh-TW"/>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TW"/>
              </w:rPr>
              <w:t>t/a</w:t>
            </w:r>
          </w:p>
        </w:tc>
      </w:tr>
      <w:tr w14:paraId="6397F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43B1C46">
            <w:pPr>
              <w:pStyle w:val="30"/>
              <w:spacing w:beforeLines="0" w:afterLines="0" w:line="240" w:lineRule="auto"/>
              <w:rPr>
                <w:rFonts w:asciiTheme="minorEastAsia" w:hAnsiTheme="minorEastAsia" w:eastAsiaTheme="minorEastAsia"/>
                <w:snapToGrid w:val="0"/>
                <w:color w:val="000000"/>
                <w:kern w:val="21"/>
                <w:szCs w:val="21"/>
              </w:rPr>
            </w:pPr>
            <w:r>
              <w:rPr>
                <w:rFonts w:asciiTheme="minorEastAsia" w:hAnsiTheme="minorEastAsia" w:eastAsiaTheme="minorEastAsia"/>
                <w:snapToGrid w:val="0"/>
                <w:color w:val="000000"/>
                <w:kern w:val="21"/>
                <w:szCs w:val="21"/>
              </w:rPr>
              <w:t>危险废物</w:t>
            </w:r>
          </w:p>
        </w:tc>
        <w:tc>
          <w:tcPr>
            <w:tcW w:w="651" w:type="pct"/>
            <w:vAlign w:val="center"/>
          </w:tcPr>
          <w:p w14:paraId="7FA61030">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废机油、废油桶、废含油抹布</w:t>
            </w:r>
          </w:p>
        </w:tc>
        <w:tc>
          <w:tcPr>
            <w:tcW w:w="538" w:type="pct"/>
            <w:vAlign w:val="center"/>
          </w:tcPr>
          <w:p w14:paraId="585EBB14">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w:t>
            </w:r>
          </w:p>
        </w:tc>
        <w:tc>
          <w:tcPr>
            <w:tcW w:w="417" w:type="pct"/>
            <w:vAlign w:val="center"/>
          </w:tcPr>
          <w:p w14:paraId="7FAD3295">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w:t>
            </w:r>
          </w:p>
        </w:tc>
        <w:tc>
          <w:tcPr>
            <w:tcW w:w="572" w:type="pct"/>
            <w:vAlign w:val="center"/>
          </w:tcPr>
          <w:p w14:paraId="614D58E0">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w:t>
            </w:r>
          </w:p>
        </w:tc>
        <w:tc>
          <w:tcPr>
            <w:tcW w:w="574" w:type="pct"/>
            <w:vAlign w:val="center"/>
          </w:tcPr>
          <w:p w14:paraId="0F570EC1">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0.12t/a</w:t>
            </w:r>
          </w:p>
        </w:tc>
        <w:tc>
          <w:tcPr>
            <w:tcW w:w="586" w:type="pct"/>
            <w:vAlign w:val="center"/>
          </w:tcPr>
          <w:p w14:paraId="4EE51194">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w:t>
            </w:r>
          </w:p>
        </w:tc>
        <w:tc>
          <w:tcPr>
            <w:tcW w:w="667" w:type="pct"/>
            <w:vAlign w:val="center"/>
          </w:tcPr>
          <w:p w14:paraId="7BB17E0B">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0.12t/a</w:t>
            </w:r>
          </w:p>
        </w:tc>
        <w:tc>
          <w:tcPr>
            <w:tcW w:w="610" w:type="pct"/>
            <w:vAlign w:val="center"/>
          </w:tcPr>
          <w:p w14:paraId="01AA44A9">
            <w:pPr>
              <w:pStyle w:val="30"/>
              <w:spacing w:beforeLines="0" w:afterLines="0" w:line="240" w:lineRule="auto"/>
              <w:rPr>
                <w:rFonts w:asciiTheme="minorEastAsia" w:hAnsiTheme="minorEastAsia" w:eastAsiaTheme="minorEastAsia"/>
                <w:szCs w:val="21"/>
              </w:rPr>
            </w:pPr>
            <w:r>
              <w:rPr>
                <w:rFonts w:hint="eastAsia" w:asciiTheme="minorEastAsia" w:hAnsiTheme="minorEastAsia" w:eastAsiaTheme="minorEastAsia"/>
                <w:szCs w:val="21"/>
              </w:rPr>
              <w:t>+0.12t/a</w:t>
            </w:r>
          </w:p>
        </w:tc>
      </w:tr>
    </w:tbl>
    <w:p w14:paraId="2D669A70">
      <w:pPr>
        <w:jc w:val="left"/>
        <w:rPr>
          <w:rFonts w:asciiTheme="minorEastAsia" w:hAnsiTheme="minorEastAsia" w:eastAsiaTheme="minorEastAsia"/>
          <w:sz w:val="18"/>
          <w:szCs w:val="18"/>
        </w:rPr>
      </w:pPr>
      <w:r>
        <w:rPr>
          <w:rFonts w:asciiTheme="minorEastAsia" w:hAnsiTheme="minorEastAsia" w:eastAsiaTheme="minorEastAsia"/>
          <w:sz w:val="18"/>
          <w:szCs w:val="18"/>
        </w:rPr>
        <w:t>注：</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6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⑥</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1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①</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3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③</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4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④</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5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⑤</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7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⑦</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6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⑥</w:t>
      </w:r>
      <w:r>
        <w:rPr>
          <w:rFonts w:asciiTheme="minorEastAsia" w:hAnsiTheme="minorEastAsia" w:eastAsiaTheme="minorEastAsia"/>
          <w:sz w:val="18"/>
          <w:szCs w:val="18"/>
        </w:rPr>
        <w:fldChar w:fldCharType="end"/>
      </w:r>
      <w:r>
        <w:rPr>
          <w:rFonts w:asciiTheme="minorEastAsia" w:hAnsiTheme="minorEastAsia" w:eastAsiaTheme="minorEastAsia"/>
          <w:sz w:val="18"/>
          <w:szCs w:val="18"/>
        </w:rPr>
        <w:t>-</w:t>
      </w: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 1 \* GB3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①</w:t>
      </w:r>
      <w:r>
        <w:rPr>
          <w:rFonts w:asciiTheme="minorEastAsia" w:hAnsiTheme="minorEastAsia" w:eastAsiaTheme="minorEastAsia"/>
          <w:sz w:val="18"/>
          <w:szCs w:val="18"/>
        </w:rPr>
        <w:fldChar w:fldCharType="end"/>
      </w:r>
    </w:p>
    <w:sectPr>
      <w:footerReference r:id="rId4" w:type="default"/>
      <w:pgSz w:w="16838" w:h="11906" w:orient="landscape"/>
      <w:pgMar w:top="1701" w:right="1701" w:bottom="1701" w:left="1701"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420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F73AC5">
                          <w:pPr>
                            <w:pStyle w:val="14"/>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LeRYyAgAAZA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Qt5FjICAABkBAAADgAAAAAAAAABACAAAAAfAQAAZHJzL2Uyb0RvYy54bWxQSwUG&#10;AAAAAAYABgBZAQAAwwUAAAAA&#10;">
              <v:fill on="f" focussize="0,0"/>
              <v:stroke on="f" weight="0.5pt"/>
              <v:imagedata o:title=""/>
              <o:lock v:ext="edit" aspectratio="f"/>
              <v:textbox inset="0mm,0mm,0mm,0mm" style="mso-fit-shape-to-text:t;">
                <w:txbxContent>
                  <w:p w14:paraId="53F73AC5">
                    <w:pPr>
                      <w:pStyle w:val="14"/>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C2F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ACCAC0">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ATE5AgAAc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2+vxunBxQNwqWOsSMPQw0RKXenRCu2u&#10;7XnuTHECTWe6QfGWb2qUsmU+3DOHyUD52J1wh08pDVKa3qKkMu7rv+5jPBoGLyUNJi2nGotFifyg&#10;0UgAhsFwg7EbDH1QtwajO8FOWp5MPHBBDmbpjPqChVrFHHAxzZEpp2Ewb0M37VhILlarFHSwrt5X&#10;3QOMoWVhqx8sj2miVN6uDgHSJsWjQJ0q6FQ8YBBTz/qliZP+5zlFPf1RL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I+ATE5AgAAcAQAAA4AAAAAAAAAAQAgAAAAHwEAAGRycy9lMm9Eb2Mu&#10;eG1sUEsFBgAAAAAGAAYAWQEAAMoFAAAAAA==&#10;">
              <v:fill on="f" focussize="0,0"/>
              <v:stroke on="f" weight="0.5pt"/>
              <v:imagedata o:title=""/>
              <o:lock v:ext="edit" aspectratio="f"/>
              <v:textbox inset="0mm,0mm,0mm,0mm" style="mso-fit-shape-to-text:t;">
                <w:txbxContent>
                  <w:p w14:paraId="31ACCAC0">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70C83"/>
    <w:multiLevelType w:val="multilevel"/>
    <w:tmpl w:val="18470C83"/>
    <w:lvl w:ilvl="0" w:tentative="0">
      <w:start w:val="1"/>
      <w:numFmt w:val="decimal"/>
      <w:pStyle w:val="5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NDlkZTQwZjc5OTc1NTk4MjNlODZkMGI2NGZhMGYifQ=="/>
  </w:docVars>
  <w:rsids>
    <w:rsidRoot w:val="247E1B9A"/>
    <w:rsid w:val="000031F4"/>
    <w:rsid w:val="000054D2"/>
    <w:rsid w:val="00007F5E"/>
    <w:rsid w:val="0001012C"/>
    <w:rsid w:val="000160FF"/>
    <w:rsid w:val="00022BB0"/>
    <w:rsid w:val="00023C6B"/>
    <w:rsid w:val="000325C3"/>
    <w:rsid w:val="00032C60"/>
    <w:rsid w:val="000336AF"/>
    <w:rsid w:val="000355B2"/>
    <w:rsid w:val="00042E4C"/>
    <w:rsid w:val="00043D39"/>
    <w:rsid w:val="00051B32"/>
    <w:rsid w:val="000570B9"/>
    <w:rsid w:val="000635F6"/>
    <w:rsid w:val="00063A74"/>
    <w:rsid w:val="00063CB2"/>
    <w:rsid w:val="0006528B"/>
    <w:rsid w:val="000810E1"/>
    <w:rsid w:val="0008576A"/>
    <w:rsid w:val="00085926"/>
    <w:rsid w:val="0008720D"/>
    <w:rsid w:val="0009238F"/>
    <w:rsid w:val="000938E1"/>
    <w:rsid w:val="00094726"/>
    <w:rsid w:val="000A5182"/>
    <w:rsid w:val="000B18FD"/>
    <w:rsid w:val="000B28A8"/>
    <w:rsid w:val="000B4125"/>
    <w:rsid w:val="000B47D8"/>
    <w:rsid w:val="000C4F1F"/>
    <w:rsid w:val="000C706B"/>
    <w:rsid w:val="000C7453"/>
    <w:rsid w:val="000D5E12"/>
    <w:rsid w:val="000D746F"/>
    <w:rsid w:val="000E2D8B"/>
    <w:rsid w:val="000F228E"/>
    <w:rsid w:val="000F6F2E"/>
    <w:rsid w:val="000F796D"/>
    <w:rsid w:val="0010122A"/>
    <w:rsid w:val="0010149B"/>
    <w:rsid w:val="00101B75"/>
    <w:rsid w:val="0010384F"/>
    <w:rsid w:val="00105716"/>
    <w:rsid w:val="00106F41"/>
    <w:rsid w:val="00107B7E"/>
    <w:rsid w:val="00107E87"/>
    <w:rsid w:val="001102AD"/>
    <w:rsid w:val="00115C66"/>
    <w:rsid w:val="00115F67"/>
    <w:rsid w:val="00120156"/>
    <w:rsid w:val="00124B10"/>
    <w:rsid w:val="0012593E"/>
    <w:rsid w:val="00142CF6"/>
    <w:rsid w:val="0014453A"/>
    <w:rsid w:val="001449B4"/>
    <w:rsid w:val="001465DF"/>
    <w:rsid w:val="00161F33"/>
    <w:rsid w:val="001743B2"/>
    <w:rsid w:val="001756CA"/>
    <w:rsid w:val="00176AEC"/>
    <w:rsid w:val="001777DA"/>
    <w:rsid w:val="001811E9"/>
    <w:rsid w:val="00182670"/>
    <w:rsid w:val="00184A68"/>
    <w:rsid w:val="00186F15"/>
    <w:rsid w:val="00191A02"/>
    <w:rsid w:val="001A7915"/>
    <w:rsid w:val="001B50ED"/>
    <w:rsid w:val="001B6D54"/>
    <w:rsid w:val="001C26B5"/>
    <w:rsid w:val="001C2D32"/>
    <w:rsid w:val="001C5588"/>
    <w:rsid w:val="001D1981"/>
    <w:rsid w:val="001D6BDB"/>
    <w:rsid w:val="001E002C"/>
    <w:rsid w:val="001F583C"/>
    <w:rsid w:val="001F65A6"/>
    <w:rsid w:val="002012A7"/>
    <w:rsid w:val="00201A1E"/>
    <w:rsid w:val="00202B92"/>
    <w:rsid w:val="00205028"/>
    <w:rsid w:val="00212B03"/>
    <w:rsid w:val="00214EBA"/>
    <w:rsid w:val="00222755"/>
    <w:rsid w:val="00225AAC"/>
    <w:rsid w:val="002325F8"/>
    <w:rsid w:val="00232B02"/>
    <w:rsid w:val="00236404"/>
    <w:rsid w:val="00236FA4"/>
    <w:rsid w:val="002377AD"/>
    <w:rsid w:val="0025758C"/>
    <w:rsid w:val="002613BB"/>
    <w:rsid w:val="0026446C"/>
    <w:rsid w:val="00270ACA"/>
    <w:rsid w:val="0028326B"/>
    <w:rsid w:val="00284223"/>
    <w:rsid w:val="00287B29"/>
    <w:rsid w:val="00292272"/>
    <w:rsid w:val="0029780E"/>
    <w:rsid w:val="002A29AF"/>
    <w:rsid w:val="002A7B58"/>
    <w:rsid w:val="002B14EB"/>
    <w:rsid w:val="002C01B3"/>
    <w:rsid w:val="002C3E69"/>
    <w:rsid w:val="002C3EA6"/>
    <w:rsid w:val="002C526C"/>
    <w:rsid w:val="002D0485"/>
    <w:rsid w:val="002D2077"/>
    <w:rsid w:val="002E1161"/>
    <w:rsid w:val="002E66CA"/>
    <w:rsid w:val="002E6C78"/>
    <w:rsid w:val="002F3F49"/>
    <w:rsid w:val="002F613A"/>
    <w:rsid w:val="0030665F"/>
    <w:rsid w:val="00310174"/>
    <w:rsid w:val="00310E2F"/>
    <w:rsid w:val="003232BF"/>
    <w:rsid w:val="00323C59"/>
    <w:rsid w:val="00323D1F"/>
    <w:rsid w:val="0032529C"/>
    <w:rsid w:val="003258DD"/>
    <w:rsid w:val="00330418"/>
    <w:rsid w:val="00343423"/>
    <w:rsid w:val="003460F1"/>
    <w:rsid w:val="0036019E"/>
    <w:rsid w:val="003635B9"/>
    <w:rsid w:val="00372499"/>
    <w:rsid w:val="00380152"/>
    <w:rsid w:val="00391C16"/>
    <w:rsid w:val="00395702"/>
    <w:rsid w:val="00397308"/>
    <w:rsid w:val="003A0D22"/>
    <w:rsid w:val="003B2979"/>
    <w:rsid w:val="003B48AF"/>
    <w:rsid w:val="003C2E33"/>
    <w:rsid w:val="003C44E4"/>
    <w:rsid w:val="003D28BC"/>
    <w:rsid w:val="003D3D91"/>
    <w:rsid w:val="003D5AE8"/>
    <w:rsid w:val="003D7DC1"/>
    <w:rsid w:val="003E14B4"/>
    <w:rsid w:val="003E2BCD"/>
    <w:rsid w:val="003E455E"/>
    <w:rsid w:val="0040025E"/>
    <w:rsid w:val="00400FF3"/>
    <w:rsid w:val="00404D05"/>
    <w:rsid w:val="004131B4"/>
    <w:rsid w:val="00414BE0"/>
    <w:rsid w:val="0041609C"/>
    <w:rsid w:val="004240C5"/>
    <w:rsid w:val="00434920"/>
    <w:rsid w:val="00446EB9"/>
    <w:rsid w:val="00450948"/>
    <w:rsid w:val="004604CB"/>
    <w:rsid w:val="004604DF"/>
    <w:rsid w:val="00462CBA"/>
    <w:rsid w:val="004645D3"/>
    <w:rsid w:val="0046486A"/>
    <w:rsid w:val="0047255E"/>
    <w:rsid w:val="0047456D"/>
    <w:rsid w:val="00476386"/>
    <w:rsid w:val="004803FE"/>
    <w:rsid w:val="0048220D"/>
    <w:rsid w:val="00483D54"/>
    <w:rsid w:val="004846FC"/>
    <w:rsid w:val="004853C6"/>
    <w:rsid w:val="004872B8"/>
    <w:rsid w:val="0048757D"/>
    <w:rsid w:val="00491556"/>
    <w:rsid w:val="004A265B"/>
    <w:rsid w:val="004A3C03"/>
    <w:rsid w:val="004A7BA2"/>
    <w:rsid w:val="004B1304"/>
    <w:rsid w:val="004B186E"/>
    <w:rsid w:val="004B3D6E"/>
    <w:rsid w:val="004B4450"/>
    <w:rsid w:val="004B4D22"/>
    <w:rsid w:val="004B5A77"/>
    <w:rsid w:val="004B7C25"/>
    <w:rsid w:val="004C2E54"/>
    <w:rsid w:val="004C3955"/>
    <w:rsid w:val="004D0254"/>
    <w:rsid w:val="004D386C"/>
    <w:rsid w:val="004D5C22"/>
    <w:rsid w:val="004D6C0A"/>
    <w:rsid w:val="004E1AED"/>
    <w:rsid w:val="004E3358"/>
    <w:rsid w:val="004E44F0"/>
    <w:rsid w:val="004E5BA3"/>
    <w:rsid w:val="004E7246"/>
    <w:rsid w:val="004F29EC"/>
    <w:rsid w:val="004F3D69"/>
    <w:rsid w:val="004F6BD2"/>
    <w:rsid w:val="005029F1"/>
    <w:rsid w:val="005043B6"/>
    <w:rsid w:val="00505DCB"/>
    <w:rsid w:val="00513A01"/>
    <w:rsid w:val="005171BD"/>
    <w:rsid w:val="005218B7"/>
    <w:rsid w:val="00527CEE"/>
    <w:rsid w:val="005401CC"/>
    <w:rsid w:val="00543AE2"/>
    <w:rsid w:val="00546E92"/>
    <w:rsid w:val="00547176"/>
    <w:rsid w:val="00557382"/>
    <w:rsid w:val="00560853"/>
    <w:rsid w:val="0056650E"/>
    <w:rsid w:val="00571732"/>
    <w:rsid w:val="00572698"/>
    <w:rsid w:val="005736F4"/>
    <w:rsid w:val="00574E85"/>
    <w:rsid w:val="00575B6D"/>
    <w:rsid w:val="00580741"/>
    <w:rsid w:val="005810CD"/>
    <w:rsid w:val="00591E13"/>
    <w:rsid w:val="00593501"/>
    <w:rsid w:val="005971A1"/>
    <w:rsid w:val="005A001A"/>
    <w:rsid w:val="005A00AC"/>
    <w:rsid w:val="005A1E58"/>
    <w:rsid w:val="005A626A"/>
    <w:rsid w:val="005B16B8"/>
    <w:rsid w:val="005B38AF"/>
    <w:rsid w:val="005C01AB"/>
    <w:rsid w:val="005C19E0"/>
    <w:rsid w:val="005C1CBF"/>
    <w:rsid w:val="005C1F25"/>
    <w:rsid w:val="005C4101"/>
    <w:rsid w:val="005D639C"/>
    <w:rsid w:val="005E2B14"/>
    <w:rsid w:val="005E385C"/>
    <w:rsid w:val="005E3CD0"/>
    <w:rsid w:val="005E58A1"/>
    <w:rsid w:val="005E7F16"/>
    <w:rsid w:val="005F36DD"/>
    <w:rsid w:val="005F4C76"/>
    <w:rsid w:val="005F6FE8"/>
    <w:rsid w:val="00601E72"/>
    <w:rsid w:val="00603CBE"/>
    <w:rsid w:val="00605077"/>
    <w:rsid w:val="006110BF"/>
    <w:rsid w:val="00611D9D"/>
    <w:rsid w:val="006150ED"/>
    <w:rsid w:val="00615D2A"/>
    <w:rsid w:val="00617A26"/>
    <w:rsid w:val="006210C1"/>
    <w:rsid w:val="0062542F"/>
    <w:rsid w:val="00631EA4"/>
    <w:rsid w:val="006336FF"/>
    <w:rsid w:val="00643B54"/>
    <w:rsid w:val="00651A1A"/>
    <w:rsid w:val="00652207"/>
    <w:rsid w:val="00657E75"/>
    <w:rsid w:val="006606AD"/>
    <w:rsid w:val="00661243"/>
    <w:rsid w:val="00665AC8"/>
    <w:rsid w:val="00672274"/>
    <w:rsid w:val="00672452"/>
    <w:rsid w:val="00673EB8"/>
    <w:rsid w:val="00676CC7"/>
    <w:rsid w:val="00682BF7"/>
    <w:rsid w:val="006867C0"/>
    <w:rsid w:val="006908D9"/>
    <w:rsid w:val="006960B9"/>
    <w:rsid w:val="00696E77"/>
    <w:rsid w:val="006A1F0F"/>
    <w:rsid w:val="006A23B4"/>
    <w:rsid w:val="006A3C6A"/>
    <w:rsid w:val="006B0672"/>
    <w:rsid w:val="006B09FE"/>
    <w:rsid w:val="006B30C0"/>
    <w:rsid w:val="006B3277"/>
    <w:rsid w:val="006B6091"/>
    <w:rsid w:val="006B67B6"/>
    <w:rsid w:val="006C7F0F"/>
    <w:rsid w:val="006D11A9"/>
    <w:rsid w:val="006D3709"/>
    <w:rsid w:val="006D3ED7"/>
    <w:rsid w:val="006D5111"/>
    <w:rsid w:val="006E1621"/>
    <w:rsid w:val="006E2293"/>
    <w:rsid w:val="006E337D"/>
    <w:rsid w:val="006E4618"/>
    <w:rsid w:val="006E7222"/>
    <w:rsid w:val="006F0C5C"/>
    <w:rsid w:val="006F3F6F"/>
    <w:rsid w:val="006F775E"/>
    <w:rsid w:val="007003B8"/>
    <w:rsid w:val="00702832"/>
    <w:rsid w:val="007059C3"/>
    <w:rsid w:val="007068FD"/>
    <w:rsid w:val="0071032C"/>
    <w:rsid w:val="00713FCA"/>
    <w:rsid w:val="0071571A"/>
    <w:rsid w:val="007177A7"/>
    <w:rsid w:val="00720DDC"/>
    <w:rsid w:val="007230BA"/>
    <w:rsid w:val="007245AD"/>
    <w:rsid w:val="0072556F"/>
    <w:rsid w:val="0072574F"/>
    <w:rsid w:val="00744808"/>
    <w:rsid w:val="007468FC"/>
    <w:rsid w:val="00746F5D"/>
    <w:rsid w:val="007513D8"/>
    <w:rsid w:val="00754D8E"/>
    <w:rsid w:val="00760B77"/>
    <w:rsid w:val="007627CF"/>
    <w:rsid w:val="00762DCC"/>
    <w:rsid w:val="0077520F"/>
    <w:rsid w:val="0077742F"/>
    <w:rsid w:val="00781FBA"/>
    <w:rsid w:val="00782558"/>
    <w:rsid w:val="00782824"/>
    <w:rsid w:val="00784DA3"/>
    <w:rsid w:val="00790D90"/>
    <w:rsid w:val="00792146"/>
    <w:rsid w:val="00793DB0"/>
    <w:rsid w:val="00793E5B"/>
    <w:rsid w:val="007951BD"/>
    <w:rsid w:val="007A2CB8"/>
    <w:rsid w:val="007B1300"/>
    <w:rsid w:val="007B222D"/>
    <w:rsid w:val="007B2F85"/>
    <w:rsid w:val="007B3A8F"/>
    <w:rsid w:val="007C2FA0"/>
    <w:rsid w:val="007C5F53"/>
    <w:rsid w:val="007D0250"/>
    <w:rsid w:val="007D0975"/>
    <w:rsid w:val="007D214C"/>
    <w:rsid w:val="007F79DE"/>
    <w:rsid w:val="00801FD2"/>
    <w:rsid w:val="008026CA"/>
    <w:rsid w:val="00803C37"/>
    <w:rsid w:val="008127ED"/>
    <w:rsid w:val="00813E3D"/>
    <w:rsid w:val="0081451D"/>
    <w:rsid w:val="008204EE"/>
    <w:rsid w:val="00821862"/>
    <w:rsid w:val="008227EB"/>
    <w:rsid w:val="00822889"/>
    <w:rsid w:val="00827F40"/>
    <w:rsid w:val="00830473"/>
    <w:rsid w:val="00832493"/>
    <w:rsid w:val="008404FE"/>
    <w:rsid w:val="008405B1"/>
    <w:rsid w:val="008449DB"/>
    <w:rsid w:val="008563E4"/>
    <w:rsid w:val="008610DA"/>
    <w:rsid w:val="00863591"/>
    <w:rsid w:val="00870D6B"/>
    <w:rsid w:val="00871C2F"/>
    <w:rsid w:val="00873E84"/>
    <w:rsid w:val="008767E1"/>
    <w:rsid w:val="0088156A"/>
    <w:rsid w:val="00883710"/>
    <w:rsid w:val="00883C79"/>
    <w:rsid w:val="0089002E"/>
    <w:rsid w:val="00891903"/>
    <w:rsid w:val="00892BA3"/>
    <w:rsid w:val="00894443"/>
    <w:rsid w:val="00895496"/>
    <w:rsid w:val="008972F5"/>
    <w:rsid w:val="008A50D5"/>
    <w:rsid w:val="008A7061"/>
    <w:rsid w:val="008B0BAF"/>
    <w:rsid w:val="008B218F"/>
    <w:rsid w:val="008B5357"/>
    <w:rsid w:val="008B7677"/>
    <w:rsid w:val="008C380D"/>
    <w:rsid w:val="008C7A70"/>
    <w:rsid w:val="008C7D61"/>
    <w:rsid w:val="008C7E96"/>
    <w:rsid w:val="008D1D5F"/>
    <w:rsid w:val="008D3936"/>
    <w:rsid w:val="008E11F7"/>
    <w:rsid w:val="008F3CD3"/>
    <w:rsid w:val="00903877"/>
    <w:rsid w:val="00906C70"/>
    <w:rsid w:val="009101BB"/>
    <w:rsid w:val="00910211"/>
    <w:rsid w:val="009104C1"/>
    <w:rsid w:val="0091645C"/>
    <w:rsid w:val="00917259"/>
    <w:rsid w:val="00917896"/>
    <w:rsid w:val="00921C24"/>
    <w:rsid w:val="00922340"/>
    <w:rsid w:val="00923767"/>
    <w:rsid w:val="00924A1B"/>
    <w:rsid w:val="00926795"/>
    <w:rsid w:val="00930E3C"/>
    <w:rsid w:val="00931DF1"/>
    <w:rsid w:val="009413F1"/>
    <w:rsid w:val="009440B4"/>
    <w:rsid w:val="009455C4"/>
    <w:rsid w:val="0095477A"/>
    <w:rsid w:val="0095525B"/>
    <w:rsid w:val="00956D27"/>
    <w:rsid w:val="0095728E"/>
    <w:rsid w:val="00961119"/>
    <w:rsid w:val="009612FC"/>
    <w:rsid w:val="009645FA"/>
    <w:rsid w:val="00966B76"/>
    <w:rsid w:val="00970C75"/>
    <w:rsid w:val="00976B4D"/>
    <w:rsid w:val="00976C2F"/>
    <w:rsid w:val="0098015F"/>
    <w:rsid w:val="00984D74"/>
    <w:rsid w:val="00992032"/>
    <w:rsid w:val="009933EB"/>
    <w:rsid w:val="00995A05"/>
    <w:rsid w:val="00995B04"/>
    <w:rsid w:val="009B7BAA"/>
    <w:rsid w:val="009C6113"/>
    <w:rsid w:val="009D0DDE"/>
    <w:rsid w:val="009E2C38"/>
    <w:rsid w:val="009E4A52"/>
    <w:rsid w:val="009E6159"/>
    <w:rsid w:val="009E7911"/>
    <w:rsid w:val="009F3CC6"/>
    <w:rsid w:val="009F6AB4"/>
    <w:rsid w:val="009F7ED5"/>
    <w:rsid w:val="00A026DF"/>
    <w:rsid w:val="00A07E08"/>
    <w:rsid w:val="00A161AF"/>
    <w:rsid w:val="00A23C77"/>
    <w:rsid w:val="00A26202"/>
    <w:rsid w:val="00A370B3"/>
    <w:rsid w:val="00A40EEA"/>
    <w:rsid w:val="00A57832"/>
    <w:rsid w:val="00A61503"/>
    <w:rsid w:val="00A61E69"/>
    <w:rsid w:val="00A67E12"/>
    <w:rsid w:val="00A73A8B"/>
    <w:rsid w:val="00A74193"/>
    <w:rsid w:val="00A8485D"/>
    <w:rsid w:val="00A92D00"/>
    <w:rsid w:val="00A92E78"/>
    <w:rsid w:val="00A95634"/>
    <w:rsid w:val="00A960B2"/>
    <w:rsid w:val="00AA2B75"/>
    <w:rsid w:val="00AA322B"/>
    <w:rsid w:val="00AA449C"/>
    <w:rsid w:val="00AB2AE2"/>
    <w:rsid w:val="00AB2C96"/>
    <w:rsid w:val="00AB44CE"/>
    <w:rsid w:val="00AB56E5"/>
    <w:rsid w:val="00AC1703"/>
    <w:rsid w:val="00AC4BF6"/>
    <w:rsid w:val="00AC6A84"/>
    <w:rsid w:val="00AD5447"/>
    <w:rsid w:val="00AD7081"/>
    <w:rsid w:val="00AF2B17"/>
    <w:rsid w:val="00AF3DBF"/>
    <w:rsid w:val="00B00E58"/>
    <w:rsid w:val="00B05054"/>
    <w:rsid w:val="00B0515E"/>
    <w:rsid w:val="00B20CB7"/>
    <w:rsid w:val="00B232B8"/>
    <w:rsid w:val="00B237C4"/>
    <w:rsid w:val="00B2693F"/>
    <w:rsid w:val="00B30AE0"/>
    <w:rsid w:val="00B30F70"/>
    <w:rsid w:val="00B3291B"/>
    <w:rsid w:val="00B33B73"/>
    <w:rsid w:val="00B3471B"/>
    <w:rsid w:val="00B35D69"/>
    <w:rsid w:val="00B3667D"/>
    <w:rsid w:val="00B36DEA"/>
    <w:rsid w:val="00B4614D"/>
    <w:rsid w:val="00B52085"/>
    <w:rsid w:val="00B54956"/>
    <w:rsid w:val="00B567D0"/>
    <w:rsid w:val="00B60667"/>
    <w:rsid w:val="00B62B40"/>
    <w:rsid w:val="00B67893"/>
    <w:rsid w:val="00B70F80"/>
    <w:rsid w:val="00B9331A"/>
    <w:rsid w:val="00B950D0"/>
    <w:rsid w:val="00BA1FFF"/>
    <w:rsid w:val="00BA2119"/>
    <w:rsid w:val="00BA3510"/>
    <w:rsid w:val="00BA4409"/>
    <w:rsid w:val="00BB4256"/>
    <w:rsid w:val="00BC2307"/>
    <w:rsid w:val="00BC31E8"/>
    <w:rsid w:val="00BD01F0"/>
    <w:rsid w:val="00BE6E59"/>
    <w:rsid w:val="00BF2676"/>
    <w:rsid w:val="00BF2A25"/>
    <w:rsid w:val="00BF3035"/>
    <w:rsid w:val="00BF6940"/>
    <w:rsid w:val="00BF70C7"/>
    <w:rsid w:val="00C10188"/>
    <w:rsid w:val="00C10E98"/>
    <w:rsid w:val="00C13625"/>
    <w:rsid w:val="00C1366A"/>
    <w:rsid w:val="00C150C4"/>
    <w:rsid w:val="00C161AB"/>
    <w:rsid w:val="00C17FC6"/>
    <w:rsid w:val="00C269CB"/>
    <w:rsid w:val="00C27281"/>
    <w:rsid w:val="00C32A19"/>
    <w:rsid w:val="00C36158"/>
    <w:rsid w:val="00C44002"/>
    <w:rsid w:val="00C460C9"/>
    <w:rsid w:val="00C46985"/>
    <w:rsid w:val="00C47F92"/>
    <w:rsid w:val="00C55721"/>
    <w:rsid w:val="00C5628A"/>
    <w:rsid w:val="00C63E53"/>
    <w:rsid w:val="00C659B6"/>
    <w:rsid w:val="00C712A2"/>
    <w:rsid w:val="00C71420"/>
    <w:rsid w:val="00C7166C"/>
    <w:rsid w:val="00C7204C"/>
    <w:rsid w:val="00C76D6F"/>
    <w:rsid w:val="00C81761"/>
    <w:rsid w:val="00C82EB3"/>
    <w:rsid w:val="00C84C0D"/>
    <w:rsid w:val="00C91BE6"/>
    <w:rsid w:val="00C921A5"/>
    <w:rsid w:val="00C95620"/>
    <w:rsid w:val="00C97AF5"/>
    <w:rsid w:val="00CA27AC"/>
    <w:rsid w:val="00CA4AFC"/>
    <w:rsid w:val="00CA5AE1"/>
    <w:rsid w:val="00CB7F10"/>
    <w:rsid w:val="00CC66CE"/>
    <w:rsid w:val="00CC6855"/>
    <w:rsid w:val="00CC6EE5"/>
    <w:rsid w:val="00CD050D"/>
    <w:rsid w:val="00CE09DC"/>
    <w:rsid w:val="00CE4CC6"/>
    <w:rsid w:val="00CE55CC"/>
    <w:rsid w:val="00CE5925"/>
    <w:rsid w:val="00CE68B4"/>
    <w:rsid w:val="00CF10A7"/>
    <w:rsid w:val="00CF2B47"/>
    <w:rsid w:val="00D040E9"/>
    <w:rsid w:val="00D06A23"/>
    <w:rsid w:val="00D07B11"/>
    <w:rsid w:val="00D07BD7"/>
    <w:rsid w:val="00D10437"/>
    <w:rsid w:val="00D14D4E"/>
    <w:rsid w:val="00D21945"/>
    <w:rsid w:val="00D23909"/>
    <w:rsid w:val="00D26A9F"/>
    <w:rsid w:val="00D303AD"/>
    <w:rsid w:val="00D35E07"/>
    <w:rsid w:val="00D37BD7"/>
    <w:rsid w:val="00D50866"/>
    <w:rsid w:val="00D53255"/>
    <w:rsid w:val="00D5361D"/>
    <w:rsid w:val="00D555E8"/>
    <w:rsid w:val="00D566A2"/>
    <w:rsid w:val="00D56A55"/>
    <w:rsid w:val="00D61BCB"/>
    <w:rsid w:val="00D61C6F"/>
    <w:rsid w:val="00D65FAD"/>
    <w:rsid w:val="00D660FB"/>
    <w:rsid w:val="00D81B4E"/>
    <w:rsid w:val="00D825C0"/>
    <w:rsid w:val="00D85A38"/>
    <w:rsid w:val="00D95149"/>
    <w:rsid w:val="00D95EF5"/>
    <w:rsid w:val="00D96A90"/>
    <w:rsid w:val="00DB0C3F"/>
    <w:rsid w:val="00DC3BFB"/>
    <w:rsid w:val="00DD0ED3"/>
    <w:rsid w:val="00DD2788"/>
    <w:rsid w:val="00DD7708"/>
    <w:rsid w:val="00DF1CF6"/>
    <w:rsid w:val="00DF3C41"/>
    <w:rsid w:val="00DF3DED"/>
    <w:rsid w:val="00DF6A7A"/>
    <w:rsid w:val="00E0229F"/>
    <w:rsid w:val="00E02F9D"/>
    <w:rsid w:val="00E06BBE"/>
    <w:rsid w:val="00E16560"/>
    <w:rsid w:val="00E22310"/>
    <w:rsid w:val="00E22BE9"/>
    <w:rsid w:val="00E23F69"/>
    <w:rsid w:val="00E25346"/>
    <w:rsid w:val="00E2617D"/>
    <w:rsid w:val="00E27F9E"/>
    <w:rsid w:val="00E349D8"/>
    <w:rsid w:val="00E40FFC"/>
    <w:rsid w:val="00E41B3C"/>
    <w:rsid w:val="00E42327"/>
    <w:rsid w:val="00E43C0F"/>
    <w:rsid w:val="00E4628A"/>
    <w:rsid w:val="00E5554F"/>
    <w:rsid w:val="00E5702C"/>
    <w:rsid w:val="00E61435"/>
    <w:rsid w:val="00E62D37"/>
    <w:rsid w:val="00E649E7"/>
    <w:rsid w:val="00E65D5D"/>
    <w:rsid w:val="00E7158D"/>
    <w:rsid w:val="00E82969"/>
    <w:rsid w:val="00E845F7"/>
    <w:rsid w:val="00E853B7"/>
    <w:rsid w:val="00EA00D7"/>
    <w:rsid w:val="00EA1D25"/>
    <w:rsid w:val="00EA5261"/>
    <w:rsid w:val="00EA68A7"/>
    <w:rsid w:val="00EA68B0"/>
    <w:rsid w:val="00EA7395"/>
    <w:rsid w:val="00EA7B80"/>
    <w:rsid w:val="00EB3A42"/>
    <w:rsid w:val="00EB46B0"/>
    <w:rsid w:val="00EC1792"/>
    <w:rsid w:val="00EC5A5E"/>
    <w:rsid w:val="00EC7D53"/>
    <w:rsid w:val="00EC7D5E"/>
    <w:rsid w:val="00ED1A5A"/>
    <w:rsid w:val="00ED1B29"/>
    <w:rsid w:val="00ED28B4"/>
    <w:rsid w:val="00ED354B"/>
    <w:rsid w:val="00ED5C9B"/>
    <w:rsid w:val="00ED6E1F"/>
    <w:rsid w:val="00EE6A77"/>
    <w:rsid w:val="00EE6D08"/>
    <w:rsid w:val="00EF1CCA"/>
    <w:rsid w:val="00F06104"/>
    <w:rsid w:val="00F0690D"/>
    <w:rsid w:val="00F1080E"/>
    <w:rsid w:val="00F12B40"/>
    <w:rsid w:val="00F12C29"/>
    <w:rsid w:val="00F14B21"/>
    <w:rsid w:val="00F163F8"/>
    <w:rsid w:val="00F164CB"/>
    <w:rsid w:val="00F20CDC"/>
    <w:rsid w:val="00F26461"/>
    <w:rsid w:val="00F26BF2"/>
    <w:rsid w:val="00F31FED"/>
    <w:rsid w:val="00F34B2C"/>
    <w:rsid w:val="00F35C63"/>
    <w:rsid w:val="00F40DD5"/>
    <w:rsid w:val="00F54345"/>
    <w:rsid w:val="00F544FC"/>
    <w:rsid w:val="00F60261"/>
    <w:rsid w:val="00F60F22"/>
    <w:rsid w:val="00F62942"/>
    <w:rsid w:val="00F63B96"/>
    <w:rsid w:val="00F65303"/>
    <w:rsid w:val="00F65486"/>
    <w:rsid w:val="00F725B8"/>
    <w:rsid w:val="00F82E9B"/>
    <w:rsid w:val="00FA046D"/>
    <w:rsid w:val="00FA136D"/>
    <w:rsid w:val="00FA72ED"/>
    <w:rsid w:val="00FB0033"/>
    <w:rsid w:val="00FB02A8"/>
    <w:rsid w:val="00FB42AA"/>
    <w:rsid w:val="00FB76FF"/>
    <w:rsid w:val="00FB7B36"/>
    <w:rsid w:val="00FC262E"/>
    <w:rsid w:val="00FC3953"/>
    <w:rsid w:val="00FC5619"/>
    <w:rsid w:val="00FC619C"/>
    <w:rsid w:val="00FC7D86"/>
    <w:rsid w:val="00FD2EFA"/>
    <w:rsid w:val="00FD3D6A"/>
    <w:rsid w:val="00FE0C99"/>
    <w:rsid w:val="00FE4859"/>
    <w:rsid w:val="00FE49F5"/>
    <w:rsid w:val="00FE4DF9"/>
    <w:rsid w:val="00FE5EE4"/>
    <w:rsid w:val="00FE7FC2"/>
    <w:rsid w:val="00FF5830"/>
    <w:rsid w:val="01EA3048"/>
    <w:rsid w:val="029D6386"/>
    <w:rsid w:val="044224FF"/>
    <w:rsid w:val="08652145"/>
    <w:rsid w:val="0A071F27"/>
    <w:rsid w:val="0A3C16F7"/>
    <w:rsid w:val="0AB72996"/>
    <w:rsid w:val="0B0C5E6A"/>
    <w:rsid w:val="0B6C2589"/>
    <w:rsid w:val="0BD41D83"/>
    <w:rsid w:val="0C465DA4"/>
    <w:rsid w:val="11E712FA"/>
    <w:rsid w:val="12F83AAE"/>
    <w:rsid w:val="155009AF"/>
    <w:rsid w:val="15FC5C8E"/>
    <w:rsid w:val="170C09D2"/>
    <w:rsid w:val="174D6E76"/>
    <w:rsid w:val="187F4423"/>
    <w:rsid w:val="18E12D10"/>
    <w:rsid w:val="19397563"/>
    <w:rsid w:val="1A203C9E"/>
    <w:rsid w:val="1A495ECC"/>
    <w:rsid w:val="1A621613"/>
    <w:rsid w:val="1AD06847"/>
    <w:rsid w:val="1B4F3B79"/>
    <w:rsid w:val="1C385B8A"/>
    <w:rsid w:val="1F8D71B9"/>
    <w:rsid w:val="1FB57B5F"/>
    <w:rsid w:val="20226FEB"/>
    <w:rsid w:val="22000BCA"/>
    <w:rsid w:val="247E1B9A"/>
    <w:rsid w:val="267B67BE"/>
    <w:rsid w:val="268E290B"/>
    <w:rsid w:val="291814D2"/>
    <w:rsid w:val="2927387C"/>
    <w:rsid w:val="2A007C29"/>
    <w:rsid w:val="2B724B05"/>
    <w:rsid w:val="2BA2171E"/>
    <w:rsid w:val="2BD851B8"/>
    <w:rsid w:val="2E251DDB"/>
    <w:rsid w:val="2F0878DB"/>
    <w:rsid w:val="30662492"/>
    <w:rsid w:val="33353909"/>
    <w:rsid w:val="33BC2E13"/>
    <w:rsid w:val="35543E98"/>
    <w:rsid w:val="35BB1C31"/>
    <w:rsid w:val="36A44676"/>
    <w:rsid w:val="36C721BF"/>
    <w:rsid w:val="37913799"/>
    <w:rsid w:val="39C63BF0"/>
    <w:rsid w:val="3AA81790"/>
    <w:rsid w:val="3AE3528F"/>
    <w:rsid w:val="3B750EAE"/>
    <w:rsid w:val="3CB05211"/>
    <w:rsid w:val="3DE41DD9"/>
    <w:rsid w:val="3E350391"/>
    <w:rsid w:val="3E8312EF"/>
    <w:rsid w:val="3F6C4F1B"/>
    <w:rsid w:val="401A15ED"/>
    <w:rsid w:val="405C185A"/>
    <w:rsid w:val="41B94AC4"/>
    <w:rsid w:val="41CE040F"/>
    <w:rsid w:val="42A91DD3"/>
    <w:rsid w:val="43032930"/>
    <w:rsid w:val="43532A8F"/>
    <w:rsid w:val="45240608"/>
    <w:rsid w:val="455E6898"/>
    <w:rsid w:val="45CB040A"/>
    <w:rsid w:val="470611E6"/>
    <w:rsid w:val="47DC28A2"/>
    <w:rsid w:val="48587156"/>
    <w:rsid w:val="494C6858"/>
    <w:rsid w:val="49A7168C"/>
    <w:rsid w:val="49BF1503"/>
    <w:rsid w:val="4AA45C88"/>
    <w:rsid w:val="4C3075AB"/>
    <w:rsid w:val="4C3103EA"/>
    <w:rsid w:val="4D6F5C1B"/>
    <w:rsid w:val="4DD06DC8"/>
    <w:rsid w:val="4E781DC2"/>
    <w:rsid w:val="4ED536B8"/>
    <w:rsid w:val="4EDB21CB"/>
    <w:rsid w:val="4FB118D4"/>
    <w:rsid w:val="505D62A5"/>
    <w:rsid w:val="526611B5"/>
    <w:rsid w:val="52906F49"/>
    <w:rsid w:val="54B41BB8"/>
    <w:rsid w:val="55727491"/>
    <w:rsid w:val="5594378F"/>
    <w:rsid w:val="57CB69C9"/>
    <w:rsid w:val="58C209A3"/>
    <w:rsid w:val="5B1D0CAA"/>
    <w:rsid w:val="5BED15AD"/>
    <w:rsid w:val="5C462976"/>
    <w:rsid w:val="5C61374F"/>
    <w:rsid w:val="5C720450"/>
    <w:rsid w:val="5C755DE0"/>
    <w:rsid w:val="5D0B47CD"/>
    <w:rsid w:val="5EDD4DEC"/>
    <w:rsid w:val="60B12F60"/>
    <w:rsid w:val="615E7330"/>
    <w:rsid w:val="61C40F61"/>
    <w:rsid w:val="626C0FAD"/>
    <w:rsid w:val="62D11BF0"/>
    <w:rsid w:val="63E018BF"/>
    <w:rsid w:val="64DB13EC"/>
    <w:rsid w:val="656A4EB1"/>
    <w:rsid w:val="661C7235"/>
    <w:rsid w:val="674C1365"/>
    <w:rsid w:val="675872FB"/>
    <w:rsid w:val="678E4256"/>
    <w:rsid w:val="67E721D5"/>
    <w:rsid w:val="67E7426D"/>
    <w:rsid w:val="682831AA"/>
    <w:rsid w:val="68CB7D2F"/>
    <w:rsid w:val="6A7562BE"/>
    <w:rsid w:val="6C152F3C"/>
    <w:rsid w:val="6CA9548B"/>
    <w:rsid w:val="6E363428"/>
    <w:rsid w:val="6EC76175"/>
    <w:rsid w:val="6F432D80"/>
    <w:rsid w:val="6F6600E7"/>
    <w:rsid w:val="70A46951"/>
    <w:rsid w:val="70E63ACB"/>
    <w:rsid w:val="71D955FB"/>
    <w:rsid w:val="7336654B"/>
    <w:rsid w:val="74F33BDF"/>
    <w:rsid w:val="768C4C34"/>
    <w:rsid w:val="775F2668"/>
    <w:rsid w:val="78511F55"/>
    <w:rsid w:val="7864184C"/>
    <w:rsid w:val="7938223A"/>
    <w:rsid w:val="79C665A4"/>
    <w:rsid w:val="7AD8563E"/>
    <w:rsid w:val="7B046B46"/>
    <w:rsid w:val="7B9C3271"/>
    <w:rsid w:val="7F93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360" w:lineRule="auto"/>
      <w:ind w:firstLine="480" w:firstLineChars="200"/>
      <w:outlineLvl w:val="1"/>
    </w:pPr>
    <w:rPr>
      <w:kern w:val="0"/>
      <w:sz w:val="24"/>
      <w:szCs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qFormat/>
    <w:uiPriority w:val="0"/>
    <w:pPr>
      <w:jc w:val="left"/>
    </w:pPr>
  </w:style>
  <w:style w:type="paragraph" w:styleId="7">
    <w:name w:val="Body Text 3"/>
    <w:basedOn w:val="1"/>
    <w:qFormat/>
    <w:uiPriority w:val="0"/>
    <w:pPr>
      <w:spacing w:after="120"/>
    </w:pPr>
    <w:rPr>
      <w:kern w:val="0"/>
      <w:sz w:val="16"/>
      <w:szCs w:val="16"/>
    </w:rPr>
  </w:style>
  <w:style w:type="paragraph" w:styleId="8">
    <w:name w:val="Body Text"/>
    <w:basedOn w:val="1"/>
    <w:next w:val="9"/>
    <w:qFormat/>
    <w:uiPriority w:val="0"/>
    <w:pPr>
      <w:widowControl/>
      <w:snapToGrid w:val="0"/>
      <w:spacing w:before="60" w:after="160" w:line="259" w:lineRule="auto"/>
      <w:ind w:right="113"/>
    </w:pPr>
    <w:rPr>
      <w:kern w:val="0"/>
      <w:sz w:val="18"/>
      <w:szCs w:val="20"/>
    </w:rPr>
  </w:style>
  <w:style w:type="paragraph" w:styleId="9">
    <w:name w:val="toc 1"/>
    <w:basedOn w:val="1"/>
    <w:next w:val="1"/>
    <w:unhideWhenUsed/>
    <w:qFormat/>
    <w:uiPriority w:val="39"/>
    <w:pPr>
      <w:tabs>
        <w:tab w:val="right" w:leader="dot" w:pos="8777"/>
      </w:tabs>
      <w:adjustRightInd w:val="0"/>
      <w:snapToGrid w:val="0"/>
      <w:jc w:val="left"/>
    </w:pPr>
    <w:rPr>
      <w:b/>
      <w:bCs/>
      <w:caps/>
      <w:sz w:val="20"/>
      <w:szCs w:val="20"/>
    </w:rPr>
  </w:style>
  <w:style w:type="paragraph" w:styleId="10">
    <w:name w:val="Body Text Indent"/>
    <w:basedOn w:val="1"/>
    <w:next w:val="11"/>
    <w:qFormat/>
    <w:uiPriority w:val="99"/>
    <w:pPr>
      <w:spacing w:line="360" w:lineRule="auto"/>
      <w:ind w:firstLine="200" w:firstLineChars="200"/>
    </w:pPr>
    <w:rPr>
      <w:rFonts w:eastAsia="楷体_GB2312"/>
      <w:kern w:val="0"/>
      <w:sz w:val="24"/>
      <w:szCs w:val="24"/>
    </w:rPr>
  </w:style>
  <w:style w:type="paragraph" w:customStyle="1" w:styleId="11">
    <w:name w:val="样式 正文文本缩进 + 行距: 1.5 倍行距"/>
    <w:basedOn w:val="10"/>
    <w:qFormat/>
    <w:uiPriority w:val="0"/>
    <w:pPr>
      <w:spacing w:after="120"/>
      <w:ind w:left="90" w:leftChars="32" w:firstLine="560"/>
    </w:pPr>
    <w:rPr>
      <w:rFonts w:cs="宋体"/>
    </w:rPr>
  </w:style>
  <w:style w:type="paragraph" w:styleId="12">
    <w:name w:val="Plain Text"/>
    <w:basedOn w:val="1"/>
    <w:qFormat/>
    <w:uiPriority w:val="0"/>
    <w:rPr>
      <w:rFonts w:ascii="宋体" w:hAnsi="Courier New"/>
      <w:kern w:val="0"/>
      <w:sz w:val="20"/>
      <w:szCs w:val="21"/>
    </w:rPr>
  </w:style>
  <w:style w:type="paragraph" w:styleId="13">
    <w:name w:val="Balloon Text"/>
    <w:basedOn w:val="1"/>
    <w:link w:val="36"/>
    <w:qFormat/>
    <w:uiPriority w:val="0"/>
    <w:rPr>
      <w:sz w:val="18"/>
      <w:szCs w:val="18"/>
    </w:rPr>
  </w:style>
  <w:style w:type="paragraph" w:styleId="14">
    <w:name w:val="footer"/>
    <w:basedOn w:val="1"/>
    <w:link w:val="59"/>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List"/>
    <w:basedOn w:val="1"/>
    <w:qFormat/>
    <w:uiPriority w:val="99"/>
    <w:pPr>
      <w:ind w:left="200" w:hanging="200" w:hangingChars="200"/>
      <w:contextualSpacing/>
    </w:pPr>
  </w:style>
  <w:style w:type="paragraph" w:styleId="17">
    <w:name w:val="toc 2"/>
    <w:basedOn w:val="1"/>
    <w:next w:val="1"/>
    <w:unhideWhenUsed/>
    <w:qFormat/>
    <w:uiPriority w:val="39"/>
    <w:pPr>
      <w:ind w:left="210"/>
      <w:jc w:val="left"/>
    </w:pPr>
    <w:rPr>
      <w:smallCaps/>
      <w:sz w:val="20"/>
      <w:szCs w:val="20"/>
    </w:rPr>
  </w:style>
  <w:style w:type="paragraph" w:styleId="18">
    <w:name w:val="Normal (Web)"/>
    <w:basedOn w:val="1"/>
    <w:link w:val="49"/>
    <w:qFormat/>
    <w:uiPriority w:val="0"/>
    <w:pPr>
      <w:widowControl/>
      <w:spacing w:before="100" w:beforeAutospacing="1" w:after="100" w:afterAutospacing="1"/>
      <w:jc w:val="left"/>
    </w:pPr>
    <w:rPr>
      <w:rFonts w:ascii="宋体" w:hAnsi="宋体"/>
      <w:kern w:val="0"/>
      <w:sz w:val="24"/>
    </w:rPr>
  </w:style>
  <w:style w:type="paragraph" w:styleId="19">
    <w:name w:val="annotation subject"/>
    <w:basedOn w:val="6"/>
    <w:next w:val="6"/>
    <w:link w:val="35"/>
    <w:qFormat/>
    <w:uiPriority w:val="0"/>
    <w:rPr>
      <w:b/>
      <w:bCs/>
    </w:rPr>
  </w:style>
  <w:style w:type="paragraph" w:styleId="20">
    <w:name w:val="Body Text First Indent"/>
    <w:basedOn w:val="8"/>
    <w:unhideWhenUsed/>
    <w:qFormat/>
    <w:uiPriority w:val="0"/>
    <w:pPr>
      <w:ind w:firstLine="420" w:firstLineChars="100"/>
    </w:pPr>
  </w:style>
  <w:style w:type="paragraph" w:styleId="21">
    <w:name w:val="Body Text First Indent 2"/>
    <w:basedOn w:val="10"/>
    <w:next w:val="1"/>
    <w:qFormat/>
    <w:uiPriority w:val="0"/>
    <w:pPr>
      <w:spacing w:after="120"/>
      <w:ind w:left="420" w:leftChars="200" w:firstLine="420"/>
    </w:pPr>
    <w:rPr>
      <w:kern w:val="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Default"/>
    <w:link w:val="6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表格"/>
    <w:basedOn w:val="1"/>
    <w:next w:val="1"/>
    <w:link w:val="53"/>
    <w:qFormat/>
    <w:uiPriority w:val="0"/>
    <w:pPr>
      <w:adjustRightInd w:val="0"/>
      <w:snapToGrid w:val="0"/>
      <w:spacing w:beforeLines="10" w:afterLines="10" w:line="259" w:lineRule="auto"/>
      <w:jc w:val="center"/>
    </w:pPr>
    <w:rPr>
      <w:rFonts w:ascii="宋体"/>
      <w:kern w:val="0"/>
      <w:szCs w:val="20"/>
    </w:rPr>
  </w:style>
  <w:style w:type="paragraph" w:customStyle="1" w:styleId="31">
    <w:name w:val="表内容"/>
    <w:basedOn w:val="1"/>
    <w:next w:val="1"/>
    <w:qFormat/>
    <w:uiPriority w:val="0"/>
    <w:pPr>
      <w:spacing w:line="280" w:lineRule="exact"/>
      <w:jc w:val="center"/>
    </w:pPr>
    <w:rPr>
      <w:sz w:val="18"/>
      <w:szCs w:val="20"/>
    </w:rPr>
  </w:style>
  <w:style w:type="paragraph" w:customStyle="1" w:styleId="32">
    <w:name w:val="样式 标题 4标题 4 Char§1.1.1.1§1.1.1.1.H4Char1.1.1.1标题 4.1.1.1...."/>
    <w:basedOn w:val="5"/>
    <w:qFormat/>
    <w:uiPriority w:val="0"/>
    <w:pPr>
      <w:spacing w:before="60" w:after="60" w:line="240" w:lineRule="auto"/>
      <w:ind w:left="864" w:hanging="864"/>
      <w:jc w:val="left"/>
    </w:pPr>
    <w:rPr>
      <w:rFonts w:ascii="宋体" w:hAnsi="宋体" w:cs="宋体"/>
      <w:spacing w:val="8"/>
      <w:sz w:val="24"/>
      <w:szCs w:val="20"/>
    </w:rPr>
  </w:style>
  <w:style w:type="paragraph" w:customStyle="1" w:styleId="33">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34">
    <w:name w:val="批注文字 Char"/>
    <w:basedOn w:val="24"/>
    <w:link w:val="6"/>
    <w:qFormat/>
    <w:uiPriority w:val="0"/>
    <w:rPr>
      <w:kern w:val="2"/>
      <w:sz w:val="21"/>
      <w:szCs w:val="22"/>
    </w:rPr>
  </w:style>
  <w:style w:type="character" w:customStyle="1" w:styleId="35">
    <w:name w:val="批注主题 Char"/>
    <w:basedOn w:val="34"/>
    <w:link w:val="19"/>
    <w:qFormat/>
    <w:uiPriority w:val="0"/>
    <w:rPr>
      <w:b/>
      <w:bCs/>
      <w:kern w:val="2"/>
      <w:sz w:val="21"/>
      <w:szCs w:val="22"/>
    </w:rPr>
  </w:style>
  <w:style w:type="character" w:customStyle="1" w:styleId="36">
    <w:name w:val="批注框文本 Char"/>
    <w:basedOn w:val="24"/>
    <w:link w:val="13"/>
    <w:qFormat/>
    <w:uiPriority w:val="0"/>
    <w:rPr>
      <w:kern w:val="2"/>
      <w:sz w:val="18"/>
      <w:szCs w:val="18"/>
    </w:rPr>
  </w:style>
  <w:style w:type="paragraph" w:customStyle="1" w:styleId="37">
    <w:name w:val="正文内容"/>
    <w:basedOn w:val="1"/>
    <w:qFormat/>
    <w:uiPriority w:val="0"/>
    <w:pPr>
      <w:spacing w:line="360" w:lineRule="auto"/>
      <w:ind w:firstLine="200" w:firstLineChars="200"/>
    </w:pPr>
    <w:rPr>
      <w:sz w:val="24"/>
      <w:szCs w:val="20"/>
    </w:rPr>
  </w:style>
  <w:style w:type="table" w:customStyle="1" w:styleId="3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9">
    <w:name w:val="正文4"/>
    <w:basedOn w:val="1"/>
    <w:qFormat/>
    <w:uiPriority w:val="0"/>
    <w:pPr>
      <w:widowControl/>
      <w:tabs>
        <w:tab w:val="left" w:pos="8640"/>
      </w:tabs>
      <w:autoSpaceDE w:val="0"/>
      <w:autoSpaceDN w:val="0"/>
      <w:ind w:right="6"/>
      <w:jc w:val="center"/>
      <w:textAlignment w:val="bottom"/>
    </w:pPr>
    <w:rPr>
      <w:rFonts w:ascii="宋体"/>
      <w:szCs w:val="24"/>
    </w:rPr>
  </w:style>
  <w:style w:type="paragraph" w:customStyle="1" w:styleId="40">
    <w:name w:val="zgr正文"/>
    <w:basedOn w:val="1"/>
    <w:qFormat/>
    <w:uiPriority w:val="0"/>
    <w:pPr>
      <w:spacing w:beforeLines="50" w:line="360" w:lineRule="auto"/>
      <w:ind w:firstLine="200" w:firstLineChars="200"/>
      <w:jc w:val="left"/>
    </w:pPr>
    <w:rPr>
      <w:sz w:val="24"/>
    </w:rPr>
  </w:style>
  <w:style w:type="paragraph" w:customStyle="1" w:styleId="41">
    <w:name w:val="WS正文"/>
    <w:basedOn w:val="1"/>
    <w:qFormat/>
    <w:uiPriority w:val="0"/>
    <w:pPr>
      <w:spacing w:line="360" w:lineRule="auto"/>
      <w:ind w:firstLine="480" w:firstLineChars="200"/>
    </w:pPr>
    <w:rPr>
      <w:sz w:val="24"/>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51"/>
    <w:basedOn w:val="24"/>
    <w:qFormat/>
    <w:uiPriority w:val="0"/>
    <w:rPr>
      <w:rFonts w:hint="eastAsia" w:ascii="宋体" w:hAnsi="宋体" w:eastAsia="宋体" w:cs="宋体"/>
      <w:color w:val="000000"/>
      <w:sz w:val="20"/>
      <w:szCs w:val="20"/>
      <w:u w:val="none"/>
      <w:vertAlign w:val="superscript"/>
    </w:rPr>
  </w:style>
  <w:style w:type="character" w:customStyle="1" w:styleId="46">
    <w:name w:val="font21"/>
    <w:basedOn w:val="24"/>
    <w:qFormat/>
    <w:uiPriority w:val="0"/>
    <w:rPr>
      <w:rFonts w:hint="eastAsia" w:ascii="宋体" w:hAnsi="宋体" w:eastAsia="宋体" w:cs="宋体"/>
      <w:b/>
      <w:bCs/>
      <w:color w:val="000000"/>
      <w:sz w:val="20"/>
      <w:szCs w:val="20"/>
      <w:u w:val="none"/>
    </w:rPr>
  </w:style>
  <w:style w:type="table" w:customStyle="1" w:styleId="47">
    <w:name w:val="表格式4"/>
    <w:basedOn w:val="22"/>
    <w:qFormat/>
    <w:uiPriority w:val="59"/>
    <w:pPr>
      <w:widowControl w:val="0"/>
      <w:spacing w:before="120" w:after="120" w:line="360" w:lineRule="exact"/>
      <w:ind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
    <w:name w:val="font41"/>
    <w:basedOn w:val="24"/>
    <w:qFormat/>
    <w:uiPriority w:val="0"/>
    <w:rPr>
      <w:rFonts w:hint="eastAsia" w:ascii="宋体" w:hAnsi="宋体" w:eastAsia="宋体" w:cs="宋体"/>
      <w:color w:val="000000"/>
      <w:sz w:val="20"/>
      <w:szCs w:val="20"/>
      <w:u w:val="none"/>
      <w:vertAlign w:val="superscript"/>
    </w:rPr>
  </w:style>
  <w:style w:type="character" w:customStyle="1" w:styleId="49">
    <w:name w:val="普通(网站) Char"/>
    <w:link w:val="18"/>
    <w:qFormat/>
    <w:locked/>
    <w:uiPriority w:val="0"/>
    <w:rPr>
      <w:rFonts w:ascii="宋体" w:hAnsi="宋体"/>
      <w:sz w:val="24"/>
      <w:szCs w:val="22"/>
    </w:rPr>
  </w:style>
  <w:style w:type="character" w:customStyle="1" w:styleId="50">
    <w:name w:val="文本文本文本 Char"/>
    <w:link w:val="51"/>
    <w:qFormat/>
    <w:uiPriority w:val="0"/>
    <w:rPr>
      <w:rFonts w:ascii="宋体" w:hAnsi="宋体"/>
      <w:kern w:val="2"/>
      <w:sz w:val="24"/>
    </w:rPr>
  </w:style>
  <w:style w:type="paragraph" w:customStyle="1" w:styleId="51">
    <w:name w:val="文本文本文本"/>
    <w:basedOn w:val="1"/>
    <w:link w:val="50"/>
    <w:qFormat/>
    <w:uiPriority w:val="0"/>
    <w:pPr>
      <w:spacing w:line="360" w:lineRule="auto"/>
      <w:ind w:firstLine="480" w:firstLineChars="200"/>
    </w:pPr>
    <w:rPr>
      <w:rFonts w:ascii="宋体" w:hAnsi="宋体"/>
      <w:sz w:val="24"/>
      <w:szCs w:val="20"/>
    </w:rPr>
  </w:style>
  <w:style w:type="paragraph" w:customStyle="1" w:styleId="52">
    <w:name w:val="Table Paragraph"/>
    <w:basedOn w:val="1"/>
    <w:qFormat/>
    <w:uiPriority w:val="1"/>
    <w:pPr>
      <w:jc w:val="center"/>
    </w:pPr>
    <w:rPr>
      <w:rFonts w:ascii="宋体" w:hAnsi="宋体" w:cs="宋体"/>
      <w:szCs w:val="24"/>
      <w:lang w:val="zh-CN" w:bidi="zh-CN"/>
    </w:rPr>
  </w:style>
  <w:style w:type="character" w:customStyle="1" w:styleId="53">
    <w:name w:val="表格 Char Char"/>
    <w:link w:val="30"/>
    <w:qFormat/>
    <w:uiPriority w:val="0"/>
    <w:rPr>
      <w:rFonts w:ascii="宋体"/>
      <w:sz w:val="21"/>
    </w:rPr>
  </w:style>
  <w:style w:type="paragraph" w:customStyle="1" w:styleId="54">
    <w:name w:val="表头"/>
    <w:basedOn w:val="16"/>
    <w:next w:val="1"/>
    <w:link w:val="55"/>
    <w:qFormat/>
    <w:uiPriority w:val="0"/>
    <w:pPr>
      <w:numPr>
        <w:ilvl w:val="0"/>
        <w:numId w:val="1"/>
      </w:numPr>
      <w:tabs>
        <w:tab w:val="left" w:pos="0"/>
      </w:tabs>
      <w:adjustRightInd w:val="0"/>
      <w:snapToGrid w:val="0"/>
      <w:ind w:left="0" w:firstLine="0" w:firstLineChars="0"/>
      <w:contextualSpacing w:val="0"/>
      <w:jc w:val="center"/>
    </w:pPr>
    <w:rPr>
      <w:b/>
      <w:bCs/>
      <w:sz w:val="24"/>
      <w:szCs w:val="24"/>
    </w:rPr>
  </w:style>
  <w:style w:type="character" w:customStyle="1" w:styleId="55">
    <w:name w:val="表头 Char"/>
    <w:link w:val="54"/>
    <w:qFormat/>
    <w:uiPriority w:val="0"/>
    <w:rPr>
      <w:b/>
      <w:bCs/>
      <w:kern w:val="2"/>
      <w:sz w:val="24"/>
      <w:szCs w:val="24"/>
    </w:rPr>
  </w:style>
  <w:style w:type="paragraph" w:customStyle="1" w:styleId="56">
    <w:name w:val="表内标题"/>
    <w:basedOn w:val="1"/>
    <w:qFormat/>
    <w:uiPriority w:val="0"/>
    <w:pPr>
      <w:adjustRightInd w:val="0"/>
      <w:snapToGrid w:val="0"/>
      <w:spacing w:line="360" w:lineRule="auto"/>
      <w:ind w:firstLine="1440" w:firstLineChars="200"/>
    </w:pPr>
    <w:rPr>
      <w:b/>
      <w:sz w:val="24"/>
      <w:szCs w:val="24"/>
    </w:rPr>
  </w:style>
  <w:style w:type="table" w:customStyle="1" w:styleId="57">
    <w:name w:val="样式1"/>
    <w:basedOn w:val="22"/>
    <w:qFormat/>
    <w:uiPriority w:val="99"/>
    <w:rPr>
      <w:rFonts w:eastAsiaTheme="minorEastAsia"/>
      <w:sz w:val="21"/>
    </w:rPr>
    <w:tblPr>
      <w:tblBorders>
        <w:top w:val="single" w:color="auto" w:sz="12" w:space="0"/>
        <w:bottom w:val="single" w:color="auto" w:sz="12" w:space="0"/>
        <w:insideH w:val="single" w:color="auto" w:sz="8" w:space="0"/>
        <w:insideV w:val="single" w:color="auto" w:sz="8" w:space="0"/>
      </w:tblBorders>
      <w:tblCellMar>
        <w:top w:w="0" w:type="dxa"/>
        <w:left w:w="108" w:type="dxa"/>
        <w:bottom w:w="0" w:type="dxa"/>
        <w:right w:w="108" w:type="dxa"/>
      </w:tblCellMar>
    </w:tblPr>
  </w:style>
  <w:style w:type="paragraph" w:customStyle="1" w:styleId="58">
    <w:name w:val="Table Text"/>
    <w:basedOn w:val="1"/>
    <w:qFormat/>
    <w:uiPriority w:val="0"/>
    <w:pPr>
      <w:ind w:firstLine="680" w:firstLineChars="200"/>
    </w:pPr>
    <w:rPr>
      <w:rFonts w:ascii="宋体" w:hAnsi="宋体" w:cs="宋体"/>
      <w:szCs w:val="21"/>
      <w:lang w:eastAsia="en-US"/>
    </w:rPr>
  </w:style>
  <w:style w:type="character" w:customStyle="1" w:styleId="59">
    <w:name w:val="页脚 Char"/>
    <w:basedOn w:val="24"/>
    <w:link w:val="14"/>
    <w:qFormat/>
    <w:uiPriority w:val="0"/>
    <w:rPr>
      <w:kern w:val="2"/>
      <w:sz w:val="18"/>
      <w:szCs w:val="18"/>
    </w:rPr>
  </w:style>
  <w:style w:type="paragraph" w:customStyle="1" w:styleId="60">
    <w:name w:val="表格后"/>
    <w:basedOn w:val="1"/>
    <w:qFormat/>
    <w:uiPriority w:val="0"/>
    <w:pPr>
      <w:adjustRightInd w:val="0"/>
      <w:snapToGrid w:val="0"/>
      <w:ind w:firstLine="482" w:firstLineChars="200"/>
    </w:pPr>
    <w:rPr>
      <w:b/>
      <w:snapToGrid w:val="0"/>
      <w:kern w:val="0"/>
      <w:sz w:val="18"/>
      <w:szCs w:val="28"/>
    </w:rPr>
  </w:style>
  <w:style w:type="paragraph" w:customStyle="1" w:styleId="61">
    <w:name w:val="表格-文字（小米）"/>
    <w:basedOn w:val="1"/>
    <w:next w:val="1"/>
    <w:qFormat/>
    <w:uiPriority w:val="0"/>
    <w:pPr>
      <w:adjustRightInd w:val="0"/>
      <w:snapToGrid w:val="0"/>
      <w:jc w:val="center"/>
    </w:pPr>
    <w:rPr>
      <w:szCs w:val="20"/>
    </w:rPr>
  </w:style>
  <w:style w:type="character" w:customStyle="1" w:styleId="62">
    <w:name w:val="a正文 Char"/>
    <w:link w:val="63"/>
    <w:qFormat/>
    <w:uiPriority w:val="0"/>
    <w:rPr>
      <w:rFonts w:eastAsia="仿宋_GB2312"/>
      <w:sz w:val="24"/>
      <w:szCs w:val="24"/>
    </w:rPr>
  </w:style>
  <w:style w:type="paragraph" w:customStyle="1" w:styleId="63">
    <w:name w:val="a正文"/>
    <w:basedOn w:val="1"/>
    <w:link w:val="62"/>
    <w:qFormat/>
    <w:uiPriority w:val="0"/>
    <w:pPr>
      <w:spacing w:line="520" w:lineRule="exact"/>
      <w:ind w:firstLine="200" w:firstLineChars="200"/>
    </w:pPr>
    <w:rPr>
      <w:rFonts w:eastAsia="仿宋_GB2312"/>
      <w:kern w:val="0"/>
      <w:sz w:val="24"/>
      <w:szCs w:val="24"/>
    </w:rPr>
  </w:style>
  <w:style w:type="character" w:customStyle="1" w:styleId="64">
    <w:name w:val="Default Char"/>
    <w:link w:val="29"/>
    <w:qFormat/>
    <w:uiPriority w:val="0"/>
    <w:rPr>
      <w:rFonts w:ascii="宋体" w:hAnsi="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e692f239-4311-433d-b977-5bc4a01093bd</errorID>
      <errorWord>二O二六</errorWord>
      <group>L1_Knowledge</group>
      <groupName>知识性问题</groupName>
      <ability>L2_Knowledge</ability>
      <abilityName>其他知识</abilityName>
      <candidateList>
        <item>二〇二六</item>
      </candidateList>
      <explain/>
      <paraID>1A7CA1B5</paraID>
      <start>6</start>
      <end>10</end>
      <status>unmodified</status>
      <modifiedWord/>
      <trackRevisions>false</trackRevisions>
    </reviewItem>
    <reviewItem>
      <errorID>9b49d16f-92cc-4b3c-86d8-9e7092b63d57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2D4DC57D</paraID>
      <start>109</start>
      <end>110</end>
      <status>unmodified</status>
      <modifiedWord/>
      <trackRevisions>false</trackRevisions>
    </reviewItem>
    <reviewItem>
      <errorID>77a61e3d-3406-4bdf-bb16-888a7d5e58ed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6BA78D90</paraID>
      <start>27</start>
      <end>28</end>
      <status>unmodified</status>
      <modifiedWord/>
      <trackRevisions>false</trackRevisions>
    </reviewItem>
    <reviewItem>
      <errorID>8db7c4a2-94a0-4699-8c59-87dfd09f3151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24760322</paraID>
      <start>35</start>
      <end>36</end>
      <status>unmodified</status>
      <modifiedWord/>
      <trackRevisions>false</trackRevisions>
    </reviewItem>
    <reviewItem>
      <errorID>3bb2df32-9856-48a7-8046-2cb2a4dcda32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1A975768</paraID>
      <start>43</start>
      <end>44</end>
      <status>unmodified</status>
      <modifiedWord/>
      <trackRevisions>false</trackRevisions>
    </reviewItem>
    <reviewItem>
      <errorID>308eeeab-3525-400f-a4f3-fe5bc6a0a7a8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297832CF</paraID>
      <start>0</start>
      <end>2</end>
      <status>unmodified</status>
      <modifiedWord/>
      <trackRevisions>false</trackRevisions>
    </reviewItem>
    <reviewItem>
      <errorID>31e352fb-3602-4772-ac36-b8aaa276a534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26D7DD77</paraID>
      <start>24</start>
      <end>25</end>
      <status>unmodified</status>
      <modifiedWord/>
      <trackRevisions>false</trackRevisions>
    </reviewItem>
    <reviewItem>
      <errorID>501452c2-5913-435e-b312-51748b11d31d</errorID>
      <errorWord>:</errorWord>
      <group>L1_Format</group>
      <groupName>格式问题</groupName>
      <ability>L2_HalfPunc</ability>
      <abilityName>全半角检查</abilityName>
      <candidateList>
        <item>：</item>
      </candidateList>
      <explain>文本全半角错误。</explain>
      <paraID>26D7DD77</paraID>
      <start>120</start>
      <end>121</end>
      <status>unmodified</status>
      <modifiedWord/>
      <trackRevisions>false</trackRevisions>
    </reviewItem>
    <reviewItem>
      <errorID>4fac2f38-717f-4e56-a665-cd271115ca22</errorID>
      <errorWord>方行为</errorWord>
      <group>L1_Word</group>
      <groupName>字词问题</groupName>
      <ability>L2_Typo</ability>
      <abilityName>字词错误</abilityName>
      <candidateList>
        <item>方向为</item>
      </candidateList>
      <explain/>
      <paraID>26D7DD77</paraID>
      <start>154</start>
      <end>157</end>
      <status>unmodified</status>
      <modifiedWord/>
      <trackRevisions>false</trackRevisions>
    </reviewItem>
    <reviewItem>
      <errorID>e4fbc778-a09e-499e-af2c-ed84a4838df0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1FA8873E</paraID>
      <start>72</start>
      <end>75</end>
      <status>unmodified</status>
      <modifiedWord/>
      <trackRevisions>false</trackRevisions>
    </reviewItem>
    <reviewItem>
      <errorID>ef720528-9231-4c8c-88d3-cfb4e732fefc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64D384A1</paraID>
      <start>0</start>
      <end>2</end>
      <status>unmodified</status>
      <modifiedWord/>
      <trackRevisions>false</trackRevisions>
    </reviewItem>
    <reviewItem>
      <errorID>419ea2fb-0c99-4885-bd46-1d4aa0799dfb</errorID>
      <errorWord>矿产资源法</errorWord>
      <group>L1_Knowledge</group>
      <groupName>知识性问题</groupName>
      <ability>L2_Knowledge</ability>
      <abilityName>其他知识</abilityName>
      <candidateList>
        <item>中华人民共和国矿产资源法</item>
      </candidateList>
      <explain>当前法律法规名称使用简称，请注意是否应当使用全称。</explain>
      <paraID>48647C1D</paraID>
      <start>22</start>
      <end>27</end>
      <status>unmodified</status>
      <modifiedWord/>
      <trackRevisions>false</trackRevisions>
    </reviewItem>
    <reviewItem>
      <errorID>e91f13a6-e36a-4fea-a339-1926f326a507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3BE207CD</paraID>
      <start>0</start>
      <end>2</end>
      <status>unmodified</status>
      <modifiedWord/>
      <trackRevisions>false</trackRevisions>
    </reviewItem>
    <reviewItem>
      <errorID>c81090a8-5f86-4dea-99be-54a4ed198c08</errorID>
      <errorWord>即</errorWord>
      <group>L1_Word</group>
      <groupName>字词问题</groupName>
      <ability>L2_Typo</ability>
      <abilityName>字词错误</abilityName>
      <candidateList>
        <item>及</item>
      </candidateList>
      <explain/>
      <paraID>43E813E4</paraID>
      <start>31</start>
      <end>32</end>
      <status>unmodified</status>
      <modifiedWord/>
      <trackRevisions>false</trackRevisions>
    </reviewItem>
    <reviewItem>
      <errorID>333dd1b5-6bb5-49e2-bf3c-b6658637dfa3</errorID>
      <errorWord> </errorWord>
      <group>L1_Punc</group>
      <groupName>标点问题</groupName>
      <ability>L2_Punc</ability>
      <abilityName>标点符号检查</abilityName>
      <candidateList>
        <item/>
      </candidateList>
      <explain>此处空格冗余，建议删除。</explain>
      <paraID>62751118</paraID>
      <start>26</start>
      <end>27</end>
      <status>unmodified</status>
      <modifiedWord/>
      <trackRevisions>false</trackRevisions>
    </reviewItem>
    <reviewItem>
      <errorID>eb5ceb80-4e42-47b4-b738-4f3be6bc3df6</errorID>
      <errorWord> </errorWord>
      <group>L1_Punc</group>
      <groupName>标点问题</groupName>
      <ability>L2_Punc</ability>
      <abilityName>标点符号检查</abilityName>
      <candidateList>
        <item/>
      </candidateList>
      <explain>此处空格冗余，建议删除。</explain>
      <paraID>62751118</paraID>
      <start>95</start>
      <end>96</end>
      <status>unmodified</status>
      <modifiedWord/>
      <trackRevisions>false</trackRevisions>
    </reviewItem>
    <reviewItem>
      <errorID>0ae02eb4-2335-48f6-b288-22922f948c67</errorID>
      <errorWord> </errorWord>
      <group>L1_Punc</group>
      <groupName>标点问题</groupName>
      <ability>L2_Punc</ability>
      <abilityName>标点符号检查</abilityName>
      <candidateList>
        <item/>
      </candidateList>
      <explain>此处空格冗余，建议删除。</explain>
      <paraID>62751118</paraID>
      <start>97</start>
      <end>98</end>
      <status>unmodified</status>
      <modifiedWord/>
      <trackRevisions>false</trackRevisions>
    </reviewItem>
    <reviewItem>
      <errorID>605611c4-f9ae-41f0-a5b0-644bf42c8521</errorID>
      <errorWord> </errorWord>
      <group>L1_Punc</group>
      <groupName>标点问题</groupName>
      <ability>L2_Punc</ability>
      <abilityName>标点符号检查</abilityName>
      <candidateList>
        <item/>
      </candidateList>
      <explain>此处空格冗余，建议删除。</explain>
      <paraID>62751118</paraID>
      <start>190</start>
      <end>191</end>
      <status>unmodified</status>
      <modifiedWord/>
      <trackRevisions>false</trackRevisions>
    </reviewItem>
    <reviewItem>
      <errorID>7d72feeb-3326-4b05-b24c-c09604e97a13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25EFA88A</paraID>
      <start>0</start>
      <end>2</end>
      <status>unmodified</status>
      <modifiedWord/>
      <trackRevisions>false</trackRevisions>
    </reviewItem>
    <reviewItem>
      <errorID>46328a7c-ec04-49dd-939c-e67f2f97cadf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13267DF9</paraID>
      <start>0</start>
      <end>2</end>
      <status>unmodified</status>
      <modifiedWord/>
      <trackRevisions>false</trackRevisions>
    </reviewItem>
    <reviewItem>
      <errorID>bff45b54-c8f1-4d31-aa49-635be3220ee0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48419F57</paraID>
      <start>0</start>
      <end>2</end>
      <status>unmodified</status>
      <modifiedWord/>
      <trackRevisions>false</trackRevisions>
    </reviewItem>
    <reviewItem>
      <errorID>050b6533-f40a-497d-aefd-6b0255eaefb5</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7A0E3489</paraID>
      <start>2</start>
      <end>22</end>
      <status>unmodified</status>
      <modifiedWord/>
      <trackRevisions>false</trackRevisions>
    </reviewItem>
    <reviewItem>
      <errorID>057403bb-48e3-4f1a-84f6-44fbbdeee44d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5B530B90</paraID>
      <start>0</start>
      <end>2</end>
      <status>unmodified</status>
      <modifiedWord/>
      <trackRevisions>false</trackRevisions>
    </reviewItem>
    <reviewItem>
      <errorID>b07d5541-5055-43ed-be08-f39d18d70ca1</errorID>
      <errorWord>关于</errorWord>
      <group>L1_Punc</group>
      <groupName>标点问题</groupName>
      <ability>L2_Punc</ability>
      <abilityName>标点符号检查</abilityName>
      <candidateList>
        <item>《关于</item>
      </candidateList>
      <explain/>
      <paraID> 7A4704B</paraID>
      <start>2</start>
      <end>4</end>
      <status>unmodified</status>
      <modifiedWord/>
      <trackRevisions>false</trackRevisions>
    </reviewItem>
    <reviewItem>
      <errorID>8f05b905-f6d2-4bea-bbe4-79c7dc9c7626</errorID>
      <errorWord>《</errorWord>
      <group>L1_Punc</group>
      <groupName>标点问题</groupName>
      <ability>L2_Punc</ability>
      <abilityName>标点符号检查</abilityName>
      <candidateList>
        <item>〈</item>
      </candidateList>
      <explain/>
      <paraID> 7A4704B</paraID>
      <start>6</start>
      <end>7</end>
      <status>unmodified</status>
      <modifiedWord/>
      <trackRevisions>false</trackRevisions>
    </reviewItem>
    <reviewItem>
      <errorID>531b7da3-fc4c-4e7f-b715-0ee603224343</errorID>
      <errorWord>》</errorWord>
      <group>L1_Punc</group>
      <groupName>标点问题</groupName>
      <ability>L2_Punc</ability>
      <abilityName>标点符号检查</abilityName>
      <candidateList>
        <item>〉</item>
      </candidateList>
      <explain/>
      <paraID> 7A4704B</paraID>
      <start>18</start>
      <end>19</end>
      <status>unmodified</status>
      <modifiedWord/>
      <trackRevisions>false</trackRevisions>
    </reviewItem>
    <reviewItem>
      <errorID>c615b6a3-0d32-401f-9913-e22d82c20feb</errorID>
      <errorWord>（</errorWord>
      <group>L1_Punc</group>
      <groupName>标点问题</groupName>
      <ability>L2_Punc</ability>
      <abilityName>标点符号检查</abilityName>
      <candidateList>
        <item>》（</item>
      </candidateList>
      <explain/>
      <paraID> 7A4704B</paraID>
      <start>21</start>
      <end>22</end>
      <status>unmodified</status>
      <modifiedWord/>
      <trackRevisions>false</trackRevisions>
    </reviewItem>
    <reviewItem>
      <errorID>f88710d9-795b-4225-89c2-c9da234578f6</errorID>
      <errorWord>【2024】158号</errorWord>
      <group>L1_Knowledge</group>
      <groupName>知识性问题</groupName>
      <ability>L2_Knowledge</ability>
      <abilityName>其他知识</abilityName>
      <candidateList>
        <item>〔2024〕158号</item>
      </candidateList>
      <explain>发文字号格式错误。</explain>
      <paraID> 7A4704B</paraID>
      <start>25</start>
      <end>35</end>
      <status>unmodified</status>
      <modifiedWord/>
      <trackRevisions>false</trackRevisions>
    </reviewItem>
    <reviewItem>
      <errorID>5e020d95-36d3-4d5d-9353-c33fe1ec3286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3902F19C</paraID>
      <start>0</start>
      <end>2</end>
      <status>unmodified</status>
      <modifiedWord/>
      <trackRevisions>false</trackRevisions>
    </reviewItem>
    <reviewItem>
      <errorID>ff0537bc-4faa-402e-95c7-3c35b72d1cc6</errorID>
      <errorWord>:</errorWord>
      <group>L1_Word</group>
      <groupName>字词问题</groupName>
      <ability>L2_Typo</ability>
      <abilityName>字词错误</abilityName>
      <candidateList>
        <item>：以</item>
      </candidateList>
      <explain/>
      <paraID>3DDFB39F</paraID>
      <start>57</start>
      <end>58</end>
      <status>unmodified</status>
      <modifiedWord/>
      <trackRevisions>false</trackRevisions>
    </reviewItem>
    <reviewItem>
      <errorID>5755924d-6f4b-4bca-98b0-b5ed3d040d9c</errorID>
      <errorWord>兼具</errorWord>
      <group>L1_Punc</group>
      <groupName>标点问题</groupName>
      <ability>L2_Punc</ability>
      <abilityName>标点符号检查</abilityName>
      <candidateList>
        <item>，兼具</item>
      </candidateList>
      <explain/>
      <paraID>3DDFB39F</paraID>
      <start>64</start>
      <end>66</end>
      <status>unmodified</status>
      <modifiedWord/>
      <trackRevisions>false</trackRevisions>
    </reviewItem>
    <reviewItem>
      <errorID>6bd396f3-3864-4849-af17-0528b0b53fbd</errorID>
      <errorWord>、</errorWord>
      <group>L1_Punc</group>
      <groupName>标点问题</groupName>
      <ability>L2_Punc</ability>
      <abilityName>标点符号检查</abilityName>
      <candidateList>
        <item>，</item>
      </candidateList>
      <explain/>
      <paraID>3DDFB39F</paraID>
      <start>81</start>
      <end>82</end>
      <status>unmodified</status>
      <modifiedWord/>
      <trackRevisions>false</trackRevisions>
    </reviewItem>
    <reviewItem>
      <errorID>c7953aae-afa0-4d38-b01b-12b72750c428</errorID>
      <errorWord>、</errorWord>
      <group>L1_Punc</group>
      <groupName>标点问题</groupName>
      <ability>L2_Punc</ability>
      <abilityName>标点符号检查</abilityName>
      <candidateList>
        <item>，</item>
      </candidateList>
      <explain/>
      <paraID>3DDFB39F</paraID>
      <start>92</start>
      <end>93</end>
      <status>unmodified</status>
      <modifiedWord/>
      <trackRevisions>false</trackRevisions>
    </reviewItem>
    <reviewItem>
      <errorID>8cd1597c-82c8-4b66-820d-ece8f0d68e18</errorID>
      <errorWord>、</errorWord>
      <group>L1_Punc</group>
      <groupName>标点问题</groupName>
      <ability>L2_Punc</ability>
      <abilityName>标点符号检查</abilityName>
      <candidateList>
        <item>，</item>
      </candidateList>
      <explain/>
      <paraID>3DDFB39F</paraID>
      <start>113</start>
      <end>114</end>
      <status>unmodified</status>
      <modifiedWord/>
      <trackRevisions>false</trackRevisions>
    </reviewItem>
    <reviewItem>
      <errorID>1ac7d5dc-1af5-42e7-a49b-a78e3d222485</errorID>
      <errorWord>、废矿石，</errorWord>
      <group>L1_Word</group>
      <groupName>字词问题</groupName>
      <ability>L2_Typo</ability>
      <abilityName>字词错误</abilityName>
      <candidateList>
        <item>，废矿石、</item>
      </candidateList>
      <explain/>
      <paraID>3DDFB39F</paraID>
      <start>147</start>
      <end>152</end>
      <status>unmodified</status>
      <modifiedWord/>
      <trackRevisions>false</trackRevisions>
    </reviewItem>
    <reviewItem>
      <errorID>2290b0c6-33cf-4b33-aaef-9cdc24b8d53c</errorID>
      <errorWord>、</errorWord>
      <group>L1_Punc</group>
      <groupName>标点问题</groupName>
      <ability>L2_Punc</ability>
      <abilityName>标点符号检查</abilityName>
      <candidateList>
        <item>，</item>
      </candidateList>
      <explain/>
      <paraID>3DDFB39F</paraID>
      <start>165</start>
      <end>166</end>
      <status>unmodified</status>
      <modifiedWord/>
      <trackRevisions>false</trackRevisions>
    </reviewItem>
    <reviewItem>
      <errorID>f001acfe-ecd9-4cc9-837d-500965be2fa0</errorID>
      <errorWord>属</errorWord>
      <group>L1_Word</group>
      <groupName>字词问题</groupName>
      <ability>L2_Typo</ability>
      <abilityName>字词错误</abilityName>
      <candidateList>
        <item>属于</item>
      </candidateList>
      <explain/>
      <paraID>3DDFB39F</paraID>
      <start>188</start>
      <end>189</end>
      <status>unmodified</status>
      <modifiedWord/>
      <trackRevisions>false</trackRevisions>
    </reviewItem>
    <reviewItem>
      <errorID>f65f0e67-540f-462d-8d47-2d115ef3d0d3</errorID>
      <errorWord>，</errorWord>
      <group>L1_Punc</group>
      <groupName>标点问题</groupName>
      <ability>L2_Punc</ability>
      <abilityName>标点符号检查</abilityName>
      <candidateList>
        <item>：</item>
      </candidateList>
      <explain/>
      <paraID> 2F652C5</paraID>
      <start>12</start>
      <end>13</end>
      <status>unmodified</status>
      <modifiedWord/>
      <trackRevisions>false</trackRevisions>
    </reviewItem>
    <reviewItem>
      <errorID>b6f3884a-b942-417b-94aa-c77d47079d22</errorID>
      <errorWord>、</errorWord>
      <group>L1_Punc</group>
      <groupName>标点问题</groupName>
      <ability>L2_Punc</ability>
      <abilityName>标点符号检查</abilityName>
      <candidateList>
        <item>. </item>
      </candidateList>
      <explain/>
      <paraID> 2F652C5</paraID>
      <start>14</start>
      <end>15</end>
      <status>unmodified</status>
      <modifiedWord/>
      <trackRevisions>false</trackRevisions>
    </reviewItem>
    <reviewItem>
      <errorID>4f8c4bbe-6f49-4551-93b6-26621e779e49</errorID>
      <errorWord>(无)</errorWord>
      <group>L1_Punc</group>
      <groupName>标点问题</groupName>
      <ability>L2_Punc</ability>
      <abilityName>标点符号检查</abilityName>
      <candidateList>
        <item>（无）</item>
      </candidateList>
      <explain/>
      <paraID> 2F652C5</paraID>
      <start>48</start>
      <end>51</end>
      <status>unmodified</status>
      <modifiedWord/>
      <trackRevisions>false</trackRevisions>
    </reviewItem>
    <reviewItem>
      <errorID>ee700894-1b1a-4383-a3a7-3690a1d3faf0</errorID>
      <errorWord>描施</errorWord>
      <group>L1_Word</group>
      <groupName>字词问题</groupName>
      <ability>L2_Typo</ability>
      <abilityName>字词错误</abilityName>
      <candidateList>
        <item>措施</item>
      </candidateList>
      <explain>存在字形相近字词的误用。</explain>
      <paraID> 2F652C5</paraID>
      <start>74</start>
      <end>76</end>
      <status>unmodified</status>
      <modifiedWord/>
      <trackRevisions>false</trackRevisions>
    </reviewItem>
    <reviewItem>
      <errorID>8fc3fbf7-24f9-4121-ab18-968175993507</errorID>
      <errorWord>、</errorWord>
      <group>L1_Punc</group>
      <groupName>标点问题</groupName>
      <ability>L2_Punc</ability>
      <abilityName>标点符号检查</abilityName>
      <candidateList>
        <item>. </item>
      </candidateList>
      <explain/>
      <paraID> 2F652C5</paraID>
      <start>93</start>
      <end>94</end>
      <status>unmodified</status>
      <modifiedWord/>
      <trackRevisions>false</trackRevisions>
    </reviewItem>
    <reviewItem>
      <errorID>f636218a-3505-4029-8b9c-15570380dfcf</errorID>
      <errorWord>、</errorWord>
      <group>L1_Punc</group>
      <groupName>标点问题</groupName>
      <ability>L2_Punc</ability>
      <abilityName>标点符号检查</abilityName>
      <candidateList>
        <item>. </item>
      </candidateList>
      <explain/>
      <paraID> 2F652C5</paraID>
      <start>120</start>
      <end>121</end>
      <status>unmodified</status>
      <modifiedWord/>
      <trackRevisions>false</trackRevisions>
    </reviewItem>
    <reviewItem>
      <errorID>4604778e-0f19-466c-a9b8-c09175778247</errorID>
      <errorWord>，</errorWord>
      <group>L1_Punc</group>
      <groupName>标点问题</groupName>
      <ability>L2_Punc</ability>
      <abilityName>标点符号检查</abilityName>
      <candidateList>
        <item>、</item>
      </candidateList>
      <explain/>
      <paraID> 2F652C5</paraID>
      <start>154</start>
      <end>155</end>
      <status>unmodified</status>
      <modifiedWord/>
      <trackRevisions>false</trackRevisions>
    </reviewItem>
    <reviewItem>
      <errorID>4dfb049e-a6dd-4f6c-a1df-ba2f95826a79</errorID>
      <errorWord>、</errorWord>
      <group>L1_Punc</group>
      <groupName>标点问题</groupName>
      <ability>L2_Punc</ability>
      <abilityName>标点符号检查</abilityName>
      <candidateList>
        <item>. </item>
      </candidateList>
      <explain/>
      <paraID> 2F652C5</paraID>
      <start>215</start>
      <end>216</end>
      <status>unmodified</status>
      <modifiedWord/>
      <trackRevisions>false</trackRevisions>
    </reviewItem>
    <reviewItem>
      <errorID>06faf412-988e-4ad4-ab50-600b8cd001db</errorID>
      <errorWord>(</errorWord>
      <group>L1_Format</group>
      <groupName>格式问题</groupName>
      <ability>L2_HalfPunc</ability>
      <abilityName>全半角检查</abilityName>
      <candidateList>
        <item>（</item>
      </candidateList>
      <explain>文本全半角错误。</explain>
      <paraID>41AC83E9</paraID>
      <start>89</start>
      <end>90</end>
      <status>unmodified</status>
      <modifiedWord/>
      <trackRevisions>false</trackRevisions>
    </reviewItem>
    <reviewItem>
      <errorID>9dae9006-4607-4442-a1f1-c4377d897734</errorID>
      <errorWord>)</errorWord>
      <group>L1_Format</group>
      <groupName>格式问题</groupName>
      <ability>L2_HalfPunc</ability>
      <abilityName>全半角检查</abilityName>
      <candidateList>
        <item>）</item>
      </candidateList>
      <explain>文本全半角错误。</explain>
      <paraID>41AC83E9</paraID>
      <start>98</start>
      <end>99</end>
      <status>unmodified</status>
      <modifiedWord/>
      <trackRevisions>false</trackRevisions>
    </reviewItem>
    <reviewItem>
      <errorID>e098bab7-c673-4896-b4f9-882c065d9685</errorID>
      <errorWord>(</errorWord>
      <group>L1_Format</group>
      <groupName>格式问题</groupName>
      <ability>L2_HalfPunc</ability>
      <abilityName>全半角检查</abilityName>
      <candidateList>
        <item>（</item>
      </candidateList>
      <explain>文本全半角错误。</explain>
      <paraID>41AC83E9</paraID>
      <start>127</start>
      <end>128</end>
      <status>unmodified</status>
      <modifiedWord/>
      <trackRevisions>false</trackRevisions>
    </reviewItem>
    <reviewItem>
      <errorID>1396fe66-501d-415e-b9fa-715c491b0824</errorID>
      <errorWord>)</errorWord>
      <group>L1_Format</group>
      <groupName>格式问题</groupName>
      <ability>L2_HalfPunc</ability>
      <abilityName>全半角检查</abilityName>
      <candidateList>
        <item>）</item>
      </candidateList>
      <explain>文本全半角错误。</explain>
      <paraID>41AC83E9</paraID>
      <start>136</start>
      <end>137</end>
      <status>unmodified</status>
      <modifiedWord/>
      <trackRevisions>false</trackRevisions>
    </reviewItem>
    <reviewItem>
      <errorID>dcb9404e-287f-4713-9fe5-ebc72c651c0c</errorID>
      <errorWord>(</errorWord>
      <group>L1_Format</group>
      <groupName>格式问题</groupName>
      <ability>L2_HalfPunc</ability>
      <abilityName>全半角检查</abilityName>
      <candidateList>
        <item>（</item>
      </candidateList>
      <explain>文本全半角错误。</explain>
      <paraID>41AC83E9</paraID>
      <start>177</start>
      <end>178</end>
      <status>unmodified</status>
      <modifiedWord/>
      <trackRevisions>false</trackRevisions>
    </reviewItem>
    <reviewItem>
      <errorID>c8f764de-8f1c-44dc-84cc-c2711730cae7</errorID>
      <errorWord>)</errorWord>
      <group>L1_Format</group>
      <groupName>格式问题</groupName>
      <ability>L2_HalfPunc</ability>
      <abilityName>全半角检查</abilityName>
      <candidateList>
        <item>）</item>
      </candidateList>
      <explain>文本全半角错误。</explain>
      <paraID>41AC83E9</paraID>
      <start>179</start>
      <end>180</end>
      <status>unmodified</status>
      <modifiedWord/>
      <trackRevisions>false</trackRevisions>
    </reviewItem>
    <reviewItem>
      <errorID>e61e4893-63ed-43e4-bb67-35e50362462b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36519DA2</paraID>
      <start>0</start>
      <end>2</end>
      <status>unmodified</status>
      <modifiedWord/>
      <trackRevisions>false</trackRevisions>
    </reviewItem>
    <reviewItem>
      <errorID>b5c60889-89f6-4f82-8685-80ac8dec8247</errorID>
      <errorWord>日录</errorWord>
      <group>L1_Word</group>
      <groupName>字词问题</groupName>
      <ability>L2_Typo</ability>
      <abilityName>字词错误</abilityName>
      <candidateList>
        <item>目录</item>
      </candidateList>
      <explain/>
      <paraID>6E4A9EB8</paraID>
      <start>14</start>
      <end>16</end>
      <status>unmodified</status>
      <modifiedWord/>
      <trackRevisions>false</trackRevisions>
    </reviewItem>
    <reviewItem>
      <errorID>1aec7451-0dbe-4eb1-baf0-713c5dc3d0c0</errorID>
      <errorWord>高能耗</errorWord>
      <group>L1_Grammar</group>
      <groupName>语法问题</groupName>
      <ability>L2_Grammar</ability>
      <abilityName>语法错误</abilityName>
      <candidateList>
        <item>限制高能耗</item>
      </candidateList>
      <explain/>
      <paraID>36A34B06</paraID>
      <start>52</start>
      <end>55</end>
      <status>unmodified</status>
      <modifiedWord/>
      <trackRevisions>false</trackRevisions>
    </reviewItem>
    <reviewItem>
      <errorID>5df8ff96-b515-4db7-9382-37a924aa24b6</errorID>
      <errorWord>不</errorWord>
      <group>L1_Word</group>
      <groupName>字词问题</groupName>
      <ability>L2_Typo</ability>
      <abilityName>字词错误</abilityName>
      <candidateList>
        <item>也不</item>
      </candidateList>
      <explain/>
      <paraID>3171ACF3</paraID>
      <start>44</start>
      <end>45</end>
      <status>unmodified</status>
      <modifiedWord/>
      <trackRevisions>false</trackRevisions>
    </reviewItem>
    <reviewItem>
      <errorID>015192dc-678b-49f6-8e5b-2daf4aec1015</errorID>
      <errorWord>建设项目</errorWord>
      <group>L1_Word</group>
      <groupName>字词问题</groupName>
      <ability>L2_Typo</ability>
      <abilityName>字词错误</abilityName>
      <candidateList>
        <item>的建设项目</item>
      </candidateList>
      <explain/>
      <paraID>3171ACF3</paraID>
      <start>67</start>
      <end>71</end>
      <status>unmodified</status>
      <modifiedWord/>
      <trackRevisions>false</trackRevisions>
    </reviewItem>
    <reviewItem>
      <errorID>6bef5270-0326-4129-88e8-88e0795b23aa</errorID>
      <errorWord>行业</errorWord>
      <group>L1_Grammar</group>
      <groupName>语法问题</groupName>
      <ability>L2_Grammar</ability>
      <abilityName>语法错误</abilityName>
      <candidateList>
        <item>所属行业</item>
      </candidateList>
      <explain/>
      <paraID>523DD443</paraID>
      <start>2</start>
      <end>4</end>
      <status>unmodified</status>
      <modifiedWord/>
      <trackRevisions>false</trackRevisions>
    </reviewItem>
    <reviewItem>
      <errorID>50aca953-ad19-452f-92ac-0f654d2ac9b5</errorID>
      <errorWord>，</errorWord>
      <group>L1_Word</group>
      <groupName>字词问题</groupName>
      <ability>L2_Typo</ability>
      <abilityName>字词错误</abilityName>
      <candidateList>
        <item>，对</item>
      </candidateList>
      <explain/>
      <paraID>7DE46B47</paraID>
      <start>20</start>
      <end>21</end>
      <status>unmodified</status>
      <modifiedWord/>
      <trackRevisions>false</trackRevisions>
    </reviewItem>
    <reviewItem>
      <errorID>18de10e9-a868-496f-b450-01162a743d2a</errorID>
      <errorWord>建址</errorWord>
      <group>L1_Word</group>
      <groupName>字词问题</groupName>
      <ability>L2_Typo</ability>
      <abilityName>字词错误</abilityName>
      <candidateList>
        <item>选址</item>
      </candidateList>
      <explain/>
      <paraID>7C82203D</paraID>
      <start>3</start>
      <end>5</end>
      <status>unmodified</status>
      <modifiedWord/>
      <trackRevisions>false</trackRevisions>
    </reviewItem>
    <reviewItem>
      <errorID>6619855f-e052-46f1-aa2e-2238fd64a2bd</errorID>
      <errorWord>位于</errorWord>
      <group>L1_Word</group>
      <groupName>字词问题</groupName>
      <ability>L2_Typo</ability>
      <abilityName>字词错误</abilityName>
      <candidateList>
        <item>在</item>
      </candidateList>
      <explain/>
      <paraID>7C82203D</paraID>
      <start>35</start>
      <end>37</end>
      <status>unmodified</status>
      <modifiedWord/>
      <trackRevisions>false</trackRevisions>
    </reviewItem>
    <reviewItem>
      <errorID>3918ebb6-d05b-4749-a793-f99ad44fc85e</errorID>
      <errorWord>建址</errorWord>
      <group>L1_Word</group>
      <groupName>字词问题</groupName>
      <ability>L2_Typo</ability>
      <abilityName>字词错误</abilityName>
      <candidateList>
        <item>选址</item>
      </candidateList>
      <explain/>
      <paraID>7C82203D</paraID>
      <start>47</start>
      <end>49</end>
      <status>unmodified</status>
      <modifiedWord/>
      <trackRevisions>false</trackRevisions>
    </reviewItem>
    <reviewItem>
      <errorID>42ddee1e-20aa-4851-b893-24e238896bcd</errorID>
      <errorWord>建址</errorWord>
      <group>L1_Word</group>
      <groupName>字词问题</groupName>
      <ability>L2_Typo</ability>
      <abilityName>字词错误</abilityName>
      <candidateList>
        <item>选址</item>
      </candidateList>
      <explain/>
      <paraID>3A267C21</paraID>
      <start>3</start>
      <end>5</end>
      <status>unmodified</status>
      <modifiedWord/>
      <trackRevisions>false</trackRevisions>
    </reviewItem>
    <reviewItem>
      <errorID>4c70a46a-0689-4e60-a1f3-30d7798a83f2</errorID>
      <errorWord>位于</errorWord>
      <group>L1_Word</group>
      <groupName>字词问题</groupName>
      <ability>L2_Typo</ability>
      <abilityName>字词错误</abilityName>
      <candidateList>
        <item>在</item>
      </candidateList>
      <explain/>
      <paraID>3A267C21</paraID>
      <start>35</start>
      <end>37</end>
      <status>unmodified</status>
      <modifiedWord/>
      <trackRevisions>false</trackRevisions>
    </reviewItem>
    <reviewItem>
      <errorID>166e73c1-943c-4d12-9f45-ea7ef82dc267</errorID>
      <errorWord>。</errorWord>
      <group>L1_Word</group>
      <groupName>字词问题</groupName>
      <ability>L2_Typo</ability>
      <abilityName>字词错误</abilityName>
      <candidateList>
        <item>，也</item>
      </candidateList>
      <explain/>
      <paraID>3A267C21</paraID>
      <start>70</start>
      <end>71</end>
      <status>unmodified</status>
      <modifiedWord/>
      <trackRevisions>false</trackRevisions>
    </reviewItem>
    <reviewItem>
      <errorID>71521865-a808-4f4b-979e-0933dc3aeeed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2190BDEB</paraID>
      <start>0</start>
      <end>2</end>
      <status>unmodified</status>
      <modifiedWord/>
      <trackRevisions>false</trackRevisions>
    </reviewItem>
    <reviewItem>
      <errorID>4147e0e1-42dd-4b56-90bc-0acc552cd656</errorID>
      <errorWord>关于</errorWord>
      <group>L1_Punc</group>
      <groupName>标点问题</groupName>
      <ability>L2_Punc</ability>
      <abilityName>标点符号检查</abilityName>
      <candidateList>
        <item>《关于</item>
      </candidateList>
      <explain/>
      <paraID>7DF2D6F6</paraID>
      <start>12</start>
      <end>14</end>
      <status>unmodified</status>
      <modifiedWord/>
      <trackRevisions>false</trackRevisions>
    </reviewItem>
    <reviewItem>
      <errorID>1d93a863-70b7-4c27-9690-a837e78bfc76</errorID>
      <errorWord>《白城市</errorWord>
      <group>L1_Word</group>
      <groupName>字词问题</groupName>
      <ability>L2_Typo</ability>
      <abilityName>字词错误</abilityName>
      <candidateList>
        <item>〈白山市</item>
      </candidateList>
      <explain/>
      <paraID>7DF2D6F6</paraID>
      <start>16</start>
      <end>20</end>
      <status>unmodified</status>
      <modifiedWord/>
      <trackRevisions>false</trackRevisions>
    </reviewItem>
    <reviewItem>
      <errorID>c9c73eec-19e3-4b02-9fc1-dee146ed40f1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6EEE782E</paraID>
      <start>0</start>
      <end>2</end>
      <status>unmodified</status>
      <modifiedWord/>
      <trackRevisions>false</trackRevisions>
    </reviewItem>
    <reviewItem>
      <errorID>551c20d7-a8a1-45eb-bd26-8c3a7fbce758</errorID>
      <errorWord> </errorWord>
      <group>L1_Punc</group>
      <groupName>标点问题</groupName>
      <ability>L2_Punc</ability>
      <abilityName>标点符号检查</abilityName>
      <candidateList>
        <item>、</item>
      </candidateList>
      <explain/>
      <paraID>482822BD</paraID>
      <start>11</start>
      <end>12</end>
      <status>unmodified</status>
      <modifiedWord/>
      <trackRevisions>false</trackRevisions>
    </reviewItem>
    <reviewItem>
      <errorID>02737fc9-63f5-4239-8ee7-13dd696194ee</errorID>
      <errorWord>《</errorWord>
      <group>L1_Word</group>
      <groupName>字词问题</groupName>
      <ability>L2_Typo</ability>
      <abilityName>字词错误</abilityName>
      <candidateList>
        <item>的《</item>
      </candidateList>
      <explain/>
      <paraID>482822BD</paraID>
      <start>24</start>
      <end>25</end>
      <status>unmodified</status>
      <modifiedWord/>
      <trackRevisions>false</trackRevisions>
    </reviewItem>
    <reviewItem>
      <errorID>de3439a1-f6c9-4217-b26f-6bed6253cf5b</errorID>
      <errorWord>,</errorWord>
      <group>L1_Punc</group>
      <groupName>标点问题</groupName>
      <ability>L2_Punc</ability>
      <abilityName>标点符号检查</abilityName>
      <candidateList>
        <item>，</item>
      </candidateList>
      <explain/>
      <paraID>482822BD</paraID>
      <start>59</start>
      <end>60</end>
      <status>unmodified</status>
      <modifiedWord/>
      <trackRevisions>false</trackRevisions>
    </reviewItem>
    <reviewItem>
      <errorID>89374201-4a8b-4aae-9360-050f1920ed28</errorID>
      <errorWord> </errorWord>
      <group>L1_Punc</group>
      <groupName>标点问题</groupName>
      <ability>L2_Punc</ability>
      <abilityName>标点符号检查</abilityName>
      <candidateList>
        <item/>
      </candidateList>
      <explain>此处空格冗余，建议删除。</explain>
      <paraID>482822BD</paraID>
      <start>104</start>
      <end>105</end>
      <status>unmodified</status>
      <modifiedWord/>
      <trackRevisions>false</trackRevisions>
    </reviewItem>
    <reviewItem>
      <errorID>e8a16d2e-8513-4a4b-ac43-862c3eedd04a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1B36FD3F</paraID>
      <start>0</start>
      <end>2</end>
      <status>unmodified</status>
      <modifiedWord/>
      <trackRevisions>false</trackRevisions>
    </reviewItem>
    <reviewItem>
      <errorID>5038e29b-c943-41e9-8779-6b1faa38bd55</errorID>
      <errorWord>大气污染物产</errorWord>
      <group>L1_Word</group>
      <groupName>字词问题</groupName>
      <ability>L2_Typo</ability>
      <abilityName>字词错误</abilityName>
      <candidateList>
        <item>大气污染物产生</item>
      </candidateList>
      <explain/>
      <paraID>352A7378</paraID>
      <start>7</start>
      <end>13</end>
      <status>unmodified</status>
      <modifiedWord/>
      <trackRevisions>false</trackRevisions>
    </reviewItem>
    <reviewItem>
      <errorID>c45ee81e-2b65-4149-bfd8-4258584a5f01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4D45A73A</paraID>
      <start>0</start>
      <end>2</end>
      <status>unmodified</status>
      <modifiedWord/>
      <trackRevisions>false</trackRevisions>
    </reviewItem>
    <reviewItem>
      <errorID>f56620b9-a538-488d-aecd-4cc0612ce2e0</errorID>
      <errorWord>地址</errorWord>
      <group>L1_Word</group>
      <groupName>字词问题</groupName>
      <ability>L2_Typo</ability>
      <abilityName>字词错误</abilityName>
      <candidateList>
        <item>地质</item>
      </candidateList>
      <explain/>
      <paraID>4D45A73A</paraID>
      <start>10</start>
      <end>12</end>
      <status>unmodified</status>
      <modifiedWord/>
      <trackRevisions>false</trackRevisions>
    </reviewItem>
    <reviewItem>
      <errorID>cbd99c17-ab83-42f8-851b-176cd3425606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40959483</paraID>
      <start>0</start>
      <end>2</end>
      <status>unmodified</status>
      <modifiedWord/>
      <trackRevisions>false</trackRevisions>
    </reviewItem>
    <reviewItem>
      <errorID>dae75c41-670d-414a-8d97-2a200556cdd4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1699B015</paraID>
      <start>0</start>
      <end>2</end>
      <status>unmodified</status>
      <modifiedWord/>
      <trackRevisions>false</trackRevisions>
    </reviewItem>
    <reviewItem>
      <errorID>b6fb5a02-ebd9-4a94-999b-3a3261a1ab40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4D60AF16</paraID>
      <start>0</start>
      <end>2</end>
      <status>unmodified</status>
      <modifiedWord/>
      <trackRevisions>false</trackRevisions>
    </reviewItem>
    <reviewItem>
      <errorID>3b001da7-dfdb-4988-915c-f93f5f673a71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3BD5A0D9</paraID>
      <start>0</start>
      <end>2</end>
      <status>unmodified</status>
      <modifiedWord/>
      <trackRevisions>false</trackRevisions>
    </reviewItem>
    <reviewItem>
      <errorID>8918f17b-0ff2-493a-bb19-75f88c19d491</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3BD5A0D9</paraID>
      <start>29</start>
      <end>32</end>
      <status>unmodified</status>
      <modifiedWord/>
      <trackRevisions>false</trackRevisions>
    </reviewItem>
    <reviewItem>
      <errorID>482e67f8-98be-420e-88cc-7377fed7d51c</errorID>
      <errorWord>26）、</errorWord>
      <group>L1_Punc</group>
      <groupName>标点问题</groupName>
      <ability>L2_Punc</ability>
      <abilityName>标点符号检查</abilityName>
      <candidateList>
        <item>26）</item>
      </candidateList>
      <explain>根据国标GB/T 15834-2011《标点符号用法》中的4.5.3.3节，带括号的汉字数字或阿拉伯数字表次序时，后面通常不加顿号。如“（一）指导思想”“（二）行动指南”。</explain>
      <paraID>3BD5A0D9</paraID>
      <start>58</start>
      <end>62</end>
      <status>unmodified</status>
      <modifiedWord/>
      <trackRevisions>false</trackRevisions>
    </reviewItem>
    <reviewItem>
      <errorID>1572fe29-fa46-48a8-842a-79117f902c7d</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3BD5A0D9</paraID>
      <start>85</start>
      <end>88</end>
      <status>unmodified</status>
      <modifiedWord/>
      <trackRevisions>false</trackRevisions>
    </reviewItem>
    <reviewItem>
      <errorID>88d5928c-fc69-4746-84a5-ec95f6ffbc80</errorID>
      <errorWord>【2021】10号</errorWord>
      <group>L1_Knowledge</group>
      <groupName>知识性问题</groupName>
      <ability>L2_Knowledge</ability>
      <abilityName>其他知识</abilityName>
      <candidateList>
        <item>〔2021〕10号</item>
      </candidateList>
      <explain>发文字号格式错误。</explain>
      <paraID>3BD5A0D9</paraID>
      <start>111</start>
      <end>120</end>
      <status>unmodified</status>
      <modifiedWord/>
      <trackRevisions>false</trackRevisions>
    </reviewItem>
    <reviewItem>
      <errorID>e38bd783-94dc-4814-96c0-89c253c838cc</errorID>
      <errorWord>吉林省政府</errorWord>
      <group>L1_Grammar</group>
      <groupName>语法问题</groupName>
      <ability>L2_Grammar</ability>
      <abilityName>语法错误</abilityName>
      <candidateList>
        <item>吉林省人民政府</item>
      </candidateList>
      <explain/>
      <paraID>3BD5A0D9</paraID>
      <start>131</start>
      <end>136</end>
      <status>unmodified</status>
      <modifiedWord/>
      <trackRevisions>false</trackRevisions>
    </reviewItem>
    <reviewItem>
      <errorID>0d06a15c-9a18-404c-ab16-bc78e7d859b0</errorID>
      <errorWord>【2018】33号</errorWord>
      <group>L1_Knowledge</group>
      <groupName>知识性问题</groupName>
      <ability>L2_Knowledge</ability>
      <abilityName>其他知识</abilityName>
      <candidateList>
        <item>〔2018〕33号</item>
      </candidateList>
      <explain>发文字号格式错误。</explain>
      <paraID>3BD5A0D9</paraID>
      <start>168</start>
      <end>177</end>
      <status>unmodified</status>
      <modifiedWord/>
      <trackRevisions>false</trackRevisions>
    </reviewItem>
    <reviewItem>
      <errorID>a51e38c3-5292-4ce5-b0d3-487cd4af86c3</errorID>
      <errorWord>31）、</errorWord>
      <group>L1_Punc</group>
      <groupName>标点问题</groupName>
      <ability>L2_Punc</ability>
      <abilityName>标点符号检查</abilityName>
      <candidateList>
        <item>31）</item>
      </candidateList>
      <explain>根据国标GB/T 15834-2011《标点符号用法》中的4.5.3.3节，带括号的汉字数字或阿拉伯数字表次序时，后面通常不加顿号。如“（一）指导思想”“（二）行动指南”。</explain>
      <paraID>3BD5A0D9</paraID>
      <start>223</start>
      <end>227</end>
      <status>unmodified</status>
      <modifiedWord/>
      <trackRevisions>false</trackRevisions>
    </reviewItem>
    <reviewItem>
      <errorID>bb7d9ed6-4c2a-48cb-92b3-2dbfd3f21e50</errorID>
      <errorWord>【2023】24号</errorWord>
      <group>L1_Knowledge</group>
      <groupName>知识性问题</groupName>
      <ability>L2_Knowledge</ability>
      <abilityName>其他知识</abilityName>
      <candidateList>
        <item>〔2023〕24号</item>
      </candidateList>
      <explain>发文字号格式错误。</explain>
      <paraID>3BD5A0D9</paraID>
      <start>245</start>
      <end>254</end>
      <status>unmodified</status>
      <modifiedWord/>
      <trackRevisions>false</trackRevisions>
    </reviewItem>
    <reviewItem>
      <errorID>9d62ab90-20fd-47ab-9942-b101ddc2660e</errorID>
      <errorWord>【2024】8号</errorWord>
      <group>L1_Knowledge</group>
      <groupName>知识性问题</groupName>
      <ability>L2_Knowledge</ability>
      <abilityName>其他知识</abilityName>
      <candidateList>
        <item>〔2024〕8号</item>
      </candidateList>
      <explain>发文字号格式错误。</explain>
      <paraID>3BD5A0D9</paraID>
      <start>286</start>
      <end>294</end>
      <status>unmodified</status>
      <modifiedWord/>
      <trackRevisions>false</trackRevisions>
    </reviewItem>
    <reviewItem>
      <errorID>98490bd5-6853-4156-89cb-b6fe02585dde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5AB3A0E5</paraID>
      <start>0</start>
      <end>2</end>
      <status>unmodified</status>
      <modifiedWord/>
      <trackRevisions>false</trackRevisions>
    </reviewItem>
    <reviewItem>
      <errorID>17e8c35b-c847-4421-bfe0-df954a285295</errorID>
      <errorWord>程</errorWord>
      <group>L1_Word</group>
      <groupName>字词问题</groupName>
      <ability>L2_Typo</ability>
      <abilityName>字词错误</abilityName>
      <candidateList>
        <item>程中</item>
      </candidateList>
      <explain/>
      <paraID>701F4B61</paraID>
      <start>9</start>
      <end>10</end>
      <status>unmodified</status>
      <modifiedWord/>
      <trackRevisions>false</trackRevisions>
    </reviewItem>
    <reviewItem>
      <errorID>f2e00547-0956-4644-9a67-64fc2093f0e8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79FB852C</paraID>
      <start>0</start>
      <end>2</end>
      <status>unmodified</status>
      <modifiedWord/>
      <trackRevisions>false</trackRevisions>
    </reviewItem>
    <reviewItem>
      <errorID>9d0ce3a6-fc6e-4bb8-a411-244910d99b08</errorID>
      <errorWord>煤歼石</errorWord>
      <group>L1_Other</group>
      <groupName>其他问题</groupName>
      <ability>L2_Consistency</ability>
      <abilityName>一致性检查</abilityName>
      <candidateList>
        <item>煤矸石</item>
      </candidateList>
      <explain>实体一致性：文档中其他地方均使用‘煤矸石’，此处‘歼’为错误表述，应统一为‘矸’</explain>
      <paraID>673791E5</paraID>
      <start>7</start>
      <end>10</end>
      <status>unmodified</status>
      <modifiedWord/>
      <trackRevisions>false</trackRevisions>
    </reviewItem>
    <reviewItem>
      <errorID>2de0c1f9-96ae-4233-bb48-df843ded2460</errorID>
      <errorWord>程</errorWord>
      <group>L1_Word</group>
      <groupName>字词问题</groupName>
      <ability>L2_Typo</ability>
      <abilityName>字词错误</abilityName>
      <candidateList>
        <item>程中</item>
      </candidateList>
      <explain/>
      <paraID> D5718F9</paraID>
      <start>6</start>
      <end>7</end>
      <status>unmodified</status>
      <modifiedWord/>
      <trackRevisions>false</trackRevisions>
    </reviewItem>
    <reviewItem>
      <errorID>9ed68143-4ae8-4a7a-b0c6-0b27f7f61330</errorID>
      <errorWord>防治</errorWord>
      <group>L1_Word</group>
      <groupName>字词问题</groupName>
      <ability>L2_Typo</ability>
      <abilityName>字词错误</abilityName>
      <candidateList>
        <item>防止</item>
      </candidateList>
      <explain>〈动〉预先设法制止（坏事发生）：～煤气中毒｜～交通事故。</explain>
      <paraID> D5718F9</paraID>
      <start>38</start>
      <end>40</end>
      <status>unmodified</status>
      <modifiedWord/>
      <trackRevisions>false</trackRevisions>
    </reviewItem>
    <reviewItem>
      <errorID>56b6b342-56dc-4e49-8dfe-66e3846ca49b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6413AAF0</paraID>
      <start>0</start>
      <end>2</end>
      <status>unmodified</status>
      <modifiedWord/>
      <trackRevisions>false</trackRevisions>
    </reviewItem>
    <reviewItem>
      <errorID>04c5dfa6-5dd0-41b4-bc80-35da11c4a004</errorID>
      <errorWord>工地</errorWord>
      <group>L1_Word</group>
      <groupName>字词问题</groupName>
      <ability>L2_Typo</ability>
      <abilityName>字词错误</abilityName>
      <candidateList>
        <item>场地</item>
      </candidateList>
      <explain>存在字形相近字词的误用。</explain>
      <paraID>23CF3316</paraID>
      <start>9</start>
      <end>11</end>
      <status>unmodified</status>
      <modifiedWord/>
      <trackRevisions>false</trackRevisions>
    </reviewItem>
    <reviewItem>
      <errorID>a327477b-a964-428a-974f-bc07ed370567</errorID>
      <errorWord>程</errorWord>
      <group>L1_Word</group>
      <groupName>字词问题</groupName>
      <ability>L2_Typo</ability>
      <abilityName>字词错误</abilityName>
      <candidateList>
        <item>程中</item>
      </candidateList>
      <explain/>
      <paraID>6B4047D5</paraID>
      <start>6</start>
      <end>7</end>
      <status>unmodified</status>
      <modifiedWord/>
      <trackRevisions>false</trackRevisions>
    </reviewItem>
    <reviewItem>
      <errorID>22520ae9-798b-4154-8485-c9116dc9bd0f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418A6246</paraID>
      <start>0</start>
      <end>2</end>
      <status>unmodified</status>
      <modifiedWord/>
      <trackRevisions>false</trackRevisions>
    </reviewItem>
    <reviewItem>
      <errorID>6b6ebb64-7764-46e4-9691-e92dfe73b423</errorID>
      <errorWord>【2021】10号</errorWord>
      <group>L1_Knowledge</group>
      <groupName>知识性问题</groupName>
      <ability>L2_Knowledge</ability>
      <abilityName>其他知识</abilityName>
      <candidateList>
        <item>〔2021〕10号</item>
      </candidateList>
      <explain>发文字号格式错误。</explain>
      <paraID>418A6246</paraID>
      <start>24</start>
      <end>33</end>
      <status>unmodified</status>
      <modifiedWord/>
      <trackRevisions>false</trackRevisions>
    </reviewItem>
    <reviewItem>
      <errorID>f18cf13d-601d-42d0-8825-841a44755a5f</errorID>
      <errorWord>抛撒</errorWord>
      <group>L1_Word</group>
      <groupName>字词问题</groupName>
      <ability>L2_Typo</ability>
      <abilityName>字词错误</abilityName>
      <candidateList>
        <item>抛洒</item>
      </candidateList>
      <explain>存在发音相同字词的误用。</explain>
      <paraID>7FC93BCC</paraID>
      <start>126</start>
      <end>128</end>
      <status>unmodified</status>
      <modifiedWord/>
      <trackRevisions>false</trackRevisions>
    </reviewItem>
    <reviewItem>
      <errorID>42e2946f-ae88-4a72-b0df-947199ea334d</errorID>
      <errorWord>撒</errorWord>
      <group>L1_Word</group>
      <groupName>字词问题</groupName>
      <ability>L2_Typo</ability>
      <abilityName>字词错误</abilityName>
      <candidateList>
        <item>洒</item>
      </candidateList>
      <explain>存在发音相同字词的误用。</explain>
      <paraID>7FC93BCC</paraID>
      <start>209</start>
      <end>210</end>
      <status>unmodified</status>
      <modifiedWord/>
      <trackRevisions>false</trackRevisions>
    </reviewItem>
    <reviewItem>
      <errorID>176681a1-b86f-408d-9609-6b668ca56e0d</errorID>
      <errorWord>程</errorWord>
      <group>L1_Word</group>
      <groupName>字词问题</groupName>
      <ability>L2_Typo</ability>
      <abilityName>字词错误</abilityName>
      <candidateList>
        <item>程中</item>
      </candidateList>
      <explain/>
      <paraID>4DC77AD8</paraID>
      <start>6</start>
      <end>7</end>
      <status>unmodified</status>
      <modifiedWord/>
      <trackRevisions>false</trackRevisions>
    </reviewItem>
    <reviewItem>
      <errorID>97c9821f-9a10-4799-b74b-14236e425e73</errorID>
      <errorWord>防治</errorWord>
      <group>L1_Word</group>
      <groupName>字词问题</groupName>
      <ability>L2_Typo</ability>
      <abilityName>字词错误</abilityName>
      <candidateList>
        <item>防止</item>
      </candidateList>
      <explain>〈动〉预先设法制止（坏事发生）：～煤气中毒｜～交通事故。</explain>
      <paraID>4DC77AD8</paraID>
      <start>38</start>
      <end>40</end>
      <status>unmodified</status>
      <modifiedWord/>
      <trackRevisions>false</trackRevisions>
    </reviewItem>
    <reviewItem>
      <errorID>04506bd3-a020-4e55-a7b6-733fd10e54d9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277F037</paraID>
      <start>0</start>
      <end>2</end>
      <status>unmodified</status>
      <modifiedWord/>
      <trackRevisions>false</trackRevisions>
    </reviewItem>
    <reviewItem>
      <errorID>9b178271-c1e0-42c8-b0f9-2c909d441540</errorID>
      <errorWord>吉林省政府</errorWord>
      <group>L1_Grammar</group>
      <groupName>语法问题</groupName>
      <ability>L2_Grammar</ability>
      <abilityName>语法错误</abilityName>
      <candidateList>
        <item>吉林省人民政府</item>
      </candidateList>
      <explain/>
      <paraID> 277F037</paraID>
      <start>10</start>
      <end>15</end>
      <status>unmodified</status>
      <modifiedWord/>
      <trackRevisions>false</trackRevisions>
    </reviewItem>
    <reviewItem>
      <errorID>5f3f5430-c563-417b-b00c-96a5720da50f</errorID>
      <errorWord>【2018】33号</errorWord>
      <group>L1_Knowledge</group>
      <groupName>知识性问题</groupName>
      <ability>L2_Knowledge</ability>
      <abilityName>其他知识</abilityName>
      <candidateList>
        <item>〔2018〕33号</item>
      </candidateList>
      <explain>发文字号格式错误。</explain>
      <paraID> 277F037</paraID>
      <start>47</start>
      <end>56</end>
      <status>unmodified</status>
      <modifiedWord/>
      <trackRevisions>false</trackRevisions>
    </reviewItem>
    <reviewItem>
      <errorID>a6992132-3490-478c-92aa-e0a3518e1393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1122F9A5</paraID>
      <start>0</start>
      <end>2</end>
      <status>unmodified</status>
      <modifiedWord/>
      <trackRevisions>false</trackRevisions>
    </reviewItem>
    <reviewItem>
      <errorID>eb585f5d-1999-4824-a5a0-c97ccaa50fa4</errorID>
      <errorWord>.</errorWord>
      <group>L1_Word</group>
      <groupName>字词问题</groupName>
      <ability>L2_Typo</ability>
      <abilityName>字词错误</abilityName>
      <candidateList>
        <item>年</item>
      </candidateList>
      <explain/>
      <paraID>1122F9A5</paraID>
      <start>41</start>
      <end>42</end>
      <status>unmodified</status>
      <modifiedWord/>
      <trackRevisions>false</trackRevisions>
    </reviewItem>
    <reviewItem>
      <errorID>c24939f7-5a88-4a70-a7c8-18e25c86a64d</errorID>
      <errorWord>.</errorWord>
      <group>L1_Word</group>
      <groupName>字词问题</groupName>
      <ability>L2_Typo</ability>
      <abilityName>字词错误</abilityName>
      <candidateList>
        <item>月</item>
      </candidateList>
      <explain/>
      <paraID>1122F9A5</paraID>
      <start>44</start>
      <end>45</end>
      <status>unmodified</status>
      <modifiedWord/>
      <trackRevisions>false</trackRevisions>
    </reviewItem>
    <reviewItem>
      <errorID>1150fb1a-d6f6-4966-bd07-3464a8af13ab</errorID>
      <errorWord>）</errorWord>
      <group>L1_Word</group>
      <groupName>字词问题</groupName>
      <ability>L2_Typo</ability>
      <abilityName>字词错误</abilityName>
      <candidateList>
        <item>日）</item>
      </candidateList>
      <explain/>
      <paraID>1122F9A5</paraID>
      <start>47</start>
      <end>48</end>
      <status>unmodified</status>
      <modifiedWord/>
      <trackRevisions>false</trackRevisions>
    </reviewItem>
    <reviewItem>
      <errorID>2e755dbb-6253-4125-b282-7b0def3b1326</errorID>
      <errorWord>程</errorWord>
      <group>L1_Word</group>
      <groupName>字词问题</groupName>
      <ability>L2_Typo</ability>
      <abilityName>字词错误</abilityName>
      <candidateList>
        <item>程中</item>
      </candidateList>
      <explain/>
      <paraID>4D38DDEE</paraID>
      <start>6</start>
      <end>7</end>
      <status>unmodified</status>
      <modifiedWord/>
      <trackRevisions>false</trackRevisions>
    </reviewItem>
    <reviewItem>
      <errorID>e9e02d60-c029-4b0c-913a-0d7850b78ec9</errorID>
      <errorWord>防治</errorWord>
      <group>L1_Word</group>
      <groupName>字词问题</groupName>
      <ability>L2_Typo</ability>
      <abilityName>字词错误</abilityName>
      <candidateList>
        <item>防止</item>
      </candidateList>
      <explain/>
      <paraID>4D38DDEE</paraID>
      <start>38</start>
      <end>40</end>
      <status>unmodified</status>
      <modifiedWord/>
      <trackRevisions>false</trackRevisions>
    </reviewItem>
    <reviewItem>
      <errorID>dafe3574-c52f-4cdd-b7f6-ba5a9d9d950c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630B073F</paraID>
      <start>0</start>
      <end>2</end>
      <status>unmodified</status>
      <modifiedWord/>
      <trackRevisions>false</trackRevisions>
    </reviewItem>
    <reviewItem>
      <errorID>02e51c97-ac7a-4be5-92da-af95ec1e28c1</errorID>
      <errorWord>【2023】24号</errorWord>
      <group>L1_Knowledge</group>
      <groupName>知识性问题</groupName>
      <ability>L2_Knowledge</ability>
      <abilityName>其他知识</abilityName>
      <candidateList>
        <item>〔2023〕24号</item>
      </candidateList>
      <explain>发文字号格式错误。</explain>
      <paraID>630B073F</paraID>
      <start>19</start>
      <end>28</end>
      <status>unmodified</status>
      <modifiedWord/>
      <trackRevisions>false</trackRevisions>
    </reviewItem>
    <reviewItem>
      <errorID>59d93641-4aa9-4f6e-b7d0-aa297df946e0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1CD8A191</paraID>
      <start>0</start>
      <end>2</end>
      <status>unmodified</status>
      <modifiedWord/>
      <trackRevisions>false</trackRevisions>
    </reviewItem>
    <reviewItem>
      <errorID>2bb356c8-a33d-4f76-8c86-aba5cb7f1044</errorID>
      <errorWord>【2024】8号</errorWord>
      <group>L1_Knowledge</group>
      <groupName>知识性问题</groupName>
      <ability>L2_Knowledge</ability>
      <abilityName>其他知识</abilityName>
      <candidateList>
        <item>〔2024〕8号</item>
      </candidateList>
      <explain>发文字号格式错误。</explain>
      <paraID>1CD8A191</paraID>
      <start>31</start>
      <end>39</end>
      <status>unmodified</status>
      <modifiedWord/>
      <trackRevisions>false</trackRevisions>
    </reviewItem>
    <reviewItem>
      <errorID>44930b7b-5c81-4ba4-b2e6-98695fadfcd5</errorID>
      <errorWord>属</errorWord>
      <group>L1_Word</group>
      <groupName>字词问题</groupName>
      <ability>L2_Typo</ability>
      <abilityName>字词错误</abilityName>
      <candidateList>
        <item>属于</item>
      </candidateList>
      <explain/>
      <paraID>79C64BA0</paraID>
      <start>3</start>
      <end>4</end>
      <status>unmodified</status>
      <modifiedWord/>
      <trackRevisions>false</trackRevisions>
    </reviewItem>
    <reviewItem>
      <errorID>c99544b9-6671-449b-a873-a66c40b69d35</errorID>
      <errorWord>中涉及</errorWord>
      <group>L1_Grammar</group>
      <groupName>语法问题</groupName>
      <ability>L2_Grammar</ability>
      <abilityName>语法错误</abilityName>
      <candidateList>
        <item>中</item>
      </candidateList>
      <explain/>
      <paraID>75294279</paraID>
      <start>22</start>
      <end>25</end>
      <status>unmodified</status>
      <modifiedWord/>
      <trackRevisions>false</trackRevisions>
    </reviewItem>
    <reviewItem>
      <errorID>c8b63a94-4f41-4b23-882a-746c58cb1862</errorID>
      <errorWord>中涉及</errorWord>
      <group>L1_Grammar</group>
      <groupName>语法问题</groupName>
      <ability>L2_Grammar</ability>
      <abilityName>语法错误</abilityName>
      <candidateList>
        <item>中</item>
      </candidateList>
      <explain/>
      <paraID>21ECEF29</paraID>
      <start>22</start>
      <end>25</end>
      <status>unmodified</status>
      <modifiedWord/>
      <trackRevisions>false</trackRevisions>
    </reviewItem>
    <reviewItem>
      <errorID>b9d0d4df-9ce7-4fc7-b77d-cc0a32f7486e</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7FFFF4BA</paraID>
      <start>30</start>
      <end>33</end>
      <status>unmodified</status>
      <modifiedWord/>
      <trackRevisions>false</trackRevisions>
    </reviewItem>
    <reviewItem>
      <errorID>c47a7bb4-4d86-4406-b33b-21b6b770afdf</errorID>
      <errorWord>26）、</errorWord>
      <group>L1_Punc</group>
      <groupName>标点问题</groupName>
      <ability>L2_Punc</ability>
      <abilityName>标点符号检查</abilityName>
      <candidateList>
        <item>26）</item>
      </candidateList>
      <explain>根据国标GB/T 15834-2011《标点符号用法》中的4.5.3.3节，带括号的汉字数字或阿拉伯数字表次序时，后面通常不加顿号。如“（一）指导思想”“（二）行动指南”。</explain>
      <paraID>7FFFF4BA</paraID>
      <start>59</start>
      <end>63</end>
      <status>unmodified</status>
      <modifiedWord/>
      <trackRevisions>false</trackRevisions>
    </reviewItem>
    <reviewItem>
      <errorID>9f7c4737-c4e6-4ed2-91b6-2c5a2de12aba</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7FFFF4BA</paraID>
      <start>86</start>
      <end>89</end>
      <status>unmodified</status>
      <modifiedWord/>
      <trackRevisions>false</trackRevisions>
    </reviewItem>
    <reviewItem>
      <errorID>8fbd1f6b-5a80-497c-94ce-74a87ef784e9</errorID>
      <errorWord>【2021】10号</errorWord>
      <group>L1_Knowledge</group>
      <groupName>知识性问题</groupName>
      <ability>L2_Knowledge</ability>
      <abilityName>其他知识</abilityName>
      <candidateList>
        <item>〔2021〕10号</item>
      </candidateList>
      <explain>发文字号格式错误。</explain>
      <paraID>7FFFF4BA</paraID>
      <start>112</start>
      <end>121</end>
      <status>unmodified</status>
      <modifiedWord/>
      <trackRevisions>false</trackRevisions>
    </reviewItem>
    <reviewItem>
      <errorID>1ad398f9-624d-4c91-a63f-f1709a96e8b6</errorID>
      <errorWord>【2018】33号</errorWord>
      <group>L1_Knowledge</group>
      <groupName>知识性问题</groupName>
      <ability>L2_Knowledge</ability>
      <abilityName>其他知识</abilityName>
      <candidateList>
        <item>〔2018〕33号</item>
      </candidateList>
      <explain>发文字号格式错误。</explain>
      <paraID>7FFFF4BA</paraID>
      <start>169</start>
      <end>178</end>
      <status>unmodified</status>
      <modifiedWord/>
      <trackRevisions>false</trackRevisions>
    </reviewItem>
    <reviewItem>
      <errorID>d02b9c9e-9591-4cb9-9318-eb66d49ced66</errorID>
      <errorWord>31）、</errorWord>
      <group>L1_Punc</group>
      <groupName>标点问题</groupName>
      <ability>L2_Punc</ability>
      <abilityName>标点符号检查</abilityName>
      <candidateList>
        <item>31）</item>
      </candidateList>
      <explain>根据国标GB/T 15834-2011《标点符号用法》中的4.5.3.3节，带括号的汉字数字或阿拉伯数字表次序时，后面通常不加顿号。如“（一）指导思想”“（二）行动指南”。</explain>
      <paraID>7FFFF4BA</paraID>
      <start>224</start>
      <end>228</end>
      <status>unmodified</status>
      <modifiedWord/>
      <trackRevisions>false</trackRevisions>
    </reviewItem>
    <reviewItem>
      <errorID>65ba316d-7fab-4e02-9654-0eefe1a4b4ee</errorID>
      <errorWord>【2023】24号</errorWord>
      <group>L1_Knowledge</group>
      <groupName>知识性问题</groupName>
      <ability>L2_Knowledge</ability>
      <abilityName>其他知识</abilityName>
      <candidateList>
        <item>〔2023〕24号</item>
      </candidateList>
      <explain>发文字号格式错误。</explain>
      <paraID>7FFFF4BA</paraID>
      <start>246</start>
      <end>255</end>
      <status>unmodified</status>
      <modifiedWord/>
      <trackRevisions>false</trackRevisions>
    </reviewItem>
    <reviewItem>
      <errorID>9e7a886d-8400-4b86-a712-33ba0d4f226f</errorID>
      <errorWord>【2024】8号</errorWord>
      <group>L1_Knowledge</group>
      <groupName>知识性问题</groupName>
      <ability>L2_Knowledge</ability>
      <abilityName>其他知识</abilityName>
      <candidateList>
        <item>〔2024〕8号</item>
      </candidateList>
      <explain>发文字号格式错误。</explain>
      <paraID>7FFFF4BA</paraID>
      <start>287</start>
      <end>295</end>
      <status>unmodified</status>
      <modifiedWord/>
      <trackRevisions>false</trackRevisions>
    </reviewItem>
    <reviewItem>
      <errorID>519af5ad-e48b-4348-837a-7bc076861e96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45FD685B</paraID>
      <start>0</start>
      <end>2</end>
      <status>unmodified</status>
      <modifiedWord/>
      <trackRevisions>false</trackRevisions>
    </reviewItem>
    <reviewItem>
      <errorID>b447971b-a61d-4ac9-a565-8230b1236ec0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3F83EC5B</paraID>
      <start>0</start>
      <end>3</end>
      <status>unmodified</status>
      <modifiedWord/>
      <trackRevisions>false</trackRevisions>
    </reviewItem>
    <reviewItem>
      <errorID>19212655-0b88-48ed-ba3f-b8ee1ecb5822</errorID>
      <errorWord>。。</errorWord>
      <group>L1_Punc</group>
      <groupName>标点问题</groupName>
      <ability>L2_Punc</ability>
      <abilityName>标点符号检查</abilityName>
      <candidateList>
        <item>。</item>
      </candidateList>
      <explain/>
      <paraID>54580B0B</paraID>
      <start>39</start>
      <end>41</end>
      <status>unmodified</status>
      <modifiedWord/>
      <trackRevisions>false</trackRevisions>
    </reviewItem>
    <reviewItem>
      <errorID>eb6af98b-538f-4851-891c-2841b2f75d5a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641654C5</paraID>
      <start>0</start>
      <end>2</end>
      <status>unmodified</status>
      <modifiedWord/>
      <trackRevisions>false</trackRevisions>
    </reviewItem>
    <reviewItem>
      <errorID>721055b7-c011-4982-9823-28ec213bd6fa</errorID>
      <errorWord>敏感点</errorWord>
      <group>L1_Word</group>
      <groupName>字词问题</groupName>
      <ability>L2_Typo</ability>
      <abilityName>字词错误</abilityName>
      <candidateList>
        <item>的敏感点</item>
      </candidateList>
      <explain/>
      <paraID> 6964495</paraID>
      <start>48</start>
      <end>51</end>
      <status>unmodified</status>
      <modifiedWord/>
      <trackRevisions>false</trackRevisions>
    </reviewItem>
    <reviewItem>
      <errorID>10234a7b-f46d-4a8c-b842-ee988c1f28fb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6ED29385</paraID>
      <start>0</start>
      <end>2</end>
      <status>unmodified</status>
      <modifiedWord/>
      <trackRevisions>false</trackRevisions>
    </reviewItem>
    <reviewItem>
      <errorID>19b3b6ba-cd45-4b58-8fc7-fcf7e76c66f5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5C452760</paraID>
      <start>0</start>
      <end>2</end>
      <status>unmodified</status>
      <modifiedWord/>
      <trackRevisions>false</trackRevisions>
    </reviewItem>
    <reviewItem>
      <errorID>ff8b93e9-518d-4852-bab2-18ea4898d153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417E8536</paraID>
      <start>0</start>
      <end>2</end>
      <status>unmodified</status>
      <modifiedWord/>
      <trackRevisions>false</trackRevisions>
    </reviewItem>
    <reviewItem>
      <errorID>66ff0cba-2d8b-4c3d-8fde-59f0a80aea85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433A3868</paraID>
      <start>0</start>
      <end>2</end>
      <status>unmodified</status>
      <modifiedWord/>
      <trackRevisions>false</trackRevisions>
    </reviewItem>
    <reviewItem>
      <errorID>a7714fba-d793-464d-bc31-f356c184c7fe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22EF95CC</paraID>
      <start>0</start>
      <end>2</end>
      <status>unmodified</status>
      <modifiedWord/>
      <trackRevisions>false</trackRevisions>
    </reviewItem>
    <reviewItem>
      <errorID>93baf10c-16be-45cc-9cdc-f0c823831c10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2394E038</paraID>
      <start>0</start>
      <end>2</end>
      <status>unmodified</status>
      <modifiedWord/>
      <trackRevisions>false</trackRevisions>
    </reviewItem>
    <reviewItem>
      <errorID>337794a0-afe9-44cb-afb1-ca11eb9f5031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253FBCDB</paraID>
      <start>0</start>
      <end>2</end>
      <status>unmodified</status>
      <modifiedWord/>
      <trackRevisions>false</trackRevisions>
    </reviewItem>
    <reviewItem>
      <errorID>f1547549-e65f-478d-9d18-96a108cb8c66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21CABF25</paraID>
      <start>0</start>
      <end>2</end>
      <status>unmodified</status>
      <modifiedWord/>
      <trackRevisions>false</trackRevisions>
    </reviewItem>
    <reviewItem>
      <errorID>15934eb1-3433-4279-b424-aa47da7ad358</errorID>
      <errorWord>作</errorWord>
      <group>L1_Word</group>
      <groupName>字词问题</groupName>
      <ability>L2_Typo</ability>
      <abilityName>字词错误</abilityName>
      <candidateList>
        <item>做</item>
      </candidateList>
      <explain>存在发音相同字词的误用。</explain>
      <paraID>6D9F34AB</paraID>
      <start>5</start>
      <end>6</end>
      <status>unmodified</status>
      <modifiedWord/>
      <trackRevisions>false</trackRevisions>
    </reviewItem>
    <reviewItem>
      <errorID>754dc726-e038-470a-afa1-10b613cf45c6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20352909</paraID>
      <start>0</start>
      <end>3</end>
      <status>unmodified</status>
      <modifiedWord/>
      <trackRevisions>false</trackRevisions>
    </reviewItem>
    <reviewItem>
      <errorID>08bb90b1-570a-4fab-852c-ad5d2dc06994</errorID>
      <errorWord> </errorWord>
      <group>L1_Punc</group>
      <groupName>标点问题</groupName>
      <ability>L2_Punc</ability>
      <abilityName>标点符号检查</abilityName>
      <candidateList>
        <item>·</item>
      </candidateList>
      <explain/>
      <paraID>12E600ED</paraID>
      <start>76</start>
      <end>77</end>
      <status>unmodified</status>
      <modifiedWord/>
      <trackRevisions>false</trackRevisions>
    </reviewItem>
    <reviewItem>
      <errorID>cec1c9f7-917e-4ae5-b1e3-47a63c8dfba9</errorID>
      <errorWord>来自于</errorWord>
      <group>L1_Grammar</group>
      <groupName>语法问题</groupName>
      <ability>L2_Grammar</ability>
      <abilityName>语法错误</abilityName>
      <candidateList>
        <item>来自</item>
      </candidateList>
      <explain/>
      <paraID>12E600ED</paraID>
      <start>112</start>
      <end>115</end>
      <status>unmodified</status>
      <modifiedWord/>
      <trackRevisions>false</trackRevisions>
    </reviewItem>
    <reviewItem>
      <errorID>f8f3ef20-bee3-40d3-916f-1faafdbd8f0d</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38A359D7</paraID>
      <start>7</start>
      <end>13</end>
      <status>unmodified</status>
      <modifiedWord/>
      <trackRevisions>false</trackRevisions>
    </reviewItem>
    <reviewItem>
      <errorID>157bfa5e-daf4-4434-9dbc-5685520630bc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38A359D7</paraID>
      <start>16</start>
      <end>17</end>
      <status>unmodified</status>
      <modifiedWord/>
      <trackRevisions>false</trackRevisions>
    </reviewItem>
    <reviewItem>
      <errorID>72102920-23da-4924-829d-9fee694f4e41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2C381516</paraID>
      <start>0</start>
      <end>3</end>
      <status>unmodified</status>
      <modifiedWord/>
      <trackRevisions>false</trackRevisions>
    </reviewItem>
    <reviewItem>
      <errorID>a1774624-88e1-4440-93db-f608beeff303</errorID>
      <errorWord>13、</errorWord>
      <group>L1_Format</group>
      <groupName>格式问题</groupName>
      <ability>L2_Ordinal</ability>
      <abilityName>序号格式</abilityName>
      <candidateList>
        <item>12、</item>
      </candidateList>
      <explain>标题顺序错误，请检查标题顺序是否合理。</explain>
      <paraID>16809C13</paraID>
      <start>0</start>
      <end>3</end>
      <status>unmodified</status>
      <modifiedWord/>
      <trackRevisions>false</trackRevisions>
    </reviewItem>
    <reviewItem>
      <errorID>41bd71fd-1dfb-429a-8ec2-86c5a0a643f8</errorID>
      <errorWord>14、</errorWord>
      <group>L1_Format</group>
      <groupName>格式问题</groupName>
      <ability>L2_Ordinal</ability>
      <abilityName>序号格式</abilityName>
      <candidateList>
        <item>13、</item>
      </candidateList>
      <explain>标题顺序错误，请检查标题顺序是否合理。</explain>
      <paraID>11DFD7FA</paraID>
      <start>0</start>
      <end>3</end>
      <status>unmodified</status>
      <modifiedWord/>
      <trackRevisions>false</trackRevisions>
    </reviewItem>
    <reviewItem>
      <errorID>d76a0cfa-a99d-447e-9fca-41da5a4950e8</errorID>
      <errorWord>。</errorWord>
      <group>L1_Format</group>
      <groupName>格式问题</groupName>
      <ability>L2_HalfPunc</ability>
      <abilityName>全半角检查</abilityName>
      <candidateList>
        <item>.</item>
      </candidateList>
      <explain>文本全半角错误。</explain>
      <paraID>4BD1BEF3</paraID>
      <start>13</start>
      <end>14</end>
      <status>unmodified</status>
      <modifiedWord/>
      <trackRevisions>false</trackRevisions>
    </reviewItem>
    <reviewItem>
      <errorID>198d1d3e-764c-4370-b5de-398bd5f68e1e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42078312</paraID>
      <start>0</start>
      <end>2</end>
      <status>unmodified</status>
      <modifiedWord/>
      <trackRevisions>false</trackRevisions>
    </reviewItem>
    <reviewItem>
      <errorID>c97639ab-45ed-4357-8ce9-e229eb808f1c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5D26E681</paraID>
      <start>0</start>
      <end>2</end>
      <status>unmodified</status>
      <modifiedWord/>
      <trackRevisions>false</trackRevisions>
    </reviewItem>
    <reviewItem>
      <errorID>7c0b25e1-836e-410d-89b3-85350269581d</errorID>
      <errorWord>得</errorWord>
      <group>L1_Word</group>
      <groupName>字词问题</groupName>
      <ability>L2_DDD</ability>
      <abilityName>的地得用法</abilityName>
      <candidateList>
        <item>的</item>
      </candidateList>
      <explain>“的”常用于连接修饰语与名词性中心语，表示属性、所属或描述。</explain>
      <paraID>1F7388B9</paraID>
      <start>135</start>
      <end>136</end>
      <status>unmodified</status>
      <modifiedWord/>
      <trackRevisions>false</trackRevisions>
    </reviewItem>
    <reviewItem>
      <errorID>ac3a747f-ed30-42df-a8c6-625b7ded3f8e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2B13DF0D</paraID>
      <start>0</start>
      <end>2</end>
      <status>unmodified</status>
      <modifiedWord/>
      <trackRevisions>false</trackRevisions>
    </reviewItem>
    <reviewItem>
      <errorID>8f750eaa-ae53-4f5a-b4ad-00f9009762ad</errorID>
      <errorWord>》（试行）</errorWord>
      <group>L1_Word</group>
      <groupName>字词问题</groupName>
      <ability>L2_Typo</ability>
      <abilityName>字词错误</abilityName>
      <candidateList>
        <item>（试行）》</item>
      </candidateList>
      <explain/>
      <paraID> 460C188</paraID>
      <start>27</start>
      <end>32</end>
      <status>unmodified</status>
      <modifiedWord/>
      <trackRevisions>false</trackRevisions>
    </reviewItem>
    <reviewItem>
      <errorID>190551dd-005f-4113-932c-916bc6819a0e</errorID>
      <errorWord>近</errorWord>
      <group>L1_Word</group>
      <groupName>字词问题</groupName>
      <ability>L2_Typo</ability>
      <abilityName>字词错误</abilityName>
      <candidateList>
        <item>较近</item>
      </candidateList>
      <explain/>
      <paraID> 460C188</paraID>
      <start>47</start>
      <end>48</end>
      <status>unmodified</status>
      <modifiedWord/>
      <trackRevisions>false</trackRevisions>
    </reviewItem>
    <reviewItem>
      <errorID>6a3ccc00-4a06-4f77-b758-01d768279a4e</errorID>
      <errorWord>-</errorWord>
      <group>L1_Format</group>
      <groupName>格式问题</groupName>
      <ability>L2_HalfPunc</ability>
      <abilityName>全半角检查</abilityName>
      <candidateList>
        <item>－</item>
      </candidateList>
      <explain>文本全半角错误。</explain>
      <paraID> 19BD312</paraID>
      <start>69</start>
      <end>70</end>
      <status>unmodified</status>
      <modifiedWord/>
      <trackRevisions>false</trackRevisions>
    </reviewItem>
    <reviewItem>
      <errorID>896e39a5-ee72-426e-99a0-2bfdd1a7ae18</errorID>
      <errorWord>“/</errorWord>
      <group>L1_Punc</group>
      <groupName>标点问题</groupName>
      <ability>L2_Punc</ability>
      <abilityName>标点符号检查</abilityName>
      <candidateList>
        <item>“</item>
      </candidateList>
      <explain/>
      <paraID>18D6397F</paraID>
      <start>2</start>
      <end>4</end>
      <status>unmodified</status>
      <modifiedWord/>
      <trackRevisions>false</trackRevisions>
    </reviewItem>
    <reviewItem>
      <errorID>44189536-b7a9-4346-b069-a03364ce3cee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3B2BF26F</paraID>
      <start>0</start>
      <end>2</end>
      <status>unmodified</status>
      <modifiedWord/>
      <trackRevisions>false</trackRevisions>
    </reviewItem>
    <reviewItem>
      <errorID>923e230d-cdca-416d-a618-b25005e8ad34</errorID>
      <errorWord>》（试行）</errorWord>
      <group>L1_Word</group>
      <groupName>字词问题</groupName>
      <ability>L2_Typo</ability>
      <abilityName>字词错误</abilityName>
      <candidateList>
        <item>（试行）》</item>
      </candidateList>
      <explain/>
      <paraID>52A96ACC</paraID>
      <start>27</start>
      <end>32</end>
      <status>unmodified</status>
      <modifiedWord/>
      <trackRevisions>false</trackRevisions>
    </reviewItem>
    <reviewItem>
      <errorID>f3263e95-341b-4b12-a1bf-959bcb921311</errorID>
      <errorWord>于</errorWord>
      <group>L1_Word</group>
      <groupName>字词问题</groupName>
      <ability>L2_Typo</ability>
      <abilityName>字词错误</abilityName>
      <candidateList>
        <item>与</item>
      </candidateList>
      <explain/>
      <paraID>52A96ACC</paraID>
      <start>58</start>
      <end>59</end>
      <status>unmodified</status>
      <modifiedWord/>
      <trackRevisions>false</trackRevisions>
    </reviewItem>
    <reviewItem>
      <errorID>79f8c7c0-61a3-4188-9122-3594ee2fe418</errorID>
      <errorWord>近</errorWord>
      <group>L1_Word</group>
      <groupName>字词问题</groupName>
      <ability>L2_Typo</ability>
      <abilityName>字词错误</abilityName>
      <candidateList>
        <item>较近</item>
      </candidateList>
      <explain/>
      <paraID>52A96ACC</paraID>
      <start>65</start>
      <end>66</end>
      <status>unmodified</status>
      <modifiedWord/>
      <trackRevisions>false</trackRevisions>
    </reviewItem>
    <reviewItem>
      <errorID>9d2866ae-3378-4dfe-b5e0-5ece3bf02f89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1DA10BD3</paraID>
      <start>0</start>
      <end>2</end>
      <status>unmodified</status>
      <modifiedWord/>
      <trackRevisions>false</trackRevisions>
    </reviewItem>
    <reviewItem>
      <errorID>b766b04e-53aa-402e-be48-28080195c8cb</errorID>
      <errorWord>-</errorWord>
      <group>L1_Punc</group>
      <groupName>标点问题</groupName>
      <ability>L2_Punc</ability>
      <abilityName>标点符号检查</abilityName>
      <candidateList>
        <item>～</item>
      </candidateList>
      <explain/>
      <paraID>55ED745C</paraID>
      <start>42</start>
      <end>43</end>
      <status>unmodified</status>
      <modifiedWord/>
      <trackRevisions>false</trackRevisions>
    </reviewItem>
    <reviewItem>
      <errorID>a7f06c7b-7332-4d6e-8d6b-2db3a212b868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7790CEED</paraID>
      <start>24</start>
      <end>25</end>
      <status>unmodified</status>
      <modifiedWord/>
      <trackRevisions>false</trackRevisions>
    </reviewItem>
    <reviewItem>
      <errorID>4faaa928-7cbd-469c-843a-d49984c85ddd</errorID>
      <errorWord>（</errorWord>
      <group>L1_Format</group>
      <groupName>格式问题</groupName>
      <ability>L2_HalfPunc</ability>
      <abilityName>全半角检查</abilityName>
      <candidateList>
        <item>(</item>
      </candidateList>
      <explain>文本全半角错误。</explain>
      <paraID>7FD7F67C</paraID>
      <start>0</start>
      <end>1</end>
      <status>unmodified</status>
      <modifiedWord/>
      <trackRevisions>false</trackRevisions>
    </reviewItem>
    <reviewItem>
      <errorID>e0769210-8cca-4707-8e90-0d77c88fdf8b</errorID>
      <errorWord>）</errorWord>
      <group>L1_Format</group>
      <groupName>格式问题</groupName>
      <ability>L2_HalfPunc</ability>
      <abilityName>全半角检查</abilityName>
      <candidateList>
        <item>)</item>
      </candidateList>
      <explain>文本全半角错误。</explain>
      <paraID>7FD7F67C</paraID>
      <start>6</start>
      <end>7</end>
      <status>unmodified</status>
      <modifiedWord/>
      <trackRevisions>false</trackRevisions>
    </reviewItem>
    <reviewItem>
      <errorID>41e14f8d-e7a6-4656-9344-e46968c3f28a</errorID>
      <errorWord>(</errorWord>
      <group>L1_Format</group>
      <groupName>格式问题</groupName>
      <ability>L2_HalfPunc</ability>
      <abilityName>全半角检查</abilityName>
      <candidateList>
        <item>（</item>
      </candidateList>
      <explain>文本全半角错误。</explain>
      <paraID>27F43599</paraID>
      <start>2</start>
      <end>3</end>
      <status>unmodified</status>
      <modifiedWord/>
      <trackRevisions>false</trackRevisions>
    </reviewItem>
    <reviewItem>
      <errorID>ef826bbd-07e4-423f-926f-a1cc3711a04b</errorID>
      <errorWord>)</errorWord>
      <group>L1_Format</group>
      <groupName>格式问题</groupName>
      <ability>L2_HalfPunc</ability>
      <abilityName>全半角检查</abilityName>
      <candidateList>
        <item>）</item>
      </candidateList>
      <explain>文本全半角错误。</explain>
      <paraID>27F43599</paraID>
      <start>8</start>
      <end>9</end>
      <status>unmodified</status>
      <modifiedWord/>
      <trackRevisions>false</trackRevisions>
    </reviewItem>
    <reviewItem>
      <errorID>2638e32a-ace7-433a-8230-f2c66b055df7</errorID>
      <errorWord>(</errorWord>
      <group>L1_Format</group>
      <groupName>格式问题</groupName>
      <ability>L2_HalfPunc</ability>
      <abilityName>全半角检查</abilityName>
      <candidateList>
        <item>（</item>
      </candidateList>
      <explain>文本全半角错误。</explain>
      <paraID>286E98CD</paraID>
      <start>5</start>
      <end>6</end>
      <status>unmodified</status>
      <modifiedWord/>
      <trackRevisions>false</trackRevisions>
    </reviewItem>
    <reviewItem>
      <errorID>1429a526-9f10-4f48-93d3-744bd059668d</errorID>
      <errorWord>)</errorWord>
      <group>L1_Format</group>
      <groupName>格式问题</groupName>
      <ability>L2_HalfPunc</ability>
      <abilityName>全半角检查</abilityName>
      <candidateList>
        <item>）</item>
      </candidateList>
      <explain>文本全半角错误。</explain>
      <paraID>286E98CD</paraID>
      <start>11</start>
      <end>12</end>
      <status>unmodified</status>
      <modifiedWord/>
      <trackRevisions>false</trackRevisions>
    </reviewItem>
    <reviewItem>
      <errorID>6ef57ba4-25c5-447f-bdb3-02abe763e165</errorID>
      <errorWord>》（试行）的</errorWord>
      <group>L1_Word</group>
      <groupName>字词问题</groupName>
      <ability>L2_Typo</ability>
      <abilityName>字词错误</abilityName>
      <candidateList>
        <item>（试行）》的</item>
      </candidateList>
      <explain/>
      <paraID>44E3F843</paraID>
      <start>27</start>
      <end>33</end>
      <status>unmodified</status>
      <modifiedWord/>
      <trackRevisions>false</trackRevisions>
    </reviewItem>
    <reviewItem>
      <errorID>aab46984-327f-424b-854e-b275f8c8d8bf</errorID>
      <errorWord>》</errorWord>
      <group>L1_Punc</group>
      <groupName>标点问题</groupName>
      <ability>L2_Punc</ability>
      <abilityName>标点符号检查</abilityName>
      <candidateList>
        <item/>
      </candidateList>
      <explain/>
      <paraID>738D7880</paraID>
      <start>20</start>
      <end>21</end>
      <status>unmodified</status>
      <modifiedWord/>
      <trackRevisions>false</trackRevisions>
    </reviewItem>
    <reviewItem>
      <errorID>c80082e7-2627-493b-b4d0-a9952b1fd299</errorID>
      <errorWord>中</errorWord>
      <group>L1_Word</group>
      <groupName>字词问题</groupName>
      <ability>L2_Typo</ability>
      <abilityName>字词错误</abilityName>
      <candidateList>
        <item>》的</item>
      </candidateList>
      <explain/>
      <paraID>738D7880</paraID>
      <start>28</start>
      <end>29</end>
      <status>unmodified</status>
      <modifiedWord/>
      <trackRevisions>false</trackRevisions>
    </reviewItem>
    <reviewItem>
      <errorID>0c043c38-67c2-4bb5-b23e-c68507db4835</errorID>
      <errorWord>》（试行）的</errorWord>
      <group>L1_Word</group>
      <groupName>字词问题</groupName>
      <ability>L2_Typo</ability>
      <abilityName>字词错误</abilityName>
      <candidateList>
        <item>（试行）》的</item>
      </candidateList>
      <explain/>
      <paraID>244EA629</paraID>
      <start>27</start>
      <end>33</end>
      <status>unmodified</status>
      <modifiedWord/>
      <trackRevisions>false</trackRevisions>
    </reviewItem>
    <reviewItem>
      <errorID>928de42a-1066-4110-ad8c-21df7b9ab172</errorID>
      <errorWord>》（试行）</errorWord>
      <group>L1_Word</group>
      <groupName>字词问题</groupName>
      <ability>L2_Typo</ability>
      <abilityName>字词错误</abilityName>
      <candidateList>
        <item>（试行）》</item>
      </candidateList>
      <explain/>
      <paraID>3361BF7A</paraID>
      <start>58</start>
      <end>63</end>
      <status>unmodified</status>
      <modifiedWord/>
      <trackRevisions>false</trackRevisions>
    </reviewItem>
    <reviewItem>
      <errorID>c68e92ef-6280-4fbd-9b55-9170af191f8e</errorID>
      <errorWord>》（试行）的</errorWord>
      <group>L1_Word</group>
      <groupName>字词问题</groupName>
      <ability>L2_Typo</ability>
      <abilityName>字词错误</abilityName>
      <candidateList>
        <item>（试行）》的</item>
      </candidateList>
      <explain/>
      <paraID>55BA558D</paraID>
      <start>27</start>
      <end>33</end>
      <status>unmodified</status>
      <modifiedWord/>
      <trackRevisions>false</trackRevisions>
    </reviewItem>
    <reviewItem>
      <errorID>3c2f3a11-e26c-44d0-989f-09ca838fb852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169B519F</paraID>
      <start>0</start>
      <end>2</end>
      <status>unmodified</status>
      <modifiedWord/>
      <trackRevisions>false</trackRevisions>
    </reviewItem>
    <reviewItem>
      <errorID>53c7a892-95c6-4d9d-acf2-8c463d922a24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3D66BCF6</paraID>
      <start>0</start>
      <end>2</end>
      <status>unmodified</status>
      <modifiedWord/>
      <trackRevisions>false</trackRevisions>
    </reviewItem>
    <reviewItem>
      <errorID>9891b7c8-1e41-4e65-8afe-50a66d82bad5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C82843C</paraID>
      <start>0</start>
      <end>2</end>
      <status>unmodified</status>
      <modifiedWord/>
      <trackRevisions>false</trackRevisions>
    </reviewItem>
    <reviewItem>
      <errorID>4615a208-49ca-499d-a4c2-b4f5cbdbac57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A967709</paraID>
      <start>0</start>
      <end>2</end>
      <status>unmodified</status>
      <modifiedWord/>
      <trackRevisions>false</trackRevisions>
    </reviewItem>
    <reviewItem>
      <errorID>2366d944-6a02-474b-b970-ad0ea3a84449</errorID>
      <errorWord>位于</errorWord>
      <group>L1_Word</group>
      <groupName>字词问题</groupName>
      <ability>L2_Typo</ability>
      <abilityName>字词错误</abilityName>
      <candidateList>
        <item>在</item>
      </candidateList>
      <explain/>
      <paraID>578E1C4F</paraID>
      <start>17</start>
      <end>19</end>
      <status>unmodified</status>
      <modifiedWord/>
      <trackRevisions>false</trackRevisions>
    </reviewItem>
    <reviewItem>
      <errorID>fa1a3f2c-11df-4a13-882a-b195ee933823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18E87BA4</paraID>
      <start>0</start>
      <end>2</end>
      <status>unmodified</status>
      <modifiedWord/>
      <trackRevisions>false</trackRevisions>
    </reviewItem>
    <reviewItem>
      <errorID>e24de361-e6fb-4b91-a9c3-a6bb89369ff4</errorID>
      <errorWord>3</errorWord>
      <group>L1_Word</group>
      <groupName>字词问题</groupName>
      <ability>L2_Typo</ability>
      <abilityName>字词错误</abilityName>
      <candidateList>
        <item>的3</item>
      </candidateList>
      <explain/>
      <paraID>7634B8C3</paraID>
      <start>79</start>
      <end>80</end>
      <status>unmodified</status>
      <modifiedWord/>
      <trackRevisions>false</trackRevisions>
    </reviewItem>
    <reviewItem>
      <errorID>89256d7e-c4bc-45c3-b4a3-7c01d4b542cb</errorID>
      <errorWord>标准</errorWord>
      <group>L1_Punc</group>
      <groupName>标点问题</groupName>
      <ability>L2_Punc</ability>
      <abilityName>标点符号检查</abilityName>
      <candidateList>
        <item>标准。</item>
      </candidateList>
      <explain/>
      <paraID>7634B8C3</paraID>
      <start>81</start>
      <end>83</end>
      <status>unmodified</status>
      <modifiedWord/>
      <trackRevisions>false</trackRevisions>
    </reviewItem>
    <reviewItem>
      <errorID>0c6cd0ed-3b05-4437-88d3-5d06972a9243</errorID>
      <errorWord>（</errorWord>
      <group>L1_Format</group>
      <groupName>格式问题</groupName>
      <ability>L2_HalfPunc</ability>
      <abilityName>全半角检查</abilityName>
      <candidateList>
        <item>(</item>
      </candidateList>
      <explain>文本全半角错误。</explain>
      <paraID>74F13DDE</paraID>
      <start>4</start>
      <end>5</end>
      <status>unmodified</status>
      <modifiedWord/>
      <trackRevisions>false</trackRevisions>
    </reviewItem>
    <reviewItem>
      <errorID>8313b2ea-0950-4fa7-8f5c-5837a57e52f4</errorID>
      <errorWord>）</errorWord>
      <group>L1_Format</group>
      <groupName>格式问题</groupName>
      <ability>L2_HalfPunc</ability>
      <abilityName>全半角检查</abilityName>
      <candidateList>
        <item>)</item>
      </candidateList>
      <explain>文本全半角错误。</explain>
      <paraID>74F13DDE</paraID>
      <start>6</start>
      <end>7</end>
      <status>unmodified</status>
      <modifiedWord/>
      <trackRevisions>false</trackRevisions>
    </reviewItem>
    <reviewItem>
      <errorID>2015d5e5-cf7f-46af-879a-b2a4984c2381</errorID>
      <errorWord>（</errorWord>
      <group>L1_Format</group>
      <groupName>格式问题</groupName>
      <ability>L2_HalfPunc</ability>
      <abilityName>全半角检查</abilityName>
      <candidateList>
        <item>(</item>
      </candidateList>
      <explain>文本全半角错误。</explain>
      <paraID>46F4FB83</paraID>
      <start>4</start>
      <end>5</end>
      <status>unmodified</status>
      <modifiedWord/>
      <trackRevisions>false</trackRevisions>
    </reviewItem>
    <reviewItem>
      <errorID>2fb6d83c-d1d9-4081-b9b2-10edcd87922e</errorID>
      <errorWord>）</errorWord>
      <group>L1_Format</group>
      <groupName>格式问题</groupName>
      <ability>L2_HalfPunc</ability>
      <abilityName>全半角检查</abilityName>
      <candidateList>
        <item>)</item>
      </candidateList>
      <explain>文本全半角错误。</explain>
      <paraID>46F4FB83</paraID>
      <start>6</start>
      <end>7</end>
      <status>unmodified</status>
      <modifiedWord/>
      <trackRevisions>false</trackRevisions>
    </reviewItem>
    <reviewItem>
      <errorID>58ca1c72-8caf-4ec8-92a9-ebf9cd38ad5e</errorID>
      <errorWord>（</errorWord>
      <group>L1_Format</group>
      <groupName>格式问题</groupName>
      <ability>L2_HalfPunc</ability>
      <abilityName>全半角检查</abilityName>
      <candidateList>
        <item>(</item>
      </candidateList>
      <explain>文本全半角错误。</explain>
      <paraID> 779F9CE</paraID>
      <start>4</start>
      <end>5</end>
      <status>unmodified</status>
      <modifiedWord/>
      <trackRevisions>false</trackRevisions>
    </reviewItem>
    <reviewItem>
      <errorID>5c5c5702-a876-4c27-b53d-d86ac3553363</errorID>
      <errorWord>）</errorWord>
      <group>L1_Format</group>
      <groupName>格式问题</groupName>
      <ability>L2_HalfPunc</ability>
      <abilityName>全半角检查</abilityName>
      <candidateList>
        <item>)</item>
      </candidateList>
      <explain>文本全半角错误。</explain>
      <paraID> 779F9CE</paraID>
      <start>6</start>
      <end>7</end>
      <status>unmodified</status>
      <modifiedWord/>
      <trackRevisions>false</trackRevisions>
    </reviewItem>
    <reviewItem>
      <errorID>03c5b051-1149-4780-bd4e-31a09f40eb46</errorID>
      <errorWord>（</errorWord>
      <group>L1_Format</group>
      <groupName>格式问题</groupName>
      <ability>L2_HalfPunc</ability>
      <abilityName>全半角检查</abilityName>
      <candidateList>
        <item>(</item>
      </candidateList>
      <explain>文本全半角错误。</explain>
      <paraID>148E84F1</paraID>
      <start>4</start>
      <end>5</end>
      <status>unmodified</status>
      <modifiedWord/>
      <trackRevisions>false</trackRevisions>
    </reviewItem>
    <reviewItem>
      <errorID>728c04c7-d1e0-4fb0-bef6-6679e3cef64e</errorID>
      <errorWord>）</errorWord>
      <group>L1_Format</group>
      <groupName>格式问题</groupName>
      <ability>L2_HalfPunc</ability>
      <abilityName>全半角检查</abilityName>
      <candidateList>
        <item>)</item>
      </candidateList>
      <explain>文本全半角错误。</explain>
      <paraID>148E84F1</paraID>
      <start>6</start>
      <end>7</end>
      <status>unmodified</status>
      <modifiedWord/>
      <trackRevisions>false</trackRevisions>
    </reviewItem>
    <reviewItem>
      <errorID>b3cbb3a1-3320-44a2-8c90-c9fd7df250c1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7E67AF03</paraID>
      <start>0</start>
      <end>2</end>
      <status>unmodified</status>
      <modifiedWord/>
      <trackRevisions>false</trackRevisions>
    </reviewItem>
    <reviewItem>
      <errorID>3cdf2a16-5220-4d04-8438-27b77f09722f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35D4DB7B</paraID>
      <start>0</start>
      <end>2</end>
      <status>unmodified</status>
      <modifiedWord/>
      <trackRevisions>false</trackRevisions>
    </reviewItem>
    <reviewItem>
      <errorID>b6e9d63d-db3b-429c-a3eb-07656f5dd4e2</errorID>
      <errorWord>(</errorWord>
      <group>L1_Format</group>
      <groupName>格式问题</groupName>
      <ability>L2_HalfPunc</ability>
      <abilityName>全半角检查</abilityName>
      <candidateList>
        <item>（</item>
      </candidateList>
      <explain>文本全半角错误。</explain>
      <paraID>64F79EDC</paraID>
      <start>35</start>
      <end>36</end>
      <status>unmodified</status>
      <modifiedWord/>
      <trackRevisions>false</trackRevisions>
    </reviewItem>
    <reviewItem>
      <errorID>a0bb7d1c-06db-4c7d-8893-bcc5e4fd474f</errorID>
      <errorWord>)</errorWord>
      <group>L1_Format</group>
      <groupName>格式问题</groupName>
      <ability>L2_HalfPunc</ability>
      <abilityName>全半角检查</abilityName>
      <candidateList>
        <item>）</item>
      </candidateList>
      <explain>文本全半角错误。</explain>
      <paraID>64F79EDC</paraID>
      <start>48</start>
      <end>49</end>
      <status>unmodified</status>
      <modifiedWord/>
      <trackRevisions>false</trackRevisions>
    </reviewItem>
    <reviewItem>
      <errorID>4d742abf-18a8-48c1-9170-443566690bfe</errorID>
      <errorWord>(</errorWord>
      <group>L1_Format</group>
      <groupName>格式问题</groupName>
      <ability>L2_HalfPunc</ability>
      <abilityName>全半角检查</abilityName>
      <candidateList>
        <item>（</item>
      </candidateList>
      <explain>文本全半角错误。</explain>
      <paraID>64F79EDC</paraID>
      <start>76</start>
      <end>77</end>
      <status>unmodified</status>
      <modifiedWord/>
      <trackRevisions>false</trackRevisions>
    </reviewItem>
    <reviewItem>
      <errorID>6d242c62-0875-491c-8470-5645ff1437bd</errorID>
      <errorWord>)</errorWord>
      <group>L1_Format</group>
      <groupName>格式问题</groupName>
      <ability>L2_HalfPunc</ability>
      <abilityName>全半角检查</abilityName>
      <candidateList>
        <item>）</item>
      </candidateList>
      <explain>文本全半角错误。</explain>
      <paraID>64F79EDC</paraID>
      <start>89</start>
      <end>90</end>
      <status>unmodified</status>
      <modifiedWord/>
      <trackRevisions>false</trackRevisions>
    </reviewItem>
    <reviewItem>
      <errorID>0f85a2e2-aa5c-4f3a-b282-755e45ddcc49</errorID>
      <errorWord>“</errorWord>
      <group>L1_Punc</group>
      <groupName>标点问题</groupName>
      <ability>L2_Punc</ability>
      <abilityName>标点符号检查</abilityName>
      <candidateList>
        <item>：“</item>
      </candidateList>
      <explain/>
      <paraID>7C471DD3</paraID>
      <start>41</start>
      <end>42</end>
      <status>unmodified</status>
      <modifiedWord/>
      <trackRevisions>false</trackRevisions>
    </reviewItem>
    <reviewItem>
      <errorID>5111e9e9-9ce4-4eb5-b484-e111c04b40b4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1D15C732</paraID>
      <start>0</start>
      <end>2</end>
      <status>unmodified</status>
      <modifiedWord/>
      <trackRevisions>false</trackRevisions>
    </reviewItem>
    <reviewItem>
      <errorID>c2c606b3-fdaf-4c40-a35b-ed06f3338210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46914BA4</paraID>
      <start>0</start>
      <end>2</end>
      <status>unmodified</status>
      <modifiedWord/>
      <trackRevisions>false</trackRevisions>
    </reviewItem>
    <reviewItem>
      <errorID>dadd5c18-d64a-4e70-90d3-349b8240876a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6C2C2CEA</paraID>
      <start>0</start>
      <end>2</end>
      <status>unmodified</status>
      <modifiedWord/>
      <trackRevisions>false</trackRevisions>
    </reviewItem>
    <reviewItem>
      <errorID>08c2a5fc-4e8c-4288-b473-05be6087b633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195D2533</paraID>
      <start>0</start>
      <end>2</end>
      <status>unmodified</status>
      <modifiedWord/>
      <trackRevisions>false</trackRevisions>
    </reviewItem>
    <reviewItem>
      <errorID>8036d57e-ad10-42bb-bb3c-edde22f85bf4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34FAAA5D</paraID>
      <start>0</start>
      <end>2</end>
      <status>unmodified</status>
      <modifiedWord/>
      <trackRevisions>false</trackRevisions>
    </reviewItem>
    <reviewItem>
      <errorID>fa217960-cd25-429a-b248-d8ad014bbf23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18AFCEE5</paraID>
      <start>0</start>
      <end>2</end>
      <status>unmodified</status>
      <modifiedWord/>
      <trackRevisions>false</trackRevisions>
    </reviewItem>
    <reviewItem>
      <errorID>84e52de6-fad1-4eba-a518-42f7d85ceace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7A19AB92</paraID>
      <start>0</start>
      <end>2</end>
      <status>unmodified</status>
      <modifiedWord/>
      <trackRevisions>false</trackRevisions>
    </reviewItem>
    <reviewItem>
      <errorID>267ff6f6-853d-4d26-88a8-d41e59d2a19f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463B2721</paraID>
      <start>0</start>
      <end>2</end>
      <status>unmodified</status>
      <modifiedWord/>
      <trackRevisions>false</trackRevisions>
    </reviewItem>
    <reviewItem>
      <errorID>1935f3d3-c13c-4394-b34b-6be70398c96b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4D538ABE</paraID>
      <start>0</start>
      <end>2</end>
      <status>unmodified</status>
      <modifiedWord/>
      <trackRevisions>false</trackRevisions>
    </reviewItem>
    <reviewItem>
      <errorID>6af0d54f-2413-41ae-b391-f44fb8afb673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55DDCDD9</paraID>
      <start>0</start>
      <end>2</end>
      <status>unmodified</status>
      <modifiedWord/>
      <trackRevisions>false</trackRevisions>
    </reviewItem>
    <reviewItem>
      <errorID>10978528-8839-498f-a054-8e59f74549fe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3DDFB477</paraID>
      <start>0</start>
      <end>2</end>
      <status>unmodified</status>
      <modifiedWord/>
      <trackRevisions>false</trackRevisions>
    </reviewItem>
    <reviewItem>
      <errorID>9699c9ef-0585-41c2-8ae3-48b8fda19a81</errorID>
      <errorWord>获</errorWord>
      <group>L1_Word</group>
      <groupName>字词问题</groupName>
      <ability>L2_Typo</ability>
      <abilityName>字词错误</abilityName>
      <candidateList>
        <item>获得</item>
      </candidateList>
      <explain>〈动〉取得；得到（多用于抽象事物）：～好评｜～宝贵的经验｜～显著的成绩。</explain>
      <paraID>2EF96436</paraID>
      <start>87</start>
      <end>88</end>
      <status>unmodified</status>
      <modifiedWord/>
      <trackRevisions>false</trackRevisions>
    </reviewItem>
    <reviewItem>
      <errorID>52b1f903-fa83-424b-af25-49b2c0b34877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3559FFF4</paraID>
      <start>0</start>
      <end>2</end>
      <status>unmodified</status>
      <modifiedWord/>
      <trackRevisions>false</trackRevisions>
    </reviewItem>
    <reviewItem>
      <errorID>f1250cae-547e-4c9a-a9aa-dbb05c54d49c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6C12685B</paraID>
      <start>0</start>
      <end>2</end>
      <status>unmodified</status>
      <modifiedWord/>
      <trackRevisions>false</trackRevisions>
    </reviewItem>
    <reviewItem>
      <errorID>11232f58-0daa-4d88-af25-014dd9a7b241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55FA926F</paraID>
      <start>0</start>
      <end>2</end>
      <status>unmodified</status>
      <modifiedWord/>
      <trackRevisions>false</trackRevisions>
    </reviewItem>
    <reviewItem>
      <errorID>3729fbfa-506c-45f6-a5ce-03e3254ab6f6</errorID>
      <errorWord>提高</errorWord>
      <group>L1_Grammar</group>
      <groupName>语法问题</groupName>
      <ability>L2_Grammar</ability>
      <abilityName>语法错误</abilityName>
      <candidateList>
        <item>增强</item>
      </candidateList>
      <explain>“提高～意识”搭配不当，建议修改为“增强～意识”。</explain>
      <paraID>5083D027</paraID>
      <start>25</start>
      <end>27</end>
      <status>unmodified</status>
      <modifiedWord/>
      <trackRevisions>false</trackRevisions>
    </reviewItem>
    <reviewItem>
      <errorID>f4aad8b8-290e-4a2d-9262-69e4ffd64aad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5B214231</paraID>
      <start>0</start>
      <end>2</end>
      <status>unmodified</status>
      <modifiedWord/>
      <trackRevisions>false</trackRevisions>
    </reviewItem>
    <reviewItem>
      <errorID>c158f686-0d78-40cc-9c9f-df795b1a10a1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47A701B3</paraID>
      <start>0</start>
      <end>2</end>
      <status>unmodified</status>
      <modifiedWord/>
      <trackRevisions>false</trackRevisions>
    </reviewItem>
    <reviewItem>
      <errorID>fc10fef1-d161-4784-b8d6-fdfc3c28e066</errorID>
      <errorWord>定期</errorWord>
      <group>L1_Punc</group>
      <groupName>标点问题</groupName>
      <ability>L2_Punc</ability>
      <abilityName>标点符号检查</abilityName>
      <candidateList>
        <item>，定期</item>
      </candidateList>
      <explain/>
      <paraID>45B7B4A1</paraID>
      <start>13</start>
      <end>15</end>
      <status>unmodified</status>
      <modifiedWord/>
      <trackRevisions>false</trackRevisions>
    </reviewItem>
    <reviewItem>
      <errorID>54670fbb-b7a4-44e1-a951-6b835611b2a8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360C4D26</paraID>
      <start>0</start>
      <end>2</end>
      <status>unmodified</status>
      <modifiedWord/>
      <trackRevisions>false</trackRevisions>
    </reviewItem>
    <reviewItem>
      <errorID>b5aef5e0-725d-4b08-8cc3-b0c4d95a8585</errorID>
      <errorWord>位于</errorWord>
      <group>L1_Word</group>
      <groupName>字词问题</groupName>
      <ability>L2_Typo</ability>
      <abilityName>字词错误</abilityName>
      <candidateList>
        <item>为</item>
      </candidateList>
      <explain/>
      <paraID> 95B4BC0</paraID>
      <start>9</start>
      <end>11</end>
      <status>unmodified</status>
      <modifiedWord/>
      <trackRevisions>false</trackRevisions>
    </reviewItem>
    <reviewItem>
      <errorID>16e496f9-151e-4fd0-ac4c-41e3693ab544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3E267031</paraID>
      <start>0</start>
      <end>2</end>
      <status>unmodified</status>
      <modifiedWord/>
      <trackRevisions>false</trackRevisions>
    </reviewItem>
    <reviewItem>
      <errorID>393dd815-e79a-4715-bcbd-439bf69f0ce6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2EE1359C</paraID>
      <start>0</start>
      <end>2</end>
      <status>unmodified</status>
      <modifiedWord/>
      <trackRevisions>false</trackRevisions>
    </reviewItem>
    <reviewItem>
      <errorID>d3154b56-4a68-4f50-9c03-486d5f1ad074</errorID>
      <errorWord>中&lt;303 砖瓦、石材等建筑材料制造行业系数手册&gt;</errorWord>
      <group>L1_Punc</group>
      <groupName>标点问题</groupName>
      <ability>L2_Punc</ability>
      <abilityName>标点符号检查</abilityName>
      <candidateList>
        <item>（303 砖瓦、石材等建筑材料制造行业系数手册）</item>
      </candidateList>
      <explain/>
      <paraID>46653291</paraID>
      <start>56</start>
      <end>81</end>
      <status>unmodified</status>
      <modifiedWord/>
      <trackRevisions>false</trackRevisions>
    </reviewItem>
    <reviewItem>
      <errorID>0f5ac632-f98b-42ed-8c5f-c837101a3470</errorID>
      <errorWord>-</errorWord>
      <group>L1_Format</group>
      <groupName>格式问题</groupName>
      <ability>L2_HalfPunc</ability>
      <abilityName>全半角检查</abilityName>
      <candidateList>
        <item>－</item>
      </candidateList>
      <explain>文本全半角错误。</explain>
      <paraID>46653291</paraID>
      <start>129</start>
      <end>130</end>
      <status>unmodified</status>
      <modifiedWord/>
      <trackRevisions>false</trackRevisions>
    </reviewItem>
    <reviewItem>
      <errorID>0ebc5d4d-b9e0-4f67-81b9-5c59bb0918c8</errorID>
      <errorWord>-</errorWord>
      <group>L1_Format</group>
      <groupName>格式问题</groupName>
      <ability>L2_HalfPunc</ability>
      <abilityName>全半角检查</abilityName>
      <candidateList>
        <item>－</item>
      </candidateList>
      <explain>文本全半角错误。</explain>
      <paraID>46653291</paraID>
      <start>148</start>
      <end>149</end>
      <status>unmodified</status>
      <modifiedWord/>
      <trackRevisions>false</trackRevisions>
    </reviewItem>
    <reviewItem>
      <errorID>81bb2c30-5fad-4b60-bf77-e21e13c7f8c4</errorID>
      <errorWord>- 3039 其他建筑材料制造行业系数手册</errorWord>
      <group>L1_Punc</group>
      <groupName>标点问题</groupName>
      <ability>L2_Punc</ability>
      <abilityName>标点符号检查</abilityName>
      <candidateList>
        <item>（3039 其他建筑材料制造行业系数手册）</item>
      </candidateList>
      <explain/>
      <paraID>787EE381</paraID>
      <start>23</start>
      <end>44</end>
      <status>unmodified</status>
      <modifiedWord/>
      <trackRevisions>false</trackRevisions>
    </reviewItem>
    <reviewItem>
      <errorID>26d38936-4191-4972-a964-7a0749d8caf6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2189053B</paraID>
      <start>0</start>
      <end>2</end>
      <status>unmodified</status>
      <modifiedWord/>
      <trackRevisions>false</trackRevisions>
    </reviewItem>
    <reviewItem>
      <errorID>c2c25222-3f4f-48e5-b6f8-526da3ef2217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FAD85B9</paraID>
      <start>0</start>
      <end>2</end>
      <status>unmodified</status>
      <modifiedWord/>
      <trackRevisions>false</trackRevisions>
    </reviewItem>
    <reviewItem>
      <errorID>56aab674-090d-4349-930e-66726971a9e4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468FF9A9</paraID>
      <start>0</start>
      <end>2</end>
      <status>unmodified</status>
      <modifiedWord/>
      <trackRevisions>false</trackRevisions>
    </reviewItem>
    <reviewItem>
      <errorID>f66a0872-ddce-4d9f-8e09-dfa10c036adc</errorID>
      <errorWord>（</errorWord>
      <group>L1_Format</group>
      <groupName>格式问题</groupName>
      <ability>L2_HalfPunc</ability>
      <abilityName>全半角检查</abilityName>
      <candidateList>
        <item>(</item>
      </candidateList>
      <explain>文本全半角错误。</explain>
      <paraID>180D8E28</paraID>
      <start>4</start>
      <end>5</end>
      <status>unmodified</status>
      <modifiedWord/>
      <trackRevisions>false</trackRevisions>
    </reviewItem>
    <reviewItem>
      <errorID>b00096b2-5f9a-41ba-83c9-4ee5e2c37bd9</errorID>
      <errorWord>）</errorWord>
      <group>L1_Format</group>
      <groupName>格式问题</groupName>
      <ability>L2_HalfPunc</ability>
      <abilityName>全半角检查</abilityName>
      <candidateList>
        <item>)</item>
      </candidateList>
      <explain>文本全半角错误。</explain>
      <paraID>180D8E28</paraID>
      <start>12</start>
      <end>13</end>
      <status>unmodified</status>
      <modifiedWord/>
      <trackRevisions>false</trackRevisions>
    </reviewItem>
    <reviewItem>
      <errorID>a764cf6a-afbd-4288-860d-c28c63079fcc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5EBFD392</paraID>
      <start>0</start>
      <end>2</end>
      <status>unmodified</status>
      <modifiedWord/>
      <trackRevisions>false</trackRevisions>
    </reviewItem>
    <reviewItem>
      <errorID>173ccba8-ebfd-400c-8e13-21df840f24a6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3EA9B84</paraID>
      <start>0</start>
      <end>2</end>
      <status>unmodified</status>
      <modifiedWord/>
      <trackRevisions>false</trackRevisions>
    </reviewItem>
    <reviewItem>
      <errorID>4b56fd24-d86b-40e4-88d6-01592d8cc57f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744719CE</paraID>
      <start>0</start>
      <end>2</end>
      <status>unmodified</status>
      <modifiedWord/>
      <trackRevisions>false</trackRevisions>
    </reviewItem>
    <reviewItem>
      <errorID>a1cfc0cd-d140-4225-a920-5e7f26215360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6BD8B420</paraID>
      <start>0</start>
      <end>2</end>
      <status>unmodified</status>
      <modifiedWord/>
      <trackRevisions>false</trackRevisions>
    </reviewItem>
    <reviewItem>
      <errorID>3ad7e12a-5752-4749-952b-7813e3f153c1</errorID>
      <errorWord>主要以集合发散衰减为主</errorWord>
      <group>L1_Grammar</group>
      <groupName>语法问题</groupName>
      <ability>L2_Grammar</ability>
      <abilityName>语法错误</abilityName>
      <candidateList>
        <item>以集合发散衰减为主</item>
      </candidateList>
      <explain/>
      <paraID>67485841</paraID>
      <start>12</start>
      <end>23</end>
      <status>unmodified</status>
      <modifiedWord/>
      <trackRevisions>false</trackRevisions>
    </reviewItem>
    <reviewItem>
      <errorID>7f8cadb9-63ce-456d-8ba0-06941df83573</errorID>
      <errorWord>（</errorWord>
      <group>L1_Punc</group>
      <groupName>标点问题</groupName>
      <ability>L2_Punc</ability>
      <abilityName>标点符号检查</abilityName>
      <candidateList/>
      <explain>同一形式括号套用。</explain>
      <paraID>682D70E2</paraID>
      <start>27</start>
      <end>28</end>
      <status>unmodified</status>
      <modifiedWord/>
      <trackRevisions>false</trackRevisions>
    </reviewItem>
    <reviewItem>
      <errorID>40ec536f-d529-4182-b7cc-84a925a21819</errorID>
      <errorWord>）</errorWord>
      <group>L1_Punc</group>
      <groupName>标点问题</groupName>
      <ability>L2_Punc</ability>
      <abilityName>标点符号检查</abilityName>
      <candidateList/>
      <explain>同一形式括号套用。</explain>
      <paraID>682D70E2</paraID>
      <start>29</start>
      <end>30</end>
      <status>unmodified</status>
      <modifiedWord/>
      <trackRevisions>false</trackRevisions>
    </reviewItem>
    <reviewItem>
      <errorID>5e5d9300-8ae5-4e86-afcb-6738d5df85d1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1A9FDB87</paraID>
      <start>0</start>
      <end>2</end>
      <status>unmodified</status>
      <modifiedWord/>
      <trackRevisions>false</trackRevisions>
    </reviewItem>
    <reviewItem>
      <errorID>ca165e39-4ef8-42a8-ab83-a00883a599c9</errorID>
      <errorWord>)</errorWord>
      <group>L1_Format</group>
      <groupName>格式问题</groupName>
      <ability>L2_HalfPunc</ability>
      <abilityName>全半角检查</abilityName>
      <candidateList>
        <item>）</item>
      </candidateList>
      <explain>文本全半角错误。</explain>
      <paraID>258C2E3F</paraID>
      <start>35</start>
      <end>36</end>
      <status>unmodified</status>
      <modifiedWord/>
      <trackRevisions>false</trackRevisions>
    </reviewItem>
    <reviewItem>
      <errorID>2593ca39-a772-4fb2-8e06-438ba00ebb52</errorID>
      <errorWord>)</errorWord>
      <group>L1_Format</group>
      <groupName>格式问题</groupName>
      <ability>L2_HalfPunc</ability>
      <abilityName>全半角检查</abilityName>
      <candidateList>
        <item>）</item>
      </candidateList>
      <explain>文本全半角错误。</explain>
      <paraID>1268D96F</paraID>
      <start>72</start>
      <end>73</end>
      <status>unmodified</status>
      <modifiedWord/>
      <trackRevisions>false</trackRevisions>
    </reviewItem>
    <reviewItem>
      <errorID>393cffb3-f8d5-4ac0-9a4e-e4bce0f722d8</errorID>
      <errorWord>)</errorWord>
      <group>L1_Format</group>
      <groupName>格式问题</groupName>
      <ability>L2_HalfPunc</ability>
      <abilityName>全半角检查</abilityName>
      <candidateList>
        <item>）</item>
      </candidateList>
      <explain>文本全半角错误。</explain>
      <paraID>3B14584C</paraID>
      <start>62</start>
      <end>63</end>
      <status>unmodified</status>
      <modifiedWord/>
      <trackRevisions>false</trackRevisions>
    </reviewItem>
    <reviewItem>
      <errorID>b543009f-4d46-4d23-9cd2-34dfe7cded0e</errorID>
      <errorWord>)</errorWord>
      <group>L1_Format</group>
      <groupName>格式问题</groupName>
      <ability>L2_HalfPunc</ability>
      <abilityName>全半角检查</abilityName>
      <candidateList>
        <item>）</item>
      </candidateList>
      <explain>文本全半角错误。</explain>
      <paraID> 371086B</paraID>
      <start>44</start>
      <end>45</end>
      <status>unmodified</status>
      <modifiedWord/>
      <trackRevisions>false</trackRevisions>
    </reviewItem>
    <reviewItem>
      <errorID>71c5c307-4512-47a8-a286-72129ae424a6</errorID>
      <errorWord>)</errorWord>
      <group>L1_Format</group>
      <groupName>格式问题</groupName>
      <ability>L2_HalfPunc</ability>
      <abilityName>全半角检查</abilityName>
      <candidateList>
        <item>）</item>
      </candidateList>
      <explain>文本全半角错误。</explain>
      <paraID>27B17483</paraID>
      <start>52</start>
      <end>53</end>
      <status>unmodified</status>
      <modifiedWord/>
      <trackRevisions>false</trackRevisions>
    </reviewItem>
    <reviewItem>
      <errorID>73d13afc-6354-47ac-937f-11237c0b9806</errorID>
      <errorWord>)</errorWord>
      <group>L1_Format</group>
      <groupName>格式问题</groupName>
      <ability>L2_HalfPunc</ability>
      <abilityName>全半角检查</abilityName>
      <candidateList>
        <item>）</item>
      </candidateList>
      <explain>文本全半角错误。</explain>
      <paraID> D4E1899</paraID>
      <start>57</start>
      <end>58</end>
      <status>unmodified</status>
      <modifiedWord/>
      <trackRevisions>false</trackRevisions>
    </reviewItem>
    <reviewItem>
      <errorID>b520238c-6690-47d2-90c1-4b9c8cf87184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2C6B586A</paraID>
      <start>0</start>
      <end>2</end>
      <status>unmodified</status>
      <modifiedWord/>
      <trackRevisions>false</trackRevisions>
    </reviewItem>
    <reviewItem>
      <errorID>23882d35-8ac5-4b9d-ab76-ddf29b9817a0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384C7AB5</paraID>
      <start>0</start>
      <end>2</end>
      <status>unmodified</status>
      <modifiedWord/>
      <trackRevisions>false</trackRevisions>
    </reviewItem>
    <reviewItem>
      <errorID>845f18c7-c298-4d68-acd4-13e6107e5762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3AC357A</paraID>
      <start>0</start>
      <end>2</end>
      <status>unmodified</status>
      <modifiedWord/>
      <trackRevisions>false</trackRevisions>
    </reviewItem>
    <reviewItem>
      <errorID>02618a63-d650-4dd7-a5c3-6b7c6aa9bd98</errorID>
      <errorWord>环境</errorWord>
      <group>L1_Word</group>
      <groupName>字词问题</groupName>
      <ability>L2_Typo</ability>
      <abilityName>字词错误</abilityName>
      <candidateList>
        <item>环节</item>
      </candidateList>
      <explain>〈名〉❶某些低等动物如蚯蚓、蜈蚣等，身体由许多大小差不多的环状结构互相连接组成，这些结构叫做环节，能伸缩。❷指互相关联的许多事物中的一个：主要～｜薄弱～。</explain>
      <paraID>2FCC5615</paraID>
      <start>121</start>
      <end>123</end>
      <status>unmodified</status>
      <modifiedWord/>
      <trackRevisions>false</trackRevisions>
    </reviewItem>
    <reviewItem>
      <errorID>ec32a6a3-5f0d-47a6-8805-412d6d55c540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361444B9</paraID>
      <start>0</start>
      <end>2</end>
      <status>unmodified</status>
      <modifiedWord/>
      <trackRevisions>false</trackRevisions>
    </reviewItem>
    <reviewItem>
      <errorID>ba1dc744-cb02-4824-9e5f-4cd6a64b0b6b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57187656</paraID>
      <start>0</start>
      <end>2</end>
      <status>unmodified</status>
      <modifiedWord/>
      <trackRevisions>false</trackRevisions>
    </reviewItem>
    <reviewItem>
      <errorID>f338ca9d-387a-44ae-9512-8336ac55e41b</errorID>
      <errorWord>作必要的</errorWord>
      <group>L1_Word</group>
      <groupName>字词问题</groupName>
      <ability>L2_Typo</ability>
      <abilityName>字词错误</abilityName>
      <candidateList>
        <item>做必要的</item>
      </candidateList>
      <explain/>
      <paraID> 3E05DDE</paraID>
      <start>75</start>
      <end>79</end>
      <status>unmodified</status>
      <modifiedWord/>
      <trackRevisions>false</trackRevisions>
    </reviewItem>
    <reviewItem>
      <errorID>c13c5aba-0c9f-41b8-9870-5632db057f84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5D2CE8E7</paraID>
      <start>61</start>
      <end>62</end>
      <status>unmodified</status>
      <modifiedWord/>
      <trackRevisions>false</trackRevisions>
    </reviewItem>
    <reviewItem>
      <errorID>00000d24-c48b-4855-b785-10c696dde8fb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232B3E30</paraID>
      <start>36</start>
      <end>37</end>
      <status>unmodified</status>
      <modifiedWord/>
      <trackRevisions>false</trackRevisions>
    </reviewItem>
    <reviewItem>
      <errorID>9b5ed51d-2b49-4ab9-ab70-355d5087c5a9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140B36D3</paraID>
      <start>0</start>
      <end>2</end>
      <status>unmodified</status>
      <modifiedWord/>
      <trackRevisions>false</trackRevisions>
    </reviewItem>
    <reviewItem>
      <errorID>3201d9ee-d9fc-4ab4-bb40-c5f942bd6cf3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1785FD9F</paraID>
      <start>0</start>
      <end>2</end>
      <status>unmodified</status>
      <modifiedWord/>
      <trackRevisions>false</trackRevisions>
    </reviewItem>
    <reviewItem>
      <errorID>3d31377d-c03c-4628-b474-158918f77969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108999D8</paraID>
      <start>0</start>
      <end>2</end>
      <status>unmodified</status>
      <modifiedWord/>
      <trackRevisions>false</trackRevisions>
    </reviewItem>
    <reviewItem>
      <errorID>4e04cf62-3dde-4e5c-b329-2ccf2882fc76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1FADD1F</paraID>
      <start>0</start>
      <end>2</end>
      <status>unmodified</status>
      <modifiedWord/>
      <trackRevisions>false</trackRevisions>
    </reviewItem>
    <reviewItem>
      <errorID>747a0a41-2d3b-40fd-a1c0-fe17cccdf14d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4C67766A</paraID>
      <start>0</start>
      <end>2</end>
      <status>unmodified</status>
      <modifiedWord/>
      <trackRevisions>false</trackRevisions>
    </reviewItem>
    <reviewItem>
      <errorID>5eeb103c-6d58-4efc-8981-5ae733f20250</errorID>
      <errorWord>见见</errorWord>
      <group>L1_Word</group>
      <groupName>字词问题</groupName>
      <ability>L2_Typo</ability>
      <abilityName>字词错误</abilityName>
      <candidateList>
        <item>见</item>
      </candidateList>
      <explain/>
      <paraID>6AED3B9A</paraID>
      <start>15</start>
      <end>17</end>
      <status>unmodified</status>
      <modifiedWord/>
      <trackRevisions>false</trackRevisions>
    </reviewItem>
    <reviewItem>
      <errorID>d141e9ec-c190-48bc-bec8-dd907ccbbfcf</errorID>
      <errorWord>固废物</errorWord>
      <group>L1_Word</group>
      <groupName>字词问题</groupName>
      <ability>L2_Typo</ability>
      <abilityName>字词错误</abilityName>
      <candidateList>
        <item>固体废物</item>
      </candidateList>
      <explain/>
      <paraID>630A8AE3</paraID>
      <start>0</start>
      <end>3</end>
      <status>unmodified</status>
      <modifiedWord/>
      <trackRevisions>false</trackRevisions>
    </reviewItem>
    <reviewItem>
      <errorID>de33913a-0ad2-4f4c-9c1c-3e0190c5d7a4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6B68B366</paraID>
      <start>21</start>
      <end>22</end>
      <status>unmodified</status>
      <modifiedWord/>
      <trackRevisions>false</trackRevisions>
    </reviewItem>
    <reviewItem>
      <errorID>e04df603-dd8a-49a9-bffa-c50176f233cd</errorID>
      <errorWord>（</errorWord>
      <group>L1_Format</group>
      <groupName>格式问题</groupName>
      <ability>L2_HalfPunc</ability>
      <abilityName>全半角检查</abilityName>
      <candidateList>
        <item>(</item>
      </candidateList>
      <explain>文本全半角错误。</explain>
      <paraID>2F5223EF</paraID>
      <start>0</start>
      <end>1</end>
      <status>unmodified</status>
      <modifiedWord/>
      <trackRevisions>false</trackRevisions>
    </reviewItem>
    <reviewItem>
      <errorID>6f90a4c1-aa75-4416-a5ac-10ff15d3644a</errorID>
      <errorWord>）</errorWord>
      <group>L1_Format</group>
      <groupName>格式问题</groupName>
      <ability>L2_HalfPunc</ability>
      <abilityName>全半角检查</abilityName>
      <candidateList>
        <item>)</item>
      </candidateList>
      <explain>文本全半角错误。</explain>
      <paraID>2F5223EF</paraID>
      <start>6</start>
      <end>7</end>
      <status>unmodified</status>
      <modifiedWord/>
      <trackRevisions>false</trackRevisions>
    </reviewItem>
    <reviewItem>
      <errorID>d8e558b1-7b1d-487e-b229-ba8d63bcdbed</errorID>
      <errorWord>全场</errorWord>
      <group>L1_Word</group>
      <groupName>字词问题</groupName>
      <ability>L2_Typo</ability>
      <abilityName>字词错误</abilityName>
      <candidateList>
        <item>全厂</item>
      </candidateList>
      <explain>存在发音相同字词的误用。</explain>
      <paraID>4851780F</paraID>
      <start>0</start>
      <end>2</end>
      <status>unmodified</status>
      <modifiedWord/>
      <trackRevisions>false</trackRevisions>
    </reviewItem>
    <reviewItem>
      <errorID>137d7664-e8b6-44fa-8239-26976298ddcf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2406DEAC</paraID>
      <start>53</start>
      <end>54</end>
      <status>unmodified</status>
      <modifiedWord/>
      <trackRevisions>false</trackRevisions>
    </reviewItem>
    <reviewItem>
      <errorID>a575d378-dd20-4e64-8cd6-8b7c2eca24bd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2406DEAC</paraID>
      <start>93</start>
      <end>94</end>
      <status>unmodified</status>
      <modifiedWord/>
      <trackRevisions>false</trackRevisions>
    </reviewItem>
    <reviewItem>
      <errorID>b3ac7d77-3ed4-4c2d-9a34-6105e0acf4cb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2406DEAC</paraID>
      <start>151</start>
      <end>152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28B56-B6B3-40CF-AA56-EA66E9CD2921}">
  <ds:schemaRefs/>
</ds:datastoreItem>
</file>

<file path=customXml/itemProps3.xml><?xml version="1.0" encoding="utf-8"?>
<ds:datastoreItem xmlns:ds="http://schemas.openxmlformats.org/officeDocument/2006/customXml" ds:itemID="{20C89C5B-2D64-40B5-AAD9-B65C0662E6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125</Words>
  <Characters>125</Characters>
  <Lines>362</Lines>
  <Paragraphs>102</Paragraphs>
  <TotalTime>242</TotalTime>
  <ScaleCrop>false</ScaleCrop>
  <LinksUpToDate>false</LinksUpToDate>
  <CharactersWithSpaces>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2023-04-04T01:06:00Z</dcterms:created>
  <dc:creator>WPS_1527839083</dc:creator>
  <cp:lastModifiedBy>BoBo</cp:lastModifiedBy>
  <cp:lastPrinted>2026-04-13T00:40:00Z</cp:lastPrinted>
  <dcterms:modified xsi:type="dcterms:W3CDTF">2026-05-11T01:57:09Z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6D08321985824B8E97A800DCE0C34C48_13</vt:lpwstr>
  </property>
  <property fmtid="{D5CDD505-2E9C-101B-9397-08002B2CF9AE}" pid="4" name="KSOTemplateDocerSaveRecord">
    <vt:lpwstr>eyJoZGlkIjoiYTFjYzU3MzYyZTU2YWIyOTA2OWMwY2RmMzU3MDVkNmIiLCJ1c2VySWQiOiIxNzUxMzU2MDYifQ==</vt:lpwstr>
  </property>
</Properties>
</file>