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白山环审字（表）［2017］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both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 </w:t>
      </w:r>
    </w:p>
    <w:p>
      <w:pPr>
        <w:ind w:firstLine="1767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关于宏泰工矿棚户区建设项目</w:t>
      </w:r>
    </w:p>
    <w:p>
      <w:pPr>
        <w:jc w:val="center"/>
        <w:rPr>
          <w:rFonts w:ascii="Times New Roman" w:hAnsi="Times New Roman" w:eastAsia="方正小标宋简体" w:cs="Times New Roman"/>
          <w:i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环境影响报告表的批复</w:t>
      </w:r>
    </w:p>
    <w:p>
      <w:pPr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白山市浑江区国有工矿棚户区改造办公室：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你单位《关于宏泰工矿棚户区项目环境影响评价报告表审批请示》和委托长春安信电力科技有限公司编制的《宏泰工矿棚户区建设项目环境影响报告表》（报批版）收悉。经研究，现批复如下：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一、建设项目基本情况和审批意见</w:t>
      </w:r>
    </w:p>
    <w:p>
      <w:pPr>
        <w:pStyle w:val="8"/>
        <w:ind w:left="640" w:firstLine="0" w:firstLineChars="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该项目位于白山市，东起北新二路、北至光明街。规划用地</w:t>
      </w:r>
    </w:p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面积51834㎡，总建筑面积52775.20㎡，其中一期总建筑面积29879.22㎡（其中住宅建筑面积26071.32㎡；商业网点建筑面积）2095.90㎡；设备用房建筑面积1335㎡（包括地下458㎡），物业及社区用房建筑面积377.00㎡）。二期总建筑面积22895.98㎡（其中住宅建筑面积20428.95㎡；商业网点建筑面积2467.03㎡）.项目总户数654户，总人数2093人（均为异地安置棚户区居民）。道路建设面积为11695.63㎡，项目总投资16026.04万元（详见环评报告表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该项目符合国家产业政策，符合白山市城市总体规划要求，项目建设用地属于居住和公建用地。在全面落实报告表提出的各项污染防治及生态保护措施后，项目建设对环境的不利影响能够得到缓解和控制。因此，从环境保护角度分析，我局原则同意环境影响报告表中所列建设项目的性质、规模、工艺、地点和拟采取的环境保护措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二、项目施工期和运行期应重点做好以下环保工作。</w:t>
      </w:r>
    </w:p>
    <w:p>
      <w:pPr>
        <w:snapToGrid w:val="0"/>
        <w:spacing w:line="360" w:lineRule="auto"/>
        <w:ind w:firstLine="48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</w:rPr>
        <w:t>加强施工期环境管理和污染防治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1、合理安排施工计划和施工机械设备组合以及施工时间，避免在中午</w:t>
      </w:r>
      <w:r>
        <w:rPr>
          <w:rFonts w:hint="eastAsia" w:ascii="仿宋_GB2312" w:hAnsi="仿宋_GB2312" w:eastAsia="仿宋_GB2312" w:cs="仿宋_GB2312"/>
          <w:sz w:val="32"/>
          <w:szCs w:val="32"/>
        </w:rPr>
        <w:t>、晚上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施工，避免在同一时间集中使用大量的动力机械设备。对于因生产工艺要求必须连续作业，需要晚上施工的建筑施工工艺，必须事前报有关负责部门批准，同时必须公告周围居民后方可施工。采取有效措施后可使施工各阶段的场界噪声符合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建筑施工场界环境噪声排放标准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》(GB12523-2011)的要求。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2、加强施工扬尘治理，有效控制施工扬尘，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采取洒水降尘、封闭施工、设置围栏、各种堆料封闭储存或建设防风抑尘设施，渣土运输车辆采取封闭等措施，使其满足</w:t>
      </w:r>
      <w:r>
        <w:rPr>
          <w:rFonts w:hint="eastAsia" w:ascii="仿宋_GB2312" w:hAnsi="仿宋_GB2312" w:eastAsia="仿宋_GB2312" w:cs="仿宋_GB2312"/>
          <w:sz w:val="32"/>
        </w:rPr>
        <w:t>《大气污染物排放标准》（GB16297-1996）颗粒物无组织排放监控浓度限值。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3、施工期产生的固体废物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应本着“资源化、减量化、无害化”的原则分类进行综合利用和妥善处置，</w:t>
      </w:r>
      <w:r>
        <w:rPr>
          <w:rFonts w:hint="eastAsia" w:ascii="仿宋_GB2312" w:hAnsi="仿宋_GB2312" w:eastAsia="仿宋_GB2312" w:cs="仿宋_GB2312"/>
          <w:sz w:val="32"/>
        </w:rPr>
        <w:t>妥善处置施工弃土、弃渣和固体废物。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、施工废水采用沉淀池进行澄清处理，上清液部分用于淋洒现场道路，减少扬尘对环境的影响，沉淀下来的泥浆和固体废物，与建筑渣土一起处置，不得和生活垃圾混存；生活废水排入施工场地的临时防渗移动旱厕，定期清淘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5、禁止在施工现场搅拌沥青混凝土，使用商品沥青混凝土。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（二）施工期的环境管理及治理措施</w:t>
      </w:r>
    </w:p>
    <w:p>
      <w:pPr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运营期生活污水满足《污水综合排放标准》（GB8978-1996）中三级排放标准要求，经市政污水管网排入白山市城市污水处理厂处理后达到出水《城镇污水处理厂污染物排放标准》（GB18918-2002）中一级A标准后排入浑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2、加强运营期生活垃圾的管理，及时清理垃圾，定点存放，缩短垃圾周转时间，由环卫处统一收集处理。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3、箱变、泵类设备等要优化平面布置，选用低噪声设备，采取隔音封闭等措施；对车库排风机进行减震、隔声处理等措施，确保其边界噪声符合区域环境标准要求。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商业用房（底商开饭店的）在规划设计时应遵循《饮食业环境保护技术规范》（HJ554-2010）等相关规定，采取设置专用烟道和必要的隔声减振等污染防治措施。商业用房入住的每个项目都要依据《建设项目环境影响评价分类管理名录》单独进行环境影响评价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5、本项目冬季采用集中供热取暖，不设取暖锅炉。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6、该项目要严格落实环评报告中提出的污染防治措施和专家意见。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三、项目建设必须严格执行环境保护设施与主体工程同时设计、同时施工、同时投产使用的环境保护“三同时”制度。项目竣工后，你单位必须按照规定程序申请竣工环境保护验收。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四、环境影响报告表经批准后，项目的性质、规模、地点或者防止生态破坏、防治污染的措施发生重大变动的，应当重新报批该项目的环境影响报告表。自环境影响报告表批复文件批准之日起,如超过5年方决定工程开工建设的，环境影响报告表应当报我厅重新审核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我局委托浑江区环保分局负责该项目“三同时”监督检查和管理工作。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六、你单位应在收到本批复后20个工作日内，将批准后的环境影响报告表及批复文件分送浑江区环保分局，并按规定接受各级环境保护行政主管部门的日常监督检查。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</w:rPr>
        <w:sectPr>
          <w:pgSz w:w="11906" w:h="16838"/>
          <w:pgMar w:top="1219" w:right="1418" w:bottom="1417" w:left="1418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</w:rPr>
        <w:t>2017年9月22日</w:t>
      </w:r>
    </w:p>
    <w:p>
      <w:pPr>
        <w:rPr>
          <w:rFonts w:ascii="Times New Roman" w:hAnsi="Times New Roman" w:eastAsia="仿宋_GB2312" w:cs="Times New Roman"/>
          <w:sz w:val="32"/>
          <w:shd w:val="pct10" w:color="auto" w:fill="FFFFFF"/>
        </w:rPr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471"/>
    <w:rsid w:val="00084E7C"/>
    <w:rsid w:val="0009333A"/>
    <w:rsid w:val="000E54A1"/>
    <w:rsid w:val="0016510A"/>
    <w:rsid w:val="0017187A"/>
    <w:rsid w:val="001720ED"/>
    <w:rsid w:val="001B1AF3"/>
    <w:rsid w:val="00265F37"/>
    <w:rsid w:val="002A0601"/>
    <w:rsid w:val="002B713A"/>
    <w:rsid w:val="00323471"/>
    <w:rsid w:val="00354B5D"/>
    <w:rsid w:val="00401964"/>
    <w:rsid w:val="00407FF7"/>
    <w:rsid w:val="00411713"/>
    <w:rsid w:val="0043736E"/>
    <w:rsid w:val="00444847"/>
    <w:rsid w:val="00447CA0"/>
    <w:rsid w:val="00473A38"/>
    <w:rsid w:val="00567468"/>
    <w:rsid w:val="006121A5"/>
    <w:rsid w:val="00646A4B"/>
    <w:rsid w:val="006679E3"/>
    <w:rsid w:val="006D67B9"/>
    <w:rsid w:val="006E1E1B"/>
    <w:rsid w:val="006E7EF7"/>
    <w:rsid w:val="007224A8"/>
    <w:rsid w:val="00725DAB"/>
    <w:rsid w:val="0083124C"/>
    <w:rsid w:val="00860549"/>
    <w:rsid w:val="008B540C"/>
    <w:rsid w:val="00953348"/>
    <w:rsid w:val="009D713F"/>
    <w:rsid w:val="009F79F6"/>
    <w:rsid w:val="00A35371"/>
    <w:rsid w:val="00AD55B4"/>
    <w:rsid w:val="00B114F9"/>
    <w:rsid w:val="00B12971"/>
    <w:rsid w:val="00BC391A"/>
    <w:rsid w:val="00C0760E"/>
    <w:rsid w:val="00C758B9"/>
    <w:rsid w:val="00CB649E"/>
    <w:rsid w:val="00D36DBF"/>
    <w:rsid w:val="00D37E66"/>
    <w:rsid w:val="00DD4A95"/>
    <w:rsid w:val="00F95F0B"/>
    <w:rsid w:val="00FD4D3D"/>
    <w:rsid w:val="05DA4494"/>
    <w:rsid w:val="0FCD30E6"/>
    <w:rsid w:val="35AC4109"/>
    <w:rsid w:val="3CD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5</Pages>
  <Words>277</Words>
  <Characters>1584</Characters>
  <Lines>13</Lines>
  <Paragraphs>3</Paragraphs>
  <ScaleCrop>false</ScaleCrop>
  <LinksUpToDate>false</LinksUpToDate>
  <CharactersWithSpaces>1858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2017-09-14T07:11:00Z</dcterms:created>
  <dc:creator>Administrator</dc:creator>
  <cp:lastModifiedBy>Administrator</cp:lastModifiedBy>
  <cp:lastPrinted>2017-09-20T01:00:00Z</cp:lastPrinted>
  <dcterms:modified xsi:type="dcterms:W3CDTF">2017-09-20T01:16:33Z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