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44"/>
          <w:szCs w:val="44"/>
        </w:rPr>
      </w:pPr>
    </w:p>
    <w:p>
      <w:pPr>
        <w:pStyle w:val="2"/>
        <w:rPr>
          <w:sz w:val="44"/>
          <w:szCs w:val="44"/>
        </w:rPr>
      </w:pPr>
    </w:p>
    <w:p>
      <w:pPr>
        <w:rPr>
          <w:sz w:val="32"/>
          <w:szCs w:val="32"/>
        </w:rPr>
      </w:pPr>
    </w:p>
    <w:p>
      <w:pPr>
        <w:jc w:val="center"/>
        <w:rPr>
          <w:rFonts w:ascii="仿宋_GB2312" w:eastAsia="仿宋_GB2312"/>
          <w:sz w:val="32"/>
          <w:szCs w:val="32"/>
        </w:rPr>
      </w:pPr>
      <w:r>
        <w:rPr>
          <w:rFonts w:hint="eastAsia" w:ascii="仿宋_GB2312" w:eastAsia="仿宋_GB2312"/>
          <w:sz w:val="32"/>
          <w:szCs w:val="32"/>
        </w:rPr>
        <w:t xml:space="preserve">白山环审字(表)[2018] </w:t>
      </w:r>
      <w:r>
        <w:rPr>
          <w:rFonts w:hint="eastAsia" w:ascii="仿宋_GB2312" w:eastAsia="仿宋_GB2312"/>
          <w:sz w:val="32"/>
          <w:szCs w:val="32"/>
          <w:lang w:val="en-US" w:eastAsia="zh-CN"/>
        </w:rPr>
        <w:t>17</w:t>
      </w:r>
      <w:bookmarkStart w:id="0" w:name="_GoBack"/>
      <w:bookmarkEnd w:id="0"/>
      <w:r>
        <w:rPr>
          <w:rFonts w:hint="eastAsia" w:ascii="仿宋_GB2312" w:eastAsia="仿宋_GB2312"/>
          <w:sz w:val="32"/>
          <w:szCs w:val="32"/>
        </w:rPr>
        <w:t>号</w:t>
      </w:r>
    </w:p>
    <w:p>
      <w:pPr>
        <w:rPr>
          <w:rFonts w:asciiTheme="minorEastAsia" w:hAnsiTheme="minorEastAsia"/>
          <w:sz w:val="44"/>
          <w:szCs w:val="44"/>
        </w:rPr>
      </w:pPr>
    </w:p>
    <w:p>
      <w:pPr>
        <w:ind w:firstLine="442" w:firstLineChars="100"/>
        <w:jc w:val="center"/>
        <w:rPr>
          <w:rFonts w:cs="宋体"/>
          <w:b/>
          <w:bCs/>
          <w:color w:val="000000"/>
          <w:sz w:val="44"/>
          <w:szCs w:val="44"/>
        </w:rPr>
      </w:pPr>
      <w:r>
        <w:rPr>
          <w:rFonts w:hint="eastAsia"/>
          <w:b/>
          <w:bCs/>
          <w:sz w:val="44"/>
          <w:szCs w:val="44"/>
        </w:rPr>
        <w:t>关于</w:t>
      </w:r>
      <w:r>
        <w:rPr>
          <w:rFonts w:hint="eastAsia" w:ascii="宋体"/>
          <w:b/>
          <w:sz w:val="44"/>
          <w:szCs w:val="44"/>
        </w:rPr>
        <w:t>白山市宏鑫水泥制品有限公司预制件</w:t>
      </w:r>
      <w:r>
        <w:rPr>
          <w:rFonts w:hint="eastAsia" w:ascii="宋体"/>
          <w:b/>
          <w:sz w:val="44"/>
          <w:szCs w:val="44"/>
          <w:lang w:val="en-US" w:eastAsia="zh-CN"/>
        </w:rPr>
        <w:t xml:space="preserve"> </w:t>
      </w:r>
      <w:r>
        <w:rPr>
          <w:rFonts w:hint="eastAsia" w:ascii="宋体"/>
          <w:b/>
          <w:sz w:val="44"/>
          <w:szCs w:val="44"/>
        </w:rPr>
        <w:t>加工建设项目</w:t>
      </w:r>
      <w:r>
        <w:rPr>
          <w:rFonts w:hint="eastAsia"/>
          <w:b/>
          <w:bCs/>
          <w:sz w:val="44"/>
          <w:szCs w:val="44"/>
        </w:rPr>
        <w:t>环境影响报告</w:t>
      </w:r>
      <w:r>
        <w:rPr>
          <w:b/>
          <w:bCs/>
          <w:sz w:val="44"/>
          <w:szCs w:val="44"/>
        </w:rPr>
        <w:t>表</w:t>
      </w:r>
      <w:r>
        <w:rPr>
          <w:rFonts w:hint="eastAsia"/>
          <w:b/>
          <w:bCs/>
          <w:sz w:val="44"/>
          <w:szCs w:val="44"/>
        </w:rPr>
        <w:t>的批复</w:t>
      </w:r>
    </w:p>
    <w:p>
      <w:pPr>
        <w:spacing w:line="360" w:lineRule="auto"/>
        <w:rPr>
          <w:rFonts w:hint="eastAsia" w:ascii="仿宋_GB2312" w:eastAsia="仿宋_GB2312"/>
          <w:sz w:val="32"/>
          <w:szCs w:val="32"/>
        </w:rPr>
      </w:pPr>
    </w:p>
    <w:p>
      <w:pPr>
        <w:rPr>
          <w:rFonts w:ascii="仿宋" w:hAnsi="仿宋" w:eastAsia="仿宋" w:cs="仿宋_GB2312"/>
          <w:bCs/>
          <w:sz w:val="32"/>
          <w:szCs w:val="32"/>
        </w:rPr>
      </w:pPr>
      <w:r>
        <w:rPr>
          <w:rFonts w:hint="eastAsia" w:ascii="仿宋" w:hAnsi="仿宋" w:eastAsia="仿宋" w:cs="仿宋_GB2312"/>
          <w:sz w:val="32"/>
          <w:szCs w:val="32"/>
        </w:rPr>
        <w:t>白山市宏鑫水泥制品有限公司</w:t>
      </w:r>
      <w:r>
        <w:rPr>
          <w:rFonts w:hint="eastAsia" w:ascii="仿宋" w:hAnsi="仿宋" w:eastAsia="仿宋" w:cs="仿宋_GB2312"/>
          <w:bCs/>
          <w:sz w:val="32"/>
          <w:szCs w:val="32"/>
        </w:rPr>
        <w:t>：</w:t>
      </w:r>
    </w:p>
    <w:p>
      <w:pPr>
        <w:pStyle w:val="13"/>
        <w:spacing w:line="240" w:lineRule="auto"/>
        <w:ind w:firstLine="566"/>
        <w:rPr>
          <w:rFonts w:ascii="仿宋" w:hAnsi="仿宋" w:eastAsia="仿宋" w:cs="仿宋_GB2312"/>
          <w:sz w:val="32"/>
          <w:szCs w:val="32"/>
        </w:rPr>
      </w:pPr>
      <w:r>
        <w:rPr>
          <w:rFonts w:hint="eastAsia" w:ascii="仿宋" w:hAnsi="仿宋" w:eastAsia="仿宋" w:cs="仿宋_GB2312"/>
          <w:sz w:val="32"/>
          <w:szCs w:val="32"/>
        </w:rPr>
        <w:t>你公司《关于白山市宏鑫水泥制品有限公司预制件加工建设项目环境影响报告表批复申请》及委托吉林昊融技术开发有限公司编制的《白山市宏鑫水泥制品有限公司预制件加工建设项目环境影响报告表》（报批版）已收悉。根据环境报告表的评价结论及专家审查意见，经研究，批复如下：</w:t>
      </w:r>
    </w:p>
    <w:p>
      <w:pPr>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一、建设项目基本情况和审批意见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白山市宏鑫水泥制品有限公司预制件加工建设项目位于白山市浑江区七道江镇东岗村五社。项目占地面积为6000</w:t>
      </w:r>
      <w:r>
        <w:rPr>
          <w:rFonts w:hint="eastAsia" w:ascii="仿宋" w:hAnsi="仿宋" w:eastAsia="仿宋" w:cs="宋体"/>
          <w:sz w:val="32"/>
          <w:szCs w:val="32"/>
        </w:rPr>
        <w:t>㎡（</w:t>
      </w:r>
      <w:r>
        <w:rPr>
          <w:rFonts w:hint="eastAsia" w:ascii="仿宋" w:hAnsi="仿宋" w:eastAsia="仿宋" w:cs="仿宋_GB2312"/>
          <w:sz w:val="32"/>
          <w:szCs w:val="32"/>
        </w:rPr>
        <w:t>租赁东岗村荒地</w:t>
      </w:r>
      <w:r>
        <w:rPr>
          <w:rFonts w:hint="eastAsia" w:ascii="仿宋" w:hAnsi="仿宋" w:eastAsia="仿宋" w:cs="宋体"/>
          <w:sz w:val="32"/>
          <w:szCs w:val="32"/>
        </w:rPr>
        <w:t>），</w:t>
      </w:r>
      <w:r>
        <w:rPr>
          <w:rFonts w:hint="eastAsia" w:ascii="仿宋" w:hAnsi="仿宋" w:eastAsia="仿宋" w:cs="仿宋_GB2312"/>
          <w:sz w:val="32"/>
          <w:szCs w:val="32"/>
        </w:rPr>
        <w:t>建筑面积1102</w:t>
      </w:r>
      <w:r>
        <w:rPr>
          <w:rFonts w:hint="eastAsia" w:ascii="仿宋" w:hAnsi="仿宋" w:eastAsia="仿宋" w:cs="宋体"/>
          <w:sz w:val="32"/>
          <w:szCs w:val="32"/>
        </w:rPr>
        <w:t>㎡。</w:t>
      </w:r>
      <w:r>
        <w:rPr>
          <w:rFonts w:hint="eastAsia" w:ascii="仿宋" w:hAnsi="仿宋" w:eastAsia="仿宋" w:cs="仿宋_GB2312"/>
          <w:sz w:val="32"/>
          <w:szCs w:val="32"/>
        </w:rPr>
        <w:t>厂界与东岗村民住宅最近距离90m、</w:t>
      </w:r>
      <w:r>
        <w:rPr>
          <w:rFonts w:hint="eastAsia" w:ascii="仿宋" w:hAnsi="仿宋" w:eastAsia="仿宋" w:cs="宋体"/>
          <w:sz w:val="32"/>
          <w:szCs w:val="32"/>
        </w:rPr>
        <w:t>厂区东侧108m为煤场、南侧为空地、北侧63m位砖厂、西侧90m位东岗村居民。</w:t>
      </w:r>
      <w:r>
        <w:rPr>
          <w:rFonts w:hint="eastAsia" w:ascii="仿宋" w:hAnsi="仿宋" w:eastAsia="仿宋" w:cs="仿宋_GB2312"/>
          <w:sz w:val="32"/>
          <w:szCs w:val="32"/>
        </w:rPr>
        <w:t>项目投资30万元，以水泥、砂石、钢筋为原料，通过焊接、切割、投料、搅拌、浇注、成型、自然养护等工艺，日产水泥化粪池3座，检查井10个，井盖15个。</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项目符合国家产业政策，符合白山总体发展规划。项目在全面落实报告表及专家提出的各项环境风险防范、生态保护及污染防治措施后，项目建设对环境的不利影响能够得到缓解和控制。因此，从环境保护角度分析，我局原则同意环境影响报告表中所列建设项目的性质、规模、工艺、地点和拟采取的环境保护措施。</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二、项目要做好以下环境保护工作。</w:t>
      </w:r>
    </w:p>
    <w:p>
      <w:pPr>
        <w:ind w:firstLine="518" w:firstLineChars="162"/>
        <w:rPr>
          <w:rFonts w:ascii="仿宋" w:hAnsi="仿宋" w:eastAsia="仿宋" w:cs="仿宋_GB2312"/>
          <w:sz w:val="32"/>
          <w:szCs w:val="32"/>
        </w:rPr>
      </w:pPr>
      <w:r>
        <w:rPr>
          <w:rFonts w:hint="eastAsia" w:ascii="仿宋" w:hAnsi="仿宋" w:eastAsia="仿宋" w:cs="仿宋_GB2312"/>
          <w:sz w:val="32"/>
          <w:szCs w:val="32"/>
        </w:rPr>
        <w:t>（一）加强施工期环境管理和污染防治。合理安排施工时序，优化施工场地布置；选择低噪声的施工机械设备，夜间禁止施工。严格落实施工期污染防治措施，有效控制施工扬尘，妥善处置施工弃土、弃渣和固体废物，防止施工噪声、废水、废气、扬尘、固废等污染周围环境。</w:t>
      </w:r>
    </w:p>
    <w:p>
      <w:pPr>
        <w:ind w:firstLine="518" w:firstLineChars="162"/>
        <w:rPr>
          <w:rFonts w:ascii="仿宋" w:hAnsi="仿宋" w:eastAsia="仿宋" w:cs="仿宋_GB2312"/>
          <w:sz w:val="32"/>
          <w:szCs w:val="32"/>
        </w:rPr>
      </w:pPr>
      <w:r>
        <w:rPr>
          <w:rFonts w:hint="eastAsia" w:ascii="仿宋" w:hAnsi="仿宋" w:eastAsia="仿宋" w:cs="仿宋_GB2312"/>
          <w:sz w:val="32"/>
          <w:szCs w:val="32"/>
        </w:rPr>
        <w:t>（二）严格落实大气污染防治措施。投料搅拌产生的粉尘通过集气罩收集后，再经布袋除尘器处理，由15m高排气筒排放，其排放浓度能够满足《水泥工业大气污染物排放标准》（GB4915-2013）表1中排放限值要求；采取报告中提出的有效的污染防治措施，控制厂区及车间无组织排放废气。</w:t>
      </w:r>
    </w:p>
    <w:p>
      <w:pPr>
        <w:ind w:firstLine="518" w:firstLineChars="162"/>
        <w:rPr>
          <w:rFonts w:ascii="仿宋" w:hAnsi="仿宋" w:eastAsia="仿宋" w:cs="仿宋_GB2312"/>
          <w:sz w:val="32"/>
          <w:szCs w:val="32"/>
        </w:rPr>
      </w:pPr>
      <w:r>
        <w:rPr>
          <w:rFonts w:hint="eastAsia" w:ascii="仿宋" w:hAnsi="仿宋" w:eastAsia="仿宋" w:cs="仿宋_GB2312"/>
          <w:bCs/>
          <w:sz w:val="32"/>
          <w:szCs w:val="32"/>
        </w:rPr>
        <w:t>（二）严格落实噪声污染防治措施。选用低噪声的设备，对高噪声设备加消声器、隔声装置等降噪减振措施和厂房隔声距离衰减后，厂界噪声满足《工业企业场界环境噪声排放标准》（GB12348—2008）中1类区标准要求。</w:t>
      </w:r>
    </w:p>
    <w:p>
      <w:pPr>
        <w:ind w:firstLine="518" w:firstLineChars="162"/>
        <w:rPr>
          <w:rFonts w:ascii="仿宋" w:hAnsi="仿宋" w:eastAsia="仿宋" w:cs="仿宋_GB2312"/>
          <w:bCs/>
          <w:sz w:val="32"/>
          <w:szCs w:val="32"/>
        </w:rPr>
      </w:pPr>
      <w:r>
        <w:rPr>
          <w:rFonts w:hint="eastAsia" w:ascii="仿宋" w:hAnsi="仿宋" w:eastAsia="仿宋" w:cs="仿宋_GB2312"/>
          <w:bCs/>
          <w:sz w:val="32"/>
          <w:szCs w:val="32"/>
        </w:rPr>
        <w:t>（三）严格落实水污染防治措施。设备清洗废水经沉淀池沉淀后用于搅拌工序；生活废水排入厂区内防渗旱厕，定期清掏用作农肥。</w:t>
      </w:r>
    </w:p>
    <w:p>
      <w:pPr>
        <w:ind w:firstLine="480" w:firstLineChars="150"/>
        <w:rPr>
          <w:rFonts w:ascii="仿宋" w:hAnsi="仿宋" w:eastAsia="仿宋" w:cs="仿宋_GB2312"/>
          <w:sz w:val="32"/>
          <w:szCs w:val="32"/>
        </w:rPr>
      </w:pPr>
      <w:r>
        <w:rPr>
          <w:rFonts w:hint="eastAsia" w:ascii="仿宋" w:hAnsi="仿宋" w:eastAsia="仿宋" w:cs="仿宋_GB2312"/>
          <w:sz w:val="32"/>
          <w:szCs w:val="32"/>
        </w:rPr>
        <w:t>（四）严格落实固体废物分类处理和综合利用措施，本项目产生的一般固体废物定点存放，按规定妥善贮存和处置，避免对环境造成影响。</w:t>
      </w:r>
    </w:p>
    <w:p>
      <w:pPr>
        <w:ind w:firstLine="480" w:firstLineChars="150"/>
        <w:rPr>
          <w:rFonts w:ascii="仿宋" w:hAnsi="仿宋" w:eastAsia="仿宋" w:cs="仿宋_GB2312"/>
          <w:sz w:val="32"/>
          <w:szCs w:val="32"/>
        </w:rPr>
      </w:pPr>
      <w:r>
        <w:rPr>
          <w:rFonts w:hint="eastAsia" w:ascii="仿宋" w:hAnsi="仿宋" w:eastAsia="仿宋" w:cs="仿宋_GB2312"/>
          <w:sz w:val="32"/>
          <w:szCs w:val="32"/>
        </w:rPr>
        <w:t>（五）本项目在生产中存在一定环境风险，你公司须有针对性制定环境风险应急预案，落实风险防范措施和管理措施，防止环境风险事故的发生。</w:t>
      </w:r>
    </w:p>
    <w:p>
      <w:pPr>
        <w:ind w:firstLine="640" w:firstLineChars="200"/>
        <w:rPr>
          <w:rFonts w:ascii="仿宋" w:hAnsi="仿宋" w:eastAsia="仿宋" w:cs="仿宋_GB2312"/>
          <w:color w:val="000000"/>
          <w:sz w:val="32"/>
          <w:szCs w:val="32"/>
        </w:rPr>
      </w:pPr>
      <w:r>
        <w:rPr>
          <w:rFonts w:hint="eastAsia" w:ascii="仿宋" w:hAnsi="仿宋" w:eastAsia="仿宋" w:cs="仿宋_GB2312"/>
          <w:sz w:val="32"/>
          <w:szCs w:val="32"/>
        </w:rPr>
        <w:t>（六）严格落实环境管理措施及监测计划。建立健全符合本项目环境保护管理制度，形成制度化管理，设专职环保管理人员。投入运行后，你公司需按照环境影响评价文件中环境监测计划进行监测，严格控制各种污染物的排放浓度。</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三、项目建设必须严格执行环境保护设施与主体工程同时设计，同时施工、同时投产使用的环境保护“三同时”制度。项目竣工后，按规定程序办理建设项目竣工环境保护验收手续。</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四、环境影响报告表经批准后，项目的性质、规模、地点或者防止生态破坏、防治污染的措施发生重大变动的，应当重新报批该项目的环境影响报告表。自环境影响报告表批复文件批准之日起,如超过5年方决定工程开工建设的，环境影响报告书应当报我局重新审核。</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五、请白山市环境保护局浑江区分局负责该项目“三同时”监督检查和管理工作。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六、你公司应按规定接受各级环境保护行政主管部门的日常监督检查。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440" w:firstLineChars="1700"/>
        <w:textAlignment w:val="auto"/>
        <w:rPr>
          <w:lang w:val="en-US"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eastAsiaTheme="minorEastAsia"/>
          <w:u w:val="single"/>
          <w:lang w:val="en-US" w:eastAsia="zh-CN"/>
        </w:rPr>
      </w:pPr>
      <w:r>
        <w:rPr>
          <w:rFonts w:hint="eastAsia"/>
          <w:u w:val="single"/>
          <w:lang w:val="en-US" w:eastAsia="zh-CN"/>
        </w:rPr>
        <w:t xml:space="preserve">   </w:t>
      </w:r>
      <w:r>
        <w:rPr>
          <w:rFonts w:hint="eastAsia" w:ascii="仿宋_GB2312" w:hAnsi="仿宋_GB2312" w:eastAsia="仿宋_GB2312" w:cs="仿宋_GB2312"/>
          <w:b/>
          <w:bCs/>
          <w:sz w:val="24"/>
          <w:szCs w:val="24"/>
          <w:u w:val="single"/>
          <w:lang w:val="en-US" w:eastAsia="zh-CN"/>
        </w:rPr>
        <w:t>抄送：白山市环境保护局浑江区分局</w:t>
      </w:r>
      <w:r>
        <w:rPr>
          <w:rFonts w:hint="eastAsia"/>
          <w:u w:val="single"/>
          <w:lang w:val="en-US" w:eastAsia="zh-CN"/>
        </w:rPr>
        <w:t xml:space="preserve">                                                                                  </w:t>
      </w:r>
    </w:p>
    <w:p>
      <w:pPr>
        <w:pStyle w:val="2"/>
      </w:pPr>
    </w:p>
    <w:p/>
    <w:p>
      <w:pPr>
        <w:pStyle w:val="2"/>
      </w:pPr>
    </w:p>
    <w:p/>
    <w:p>
      <w:pPr>
        <w:pStyle w:val="2"/>
      </w:pPr>
    </w:p>
    <w:p/>
    <w:p>
      <w:r>
        <w:rPr>
          <w:rFonts w:hint="eastAsia" w:ascii="仿宋_GB2312" w:eastAsia="仿宋_GB2312" w:cs="仿宋_GB2312"/>
          <w:b/>
          <w:bCs/>
          <w:sz w:val="24"/>
          <w:lang w:bidi="ar-SA"/>
        </w:rPr>
        <w:pict>
          <v:line id="_x0000_s1027" o:spid="_x0000_s1027" o:spt="20" style="position:absolute;left:0pt;margin-left:-77.6pt;margin-top:16.75pt;height:0.05pt;width:594.35pt;z-index:251658240;mso-width-relative:page;mso-height-relative:page;" filled="f" stroked="t" coordsize="21600,21600">
            <v:path arrowok="t"/>
            <v:fill on="f" focussize="0,0"/>
            <v:stroke/>
            <v:imagedata o:title=""/>
            <o:lock v:ext="edit"/>
          </v:line>
        </w:pict>
      </w:r>
    </w:p>
    <w:sectPr>
      <w:pgSz w:w="11906" w:h="16838"/>
      <w:pgMar w:top="1134" w:right="1474" w:bottom="1191" w:left="158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888"/>
    <w:rsid w:val="000149F3"/>
    <w:rsid w:val="00026703"/>
    <w:rsid w:val="001D45DB"/>
    <w:rsid w:val="00214511"/>
    <w:rsid w:val="00250985"/>
    <w:rsid w:val="003B4888"/>
    <w:rsid w:val="00445230"/>
    <w:rsid w:val="006C2F93"/>
    <w:rsid w:val="006E4AFA"/>
    <w:rsid w:val="00712B2B"/>
    <w:rsid w:val="0095684F"/>
    <w:rsid w:val="00A043B3"/>
    <w:rsid w:val="00BA44D3"/>
    <w:rsid w:val="00E11800"/>
    <w:rsid w:val="018D74AE"/>
    <w:rsid w:val="04A976B4"/>
    <w:rsid w:val="05320A8C"/>
    <w:rsid w:val="095B3B4E"/>
    <w:rsid w:val="09F317E6"/>
    <w:rsid w:val="0DF0199C"/>
    <w:rsid w:val="0FE5407E"/>
    <w:rsid w:val="10C86E14"/>
    <w:rsid w:val="145F7671"/>
    <w:rsid w:val="192C10C8"/>
    <w:rsid w:val="1A9D4BAD"/>
    <w:rsid w:val="1AAB45BE"/>
    <w:rsid w:val="1B9520EB"/>
    <w:rsid w:val="1C952426"/>
    <w:rsid w:val="1D552DC9"/>
    <w:rsid w:val="1D83064A"/>
    <w:rsid w:val="1E5772B5"/>
    <w:rsid w:val="1ED72194"/>
    <w:rsid w:val="206D1847"/>
    <w:rsid w:val="289905F4"/>
    <w:rsid w:val="29AD6051"/>
    <w:rsid w:val="2E3453D2"/>
    <w:rsid w:val="31CF63D5"/>
    <w:rsid w:val="33FA0DF5"/>
    <w:rsid w:val="37104914"/>
    <w:rsid w:val="374F07C2"/>
    <w:rsid w:val="38D30A7B"/>
    <w:rsid w:val="394A62D7"/>
    <w:rsid w:val="394F6E67"/>
    <w:rsid w:val="3C277375"/>
    <w:rsid w:val="3F3D6124"/>
    <w:rsid w:val="43B51C1D"/>
    <w:rsid w:val="44287482"/>
    <w:rsid w:val="46041BE4"/>
    <w:rsid w:val="467F7882"/>
    <w:rsid w:val="4AFF7B28"/>
    <w:rsid w:val="4CFB20EC"/>
    <w:rsid w:val="50586F29"/>
    <w:rsid w:val="51A615D6"/>
    <w:rsid w:val="53DB2A73"/>
    <w:rsid w:val="54201911"/>
    <w:rsid w:val="557E5AF4"/>
    <w:rsid w:val="58420208"/>
    <w:rsid w:val="584D5353"/>
    <w:rsid w:val="5A844986"/>
    <w:rsid w:val="5FE811AD"/>
    <w:rsid w:val="60E0541B"/>
    <w:rsid w:val="61163D5C"/>
    <w:rsid w:val="62FB1172"/>
    <w:rsid w:val="633B796F"/>
    <w:rsid w:val="65992D45"/>
    <w:rsid w:val="65DA0F5E"/>
    <w:rsid w:val="67ED1AF9"/>
    <w:rsid w:val="6A8B3753"/>
    <w:rsid w:val="6D070200"/>
    <w:rsid w:val="72135590"/>
    <w:rsid w:val="74D84B0B"/>
    <w:rsid w:val="75320053"/>
    <w:rsid w:val="75665D15"/>
    <w:rsid w:val="778203BE"/>
    <w:rsid w:val="7A8E1D9C"/>
    <w:rsid w:val="7FB05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0"/>
    <w:pPr>
      <w:ind w:left="280"/>
      <w:jc w:val="left"/>
    </w:pPr>
    <w:rPr>
      <w:smallCaps/>
      <w:sz w:val="20"/>
      <w:szCs w:val="20"/>
    </w:rPr>
  </w:style>
  <w:style w:type="paragraph" w:styleId="3">
    <w:name w:val="Normal Indent"/>
    <w:basedOn w:val="1"/>
    <w:uiPriority w:val="0"/>
    <w:pPr>
      <w:adjustRightInd w:val="0"/>
      <w:snapToGrid w:val="0"/>
      <w:spacing w:line="312" w:lineRule="atLeast"/>
      <w:ind w:firstLine="200" w:firstLineChars="200"/>
      <w:textAlignment w:val="baseline"/>
    </w:pPr>
    <w:rPr>
      <w:rFonts w:ascii="Times New Roman" w:hAnsi="Times New Roman"/>
      <w:kern w:val="0"/>
      <w:sz w:val="24"/>
      <w:szCs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评估意见正文内容"/>
    <w:basedOn w:val="1"/>
    <w:qFormat/>
    <w:uiPriority w:val="0"/>
    <w:pPr>
      <w:spacing w:line="580" w:lineRule="exact"/>
      <w:ind w:firstLine="640" w:firstLineChars="200"/>
    </w:pPr>
    <w:rPr>
      <w:rFonts w:ascii="仿宋_GB2312" w:hAnsi="宋体" w:eastAsia="仿宋_GB2312"/>
      <w:bCs/>
      <w:kern w:val="0"/>
      <w:sz w:val="32"/>
      <w:szCs w:val="23"/>
    </w:rPr>
  </w:style>
  <w:style w:type="paragraph" w:customStyle="1" w:styleId="9">
    <w:name w:val="0WD正文"/>
    <w:basedOn w:val="1"/>
    <w:qFormat/>
    <w:uiPriority w:val="0"/>
    <w:pPr>
      <w:spacing w:line="360" w:lineRule="auto"/>
      <w:ind w:firstLine="200" w:firstLineChars="200"/>
    </w:pPr>
    <w:rPr>
      <w:rFonts w:ascii="宋体" w:hAnsi="Calibri"/>
      <w:sz w:val="24"/>
    </w:rPr>
  </w:style>
  <w:style w:type="paragraph" w:customStyle="1" w:styleId="10">
    <w:name w:val="纯文本1"/>
    <w:basedOn w:val="1"/>
    <w:qFormat/>
    <w:uiPriority w:val="0"/>
    <w:pPr>
      <w:autoSpaceDE w:val="0"/>
      <w:autoSpaceDN w:val="0"/>
      <w:adjustRightInd w:val="0"/>
      <w:textAlignment w:val="baseline"/>
    </w:pPr>
    <w:rPr>
      <w:rFonts w:ascii="宋体"/>
      <w:szCs w:val="28"/>
    </w:rPr>
  </w:style>
  <w:style w:type="character" w:customStyle="1" w:styleId="11">
    <w:name w:val="页眉 Char"/>
    <w:basedOn w:val="6"/>
    <w:link w:val="5"/>
    <w:qFormat/>
    <w:uiPriority w:val="0"/>
    <w:rPr>
      <w:kern w:val="2"/>
      <w:sz w:val="18"/>
      <w:szCs w:val="18"/>
    </w:rPr>
  </w:style>
  <w:style w:type="character" w:customStyle="1" w:styleId="12">
    <w:name w:val="页脚 Char"/>
    <w:basedOn w:val="6"/>
    <w:link w:val="4"/>
    <w:qFormat/>
    <w:uiPriority w:val="0"/>
    <w:rPr>
      <w:kern w:val="2"/>
      <w:sz w:val="18"/>
      <w:szCs w:val="18"/>
    </w:rPr>
  </w:style>
  <w:style w:type="paragraph" w:customStyle="1" w:styleId="13">
    <w:name w:val="环评正文"/>
    <w:basedOn w:val="1"/>
    <w:uiPriority w:val="0"/>
    <w:pPr>
      <w:spacing w:line="360" w:lineRule="auto"/>
      <w:ind w:firstLine="177" w:firstLineChars="177"/>
    </w:pPr>
    <w:rPr>
      <w:rFonts w:asci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6</Pages>
  <Words>361</Words>
  <Characters>2058</Characters>
  <Lines>17</Lines>
  <Paragraphs>4</Paragraphs>
  <TotalTime>0</TotalTime>
  <ScaleCrop>false</ScaleCrop>
  <LinksUpToDate>false</LinksUpToDate>
  <CharactersWithSpaces>2415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Better me</cp:lastModifiedBy>
  <cp:lastPrinted>2018-05-14T02:47:00Z</cp:lastPrinted>
  <dcterms:modified xsi:type="dcterms:W3CDTF">2018-06-11T02:03:19Z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