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白山环审字(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)[2018]2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cs="Times New Roman" w:asciiTheme="minorEastAsia" w:hAnsiTheme="minorEastAsia"/>
          <w:sz w:val="44"/>
          <w:szCs w:val="44"/>
        </w:rPr>
      </w:pPr>
    </w:p>
    <w:p>
      <w:pPr>
        <w:ind w:left="-525" w:leftChars="-250" w:right="-233" w:rightChars="-111" w:firstLine="128" w:firstLineChars="29"/>
        <w:jc w:val="center"/>
        <w:rPr>
          <w:rFonts w:hint="eastAsia" w:ascii="宋体" w:hAnsi="宋体" w:cs="宋体" w:eastAsiaTheme="min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</w:rPr>
        <w:t>通化钢铁集团板石矿业有限责任公司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生</w:t>
      </w:r>
    </w:p>
    <w:p>
      <w:pPr>
        <w:ind w:left="-525" w:leftChars="-250" w:right="-233" w:rightChars="-111" w:firstLine="128" w:firstLineChars="29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产、生活及井下处理循环利用项目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环境影响报告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的批复</w:t>
      </w:r>
    </w:p>
    <w:p>
      <w:pPr>
        <w:ind w:left="-210" w:leftChars="-100"/>
        <w:jc w:val="left"/>
        <w:rPr>
          <w:rFonts w:eastAsia="楷体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通化钢铁集团板石矿业有限责任公司：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你公司关于《</w:t>
      </w:r>
      <w:r>
        <w:rPr>
          <w:rFonts w:hint="eastAsia" w:ascii="仿宋_GB2312" w:eastAsia="仿宋_GB2312" w:cs="宋体"/>
          <w:sz w:val="32"/>
          <w:szCs w:val="32"/>
        </w:rPr>
        <w:t>通化钢铁集团板石矿业有限责任公司生产、生活及井下污水处理循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环</w:t>
      </w: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  <w:lang w:eastAsia="zh-CN"/>
        </w:rPr>
        <w:t>利用</w:t>
      </w:r>
      <w:r>
        <w:rPr>
          <w:rFonts w:hint="eastAsia" w:ascii="仿宋_GB2312" w:eastAsia="仿宋_GB2312" w:cs="宋体"/>
          <w:sz w:val="32"/>
          <w:szCs w:val="32"/>
        </w:rPr>
        <w:t>项目环境影响评价报告表审批申请</w:t>
      </w:r>
      <w:r>
        <w:rPr>
          <w:rFonts w:hint="eastAsia" w:ascii="仿宋_GB2312" w:eastAsia="仿宋_GB2312"/>
          <w:sz w:val="32"/>
          <w:szCs w:val="32"/>
        </w:rPr>
        <w:t>》和委托吉林灵隆环境科技有限公司编制的《</w:t>
      </w:r>
      <w:r>
        <w:rPr>
          <w:rFonts w:hint="eastAsia" w:ascii="仿宋_GB2312" w:eastAsia="仿宋_GB2312" w:cs="宋体"/>
          <w:sz w:val="32"/>
          <w:szCs w:val="32"/>
        </w:rPr>
        <w:t>通化钢铁集团板石矿业有限责任公司生产、生活及井下污水处理循环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利用</w:t>
      </w:r>
      <w:r>
        <w:rPr>
          <w:rFonts w:hint="eastAsia" w:ascii="仿宋_GB2312" w:eastAsia="仿宋_GB2312" w:cs="宋体"/>
          <w:sz w:val="32"/>
          <w:szCs w:val="32"/>
        </w:rPr>
        <w:t>项目环境影响评价报告表</w:t>
      </w:r>
      <w:r>
        <w:rPr>
          <w:rFonts w:hint="eastAsia" w:ascii="仿宋_GB2312" w:eastAsia="仿宋_GB2312"/>
          <w:sz w:val="32"/>
          <w:szCs w:val="32"/>
        </w:rPr>
        <w:t>》（报批版）收悉。根据环境影响报告表的评价结论及专家审查意见，经研究，批复如下：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一、建设项目基本情况和审批意见</w:t>
      </w:r>
    </w:p>
    <w:p>
      <w:pPr>
        <w:spacing w:line="360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本项目位于通化钢铁集团板石矿业有限责任公司上清矿、井下矿厂区内，总投资2995万元，分别在上清矿与井下矿建设两座污水处理站，完善矿山废水处理设施。项目建成后主要处理上清矿4-6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#</w:t>
      </w:r>
      <w:r>
        <w:rPr>
          <w:rFonts w:hint="eastAsia" w:ascii="仿宋_GB2312" w:eastAsia="仿宋_GB2312" w:cs="宋体"/>
          <w:sz w:val="32"/>
          <w:szCs w:val="32"/>
        </w:rPr>
        <w:t>矿组和7-8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#</w:t>
      </w:r>
      <w:r>
        <w:rPr>
          <w:rFonts w:hint="eastAsia" w:ascii="仿宋_GB2312" w:eastAsia="仿宋_GB2312" w:cs="宋体"/>
          <w:sz w:val="32"/>
          <w:szCs w:val="32"/>
        </w:rPr>
        <w:t>矿组的井下涌水、井下矿17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#</w:t>
      </w:r>
      <w:r>
        <w:rPr>
          <w:rFonts w:hint="eastAsia" w:ascii="仿宋_GB2312" w:eastAsia="仿宋_GB2312" w:cs="宋体"/>
          <w:sz w:val="32"/>
          <w:szCs w:val="32"/>
        </w:rPr>
        <w:t>矿组和18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#</w:t>
      </w:r>
      <w:r>
        <w:rPr>
          <w:rFonts w:hint="eastAsia" w:ascii="仿宋_GB2312" w:eastAsia="仿宋_GB2312" w:cs="宋体"/>
          <w:sz w:val="32"/>
          <w:szCs w:val="32"/>
        </w:rPr>
        <w:t>矿组井下涌水，处理后的涌水一部分回用于矿组生产，剩余部分自流排放。建设内容及规模：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建设</w:t>
      </w:r>
      <w:r>
        <w:rPr>
          <w:rFonts w:hint="eastAsia" w:ascii="仿宋_GB2312" w:eastAsia="仿宋_GB2312" w:cs="宋体"/>
          <w:sz w:val="32"/>
          <w:szCs w:val="32"/>
        </w:rPr>
        <w:t>污水处理站房、平流沉淀池、清水池、污泥池以及污泥处理间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eastAsia="仿宋_GB2312" w:cs="宋体"/>
          <w:sz w:val="32"/>
          <w:szCs w:val="32"/>
        </w:rPr>
        <w:t>上清矿污水处理站建成后处理井下涌水23049m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3</w:t>
      </w:r>
      <w:r>
        <w:rPr>
          <w:rFonts w:hint="eastAsia" w:ascii="仿宋_GB2312" w:eastAsia="仿宋_GB2312" w:cs="宋体"/>
          <w:sz w:val="32"/>
          <w:szCs w:val="32"/>
        </w:rPr>
        <w:t>/d,井下矿污水处理站建成后处理井下涌水为4467 m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3</w:t>
      </w:r>
      <w:r>
        <w:rPr>
          <w:rFonts w:hint="eastAsia" w:ascii="仿宋_GB2312" w:eastAsia="仿宋_GB2312" w:cs="宋体"/>
          <w:sz w:val="32"/>
          <w:szCs w:val="32"/>
        </w:rPr>
        <w:t>/d，2座污水处理站合计处理量为27516 m</w:t>
      </w:r>
      <w:r>
        <w:rPr>
          <w:rFonts w:hint="eastAsia" w:ascii="仿宋_GB2312" w:eastAsia="仿宋_GB2312" w:cs="宋体"/>
          <w:sz w:val="32"/>
          <w:szCs w:val="32"/>
          <w:vertAlign w:val="superscript"/>
        </w:rPr>
        <w:t>3</w:t>
      </w:r>
      <w:r>
        <w:rPr>
          <w:rFonts w:hint="eastAsia" w:ascii="仿宋_GB2312" w:eastAsia="仿宋_GB2312" w:cs="宋体"/>
          <w:sz w:val="32"/>
          <w:szCs w:val="32"/>
        </w:rPr>
        <w:t>/d.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项目在全面落实环境影响报告表结论</w:t>
      </w:r>
      <w:r>
        <w:rPr>
          <w:rFonts w:hint="eastAsia" w:ascii="仿宋_GB2312" w:eastAsia="仿宋_GB2312"/>
          <w:sz w:val="32"/>
          <w:szCs w:val="32"/>
        </w:rPr>
        <w:t>和专家评审意见提出的各项环保措施后，项目建设对环境的不利影响能够得到缓解和控制。因此，从环境保护角度分析，我局原则同意环境影响报告表中所列建设项目的性质、规模、工艺、地点和拟采取的环境保护措施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项目应重点做好以下环保工作。</w:t>
      </w: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</w:rPr>
        <w:t>加强施工期环境管理和污染防治，</w:t>
      </w:r>
      <w:r>
        <w:rPr>
          <w:rFonts w:hint="eastAsia" w:ascii="仿宋_GB2312" w:eastAsia="仿宋_GB2312"/>
          <w:sz w:val="32"/>
          <w:szCs w:val="32"/>
        </w:rPr>
        <w:t>妥善收集施工弃土、垃圾，及时运送至指定地点处理；采取有效的污染防治措施，防止施工中废水、扬尘、噪声、固体废物污染环境。</w:t>
      </w: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严格落实水污染防治措施。加强污水处理站运行监管，确保污水处理达标，杜绝事故排放的发生。废水经处理后排放执行《铁矿采选工业污染物排放标准》（GB28661-2012）表2中相关要求，同时满足《污水综合排放标准》（GB8978-1996）相应标准。</w:t>
      </w: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严格落实大气污染防治措施。对平流沉淀池进行封闭，同时在处理设施周边进行绿化、厂区空地种植草坪、花卉等措施，确保厂界处恶臭气体满足《城镇污水处理厂污染物排放标准》（</w:t>
      </w:r>
      <w:r>
        <w:rPr>
          <w:rFonts w:ascii="仿宋_GB2312" w:eastAsia="仿宋_GB2312"/>
          <w:color w:val="000000" w:themeColor="text1"/>
          <w:sz w:val="32"/>
          <w:szCs w:val="32"/>
        </w:rPr>
        <w:t>GB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18918</w:t>
      </w:r>
      <w:r>
        <w:rPr>
          <w:rFonts w:ascii="仿宋_GB2312" w:eastAsia="仿宋_GB2312"/>
          <w:color w:val="000000" w:themeColor="text1"/>
          <w:sz w:val="32"/>
          <w:szCs w:val="32"/>
        </w:rPr>
        <w:t>-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2002）及其修改单表4中标准限值。</w:t>
      </w:r>
    </w:p>
    <w:p>
      <w:pPr>
        <w:pStyle w:val="2"/>
        <w:ind w:left="279" w:leftChars="133" w:firstLine="160" w:firstLineChars="50"/>
        <w:rPr>
          <w:rFonts w:ascii="仿宋_GB2312" w:eastAsia="仿宋_GB2312"/>
          <w:smallCap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（五）严格落实噪声污染防治措施。选用低噪声设备、采取有效防治措施，确保</w:t>
      </w:r>
      <w:r>
        <w:rPr>
          <w:rFonts w:hint="eastAsia" w:ascii="仿宋_GB2312" w:eastAsia="仿宋_GB2312"/>
          <w:smallCaps w:val="0"/>
          <w:color w:val="000000" w:themeColor="text1"/>
          <w:sz w:val="32"/>
          <w:szCs w:val="32"/>
        </w:rPr>
        <w:t>厂界噪声值满足《工业企业厂界环境噪声排放标准》（</w:t>
      </w:r>
      <w:r>
        <w:rPr>
          <w:rFonts w:ascii="仿宋_GB2312" w:eastAsia="仿宋_GB2312"/>
          <w:smallCaps w:val="0"/>
          <w:color w:val="000000" w:themeColor="text1"/>
          <w:sz w:val="32"/>
          <w:szCs w:val="32"/>
        </w:rPr>
        <w:t>GB12348-2008</w:t>
      </w:r>
      <w:r>
        <w:rPr>
          <w:rFonts w:hint="eastAsia" w:ascii="仿宋_GB2312" w:eastAsia="仿宋_GB2312"/>
          <w:smallCaps w:val="0"/>
          <w:color w:val="000000" w:themeColor="text1"/>
          <w:sz w:val="32"/>
          <w:szCs w:val="32"/>
        </w:rPr>
        <w:t>）中2类区标准要求。</w:t>
      </w:r>
    </w:p>
    <w:p>
      <w:pPr>
        <w:numPr>
          <w:ilvl w:val="0"/>
          <w:numId w:val="1"/>
        </w:num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严格落实固体废物分类处理和综合利用措施。废水处理后产生的污泥脱水后，满足《</w:t>
      </w:r>
      <w:r>
        <w:rPr>
          <w:rFonts w:hint="eastAsia" w:ascii="仿宋_GB2312" w:eastAsia="仿宋_GB2312"/>
          <w:bCs/>
          <w:sz w:val="32"/>
          <w:szCs w:val="32"/>
        </w:rPr>
        <w:t>生活垃圾填埋场污染控制标准》（</w:t>
      </w:r>
      <w:r>
        <w:rPr>
          <w:rFonts w:ascii="仿宋_GB2312" w:eastAsia="仿宋_GB2312"/>
          <w:bCs/>
          <w:sz w:val="32"/>
          <w:szCs w:val="32"/>
        </w:rPr>
        <w:t>GB</w:t>
      </w:r>
      <w:r>
        <w:rPr>
          <w:rFonts w:hint="eastAsia" w:ascii="仿宋_GB2312" w:eastAsia="仿宋_GB2312"/>
          <w:bCs/>
          <w:sz w:val="32"/>
          <w:szCs w:val="32"/>
        </w:rPr>
        <w:t>16889</w:t>
      </w:r>
      <w:r>
        <w:rPr>
          <w:rFonts w:ascii="仿宋_GB2312" w:eastAsia="仿宋_GB2312"/>
          <w:bCs/>
          <w:sz w:val="32"/>
          <w:szCs w:val="32"/>
        </w:rPr>
        <w:t>-200</w:t>
      </w:r>
      <w:r>
        <w:rPr>
          <w:rFonts w:hint="eastAsia" w:ascii="仿宋_GB2312" w:eastAsia="仿宋_GB2312"/>
          <w:bCs/>
          <w:sz w:val="32"/>
          <w:szCs w:val="32"/>
        </w:rPr>
        <w:t>8）、《生活垃圾卫生填埋处理技术规范》（</w:t>
      </w:r>
      <w:r>
        <w:rPr>
          <w:rFonts w:ascii="仿宋_GB2312" w:eastAsia="仿宋_GB2312"/>
          <w:bCs/>
          <w:sz w:val="32"/>
          <w:szCs w:val="32"/>
        </w:rPr>
        <w:t>GB</w:t>
      </w:r>
      <w:r>
        <w:rPr>
          <w:rFonts w:hint="eastAsia" w:ascii="仿宋_GB2312" w:eastAsia="仿宋_GB2312"/>
          <w:bCs/>
          <w:sz w:val="32"/>
          <w:szCs w:val="32"/>
        </w:rPr>
        <w:t>50869</w:t>
      </w:r>
      <w:r>
        <w:rPr>
          <w:rFonts w:ascii="仿宋_GB2312" w:eastAsia="仿宋_GB2312"/>
          <w:bCs/>
          <w:sz w:val="32"/>
          <w:szCs w:val="32"/>
        </w:rPr>
        <w:t>-20</w:t>
      </w:r>
      <w:r>
        <w:rPr>
          <w:rFonts w:hint="eastAsia" w:ascii="仿宋_GB2312" w:eastAsia="仿宋_GB2312"/>
          <w:bCs/>
          <w:sz w:val="32"/>
          <w:szCs w:val="32"/>
        </w:rPr>
        <w:t>13）中规定脱水后污泥含水率</w:t>
      </w:r>
      <w:r>
        <w:rPr>
          <w:rFonts w:hint="eastAsia" w:ascii="仿宋_GB2312" w:eastAsia="仿宋_GB2312"/>
          <w:sz w:val="32"/>
          <w:szCs w:val="32"/>
        </w:rPr>
        <w:t>小于</w:t>
      </w:r>
      <w:r>
        <w:rPr>
          <w:rFonts w:ascii="仿宋_GB2312" w:eastAsia="仿宋_GB2312"/>
          <w:sz w:val="32"/>
          <w:szCs w:val="32"/>
        </w:rPr>
        <w:t>60%</w:t>
      </w:r>
      <w:r>
        <w:rPr>
          <w:rFonts w:hint="eastAsia" w:ascii="仿宋_GB2312" w:eastAsia="仿宋_GB2312"/>
          <w:sz w:val="32"/>
          <w:szCs w:val="32"/>
        </w:rPr>
        <w:t>的限值要求，对于泥饼临时贮存场所，应进行地面防渗，同时应进行防雨处理，防止造成二次污染。</w:t>
      </w: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（七）严格落实各项风险防范措施。建立环境风险防范措施和应急管理体系，制定和完善环境风险应急预案，防止环境污染事故的发生。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hAnsi="宋体" w:eastAsia="仿宋_GB2312"/>
          <w:sz w:val="32"/>
          <w:szCs w:val="32"/>
        </w:rPr>
        <w:t>严格落实环境管理措施及监测计划。建立健全符合本项目环境保护管理制度，形成制度化管理，设专职环保管理人员。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投入运行后，你公司需按照环境影响评价文件中环境监测计划进行监测，严格控制各种污染物的排放浓度。</w:t>
      </w:r>
    </w:p>
    <w:p>
      <w:pPr>
        <w:pStyle w:val="2"/>
        <w:ind w:left="2521" w:leftChars="286" w:hanging="1920" w:hangingChars="6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（九）</w:t>
      </w:r>
      <w:r>
        <w:rPr>
          <w:rFonts w:hint="eastAsia" w:ascii="仿宋_GB2312" w:eastAsia="仿宋_GB2312" w:cs="仿宋_GB2312"/>
          <w:sz w:val="32"/>
          <w:szCs w:val="32"/>
        </w:rPr>
        <w:t>本项目污染物排放须按照</w:t>
      </w:r>
      <w:r>
        <w:rPr>
          <w:rFonts w:hint="eastAsia" w:ascii="仿宋_GB2312" w:eastAsia="仿宋_GB2312"/>
          <w:kern w:val="32"/>
          <w:sz w:val="32"/>
        </w:rPr>
        <w:t>环境保护行政主管部门</w:t>
      </w:r>
      <w:r>
        <w:rPr>
          <w:rFonts w:hint="eastAsia" w:ascii="仿宋_GB2312" w:eastAsia="仿宋_GB2312" w:cs="仿宋_GB2312"/>
          <w:sz w:val="32"/>
          <w:szCs w:val="32"/>
        </w:rPr>
        <w:t>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准</w:t>
      </w:r>
    </w:p>
    <w:p>
      <w:pPr>
        <w:pStyle w:val="2"/>
        <w:ind w:left="0" w:leftChars="0" w:firstLine="0" w:firstLineChars="0"/>
        <w:rPr>
          <w:rFonts w:ascii="仿宋_GB2312" w:eastAsia="仿宋_GB2312"/>
          <w:kern w:val="32"/>
          <w:sz w:val="32"/>
        </w:rPr>
      </w:pPr>
      <w:r>
        <w:rPr>
          <w:rFonts w:hint="eastAsia" w:ascii="仿宋_GB2312" w:eastAsia="仿宋_GB2312" w:cs="仿宋_GB2312"/>
          <w:sz w:val="32"/>
          <w:szCs w:val="32"/>
        </w:rPr>
        <w:t>的污染物排放总量执行。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三、项目建设必须严格执行环境保护设施与主体工程同时设计、同时施工、同时投产使用的环境保护“三同时”制度。项目竣工后，你公司必须按照规定进行竣工环境保护验收。</w:t>
      </w:r>
    </w:p>
    <w:p>
      <w:pPr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/>
          <w:sz w:val="32"/>
        </w:rPr>
        <w:t>环境影响报告表经批准后，项目的性质、规模、地点或者防止生态破坏、防治污染的措施发生重大变动的，应当重新报批该项目的环境影响报告表。自环境影响报告表批复文件批准之日起</w:t>
      </w:r>
      <w:r>
        <w:rPr>
          <w:rFonts w:ascii="仿宋_GB2312" w:hAnsi="Times New Roman" w:eastAsia="仿宋_GB2312"/>
          <w:sz w:val="32"/>
        </w:rPr>
        <w:t>,</w:t>
      </w:r>
      <w:r>
        <w:rPr>
          <w:rFonts w:hint="eastAsia" w:ascii="仿宋_GB2312" w:hAnsi="Times New Roman" w:eastAsia="仿宋_GB2312"/>
          <w:sz w:val="32"/>
        </w:rPr>
        <w:t>如超过</w:t>
      </w:r>
      <w:r>
        <w:rPr>
          <w:rFonts w:ascii="仿宋_GB2312" w:hAnsi="Times New Roman" w:eastAsia="仿宋_GB2312"/>
          <w:sz w:val="32"/>
        </w:rPr>
        <w:t>5</w:t>
      </w:r>
      <w:r>
        <w:rPr>
          <w:rFonts w:hint="eastAsia" w:ascii="仿宋_GB2312" w:hAnsi="Times New Roman" w:eastAsia="仿宋_GB2312"/>
          <w:sz w:val="32"/>
        </w:rPr>
        <w:t>年方决定工程开工建设的，环境影响报告表应当报我局重新审核。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</w:rPr>
        <w:t>五</w:t>
      </w:r>
      <w:r>
        <w:rPr>
          <w:rFonts w:hint="eastAsia" w:ascii="仿宋_GB2312" w:eastAsia="仿宋_GB2312"/>
          <w:sz w:val="32"/>
          <w:szCs w:val="32"/>
        </w:rPr>
        <w:t>、请白山市环境监察支队负责该项目“三同时”监督检查和管理工作。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六、你单位按规定接受环境保护行政主管部门的日常监督检查。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抄送：白山市环境监察支队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r>
        <w:rPr>
          <w:rFonts w:hint="eastAsia" w:ascii="仿宋_GB2312" w:eastAsia="仿宋_GB2312" w:cs="仿宋_GB2312"/>
          <w:b/>
          <w:bCs/>
          <w:sz w:val="24"/>
          <w:lang w:bidi="ar-SA"/>
        </w:rPr>
        <w:pict>
          <v:line id="_x0000_s1027" o:spid="_x0000_s1027" o:spt="20" style="position:absolute;left:0pt;margin-left:-77.6pt;margin-top:16.75pt;height:0.05pt;width:594.35pt;z-index:251658240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line>
        </w:pict>
      </w:r>
    </w:p>
    <w:sectPr>
      <w:pgSz w:w="11906" w:h="16838"/>
      <w:pgMar w:top="1134" w:right="1474" w:bottom="1191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EB8D"/>
    <w:multiLevelType w:val="singleLevel"/>
    <w:tmpl w:val="26CFEB8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888"/>
    <w:rsid w:val="000149F3"/>
    <w:rsid w:val="00026703"/>
    <w:rsid w:val="001D45DB"/>
    <w:rsid w:val="00214511"/>
    <w:rsid w:val="00250985"/>
    <w:rsid w:val="003B4888"/>
    <w:rsid w:val="00445230"/>
    <w:rsid w:val="006C2F93"/>
    <w:rsid w:val="006E4AFA"/>
    <w:rsid w:val="00712B2B"/>
    <w:rsid w:val="0095684F"/>
    <w:rsid w:val="00A043B3"/>
    <w:rsid w:val="00BA44D3"/>
    <w:rsid w:val="00E11800"/>
    <w:rsid w:val="018D74AE"/>
    <w:rsid w:val="04A976B4"/>
    <w:rsid w:val="05320A8C"/>
    <w:rsid w:val="095B3B4E"/>
    <w:rsid w:val="09F317E6"/>
    <w:rsid w:val="0B885859"/>
    <w:rsid w:val="0C8B3A60"/>
    <w:rsid w:val="0DF0199C"/>
    <w:rsid w:val="0FE5407E"/>
    <w:rsid w:val="10C86E14"/>
    <w:rsid w:val="114A1CD9"/>
    <w:rsid w:val="145F7671"/>
    <w:rsid w:val="192C10C8"/>
    <w:rsid w:val="1A9D4BAD"/>
    <w:rsid w:val="1AAB45BE"/>
    <w:rsid w:val="1B9520EB"/>
    <w:rsid w:val="1C952426"/>
    <w:rsid w:val="1D552DC9"/>
    <w:rsid w:val="1D83064A"/>
    <w:rsid w:val="1E5772B5"/>
    <w:rsid w:val="1ED72194"/>
    <w:rsid w:val="206D1847"/>
    <w:rsid w:val="289905F4"/>
    <w:rsid w:val="29AD6051"/>
    <w:rsid w:val="2E3453D2"/>
    <w:rsid w:val="31CF63D5"/>
    <w:rsid w:val="33FA0DF5"/>
    <w:rsid w:val="37104914"/>
    <w:rsid w:val="374F07C2"/>
    <w:rsid w:val="38D30A7B"/>
    <w:rsid w:val="394A62D7"/>
    <w:rsid w:val="394F6E67"/>
    <w:rsid w:val="3C277375"/>
    <w:rsid w:val="3F3D6124"/>
    <w:rsid w:val="43B51C1D"/>
    <w:rsid w:val="44287482"/>
    <w:rsid w:val="46041BE4"/>
    <w:rsid w:val="4AFF7B28"/>
    <w:rsid w:val="4CFB20EC"/>
    <w:rsid w:val="50586F29"/>
    <w:rsid w:val="51A615D6"/>
    <w:rsid w:val="53DB2A73"/>
    <w:rsid w:val="54201911"/>
    <w:rsid w:val="557E5AF4"/>
    <w:rsid w:val="58420208"/>
    <w:rsid w:val="584D5353"/>
    <w:rsid w:val="5A844986"/>
    <w:rsid w:val="5FE811AD"/>
    <w:rsid w:val="60E0541B"/>
    <w:rsid w:val="61163D5C"/>
    <w:rsid w:val="62FB1172"/>
    <w:rsid w:val="633B796F"/>
    <w:rsid w:val="65992D45"/>
    <w:rsid w:val="65DA0F5E"/>
    <w:rsid w:val="67ED1AF9"/>
    <w:rsid w:val="6A8B3753"/>
    <w:rsid w:val="6D070200"/>
    <w:rsid w:val="6E3A7393"/>
    <w:rsid w:val="72135590"/>
    <w:rsid w:val="74D84B0B"/>
    <w:rsid w:val="75320053"/>
    <w:rsid w:val="75665D15"/>
    <w:rsid w:val="778203BE"/>
    <w:rsid w:val="78DB5091"/>
    <w:rsid w:val="7A8E1D9C"/>
    <w:rsid w:val="7FB05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80"/>
      <w:jc w:val="left"/>
    </w:pPr>
    <w:rPr>
      <w:smallCaps/>
      <w:sz w:val="20"/>
      <w:szCs w:val="20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312" w:lineRule="atLeast"/>
      <w:ind w:firstLine="200" w:firstLineChars="200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4">
    <w:name w:val="Body Text Indent 2"/>
    <w:basedOn w:val="1"/>
    <w:unhideWhenUsed/>
    <w:qFormat/>
    <w:uiPriority w:val="99"/>
    <w:pPr>
      <w:ind w:right="15" w:rightChars="15" w:firstLine="199" w:firstLineChars="199"/>
    </w:pPr>
    <w:rPr>
      <w:rFonts w:ascii="宋体"/>
      <w:sz w:val="32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kern w:val="0"/>
      <w:sz w:val="32"/>
      <w:szCs w:val="23"/>
    </w:rPr>
  </w:style>
  <w:style w:type="paragraph" w:customStyle="1" w:styleId="10">
    <w:name w:val="0WD正文"/>
    <w:basedOn w:val="1"/>
    <w:qFormat/>
    <w:uiPriority w:val="0"/>
    <w:pPr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11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8"/>
    </w:r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361</Words>
  <Characters>2058</Characters>
  <Lines>17</Lines>
  <Paragraphs>4</Paragraphs>
  <TotalTime>7</TotalTime>
  <ScaleCrop>false</ScaleCrop>
  <LinksUpToDate>false</LinksUpToDate>
  <CharactersWithSpaces>2415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Better me</cp:lastModifiedBy>
  <cp:lastPrinted>2018-06-28T02:10:00Z</cp:lastPrinted>
  <dcterms:modified xsi:type="dcterms:W3CDTF">2018-07-20T01:57:01Z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