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pStyle w:val="2"/>
        <w:rPr>
          <w:sz w:val="44"/>
          <w:szCs w:val="44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白山环审字(表)[2018] 52号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tabs>
          <w:tab w:val="center" w:pos="4153"/>
          <w:tab w:val="right" w:pos="8306"/>
        </w:tabs>
        <w:jc w:val="center"/>
        <w:rPr>
          <w:rFonts w:cs="Times New Roman" w:asciiTheme="minorEastAsia" w:hAnsiTheme="minorEastAsia"/>
          <w:b/>
          <w:bCs/>
          <w:sz w:val="44"/>
          <w:szCs w:val="44"/>
        </w:rPr>
      </w:pPr>
      <w:r>
        <w:rPr>
          <w:rFonts w:hint="eastAsia" w:cs="Times New Roman" w:asciiTheme="minorEastAsia" w:hAnsiTheme="minorEastAsia"/>
          <w:b/>
          <w:bCs/>
          <w:sz w:val="44"/>
          <w:szCs w:val="44"/>
        </w:rPr>
        <w:t>关于临江市三合城93246部队83分队进出口</w:t>
      </w:r>
    </w:p>
    <w:p>
      <w:pPr>
        <w:tabs>
          <w:tab w:val="center" w:pos="4153"/>
          <w:tab w:val="right" w:pos="8306"/>
        </w:tabs>
        <w:jc w:val="center"/>
        <w:rPr>
          <w:rFonts w:cs="Times New Roman" w:asciiTheme="minorEastAsia" w:hAnsiTheme="minorEastAsia"/>
          <w:sz w:val="44"/>
          <w:szCs w:val="44"/>
        </w:rPr>
      </w:pPr>
      <w:r>
        <w:rPr>
          <w:rFonts w:hint="eastAsia" w:cs="Times New Roman" w:asciiTheme="minorEastAsia" w:hAnsiTheme="minorEastAsia"/>
          <w:b/>
          <w:bCs/>
          <w:sz w:val="44"/>
          <w:szCs w:val="44"/>
        </w:rPr>
        <w:t>公路环境影响报告表的批复</w:t>
      </w:r>
    </w:p>
    <w:p>
      <w:pPr>
        <w:tabs>
          <w:tab w:val="center" w:pos="4153"/>
          <w:tab w:val="right" w:pos="8306"/>
        </w:tabs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临江市公路建设管理处：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</w:rPr>
        <w:t>你单位《关于</w:t>
      </w:r>
      <w:r>
        <w:rPr>
          <w:rFonts w:hint="eastAsia" w:ascii="仿宋" w:hAnsi="仿宋" w:eastAsia="仿宋" w:cs="Times New Roman"/>
          <w:bCs/>
          <w:sz w:val="32"/>
          <w:szCs w:val="32"/>
        </w:rPr>
        <w:t>临江市三合城93246部队83分队进出口公路建设项目环境影响报告表</w:t>
      </w:r>
      <w:r>
        <w:rPr>
          <w:rFonts w:hint="eastAsia" w:ascii="仿宋_GB2312" w:hAnsi="Times New Roman" w:eastAsia="仿宋_GB2312" w:cs="Times New Roman"/>
          <w:sz w:val="32"/>
        </w:rPr>
        <w:t>审批请示》和委托吉林昊融技术开发有限公司编制的环境影响报告表（报批版）收悉。</w:t>
      </w:r>
      <w:r>
        <w:rPr>
          <w:rFonts w:hint="eastAsia" w:ascii="仿宋_GB2312" w:eastAsia="仿宋_GB2312"/>
          <w:sz w:val="32"/>
          <w:szCs w:val="32"/>
        </w:rPr>
        <w:t>根据环境影响报告表</w:t>
      </w:r>
      <w:r>
        <w:rPr>
          <w:rFonts w:hint="eastAsia" w:ascii="仿宋_GB2312" w:hAnsi="Calibri" w:eastAsia="仿宋_GB2312" w:cs="Times New Roman"/>
          <w:sz w:val="32"/>
          <w:szCs w:val="32"/>
        </w:rPr>
        <w:t>的评价结论及专家审查意见，经研究，符合审批要求，现批复如下：</w:t>
      </w:r>
    </w:p>
    <w:p>
      <w:pPr>
        <w:spacing w:line="360" w:lineRule="auto"/>
        <w:ind w:firstLine="640" w:firstLineChars="200"/>
        <w:rPr>
          <w:rFonts w:ascii="仿宋_GB2312" w:hAnsi="新宋体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</w:rPr>
        <w:t>一、</w:t>
      </w:r>
      <w:r>
        <w:rPr>
          <w:rFonts w:hint="eastAsia" w:ascii="仿宋_GB2312" w:hAnsi="Calibri" w:eastAsia="仿宋_GB2312" w:cs="Times New Roman"/>
          <w:sz w:val="32"/>
          <w:szCs w:val="32"/>
        </w:rPr>
        <w:t>建设项目基本情况和审批意见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本</w:t>
      </w:r>
      <w:r>
        <w:rPr>
          <w:rFonts w:hint="eastAsia" w:ascii="仿宋_GB2312" w:hAnsi="Times New Roman" w:eastAsia="仿宋_GB2312" w:cs="Times New Roman"/>
          <w:sz w:val="32"/>
          <w:lang w:val="zh-CN"/>
        </w:rPr>
        <w:t>项目为利用现有旧路进行改建,旧路占地面积为14.586公顷，不新增永久占地。项目路线起于临城村南侧,与县道(X125)K164+400处顺接，向东南方向利用旧路进行布线，途径西高家、83分队至路线终点三合城村南侧沥青路面结合处，与既有道路顺接。项目路线全长13.20公里，设计速度为30公里/小时的三级公路标准。路基宽7.5米左右，路面宽6.5米。土路肩采用2×0.5米沥青混凝土路面，沥青混凝土路面工程85.8千平方米。本项目设15米小桥1座（拆除、新建），盖板涵3道（拆除、新建），圆管涵14道（拆除、新建），全线设置平面交叉8处。</w:t>
      </w:r>
      <w:r>
        <w:rPr>
          <w:rFonts w:hint="eastAsia" w:ascii="仿宋_GB2312" w:eastAsia="仿宋_GB2312"/>
          <w:sz w:val="32"/>
        </w:rPr>
        <w:t>项目总投资2698万元。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</w:rPr>
        <w:t>该项目</w:t>
      </w:r>
      <w:r>
        <w:rPr>
          <w:rFonts w:hint="eastAsia" w:ascii="仿宋_GB2312" w:hAnsi="Times New Roman" w:eastAsia="仿宋_GB2312" w:cs="Times New Roman"/>
          <w:sz w:val="32"/>
          <w:lang w:val="zh-CN"/>
        </w:rPr>
        <w:t>符合国家产业政策，是临江市“十三五”兴边富民规划及临江市公路交通发展规划的重要组成部分。项目</w:t>
      </w:r>
      <w:r>
        <w:rPr>
          <w:rFonts w:hint="eastAsia" w:ascii="仿宋_GB2312" w:hAnsi="Times New Roman" w:eastAsia="仿宋_GB2312" w:cs="Times New Roman"/>
          <w:sz w:val="32"/>
        </w:rPr>
        <w:t>在全面落实报告表和专家提出的各项生态保护及污染防治措施后，项目建设对环境的不利影响能够得到缓解和控制。因此，从环境保护角度分析，我局原则同意环境影响报告表中所列建设项目的性质、规模、工艺、地点和拟采取的环境保护措施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二、项目施工期和运行期应重点做好以下环保工作。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（一）</w:t>
      </w:r>
      <w:r>
        <w:rPr>
          <w:rFonts w:hint="eastAsia" w:ascii="Times New Roman" w:hAnsi="Times New Roman" w:eastAsia="仿宋_GB2312" w:cs="Times New Roman"/>
          <w:sz w:val="32"/>
        </w:rPr>
        <w:t>全面梳理现有工程存在的环保问题</w:t>
      </w:r>
      <w:r>
        <w:rPr>
          <w:rFonts w:hint="eastAsia" w:ascii="仿宋_GB2312" w:hAnsi="Times New Roman" w:eastAsia="仿宋_GB2312" w:cs="Times New Roman"/>
          <w:sz w:val="32"/>
        </w:rPr>
        <w:t>，应与改建工程一并施工整改落实。</w:t>
      </w:r>
    </w:p>
    <w:p>
      <w:pPr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</w:rPr>
        <w:t>（二）加强施工期环境管理。认真落实生态保护措施，防止生态破坏；采取有效措施，确保施工场界噪声满足《建筑施工场界环境噪声排放标准》（GB12523-2011）限值要求；</w:t>
      </w:r>
      <w:r>
        <w:rPr>
          <w:rFonts w:hint="eastAsia" w:ascii="仿宋" w:hAnsi="仿宋" w:eastAsia="仿宋" w:cs="仿宋"/>
          <w:sz w:val="32"/>
          <w:szCs w:val="32"/>
        </w:rPr>
        <w:t>有效控制施工扬尘，妥善处置施工弃土、弃渣和固体废物，加强对生活污水及施工废水的管理，避免对项目所在区域受纳水体的影响。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（三）跨河桥梁基础施工应在</w:t>
      </w:r>
      <w:r>
        <w:rPr>
          <w:rFonts w:hint="eastAsia" w:ascii="仿宋_GB2312" w:eastAsia="仿宋_GB2312"/>
          <w:sz w:val="32"/>
        </w:rPr>
        <w:t>枯水期进行，并应采取围堰。钻孔等施工产生的泥浆经沉淀池沉淀处理后综合利用，不得随意倾倒。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hint="eastAsia" w:ascii="仿宋_GB2312" w:eastAsia="仿宋_GB2312"/>
          <w:sz w:val="32"/>
          <w:szCs w:val="32"/>
          <w:lang w:val="zh-CN"/>
        </w:rPr>
        <w:t>加强营运期车辆交通噪声环境管理，</w:t>
      </w:r>
      <w:r>
        <w:rPr>
          <w:rFonts w:hint="eastAsia" w:ascii="仿宋_GB2312" w:eastAsia="仿宋_GB2312"/>
          <w:sz w:val="32"/>
          <w:szCs w:val="32"/>
        </w:rPr>
        <w:t>应采取隔声窗、绿化等噪声治理措施，</w:t>
      </w:r>
      <w:r>
        <w:rPr>
          <w:rFonts w:hint="eastAsia" w:ascii="仿宋_GB2312" w:eastAsia="仿宋_GB2312"/>
          <w:sz w:val="32"/>
          <w:szCs w:val="32"/>
          <w:lang w:val="zh-CN"/>
        </w:rPr>
        <w:t>保护区域内村镇居民住宅和学校等敏感点噪声符合</w:t>
      </w:r>
      <w:r>
        <w:rPr>
          <w:rFonts w:hint="eastAsia" w:ascii="仿宋_GB2312" w:eastAsia="仿宋_GB2312"/>
          <w:sz w:val="32"/>
          <w:szCs w:val="32"/>
        </w:rPr>
        <w:t>GB3096—2008《声环境质量标准》中相应</w:t>
      </w:r>
      <w:r>
        <w:rPr>
          <w:rFonts w:hint="eastAsia" w:ascii="仿宋_GB2312" w:hAnsi="宋体" w:eastAsia="仿宋_GB2312"/>
          <w:sz w:val="32"/>
          <w:szCs w:val="32"/>
        </w:rPr>
        <w:t>标准要求。</w:t>
      </w:r>
    </w:p>
    <w:p>
      <w:pPr>
        <w:pStyle w:val="6"/>
        <w:adjustRightInd w:val="0"/>
        <w:snapToGrid w:val="0"/>
        <w:spacing w:line="620" w:lineRule="exact"/>
        <w:rPr>
          <w:szCs w:val="32"/>
        </w:rPr>
      </w:pPr>
      <w:r>
        <w:rPr>
          <w:rFonts w:hint="eastAsia"/>
          <w:szCs w:val="32"/>
        </w:rPr>
        <w:t>（五）强化环境风险防范措施。在村屯和学校等环境敏感点设置限速标志、减速带和警示牌等</w:t>
      </w:r>
      <w:r>
        <w:rPr>
          <w:rFonts w:hint="eastAsia"/>
        </w:rPr>
        <w:t>。</w:t>
      </w:r>
      <w:r>
        <w:rPr>
          <w:rFonts w:hint="eastAsia"/>
          <w:szCs w:val="32"/>
        </w:rPr>
        <w:t>建立公路管理部门与地方政府间的联动机制，加强运营期危险品运输事故应急措施管理，制定环境风险应急预案，落实风险防范措施。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（六）在工程施工和运营过程中，加强与沿线公众的沟通，及时解决公众担忧的环境问题，满足公众合理的环境诉求。</w:t>
      </w:r>
    </w:p>
    <w:p>
      <w:pPr>
        <w:pStyle w:val="3"/>
        <w:ind w:right="31" w:firstLine="640" w:firstLineChars="200"/>
      </w:pPr>
      <w:r>
        <w:rPr>
          <w:rFonts w:hint="eastAsia" w:ascii="仿宋_GB2312" w:eastAsia="仿宋_GB2312"/>
        </w:rPr>
        <w:t>三、项目建设必须严格执行环境保护设施与主体工程同时设计、同时施工、同时投产使用的环境保护“三同时”制度。项目竣工后，你单位应按照规定程序申请竣工环境保护验收。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四、环境影响报告表经批准后，项目的性质、规模、地点或者防止生态破坏、防治污染的措施发生重大变动的，应当重新报批该项目的环境影响报告表。自环境影响报告表批复文件批准之日起,如超过5年方决定工程开工建设的，环境影响报告表应当报我局重新审核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五、。我局委托临江市环保局负责该项目“三同时”监督检查和管理工作。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六、你单位应接受各级环境保护行政主管部门的日常监督检查。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2018年11月6日</w:t>
      </w:r>
    </w:p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</w:rPr>
        <w:t>抄送：临江市环境保护局</w:t>
      </w:r>
    </w:p>
    <w:p>
      <w:pPr>
        <w:pStyle w:val="2"/>
        <w:ind w:left="0"/>
      </w:pPr>
    </w:p>
    <w:sectPr>
      <w:pgSz w:w="11906" w:h="16838"/>
      <w:pgMar w:top="1361" w:right="1474" w:bottom="1191" w:left="1587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0D63"/>
    <w:rsid w:val="00070FEF"/>
    <w:rsid w:val="000D3C50"/>
    <w:rsid w:val="000E423B"/>
    <w:rsid w:val="002065BC"/>
    <w:rsid w:val="002A2289"/>
    <w:rsid w:val="004170E2"/>
    <w:rsid w:val="0042668A"/>
    <w:rsid w:val="00432C97"/>
    <w:rsid w:val="00457F69"/>
    <w:rsid w:val="004B2A72"/>
    <w:rsid w:val="00522A29"/>
    <w:rsid w:val="0055235A"/>
    <w:rsid w:val="00571F10"/>
    <w:rsid w:val="005E0ECD"/>
    <w:rsid w:val="005F01FE"/>
    <w:rsid w:val="00702EB3"/>
    <w:rsid w:val="00722C63"/>
    <w:rsid w:val="00737279"/>
    <w:rsid w:val="007915C4"/>
    <w:rsid w:val="00935323"/>
    <w:rsid w:val="00970D63"/>
    <w:rsid w:val="009A6E5D"/>
    <w:rsid w:val="009D73F3"/>
    <w:rsid w:val="00A576FC"/>
    <w:rsid w:val="00BC7191"/>
    <w:rsid w:val="00BF5007"/>
    <w:rsid w:val="00BF6863"/>
    <w:rsid w:val="00C13FDB"/>
    <w:rsid w:val="00D355A9"/>
    <w:rsid w:val="00E637DA"/>
    <w:rsid w:val="00E63EA2"/>
    <w:rsid w:val="00EA5539"/>
    <w:rsid w:val="00EC5876"/>
    <w:rsid w:val="00F262E7"/>
    <w:rsid w:val="00FF1FE2"/>
    <w:rsid w:val="05320A8C"/>
    <w:rsid w:val="1DEF1549"/>
    <w:rsid w:val="1ED72194"/>
    <w:rsid w:val="206D1847"/>
    <w:rsid w:val="2E3453D2"/>
    <w:rsid w:val="374F07C2"/>
    <w:rsid w:val="62FB1172"/>
    <w:rsid w:val="6BFE20F6"/>
    <w:rsid w:val="74D84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80"/>
      <w:jc w:val="left"/>
    </w:pPr>
    <w:rPr>
      <w:smallCaps/>
      <w:sz w:val="20"/>
      <w:szCs w:val="20"/>
    </w:rPr>
  </w:style>
  <w:style w:type="paragraph" w:styleId="3">
    <w:name w:val="Body Text"/>
    <w:basedOn w:val="1"/>
    <w:link w:val="7"/>
    <w:unhideWhenUsed/>
    <w:qFormat/>
    <w:uiPriority w:val="0"/>
    <w:pPr>
      <w:ind w:right="15" w:rightChars="15"/>
    </w:pPr>
    <w:rPr>
      <w:rFonts w:ascii="宋体" w:hAnsi="Times New Roman" w:eastAsia="宋体" w:cs="Times New Roman"/>
      <w:sz w:val="32"/>
      <w:szCs w:val="20"/>
    </w:rPr>
  </w:style>
  <w:style w:type="paragraph" w:customStyle="1" w:styleId="6">
    <w:name w:val="评估意见正文内容"/>
    <w:basedOn w:val="1"/>
    <w:qFormat/>
    <w:uiPriority w:val="0"/>
    <w:pPr>
      <w:spacing w:line="580" w:lineRule="exact"/>
      <w:ind w:firstLine="640" w:firstLineChars="200"/>
    </w:pPr>
    <w:rPr>
      <w:rFonts w:ascii="仿宋_GB2312" w:hAnsi="宋体" w:eastAsia="仿宋_GB2312"/>
      <w:bCs/>
      <w:kern w:val="0"/>
      <w:sz w:val="32"/>
      <w:szCs w:val="23"/>
    </w:rPr>
  </w:style>
  <w:style w:type="character" w:customStyle="1" w:styleId="7">
    <w:name w:val="正文文本 Char"/>
    <w:basedOn w:val="4"/>
    <w:link w:val="3"/>
    <w:uiPriority w:val="0"/>
    <w:rPr>
      <w:rFonts w:ascii="宋体" w:hAnsi="Times New Roman" w:eastAsia="宋体" w:cs="Times New Roman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E6883D-B27C-4BBE-B1D6-7DB52E0814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3</Pages>
  <Words>214</Words>
  <Characters>1222</Characters>
  <Lines>10</Lines>
  <Paragraphs>2</Paragraphs>
  <TotalTime>240</TotalTime>
  <ScaleCrop>false</ScaleCrop>
  <LinksUpToDate>false</LinksUpToDate>
  <CharactersWithSpaces>1434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Better me</cp:lastModifiedBy>
  <cp:lastPrinted>2018-01-30T01:52:00Z</cp:lastPrinted>
  <dcterms:modified xsi:type="dcterms:W3CDTF">2018-11-13T00:56:32Z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