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beforeLines="50" w:afterLines="50"/>
        <w:ind w:firstLine="505"/>
        <w:jc w:val="center"/>
      </w:pPr>
      <w:r>
        <w:rPr>
          <w:rFonts w:hint="eastAsia" w:ascii="Times New Roman" w:hAnsi="Times New Roman"/>
          <w:b/>
          <w:color w:val="auto"/>
        </w:rPr>
        <w:t>目 录</w:t>
      </w:r>
    </w:p>
    <w:p>
      <w:pPr>
        <w:pStyle w:val="17"/>
        <w:tabs>
          <w:tab w:val="right" w:leader="dot" w:pos="8306"/>
        </w:tabs>
        <w:outlineLvl w:val="2"/>
        <w:rPr>
          <w:rFonts w:ascii="Times New Roman" w:hAnsi="Times New Roman"/>
        </w:rPr>
      </w:pPr>
      <w:r>
        <w:rPr>
          <w:rFonts w:ascii="Times New Roman" w:hAnsi="Times New Roman"/>
          <w:b/>
        </w:rPr>
        <w:fldChar w:fldCharType="begin"/>
      </w:r>
      <w:r>
        <w:rPr>
          <w:rFonts w:ascii="Times New Roman" w:hAnsi="Times New Roman"/>
          <w:b/>
        </w:rPr>
        <w:instrText xml:space="preserve">TOC \o "1-3" \h \u </w:instrText>
      </w:r>
      <w:r>
        <w:rPr>
          <w:rFonts w:ascii="Times New Roman" w:hAnsi="Times New Roman"/>
          <w:b/>
        </w:rPr>
        <w:fldChar w:fldCharType="separate"/>
      </w:r>
      <w:r>
        <w:fldChar w:fldCharType="begin"/>
      </w:r>
      <w:r>
        <w:instrText xml:space="preserve"> HYPERLINK \l "_Toc25796" </w:instrText>
      </w:r>
      <w:r>
        <w:fldChar w:fldCharType="separate"/>
      </w:r>
      <w:r>
        <w:rPr>
          <w:rFonts w:ascii="Times New Roman" w:hAnsi="Times New Roman"/>
          <w:szCs w:val="36"/>
        </w:rPr>
        <w:t>第一章 概述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_Toc25796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"_Toc17195" </w:instrText>
      </w:r>
      <w:r>
        <w:fldChar w:fldCharType="separate"/>
      </w:r>
      <w:r>
        <w:rPr>
          <w:rFonts w:ascii="Times New Roman" w:hAnsi="Times New Roman"/>
          <w:szCs w:val="30"/>
        </w:rPr>
        <w:t>1.1项目提出背景</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_Toc17195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"_Toc5551" </w:instrText>
      </w:r>
      <w:r>
        <w:fldChar w:fldCharType="separate"/>
      </w:r>
      <w:r>
        <w:rPr>
          <w:rFonts w:ascii="Times New Roman" w:hAnsi="Times New Roman"/>
          <w:szCs w:val="30"/>
        </w:rPr>
        <w:t>1.2评价目的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_Toc5551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"_Toc32355" </w:instrText>
      </w:r>
      <w:r>
        <w:fldChar w:fldCharType="separate"/>
      </w:r>
      <w:r>
        <w:rPr>
          <w:rFonts w:ascii="Times New Roman" w:hAnsi="Times New Roman"/>
          <w:szCs w:val="30"/>
        </w:rPr>
        <w:t>1.3评价原则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_Toc32355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"_Toc23581" </w:instrText>
      </w:r>
      <w:r>
        <w:fldChar w:fldCharType="separate"/>
      </w:r>
      <w:r>
        <w:rPr>
          <w:rFonts w:ascii="Times New Roman" w:hAnsi="Times New Roman"/>
          <w:szCs w:val="30"/>
        </w:rPr>
        <w:t>1.4环境影响评价的工作过程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_Toc23581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"_Toc19300" </w:instrText>
      </w:r>
      <w:r>
        <w:fldChar w:fldCharType="separate"/>
      </w:r>
      <w:r>
        <w:rPr>
          <w:rFonts w:ascii="Times New Roman" w:hAnsi="Times New Roman"/>
          <w:szCs w:val="30"/>
        </w:rPr>
        <w:t>1.5分析判定相关情况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_Toc19300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"_Toc13402" </w:instrText>
      </w:r>
      <w:r>
        <w:fldChar w:fldCharType="separate"/>
      </w:r>
      <w:r>
        <w:rPr>
          <w:rFonts w:ascii="Times New Roman" w:hAnsi="Times New Roman"/>
          <w:szCs w:val="30"/>
        </w:rPr>
        <w:t>1.6评价重点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_Toc13402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"_Toc9345" </w:instrText>
      </w:r>
      <w:r>
        <w:fldChar w:fldCharType="separate"/>
      </w:r>
      <w:r>
        <w:rPr>
          <w:rFonts w:ascii="Times New Roman" w:hAnsi="Times New Roman"/>
          <w:szCs w:val="30"/>
        </w:rPr>
        <w:t>1.7关注的主要环境问题及环境影响</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_Toc9345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"_Toc9379" </w:instrText>
      </w:r>
      <w:r>
        <w:fldChar w:fldCharType="separate"/>
      </w:r>
      <w:r>
        <w:rPr>
          <w:rFonts w:ascii="Times New Roman" w:hAnsi="Times New Roman"/>
          <w:szCs w:val="30"/>
        </w:rPr>
        <w:t>1.8环境影响评价的主要结论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_Toc9379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"_Toc32108" </w:instrText>
      </w:r>
      <w:r>
        <w:fldChar w:fldCharType="separate"/>
      </w:r>
      <w:r>
        <w:rPr>
          <w:rFonts w:ascii="Times New Roman" w:hAnsi="Times New Roman"/>
          <w:szCs w:val="36"/>
        </w:rPr>
        <w:t>第二章 总则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_Toc32108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"_Toc18101" </w:instrText>
      </w:r>
      <w:r>
        <w:fldChar w:fldCharType="separate"/>
      </w:r>
      <w:r>
        <w:rPr>
          <w:rFonts w:ascii="Times New Roman" w:hAnsi="Times New Roman"/>
        </w:rPr>
        <w:t>2.1编制依据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_Toc18101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"_Toc4697" </w:instrText>
      </w:r>
      <w:r>
        <w:fldChar w:fldCharType="separate"/>
      </w:r>
      <w:r>
        <w:rPr>
          <w:rFonts w:ascii="Times New Roman" w:hAnsi="Times New Roman"/>
          <w:szCs w:val="24"/>
        </w:rPr>
        <w:t>2.1.1法律、法规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_Toc4697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"_Toc4516" </w:instrText>
      </w:r>
      <w:r>
        <w:fldChar w:fldCharType="separate"/>
      </w:r>
      <w:r>
        <w:rPr>
          <w:rFonts w:ascii="Times New Roman" w:hAnsi="Times New Roman"/>
          <w:szCs w:val="24"/>
        </w:rPr>
        <w:t>2.1.2国务院规范性文件、部委规章及相关规范文件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_Toc4516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"_Toc8980" </w:instrText>
      </w:r>
      <w:r>
        <w:fldChar w:fldCharType="separate"/>
      </w:r>
      <w:r>
        <w:rPr>
          <w:rFonts w:ascii="Times New Roman" w:hAnsi="Times New Roman"/>
          <w:szCs w:val="24"/>
        </w:rPr>
        <w:t>2.1.3技术导则及技术规范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_Toc8980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"_Toc24318" </w:instrText>
      </w:r>
      <w:r>
        <w:fldChar w:fldCharType="separate"/>
      </w:r>
      <w:r>
        <w:rPr>
          <w:rFonts w:ascii="Times New Roman" w:hAnsi="Times New Roman"/>
          <w:szCs w:val="24"/>
        </w:rPr>
        <w:t>2.1.4与本项目有关其他文件资料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_Toc24318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"_Toc16384" </w:instrText>
      </w:r>
      <w:r>
        <w:fldChar w:fldCharType="separate"/>
      </w:r>
      <w:r>
        <w:rPr>
          <w:rFonts w:ascii="Times New Roman" w:hAnsi="Times New Roman"/>
        </w:rPr>
        <w:t>2.2评价因子与评价标准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_Toc16384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"_Toc28265" </w:instrText>
      </w:r>
      <w:r>
        <w:fldChar w:fldCharType="separate"/>
      </w:r>
      <w:r>
        <w:rPr>
          <w:rFonts w:ascii="Times New Roman" w:hAnsi="Times New Roman"/>
          <w:szCs w:val="24"/>
        </w:rPr>
        <w:t>2.2.1评价因子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_Toc28265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"_Toc32720" </w:instrText>
      </w:r>
      <w:r>
        <w:fldChar w:fldCharType="separate"/>
      </w:r>
      <w:r>
        <w:rPr>
          <w:rFonts w:ascii="Times New Roman" w:hAnsi="Times New Roman"/>
          <w:szCs w:val="24"/>
        </w:rPr>
        <w:t>2.2.2评价标准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_Toc32720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"_Toc742" </w:instrText>
      </w:r>
      <w:r>
        <w:fldChar w:fldCharType="separate"/>
      </w:r>
      <w:r>
        <w:rPr>
          <w:rFonts w:ascii="Times New Roman" w:hAnsi="Times New Roman"/>
        </w:rPr>
        <w:t>2.3评价工作等级和评价范围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_Toc742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"_Toc27699" </w:instrText>
      </w:r>
      <w:r>
        <w:fldChar w:fldCharType="separate"/>
      </w:r>
      <w:r>
        <w:rPr>
          <w:rFonts w:ascii="Times New Roman" w:hAnsi="Times New Roman"/>
          <w:szCs w:val="24"/>
        </w:rPr>
        <w:t>2.3.1环境空气</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_Toc27699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"_Toc20306" </w:instrText>
      </w:r>
      <w:r>
        <w:fldChar w:fldCharType="separate"/>
      </w:r>
      <w:r>
        <w:rPr>
          <w:rFonts w:ascii="Times New Roman" w:hAnsi="Times New Roman"/>
          <w:szCs w:val="24"/>
        </w:rPr>
        <w:t>2.3.2地表水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_Toc20306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"_Toc9427" </w:instrText>
      </w:r>
      <w:r>
        <w:fldChar w:fldCharType="separate"/>
      </w:r>
      <w:r>
        <w:rPr>
          <w:rFonts w:ascii="Times New Roman" w:hAnsi="Times New Roman"/>
          <w:szCs w:val="24"/>
        </w:rPr>
        <w:t>2.3.3地下水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_Toc9427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"_Toc21479" </w:instrText>
      </w:r>
      <w:r>
        <w:fldChar w:fldCharType="separate"/>
      </w:r>
      <w:r>
        <w:rPr>
          <w:rFonts w:ascii="Times New Roman" w:hAnsi="Times New Roman"/>
          <w:szCs w:val="24"/>
        </w:rPr>
        <w:t>2.3.4噪声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_Toc21479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"_Toc29523" </w:instrText>
      </w:r>
      <w:r>
        <w:fldChar w:fldCharType="separate"/>
      </w:r>
      <w:r>
        <w:rPr>
          <w:rFonts w:ascii="Times New Roman" w:hAnsi="Times New Roman"/>
          <w:szCs w:val="24"/>
        </w:rPr>
        <w:t>2.3.5生态环境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_Toc29523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"_Toc7367" </w:instrText>
      </w:r>
      <w:r>
        <w:fldChar w:fldCharType="separate"/>
      </w:r>
      <w:r>
        <w:rPr>
          <w:rFonts w:ascii="Times New Roman" w:hAnsi="Times New Roman"/>
          <w:szCs w:val="24"/>
        </w:rPr>
        <w:t>2.3.6环境风险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_Toc7367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"_Toc8240" </w:instrText>
      </w:r>
      <w:r>
        <w:fldChar w:fldCharType="separate"/>
      </w:r>
      <w:r>
        <w:rPr>
          <w:rFonts w:ascii="Times New Roman" w:hAnsi="Times New Roman"/>
        </w:rPr>
        <w:t>2.4主体功能区划及环境功能区划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_Toc8240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"_Toc4567" </w:instrText>
      </w:r>
      <w:r>
        <w:fldChar w:fldCharType="separate"/>
      </w:r>
      <w:r>
        <w:rPr>
          <w:rFonts w:ascii="Times New Roman" w:hAnsi="Times New Roman"/>
          <w:szCs w:val="24"/>
        </w:rPr>
        <w:t>2.4.1主体功能区划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_Toc4567 </w:instrText>
      </w:r>
      <w:r>
        <w:rPr>
          <w:rFonts w:ascii="Times New Roman" w:hAnsi="Times New Roman"/>
        </w:rPr>
        <w:fldChar w:fldCharType="separate"/>
      </w:r>
      <w:r>
        <w:rPr>
          <w:rFonts w:ascii="Times New Roman" w:hAnsi="Times New Roman"/>
        </w:rPr>
        <w:t>31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"_Toc6062" </w:instrText>
      </w:r>
      <w:r>
        <w:fldChar w:fldCharType="separate"/>
      </w:r>
      <w:r>
        <w:rPr>
          <w:rFonts w:ascii="Times New Roman" w:hAnsi="Times New Roman"/>
          <w:szCs w:val="24"/>
        </w:rPr>
        <w:t>2.4.2环境功能区划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_Toc6062 </w:instrText>
      </w:r>
      <w:r>
        <w:rPr>
          <w:rFonts w:ascii="Times New Roman" w:hAnsi="Times New Roman"/>
        </w:rPr>
        <w:fldChar w:fldCharType="separate"/>
      </w:r>
      <w:r>
        <w:rPr>
          <w:rFonts w:ascii="Times New Roman" w:hAnsi="Times New Roman"/>
        </w:rPr>
        <w:t>33</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"_Toc19058" </w:instrText>
      </w:r>
      <w:r>
        <w:fldChar w:fldCharType="separate"/>
      </w:r>
      <w:r>
        <w:rPr>
          <w:rFonts w:ascii="Times New Roman" w:hAnsi="Times New Roman"/>
        </w:rPr>
        <w:t>2.5本项目周围环境特征</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_Toc19058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"_Toc10047" </w:instrText>
      </w:r>
      <w:r>
        <w:fldChar w:fldCharType="separate"/>
      </w:r>
      <w:r>
        <w:rPr>
          <w:rFonts w:ascii="Times New Roman" w:hAnsi="Times New Roman"/>
        </w:rPr>
        <w:t>2.6主要环境保护目标及污染控制目标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_Toc10047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"_Toc11198" </w:instrText>
      </w:r>
      <w:r>
        <w:fldChar w:fldCharType="separate"/>
      </w:r>
      <w:r>
        <w:rPr>
          <w:rFonts w:ascii="Times New Roman" w:hAnsi="Times New Roman"/>
          <w:szCs w:val="24"/>
        </w:rPr>
        <w:t>2.6.1环境保护目标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_Toc11198 </w:instrText>
      </w:r>
      <w:r>
        <w:rPr>
          <w:rFonts w:ascii="Times New Roman" w:hAnsi="Times New Roman"/>
        </w:rPr>
        <w:fldChar w:fldCharType="separate"/>
      </w:r>
      <w:r>
        <w:rPr>
          <w:rFonts w:ascii="Times New Roman" w:hAnsi="Times New Roman"/>
        </w:rPr>
        <w:t>35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"_Toc7936" </w:instrText>
      </w:r>
      <w:r>
        <w:fldChar w:fldCharType="separate"/>
      </w:r>
      <w:r>
        <w:rPr>
          <w:rFonts w:ascii="Times New Roman" w:hAnsi="Times New Roman"/>
          <w:szCs w:val="24"/>
        </w:rPr>
        <w:t>2.6.2污染控制目标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_Toc7936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"_Toc3755" </w:instrText>
      </w:r>
      <w:r>
        <w:fldChar w:fldCharType="separate"/>
      </w:r>
      <w:r>
        <w:rPr>
          <w:rFonts w:ascii="Times New Roman" w:hAnsi="Times New Roman"/>
        </w:rPr>
        <w:t>2.7评价时段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_Toc3755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"_Toc16450" </w:instrText>
      </w:r>
      <w:r>
        <w:fldChar w:fldCharType="separate"/>
      </w:r>
      <w:r>
        <w:rPr>
          <w:rFonts w:ascii="Times New Roman" w:hAnsi="Times New Roman"/>
        </w:rPr>
        <w:t>第三章 工程概况与工程分析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_Toc16450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"_Toc21221" </w:instrText>
      </w:r>
      <w:r>
        <w:fldChar w:fldCharType="separate"/>
      </w:r>
      <w:r>
        <w:rPr>
          <w:rFonts w:ascii="Times New Roman" w:hAnsi="Times New Roman"/>
        </w:rPr>
        <w:t>3.1现有项目概况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_Toc21221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"_Toc26938" </w:instrText>
      </w:r>
      <w:r>
        <w:fldChar w:fldCharType="separate"/>
      </w:r>
      <w:r>
        <w:rPr>
          <w:rFonts w:ascii="Times New Roman" w:hAnsi="Times New Roman"/>
          <w:szCs w:val="24"/>
        </w:rPr>
        <w:t>3.1.1基本情况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_Toc26938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"_Toc11828" </w:instrText>
      </w:r>
      <w:r>
        <w:fldChar w:fldCharType="separate"/>
      </w:r>
      <w:r>
        <w:rPr>
          <w:rFonts w:ascii="Times New Roman" w:hAnsi="Times New Roman"/>
          <w:szCs w:val="24"/>
        </w:rPr>
        <w:t>3.1.2生产规模及产品方案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_Toc11828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"_Toc12104" </w:instrText>
      </w:r>
      <w:r>
        <w:fldChar w:fldCharType="separate"/>
      </w:r>
      <w:r>
        <w:rPr>
          <w:rFonts w:ascii="Times New Roman" w:hAnsi="Times New Roman"/>
          <w:szCs w:val="24"/>
        </w:rPr>
        <w:t>3.1.3建设内容及工程组成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_Toc12104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"_Toc17455" </w:instrText>
      </w:r>
      <w:r>
        <w:fldChar w:fldCharType="separate"/>
      </w:r>
      <w:r>
        <w:rPr>
          <w:rFonts w:ascii="Times New Roman" w:hAnsi="Times New Roman"/>
          <w:szCs w:val="24"/>
        </w:rPr>
        <w:t>3.1.4公用工程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_Toc17455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"_Toc25729" </w:instrText>
      </w:r>
      <w:r>
        <w:fldChar w:fldCharType="separate"/>
      </w:r>
      <w:r>
        <w:rPr>
          <w:rFonts w:ascii="Times New Roman" w:hAnsi="Times New Roman"/>
          <w:szCs w:val="24"/>
        </w:rPr>
        <w:t>3.1.5主要原材料与能源消耗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_Toc25729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"_Toc12327" </w:instrText>
      </w:r>
      <w:r>
        <w:fldChar w:fldCharType="separate"/>
      </w:r>
      <w:r>
        <w:rPr>
          <w:rFonts w:ascii="Times New Roman" w:hAnsi="Times New Roman"/>
          <w:szCs w:val="24"/>
        </w:rPr>
        <w:t>3.1.6物料平衡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_Toc12327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"_Toc10834" </w:instrText>
      </w:r>
      <w:r>
        <w:fldChar w:fldCharType="separate"/>
      </w:r>
      <w:r>
        <w:rPr>
          <w:rFonts w:ascii="Times New Roman" w:hAnsi="Times New Roman"/>
          <w:szCs w:val="24"/>
        </w:rPr>
        <w:t>3.1.7工作制度、劳动定员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_Toc10834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"_Toc15276" </w:instrText>
      </w:r>
      <w:r>
        <w:fldChar w:fldCharType="separate"/>
      </w:r>
      <w:r>
        <w:rPr>
          <w:rFonts w:ascii="Times New Roman" w:hAnsi="Times New Roman"/>
          <w:szCs w:val="24"/>
        </w:rPr>
        <w:t>3.1.8工艺流程及产排污环节分析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_Toc15276 </w:instrText>
      </w:r>
      <w:r>
        <w:rPr>
          <w:rFonts w:ascii="Times New Roman" w:hAnsi="Times New Roman"/>
        </w:rPr>
        <w:fldChar w:fldCharType="separate"/>
      </w:r>
      <w:r>
        <w:rPr>
          <w:rFonts w:ascii="Times New Roman" w:hAnsi="Times New Roman"/>
        </w:rPr>
        <w:t>48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"_Toc634" </w:instrText>
      </w:r>
      <w:r>
        <w:fldChar w:fldCharType="separate"/>
      </w:r>
      <w:r>
        <w:rPr>
          <w:rFonts w:ascii="Times New Roman" w:hAnsi="Times New Roman"/>
          <w:szCs w:val="24"/>
        </w:rPr>
        <w:t>3.1.9现有项目污染源调查与污染物排放情况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_Toc634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"_Toc3628" </w:instrText>
      </w:r>
      <w:r>
        <w:fldChar w:fldCharType="separate"/>
      </w:r>
      <w:r>
        <w:rPr>
          <w:rFonts w:ascii="Times New Roman" w:hAnsi="Times New Roman"/>
          <w:szCs w:val="24"/>
        </w:rPr>
        <w:t>3.1.10现有项目环评批复落实情况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_Toc3628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"_Toc6325" </w:instrText>
      </w:r>
      <w:r>
        <w:fldChar w:fldCharType="separate"/>
      </w:r>
      <w:r>
        <w:rPr>
          <w:rFonts w:ascii="Times New Roman" w:hAnsi="Times New Roman"/>
          <w:szCs w:val="24"/>
        </w:rPr>
        <w:t>3.1.11现有项目验收情况、现存的主要环境问题及“以新带老”措施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_Toc6325 </w:instrText>
      </w:r>
      <w:r>
        <w:rPr>
          <w:rFonts w:ascii="Times New Roman" w:hAnsi="Times New Roman"/>
        </w:rPr>
        <w:fldChar w:fldCharType="separate"/>
      </w:r>
      <w:r>
        <w:rPr>
          <w:rFonts w:ascii="Times New Roman" w:hAnsi="Times New Roman"/>
        </w:rPr>
        <w:t>53</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"_Toc18028" </w:instrText>
      </w:r>
      <w:r>
        <w:fldChar w:fldCharType="separate"/>
      </w:r>
      <w:r>
        <w:rPr>
          <w:rFonts w:ascii="Times New Roman" w:hAnsi="Times New Roman"/>
          <w:bCs/>
          <w:szCs w:val="32"/>
        </w:rPr>
        <w:t>3.2扩建项目概况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_Toc18028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"_Toc4805" </w:instrText>
      </w:r>
      <w:r>
        <w:fldChar w:fldCharType="separate"/>
      </w:r>
      <w:r>
        <w:rPr>
          <w:rFonts w:ascii="Times New Roman" w:hAnsi="Times New Roman"/>
          <w:szCs w:val="24"/>
        </w:rPr>
        <w:t>3.2.1基本情况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_Toc4805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"_Toc13551" </w:instrText>
      </w:r>
      <w:r>
        <w:fldChar w:fldCharType="separate"/>
      </w:r>
      <w:r>
        <w:rPr>
          <w:rFonts w:ascii="Times New Roman" w:hAnsi="Times New Roman"/>
          <w:szCs w:val="24"/>
        </w:rPr>
        <w:t>3.2.2生产规模、产品方案及服务年限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_Toc13551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"_Toc25023" </w:instrText>
      </w:r>
      <w:r>
        <w:fldChar w:fldCharType="separate"/>
      </w:r>
      <w:r>
        <w:rPr>
          <w:rFonts w:ascii="Times New Roman" w:hAnsi="Times New Roman"/>
          <w:szCs w:val="24"/>
        </w:rPr>
        <w:t>3.2.3建设内容及工程组成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_Toc25023 </w:instrText>
      </w:r>
      <w:r>
        <w:rPr>
          <w:rFonts w:ascii="Times New Roman" w:hAnsi="Times New Roman"/>
        </w:rPr>
        <w:fldChar w:fldCharType="separate"/>
      </w:r>
      <w:r>
        <w:rPr>
          <w:rFonts w:ascii="Times New Roman" w:hAnsi="Times New Roman"/>
        </w:rPr>
        <w:t>57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"_Toc9927" </w:instrText>
      </w:r>
      <w:r>
        <w:fldChar w:fldCharType="separate"/>
      </w:r>
      <w:r>
        <w:rPr>
          <w:rFonts w:ascii="Times New Roman" w:hAnsi="Times New Roman"/>
          <w:szCs w:val="24"/>
        </w:rPr>
        <w:t>3.2.4主要设备情况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_Toc9927 </w:instrText>
      </w:r>
      <w:r>
        <w:rPr>
          <w:rFonts w:ascii="Times New Roman" w:hAnsi="Times New Roman"/>
        </w:rPr>
        <w:fldChar w:fldCharType="separate"/>
      </w:r>
      <w:r>
        <w:rPr>
          <w:rFonts w:ascii="Times New Roman" w:hAnsi="Times New Roman"/>
        </w:rPr>
        <w:t>58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"_Toc26834" </w:instrText>
      </w:r>
      <w:r>
        <w:fldChar w:fldCharType="separate"/>
      </w:r>
      <w:r>
        <w:rPr>
          <w:rFonts w:ascii="Times New Roman" w:hAnsi="Times New Roman"/>
          <w:szCs w:val="24"/>
        </w:rPr>
        <w:t>3.2.5 主要原材料与能源消耗</w:t>
      </w:r>
      <w:r>
        <w:rPr>
          <w:rFonts w:ascii="Times New Roman" w:hAnsi="Times New Roman"/>
        </w:rPr>
        <w:tab/>
      </w:r>
      <w:r>
        <w:rPr>
          <w:rFonts w:hint="eastAsia" w:ascii="Times New Roman" w:hAnsi="Times New Roman"/>
        </w:rPr>
        <w:t>5</w:t>
      </w:r>
      <w:r>
        <w:rPr>
          <w:rFonts w:hint="eastAsia" w:ascii="Times New Roman" w:hAnsi="Times New Roman"/>
        </w:rPr>
        <w:fldChar w:fldCharType="end"/>
      </w:r>
      <w:r>
        <w:rPr>
          <w:rFonts w:hint="eastAsia" w:ascii="Times New Roman" w:hAnsi="Times New Roman"/>
        </w:rPr>
        <w:t>8</w:t>
      </w:r>
    </w:p>
    <w:p>
      <w:pPr>
        <w:pStyle w:val="11"/>
        <w:tabs>
          <w:tab w:val="right" w:leader="dot" w:pos="8306"/>
        </w:tabs>
        <w:rPr>
          <w:rFonts w:ascii="Times New Roman" w:hAnsi="Times New Roman"/>
        </w:rPr>
      </w:pPr>
      <w:r>
        <w:fldChar w:fldCharType="begin"/>
      </w:r>
      <w:r>
        <w:instrText xml:space="preserve"> HYPERLINK \l "_Toc15784" </w:instrText>
      </w:r>
      <w:r>
        <w:fldChar w:fldCharType="separate"/>
      </w:r>
      <w:r>
        <w:rPr>
          <w:rFonts w:ascii="Times New Roman" w:hAnsi="Times New Roman"/>
          <w:szCs w:val="24"/>
        </w:rPr>
        <w:t>3.2.7工作制度、劳动定员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_Toc15784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"_Toc25261" </w:instrText>
      </w:r>
      <w:r>
        <w:fldChar w:fldCharType="separate"/>
      </w:r>
      <w:r>
        <w:rPr>
          <w:rFonts w:ascii="Times New Roman" w:hAnsi="Times New Roman"/>
          <w:szCs w:val="24"/>
        </w:rPr>
        <w:t>3.2.8总投资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_Toc25261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"_Toc25311" </w:instrText>
      </w:r>
      <w:r>
        <w:fldChar w:fldCharType="separate"/>
      </w:r>
      <w:r>
        <w:rPr>
          <w:rFonts w:ascii="Times New Roman" w:hAnsi="Times New Roman"/>
          <w:szCs w:val="24"/>
        </w:rPr>
        <w:t>3.2.9投产日期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_Toc25311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"_Toc17276" </w:instrText>
      </w:r>
      <w:r>
        <w:fldChar w:fldCharType="separate"/>
      </w:r>
      <w:r>
        <w:rPr>
          <w:rFonts w:ascii="Times New Roman" w:hAnsi="Times New Roman"/>
          <w:szCs w:val="24"/>
        </w:rPr>
        <w:t>3.2.10扩建项目占地情况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_Toc17276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"_Toc12602" </w:instrText>
      </w:r>
      <w:r>
        <w:fldChar w:fldCharType="separate"/>
      </w:r>
      <w:r>
        <w:rPr>
          <w:rFonts w:ascii="Times New Roman" w:hAnsi="Times New Roman"/>
          <w:bCs/>
          <w:szCs w:val="32"/>
        </w:rPr>
        <w:t>3.3扩建项目工程分析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_Toc12602 </w:instrText>
      </w:r>
      <w:r>
        <w:rPr>
          <w:rFonts w:ascii="Times New Roman" w:hAnsi="Times New Roman"/>
        </w:rPr>
        <w:fldChar w:fldCharType="separate"/>
      </w:r>
      <w:r>
        <w:rPr>
          <w:rFonts w:ascii="Times New Roman" w:hAnsi="Times New Roman"/>
        </w:rPr>
        <w:t>61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"_Toc24493" </w:instrText>
      </w:r>
      <w:r>
        <w:fldChar w:fldCharType="separate"/>
      </w:r>
      <w:r>
        <w:rPr>
          <w:rFonts w:ascii="Times New Roman" w:hAnsi="Times New Roman"/>
        </w:rPr>
        <w:t>3.3.1矿石化学成分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_Toc24493 </w:instrText>
      </w:r>
      <w:r>
        <w:rPr>
          <w:rFonts w:ascii="Times New Roman" w:hAnsi="Times New Roman"/>
        </w:rPr>
        <w:fldChar w:fldCharType="separate"/>
      </w:r>
      <w:r>
        <w:rPr>
          <w:rFonts w:ascii="Times New Roman" w:hAnsi="Times New Roman"/>
        </w:rPr>
        <w:t>61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"_Toc14848" </w:instrText>
      </w:r>
      <w:r>
        <w:fldChar w:fldCharType="separate"/>
      </w:r>
      <w:r>
        <w:rPr>
          <w:rFonts w:ascii="Times New Roman" w:hAnsi="Times New Roman"/>
        </w:rPr>
        <w:t>3.3.2工程设计方案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_Toc14848 </w:instrText>
      </w:r>
      <w:r>
        <w:rPr>
          <w:rFonts w:ascii="Times New Roman" w:hAnsi="Times New Roman"/>
        </w:rPr>
        <w:fldChar w:fldCharType="separate"/>
      </w:r>
      <w:r>
        <w:rPr>
          <w:rFonts w:ascii="Times New Roman" w:hAnsi="Times New Roman"/>
        </w:rPr>
        <w:t>62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"_Toc21487" </w:instrText>
      </w:r>
      <w:r>
        <w:fldChar w:fldCharType="separate"/>
      </w:r>
      <w:r>
        <w:rPr>
          <w:rFonts w:ascii="Times New Roman" w:hAnsi="Times New Roman"/>
        </w:rPr>
        <w:t>3.3.3 物料平衡</w:t>
      </w:r>
      <w:r>
        <w:rPr>
          <w:rFonts w:ascii="Times New Roman" w:hAnsi="Times New Roman"/>
        </w:rPr>
        <w:tab/>
      </w:r>
      <w:r>
        <w:rPr>
          <w:rFonts w:hint="eastAsia" w:ascii="Times New Roman" w:hAnsi="Times New Roman"/>
        </w:rPr>
        <w:t>6</w:t>
      </w:r>
      <w:r>
        <w:rPr>
          <w:rFonts w:hint="eastAsia" w:ascii="Times New Roman" w:hAnsi="Times New Roman"/>
        </w:rPr>
        <w:fldChar w:fldCharType="end"/>
      </w:r>
      <w:r>
        <w:rPr>
          <w:rFonts w:hint="eastAsia" w:ascii="Times New Roman" w:hAnsi="Times New Roman"/>
        </w:rPr>
        <w:t>6</w:t>
      </w:r>
    </w:p>
    <w:p>
      <w:pPr>
        <w:pStyle w:val="11"/>
        <w:tabs>
          <w:tab w:val="right" w:leader="dot" w:pos="8306"/>
        </w:tabs>
        <w:rPr>
          <w:rFonts w:ascii="Times New Roman" w:hAnsi="Times New Roman"/>
        </w:rPr>
      </w:pPr>
      <w:r>
        <w:fldChar w:fldCharType="begin"/>
      </w:r>
      <w:r>
        <w:instrText xml:space="preserve"> HYPERLINK \l "_Toc15773" </w:instrText>
      </w:r>
      <w:r>
        <w:fldChar w:fldCharType="separate"/>
      </w:r>
      <w:r>
        <w:rPr>
          <w:rFonts w:ascii="Times New Roman" w:hAnsi="Times New Roman"/>
        </w:rPr>
        <w:t>3.3.4土石方平衡</w:t>
      </w:r>
      <w:r>
        <w:rPr>
          <w:rFonts w:ascii="Times New Roman" w:hAnsi="Times New Roman"/>
        </w:rPr>
        <w:tab/>
      </w:r>
      <w:r>
        <w:rPr>
          <w:rFonts w:hint="eastAsia" w:ascii="Times New Roman" w:hAnsi="Times New Roman"/>
        </w:rPr>
        <w:t>6</w:t>
      </w:r>
      <w:r>
        <w:rPr>
          <w:rFonts w:hint="eastAsia" w:ascii="Times New Roman" w:hAnsi="Times New Roman"/>
        </w:rPr>
        <w:fldChar w:fldCharType="end"/>
      </w:r>
      <w:r>
        <w:rPr>
          <w:rFonts w:hint="eastAsia" w:ascii="Times New Roman" w:hAnsi="Times New Roman"/>
        </w:rPr>
        <w:t>6</w:t>
      </w:r>
    </w:p>
    <w:p>
      <w:pPr>
        <w:pStyle w:val="11"/>
        <w:tabs>
          <w:tab w:val="right" w:leader="dot" w:pos="8306"/>
        </w:tabs>
        <w:rPr>
          <w:rFonts w:ascii="Times New Roman" w:hAnsi="Times New Roman"/>
        </w:rPr>
      </w:pPr>
      <w:r>
        <w:fldChar w:fldCharType="begin"/>
      </w:r>
      <w:r>
        <w:instrText xml:space="preserve"> HYPERLINK \l "_Toc911" </w:instrText>
      </w:r>
      <w:r>
        <w:fldChar w:fldCharType="separate"/>
      </w:r>
      <w:r>
        <w:rPr>
          <w:rFonts w:ascii="Times New Roman" w:hAnsi="Times New Roman"/>
        </w:rPr>
        <w:t>3.3.5工艺流程及产排污环节分析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_Toc911 </w:instrText>
      </w:r>
      <w:r>
        <w:rPr>
          <w:rFonts w:ascii="Times New Roman" w:hAnsi="Times New Roman"/>
        </w:rPr>
        <w:fldChar w:fldCharType="separate"/>
      </w:r>
      <w:r>
        <w:rPr>
          <w:rFonts w:ascii="Times New Roman" w:hAnsi="Times New Roman"/>
        </w:rPr>
        <w:t>66</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"_Toc27762" </w:instrText>
      </w:r>
      <w:r>
        <w:fldChar w:fldCharType="separate"/>
      </w:r>
      <w:r>
        <w:rPr>
          <w:rFonts w:ascii="Times New Roman" w:hAnsi="Times New Roman"/>
          <w:bCs/>
          <w:szCs w:val="32"/>
        </w:rPr>
        <w:t>3.4扩建项目环境影响污染分析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_Toc27762 </w:instrText>
      </w:r>
      <w:r>
        <w:rPr>
          <w:rFonts w:ascii="Times New Roman" w:hAnsi="Times New Roman"/>
        </w:rPr>
        <w:fldChar w:fldCharType="separate"/>
      </w:r>
      <w:r>
        <w:rPr>
          <w:rFonts w:ascii="Times New Roman" w:hAnsi="Times New Roman"/>
        </w:rPr>
        <w:t>67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"_Toc30353" </w:instrText>
      </w:r>
      <w:r>
        <w:fldChar w:fldCharType="separate"/>
      </w:r>
      <w:r>
        <w:rPr>
          <w:rFonts w:ascii="Times New Roman" w:hAnsi="Times New Roman"/>
          <w:szCs w:val="24"/>
        </w:rPr>
        <w:t>3.4.1施工期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_Toc30353 </w:instrText>
      </w:r>
      <w:r>
        <w:rPr>
          <w:rFonts w:ascii="Times New Roman" w:hAnsi="Times New Roman"/>
        </w:rPr>
        <w:fldChar w:fldCharType="separate"/>
      </w:r>
      <w:r>
        <w:rPr>
          <w:rFonts w:ascii="Times New Roman" w:hAnsi="Times New Roman"/>
        </w:rPr>
        <w:t>67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"_Toc27408" </w:instrText>
      </w:r>
      <w:r>
        <w:fldChar w:fldCharType="separate"/>
      </w:r>
      <w:r>
        <w:rPr>
          <w:rFonts w:ascii="Times New Roman" w:hAnsi="Times New Roman"/>
        </w:rPr>
        <w:t>3.4.1.1废气</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_Toc27408 </w:instrText>
      </w:r>
      <w:r>
        <w:rPr>
          <w:rFonts w:ascii="Times New Roman" w:hAnsi="Times New Roman"/>
        </w:rPr>
        <w:fldChar w:fldCharType="separate"/>
      </w:r>
      <w:r>
        <w:rPr>
          <w:rFonts w:ascii="Times New Roman" w:hAnsi="Times New Roman"/>
        </w:rPr>
        <w:t>67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"_Toc29037" </w:instrText>
      </w:r>
      <w:r>
        <w:fldChar w:fldCharType="separate"/>
      </w:r>
      <w:r>
        <w:rPr>
          <w:rFonts w:ascii="Times New Roman" w:hAnsi="Times New Roman"/>
        </w:rPr>
        <w:t>3.4.1.2废水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_Toc29037 </w:instrText>
      </w:r>
      <w:r>
        <w:rPr>
          <w:rFonts w:ascii="Times New Roman" w:hAnsi="Times New Roman"/>
        </w:rPr>
        <w:fldChar w:fldCharType="separate"/>
      </w:r>
      <w:r>
        <w:rPr>
          <w:rFonts w:ascii="Times New Roman" w:hAnsi="Times New Roman"/>
        </w:rPr>
        <w:t>68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"_Toc7543" </w:instrText>
      </w:r>
      <w:r>
        <w:fldChar w:fldCharType="separate"/>
      </w:r>
      <w:r>
        <w:rPr>
          <w:rFonts w:ascii="Times New Roman" w:hAnsi="Times New Roman"/>
        </w:rPr>
        <w:t>3.4.1.3噪声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_Toc7543 </w:instrText>
      </w:r>
      <w:r>
        <w:rPr>
          <w:rFonts w:ascii="Times New Roman" w:hAnsi="Times New Roman"/>
        </w:rPr>
        <w:fldChar w:fldCharType="separate"/>
      </w:r>
      <w:r>
        <w:rPr>
          <w:rFonts w:ascii="Times New Roman" w:hAnsi="Times New Roman"/>
        </w:rPr>
        <w:t>68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"_Toc23531" </w:instrText>
      </w:r>
      <w:r>
        <w:fldChar w:fldCharType="separate"/>
      </w:r>
      <w:r>
        <w:rPr>
          <w:rFonts w:ascii="Times New Roman" w:hAnsi="Times New Roman"/>
        </w:rPr>
        <w:t>3.4.1.4固体废物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_Toc23531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"_Toc6408" </w:instrText>
      </w:r>
      <w:r>
        <w:fldChar w:fldCharType="separate"/>
      </w:r>
      <w:r>
        <w:rPr>
          <w:rFonts w:ascii="Times New Roman" w:hAnsi="Times New Roman"/>
        </w:rPr>
        <w:t>3.4.1.5生态影响分析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_Toc6408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"_Toc30647" </w:instrText>
      </w:r>
      <w:r>
        <w:fldChar w:fldCharType="separate"/>
      </w:r>
      <w:r>
        <w:rPr>
          <w:rFonts w:ascii="Times New Roman" w:hAnsi="Times New Roman"/>
          <w:szCs w:val="24"/>
        </w:rPr>
        <w:t>3.4.2营运期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_Toc30647 </w:instrText>
      </w:r>
      <w:r>
        <w:rPr>
          <w:rFonts w:ascii="Times New Roman" w:hAnsi="Times New Roman"/>
        </w:rPr>
        <w:fldChar w:fldCharType="separate"/>
      </w:r>
      <w:r>
        <w:rPr>
          <w:rFonts w:ascii="Times New Roman" w:hAnsi="Times New Roman"/>
        </w:rPr>
        <w:t>70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"_Toc23371" </w:instrText>
      </w:r>
      <w:r>
        <w:fldChar w:fldCharType="separate"/>
      </w:r>
      <w:r>
        <w:rPr>
          <w:rFonts w:ascii="Times New Roman" w:hAnsi="Times New Roman"/>
        </w:rPr>
        <w:t>3.4.2.1废气</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_Toc23371 </w:instrText>
      </w:r>
      <w:r>
        <w:rPr>
          <w:rFonts w:ascii="Times New Roman" w:hAnsi="Times New Roman"/>
        </w:rPr>
        <w:fldChar w:fldCharType="separate"/>
      </w:r>
      <w:r>
        <w:rPr>
          <w:rFonts w:ascii="Times New Roman" w:hAnsi="Times New Roman"/>
        </w:rPr>
        <w:t>70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"_Toc11416" </w:instrText>
      </w:r>
      <w:r>
        <w:fldChar w:fldCharType="separate"/>
      </w:r>
      <w:r>
        <w:rPr>
          <w:rFonts w:ascii="Times New Roman" w:hAnsi="Times New Roman"/>
        </w:rPr>
        <w:t>3.4.2.2废水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_Toc11416 </w:instrText>
      </w:r>
      <w:r>
        <w:rPr>
          <w:rFonts w:ascii="Times New Roman" w:hAnsi="Times New Roman"/>
        </w:rPr>
        <w:fldChar w:fldCharType="separate"/>
      </w:r>
      <w:r>
        <w:rPr>
          <w:rFonts w:ascii="Times New Roman" w:hAnsi="Times New Roman"/>
        </w:rPr>
        <w:t>71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"_Toc5060" </w:instrText>
      </w:r>
      <w:r>
        <w:fldChar w:fldCharType="separate"/>
      </w:r>
      <w:r>
        <w:rPr>
          <w:rFonts w:ascii="Times New Roman" w:hAnsi="Times New Roman"/>
        </w:rPr>
        <w:t>3.4.2.3噪声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_Toc5060 </w:instrText>
      </w:r>
      <w:r>
        <w:rPr>
          <w:rFonts w:ascii="Times New Roman" w:hAnsi="Times New Roman"/>
        </w:rPr>
        <w:fldChar w:fldCharType="separate"/>
      </w:r>
      <w:r>
        <w:rPr>
          <w:rFonts w:ascii="Times New Roman" w:hAnsi="Times New Roman"/>
        </w:rPr>
        <w:t>72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"_Toc8057" </w:instrText>
      </w:r>
      <w:r>
        <w:fldChar w:fldCharType="separate"/>
      </w:r>
      <w:r>
        <w:rPr>
          <w:rFonts w:ascii="Times New Roman" w:hAnsi="Times New Roman"/>
        </w:rPr>
        <w:t>3.4.2.4固体废物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_Toc8057 </w:instrText>
      </w:r>
      <w:r>
        <w:rPr>
          <w:rFonts w:ascii="Times New Roman" w:hAnsi="Times New Roman"/>
        </w:rPr>
        <w:fldChar w:fldCharType="separate"/>
      </w:r>
      <w:r>
        <w:rPr>
          <w:rFonts w:ascii="Times New Roman" w:hAnsi="Times New Roman"/>
        </w:rPr>
        <w:t>72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"_Toc346" </w:instrText>
      </w:r>
      <w:r>
        <w:fldChar w:fldCharType="separate"/>
      </w:r>
      <w:r>
        <w:rPr>
          <w:rFonts w:ascii="Times New Roman" w:hAnsi="Times New Roman"/>
        </w:rPr>
        <w:t>3.4.3闭矿期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_Toc346 </w:instrText>
      </w:r>
      <w:r>
        <w:rPr>
          <w:rFonts w:ascii="Times New Roman" w:hAnsi="Times New Roman"/>
        </w:rPr>
        <w:fldChar w:fldCharType="separate"/>
      </w:r>
      <w:r>
        <w:rPr>
          <w:rFonts w:ascii="Times New Roman" w:hAnsi="Times New Roman"/>
        </w:rPr>
        <w:t>74</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"_Toc12966" </w:instrText>
      </w:r>
      <w:r>
        <w:fldChar w:fldCharType="separate"/>
      </w:r>
      <w:r>
        <w:rPr>
          <w:rFonts w:ascii="Times New Roman" w:hAnsi="Times New Roman"/>
          <w:bCs/>
          <w:szCs w:val="32"/>
        </w:rPr>
        <w:t>3.5“三本账”核算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_Toc12966 </w:instrText>
      </w:r>
      <w:r>
        <w:rPr>
          <w:rFonts w:ascii="Times New Roman" w:hAnsi="Times New Roman"/>
        </w:rPr>
        <w:fldChar w:fldCharType="separate"/>
      </w:r>
      <w:r>
        <w:rPr>
          <w:rFonts w:ascii="Times New Roman" w:hAnsi="Times New Roman"/>
        </w:rPr>
        <w:t>75</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"_Toc16609" </w:instrText>
      </w:r>
      <w:r>
        <w:fldChar w:fldCharType="separate"/>
      </w:r>
      <w:r>
        <w:rPr>
          <w:rFonts w:ascii="Times New Roman" w:hAnsi="Times New Roman"/>
        </w:rPr>
        <w:t>第四章 环境现状调查与评价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_Toc16609 </w:instrText>
      </w:r>
      <w:r>
        <w:rPr>
          <w:rFonts w:ascii="Times New Roman" w:hAnsi="Times New Roman"/>
        </w:rPr>
        <w:fldChar w:fldCharType="separate"/>
      </w:r>
      <w:r>
        <w:rPr>
          <w:rFonts w:ascii="Times New Roman" w:hAnsi="Times New Roman"/>
        </w:rPr>
        <w:t>76</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"_Toc2736" </w:instrText>
      </w:r>
      <w:r>
        <w:fldChar w:fldCharType="separate"/>
      </w:r>
      <w:r>
        <w:rPr>
          <w:rFonts w:ascii="Times New Roman" w:hAnsi="Times New Roman"/>
        </w:rPr>
        <w:t>4.1自然环境现状调查与评价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_Toc2736 </w:instrText>
      </w:r>
      <w:r>
        <w:rPr>
          <w:rFonts w:ascii="Times New Roman" w:hAnsi="Times New Roman"/>
        </w:rPr>
        <w:fldChar w:fldCharType="separate"/>
      </w:r>
      <w:r>
        <w:rPr>
          <w:rFonts w:ascii="Times New Roman" w:hAnsi="Times New Roman"/>
        </w:rPr>
        <w:t>76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"_Toc12864" </w:instrText>
      </w:r>
      <w:r>
        <w:fldChar w:fldCharType="separate"/>
      </w:r>
      <w:r>
        <w:rPr>
          <w:rFonts w:ascii="Times New Roman" w:hAnsi="Times New Roman"/>
          <w:szCs w:val="24"/>
        </w:rPr>
        <w:t>4.1.1地理位置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_Toc12864 </w:instrText>
      </w:r>
      <w:r>
        <w:rPr>
          <w:rFonts w:ascii="Times New Roman" w:hAnsi="Times New Roman"/>
        </w:rPr>
        <w:fldChar w:fldCharType="separate"/>
      </w:r>
      <w:r>
        <w:rPr>
          <w:rFonts w:ascii="Times New Roman" w:hAnsi="Times New Roman"/>
        </w:rPr>
        <w:t>76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"_Toc10695" </w:instrText>
      </w:r>
      <w:r>
        <w:fldChar w:fldCharType="separate"/>
      </w:r>
      <w:r>
        <w:rPr>
          <w:rFonts w:ascii="Times New Roman" w:hAnsi="Times New Roman"/>
          <w:szCs w:val="24"/>
        </w:rPr>
        <w:t>4.1.2地形地貌</w:t>
      </w:r>
      <w:r>
        <w:rPr>
          <w:rFonts w:ascii="Times New Roman" w:hAnsi="Times New Roman"/>
        </w:rPr>
        <w:tab/>
      </w:r>
      <w:r>
        <w:rPr>
          <w:rFonts w:hint="eastAsia" w:ascii="Times New Roman" w:hAnsi="Times New Roman"/>
        </w:rPr>
        <w:t>7</w:t>
      </w:r>
      <w:r>
        <w:rPr>
          <w:rFonts w:hint="eastAsia" w:ascii="Times New Roman" w:hAnsi="Times New Roman"/>
        </w:rPr>
        <w:fldChar w:fldCharType="end"/>
      </w:r>
      <w:r>
        <w:rPr>
          <w:rFonts w:hint="eastAsia" w:ascii="Times New Roman" w:hAnsi="Times New Roman"/>
        </w:rPr>
        <w:t>6</w:t>
      </w:r>
    </w:p>
    <w:p>
      <w:pPr>
        <w:pStyle w:val="11"/>
        <w:tabs>
          <w:tab w:val="right" w:leader="dot" w:pos="8306"/>
        </w:tabs>
        <w:rPr>
          <w:rFonts w:ascii="Times New Roman" w:hAnsi="Times New Roman"/>
        </w:rPr>
      </w:pPr>
      <w:r>
        <w:fldChar w:fldCharType="begin"/>
      </w:r>
      <w:r>
        <w:instrText xml:space="preserve"> HYPERLINK \l "_Toc16636" </w:instrText>
      </w:r>
      <w:r>
        <w:fldChar w:fldCharType="separate"/>
      </w:r>
      <w:r>
        <w:rPr>
          <w:rFonts w:ascii="Times New Roman" w:hAnsi="Times New Roman"/>
          <w:szCs w:val="24"/>
        </w:rPr>
        <w:t>4.1.3气候特征</w:t>
      </w:r>
      <w:r>
        <w:rPr>
          <w:rFonts w:ascii="Times New Roman" w:hAnsi="Times New Roman"/>
        </w:rPr>
        <w:tab/>
      </w:r>
      <w:r>
        <w:rPr>
          <w:rFonts w:hint="eastAsia" w:ascii="Times New Roman" w:hAnsi="Times New Roman"/>
        </w:rPr>
        <w:t>7</w:t>
      </w:r>
      <w:r>
        <w:rPr>
          <w:rFonts w:hint="eastAsia" w:ascii="Times New Roman" w:hAnsi="Times New Roman"/>
        </w:rPr>
        <w:fldChar w:fldCharType="end"/>
      </w:r>
      <w:r>
        <w:rPr>
          <w:rFonts w:hint="eastAsia" w:ascii="Times New Roman" w:hAnsi="Times New Roman"/>
        </w:rPr>
        <w:t>9</w:t>
      </w:r>
    </w:p>
    <w:p>
      <w:pPr>
        <w:pStyle w:val="11"/>
        <w:tabs>
          <w:tab w:val="right" w:leader="dot" w:pos="8306"/>
        </w:tabs>
        <w:rPr>
          <w:rFonts w:ascii="Times New Roman" w:hAnsi="Times New Roman"/>
        </w:rPr>
      </w:pPr>
      <w:r>
        <w:fldChar w:fldCharType="begin"/>
      </w:r>
      <w:r>
        <w:instrText xml:space="preserve"> HYPERLINK \l "_Toc26801" </w:instrText>
      </w:r>
      <w:r>
        <w:fldChar w:fldCharType="separate"/>
      </w:r>
      <w:r>
        <w:rPr>
          <w:rFonts w:ascii="Times New Roman" w:hAnsi="Times New Roman"/>
          <w:szCs w:val="24"/>
        </w:rPr>
        <w:t>4.1.4水文</w:t>
      </w:r>
      <w:r>
        <w:rPr>
          <w:rFonts w:ascii="Times New Roman" w:hAnsi="Times New Roman"/>
        </w:rPr>
        <w:tab/>
      </w:r>
      <w:r>
        <w:rPr>
          <w:rFonts w:hint="eastAsia" w:ascii="Times New Roman" w:hAnsi="Times New Roman"/>
        </w:rPr>
        <w:t>8</w:t>
      </w:r>
      <w:r>
        <w:rPr>
          <w:rFonts w:hint="eastAsia" w:ascii="Times New Roman" w:hAnsi="Times New Roman"/>
        </w:rPr>
        <w:fldChar w:fldCharType="end"/>
      </w:r>
      <w:r>
        <w:rPr>
          <w:rFonts w:hint="eastAsia" w:ascii="Times New Roman" w:hAnsi="Times New Roman"/>
        </w:rPr>
        <w:t>0</w:t>
      </w:r>
    </w:p>
    <w:p>
      <w:pPr>
        <w:pStyle w:val="11"/>
        <w:tabs>
          <w:tab w:val="right" w:leader="dot" w:pos="8306"/>
        </w:tabs>
        <w:rPr>
          <w:rFonts w:ascii="Times New Roman" w:hAnsi="Times New Roman"/>
        </w:rPr>
      </w:pPr>
      <w:r>
        <w:fldChar w:fldCharType="begin"/>
      </w:r>
      <w:r>
        <w:instrText xml:space="preserve"> HYPERLINK \l "_Toc13706" </w:instrText>
      </w:r>
      <w:r>
        <w:fldChar w:fldCharType="separate"/>
      </w:r>
      <w:r>
        <w:rPr>
          <w:rFonts w:ascii="Times New Roman" w:hAnsi="Times New Roman"/>
          <w:szCs w:val="24"/>
        </w:rPr>
        <w:t>4.1.5土壤</w:t>
      </w:r>
      <w:r>
        <w:rPr>
          <w:rFonts w:ascii="Times New Roman" w:hAnsi="Times New Roman"/>
        </w:rPr>
        <w:tab/>
      </w:r>
      <w:r>
        <w:rPr>
          <w:rFonts w:hint="eastAsia" w:ascii="Times New Roman" w:hAnsi="Times New Roman"/>
        </w:rPr>
        <w:t>8</w:t>
      </w:r>
      <w:r>
        <w:rPr>
          <w:rFonts w:hint="eastAsia" w:ascii="Times New Roman" w:hAnsi="Times New Roman"/>
        </w:rPr>
        <w:fldChar w:fldCharType="end"/>
      </w:r>
      <w:r>
        <w:rPr>
          <w:rFonts w:hint="eastAsia" w:ascii="Times New Roman" w:hAnsi="Times New Roman"/>
        </w:rPr>
        <w:t>0</w:t>
      </w:r>
    </w:p>
    <w:p>
      <w:pPr>
        <w:pStyle w:val="19"/>
        <w:tabs>
          <w:tab w:val="right" w:leader="dot" w:pos="8306"/>
        </w:tabs>
        <w:rPr>
          <w:rFonts w:ascii="Times New Roman" w:hAnsi="Times New Roman"/>
        </w:rPr>
      </w:pPr>
      <w:r>
        <w:fldChar w:fldCharType="begin"/>
      </w:r>
      <w:r>
        <w:instrText xml:space="preserve"> HYPERLINK \l "_Toc8002" </w:instrText>
      </w:r>
      <w:r>
        <w:fldChar w:fldCharType="separate"/>
      </w:r>
      <w:r>
        <w:rPr>
          <w:rFonts w:ascii="Times New Roman" w:hAnsi="Times New Roman"/>
        </w:rPr>
        <w:t>4.2环境质量现状调查与评价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_Toc8002 </w:instrText>
      </w:r>
      <w:r>
        <w:rPr>
          <w:rFonts w:ascii="Times New Roman" w:hAnsi="Times New Roman"/>
        </w:rPr>
        <w:fldChar w:fldCharType="separate"/>
      </w:r>
      <w:r>
        <w:rPr>
          <w:rFonts w:ascii="Times New Roman" w:hAnsi="Times New Roman"/>
        </w:rPr>
        <w:t>81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"_Toc23744" </w:instrText>
      </w:r>
      <w:r>
        <w:fldChar w:fldCharType="separate"/>
      </w:r>
      <w:r>
        <w:rPr>
          <w:rFonts w:ascii="Times New Roman" w:hAnsi="Times New Roman"/>
          <w:szCs w:val="24"/>
        </w:rPr>
        <w:t>4.2.1环境空气质量现状监测与评价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_Toc23744 </w:instrText>
      </w:r>
      <w:r>
        <w:rPr>
          <w:rFonts w:ascii="Times New Roman" w:hAnsi="Times New Roman"/>
        </w:rPr>
        <w:fldChar w:fldCharType="separate"/>
      </w:r>
      <w:r>
        <w:rPr>
          <w:rFonts w:ascii="Times New Roman" w:hAnsi="Times New Roman"/>
        </w:rPr>
        <w:t>81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"_Toc12810" </w:instrText>
      </w:r>
      <w:r>
        <w:fldChar w:fldCharType="separate"/>
      </w:r>
      <w:r>
        <w:rPr>
          <w:rFonts w:ascii="Times New Roman" w:hAnsi="Times New Roman"/>
        </w:rPr>
        <w:t>4.2.2地表水环境质量现状监测与评价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_Toc12810 </w:instrText>
      </w:r>
      <w:r>
        <w:rPr>
          <w:rFonts w:ascii="Times New Roman" w:hAnsi="Times New Roman"/>
        </w:rPr>
        <w:fldChar w:fldCharType="separate"/>
      </w:r>
      <w:r>
        <w:rPr>
          <w:rFonts w:ascii="Times New Roman" w:hAnsi="Times New Roman"/>
        </w:rPr>
        <w:t>83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"_Toc28644" </w:instrText>
      </w:r>
      <w:r>
        <w:fldChar w:fldCharType="separate"/>
      </w:r>
      <w:r>
        <w:rPr>
          <w:rFonts w:ascii="Times New Roman" w:hAnsi="Times New Roman"/>
        </w:rPr>
        <w:t>4.2.3地下水环境质量现状监测与评价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_Toc28644 </w:instrText>
      </w:r>
      <w:r>
        <w:rPr>
          <w:rFonts w:ascii="Times New Roman" w:hAnsi="Times New Roman"/>
        </w:rPr>
        <w:fldChar w:fldCharType="separate"/>
      </w:r>
      <w:r>
        <w:rPr>
          <w:rFonts w:ascii="Times New Roman" w:hAnsi="Times New Roman"/>
        </w:rPr>
        <w:t>86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"_Toc20433" </w:instrText>
      </w:r>
      <w:r>
        <w:fldChar w:fldCharType="separate"/>
      </w:r>
      <w:r>
        <w:rPr>
          <w:rFonts w:ascii="Times New Roman" w:hAnsi="Times New Roman"/>
        </w:rPr>
        <w:t>4.2.4声环境质量现状调查与评价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_Toc20433 </w:instrText>
      </w:r>
      <w:r>
        <w:rPr>
          <w:rFonts w:ascii="Times New Roman" w:hAnsi="Times New Roman"/>
        </w:rPr>
        <w:fldChar w:fldCharType="separate"/>
      </w:r>
      <w:r>
        <w:rPr>
          <w:rFonts w:ascii="Times New Roman" w:hAnsi="Times New Roman"/>
        </w:rPr>
        <w:t>88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"_Toc8558" </w:instrText>
      </w:r>
      <w:r>
        <w:fldChar w:fldCharType="separate"/>
      </w:r>
      <w:r>
        <w:rPr>
          <w:rFonts w:ascii="Times New Roman" w:hAnsi="Times New Roman"/>
        </w:rPr>
        <w:t>4.2.5土壤环境质量现状调查与评价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_Toc8558 </w:instrText>
      </w:r>
      <w:r>
        <w:rPr>
          <w:rFonts w:ascii="Times New Roman" w:hAnsi="Times New Roman"/>
        </w:rPr>
        <w:fldChar w:fldCharType="separate"/>
      </w:r>
      <w:r>
        <w:rPr>
          <w:rFonts w:ascii="Times New Roman" w:hAnsi="Times New Roman"/>
        </w:rPr>
        <w:t>89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"_Toc16729" </w:instrText>
      </w:r>
      <w:r>
        <w:fldChar w:fldCharType="separate"/>
      </w:r>
      <w:r>
        <w:rPr>
          <w:rFonts w:ascii="Times New Roman" w:hAnsi="Times New Roman"/>
        </w:rPr>
        <w:t>4.2.6区域生态现状调查与评价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_Toc16729 </w:instrText>
      </w:r>
      <w:r>
        <w:rPr>
          <w:rFonts w:ascii="Times New Roman" w:hAnsi="Times New Roman"/>
        </w:rPr>
        <w:fldChar w:fldCharType="separate"/>
      </w:r>
      <w:r>
        <w:rPr>
          <w:rFonts w:ascii="Times New Roman" w:hAnsi="Times New Roman"/>
        </w:rPr>
        <w:t>90</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"_Toc10377" </w:instrText>
      </w:r>
      <w:r>
        <w:fldChar w:fldCharType="separate"/>
      </w:r>
      <w:r>
        <w:rPr>
          <w:rFonts w:ascii="Times New Roman" w:hAnsi="Times New Roman"/>
        </w:rPr>
        <w:t>第五章 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_Toc10377 </w:instrText>
      </w:r>
      <w:r>
        <w:rPr>
          <w:rFonts w:ascii="Times New Roman" w:hAnsi="Times New Roman"/>
        </w:rPr>
        <w:fldChar w:fldCharType="separate"/>
      </w:r>
      <w:r>
        <w:rPr>
          <w:rFonts w:ascii="Times New Roman" w:hAnsi="Times New Roman"/>
        </w:rPr>
        <w:t>99</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"_Toc20116" </w:instrText>
      </w:r>
      <w:r>
        <w:fldChar w:fldCharType="separate"/>
      </w:r>
      <w:r>
        <w:rPr>
          <w:rFonts w:ascii="Times New Roman" w:hAnsi="Times New Roman"/>
        </w:rPr>
        <w:t>5.1施工期大气环境影响分析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_Toc20116 </w:instrText>
      </w:r>
      <w:r>
        <w:rPr>
          <w:rFonts w:ascii="Times New Roman" w:hAnsi="Times New Roman"/>
        </w:rPr>
        <w:fldChar w:fldCharType="separate"/>
      </w:r>
      <w:r>
        <w:rPr>
          <w:rFonts w:ascii="Times New Roman" w:hAnsi="Times New Roman"/>
        </w:rPr>
        <w:t>99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"_Toc30800" </w:instrText>
      </w:r>
      <w:r>
        <w:fldChar w:fldCharType="separate"/>
      </w:r>
      <w:r>
        <w:rPr>
          <w:rFonts w:ascii="Times New Roman" w:hAnsi="Times New Roman"/>
          <w:szCs w:val="24"/>
        </w:rPr>
        <w:t>5.1.1施工期大气环境影响分析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_Toc30800 </w:instrText>
      </w:r>
      <w:r>
        <w:rPr>
          <w:rFonts w:ascii="Times New Roman" w:hAnsi="Times New Roman"/>
        </w:rPr>
        <w:fldChar w:fldCharType="separate"/>
      </w:r>
      <w:r>
        <w:rPr>
          <w:rFonts w:ascii="Times New Roman" w:hAnsi="Times New Roman"/>
        </w:rPr>
        <w:t>99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"_Toc23413" </w:instrText>
      </w:r>
      <w:r>
        <w:fldChar w:fldCharType="separate"/>
      </w:r>
      <w:r>
        <w:rPr>
          <w:rFonts w:ascii="Times New Roman" w:hAnsi="Times New Roman"/>
          <w:szCs w:val="24"/>
        </w:rPr>
        <w:t>5.1.2施工期地表水环境影响分析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_Toc23413 </w:instrText>
      </w:r>
      <w:r>
        <w:rPr>
          <w:rFonts w:ascii="Times New Roman" w:hAnsi="Times New Roman"/>
        </w:rPr>
        <w:fldChar w:fldCharType="separate"/>
      </w:r>
      <w:r>
        <w:rPr>
          <w:rFonts w:ascii="Times New Roman" w:hAnsi="Times New Roman"/>
        </w:rPr>
        <w:t>99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"_Toc13605" </w:instrText>
      </w:r>
      <w:r>
        <w:fldChar w:fldCharType="separate"/>
      </w:r>
      <w:r>
        <w:rPr>
          <w:rFonts w:ascii="Times New Roman" w:hAnsi="Times New Roman"/>
          <w:szCs w:val="24"/>
        </w:rPr>
        <w:t>5.1.3施工期噪声环境影响分析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_Toc13605 </w:instrText>
      </w:r>
      <w:r>
        <w:rPr>
          <w:rFonts w:ascii="Times New Roman" w:hAnsi="Times New Roman"/>
        </w:rPr>
        <w:fldChar w:fldCharType="separate"/>
      </w:r>
      <w:r>
        <w:rPr>
          <w:rFonts w:ascii="Times New Roman" w:hAnsi="Times New Roman"/>
        </w:rPr>
        <w:t>100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"_Toc29226" </w:instrText>
      </w:r>
      <w:r>
        <w:fldChar w:fldCharType="separate"/>
      </w:r>
      <w:r>
        <w:rPr>
          <w:rFonts w:ascii="Times New Roman" w:hAnsi="Times New Roman"/>
          <w:szCs w:val="24"/>
        </w:rPr>
        <w:t>5.1.4施工期固体废物环境影响分析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_Toc29226 </w:instrText>
      </w:r>
      <w:r>
        <w:rPr>
          <w:rFonts w:ascii="Times New Roman" w:hAnsi="Times New Roman"/>
        </w:rPr>
        <w:fldChar w:fldCharType="separate"/>
      </w:r>
      <w:r>
        <w:rPr>
          <w:rFonts w:ascii="Times New Roman" w:hAnsi="Times New Roman"/>
        </w:rPr>
        <w:t>100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"_Toc8843" </w:instrText>
      </w:r>
      <w:r>
        <w:fldChar w:fldCharType="separate"/>
      </w:r>
      <w:r>
        <w:rPr>
          <w:rFonts w:ascii="Times New Roman" w:hAnsi="Times New Roman"/>
          <w:szCs w:val="24"/>
        </w:rPr>
        <w:t>5.1.5施工期水土流失分析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_Toc8843 </w:instrText>
      </w:r>
      <w:r>
        <w:rPr>
          <w:rFonts w:ascii="Times New Roman" w:hAnsi="Times New Roman"/>
        </w:rPr>
        <w:fldChar w:fldCharType="separate"/>
      </w:r>
      <w:r>
        <w:rPr>
          <w:rFonts w:ascii="Times New Roman" w:hAnsi="Times New Roman"/>
        </w:rPr>
        <w:t>100</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"_Toc18955" </w:instrText>
      </w:r>
      <w:r>
        <w:fldChar w:fldCharType="separate"/>
      </w:r>
      <w:r>
        <w:rPr>
          <w:rFonts w:ascii="Times New Roman" w:hAnsi="Times New Roman"/>
        </w:rPr>
        <w:t>5.2营运期环境影响分析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_Toc18955 </w:instrText>
      </w:r>
      <w:r>
        <w:rPr>
          <w:rFonts w:ascii="Times New Roman" w:hAnsi="Times New Roman"/>
        </w:rPr>
        <w:fldChar w:fldCharType="separate"/>
      </w:r>
      <w:r>
        <w:rPr>
          <w:rFonts w:ascii="Times New Roman" w:hAnsi="Times New Roman"/>
        </w:rPr>
        <w:t>100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"_Toc7377" </w:instrText>
      </w:r>
      <w:r>
        <w:fldChar w:fldCharType="separate"/>
      </w:r>
      <w:r>
        <w:rPr>
          <w:rFonts w:ascii="Times New Roman" w:hAnsi="Times New Roman"/>
        </w:rPr>
        <w:t>5.2.1大气环境影响分析与评价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_Toc7377 </w:instrText>
      </w:r>
      <w:r>
        <w:rPr>
          <w:rFonts w:ascii="Times New Roman" w:hAnsi="Times New Roman"/>
        </w:rPr>
        <w:fldChar w:fldCharType="separate"/>
      </w:r>
      <w:r>
        <w:rPr>
          <w:rFonts w:ascii="Times New Roman" w:hAnsi="Times New Roman"/>
        </w:rPr>
        <w:t>100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"_Toc12060" </w:instrText>
      </w:r>
      <w:r>
        <w:fldChar w:fldCharType="separate"/>
      </w:r>
      <w:r>
        <w:rPr>
          <w:rFonts w:ascii="Times New Roman" w:hAnsi="Times New Roman"/>
        </w:rPr>
        <w:t>5.2.2地表水环境影响分析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_Toc12060 </w:instrText>
      </w:r>
      <w:r>
        <w:rPr>
          <w:rFonts w:ascii="Times New Roman" w:hAnsi="Times New Roman"/>
        </w:rPr>
        <w:fldChar w:fldCharType="separate"/>
      </w:r>
      <w:r>
        <w:rPr>
          <w:rFonts w:ascii="Times New Roman" w:hAnsi="Times New Roman"/>
        </w:rPr>
        <w:t>104</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"_Toc25879" </w:instrText>
      </w:r>
      <w:r>
        <w:fldChar w:fldCharType="separate"/>
      </w:r>
      <w:r>
        <w:rPr>
          <w:rFonts w:ascii="Times New Roman" w:hAnsi="Times New Roman"/>
        </w:rPr>
        <w:t>5.2.3地下水环境影响分析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_Toc25879 </w:instrText>
      </w:r>
      <w:r>
        <w:rPr>
          <w:rFonts w:ascii="Times New Roman" w:hAnsi="Times New Roman"/>
        </w:rPr>
        <w:fldChar w:fldCharType="separate"/>
      </w:r>
      <w:r>
        <w:rPr>
          <w:rFonts w:ascii="Times New Roman" w:hAnsi="Times New Roman"/>
        </w:rPr>
        <w:t>105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"_Toc5758" </w:instrText>
      </w:r>
      <w:r>
        <w:fldChar w:fldCharType="separate"/>
      </w:r>
      <w:r>
        <w:rPr>
          <w:rFonts w:ascii="Times New Roman" w:hAnsi="Times New Roman"/>
        </w:rPr>
        <w:t>5.2.3.1地质条件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_Toc5758 </w:instrText>
      </w:r>
      <w:r>
        <w:rPr>
          <w:rFonts w:ascii="Times New Roman" w:hAnsi="Times New Roman"/>
        </w:rPr>
        <w:fldChar w:fldCharType="separate"/>
      </w:r>
      <w:r>
        <w:rPr>
          <w:rFonts w:ascii="Times New Roman" w:hAnsi="Times New Roman"/>
        </w:rPr>
        <w:t>105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"_Toc31347" </w:instrText>
      </w:r>
      <w:r>
        <w:fldChar w:fldCharType="separate"/>
      </w:r>
      <w:r>
        <w:rPr>
          <w:rFonts w:ascii="Times New Roman" w:hAnsi="Times New Roman"/>
        </w:rPr>
        <w:t>5.2.3.2侵入岩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_Toc31347 </w:instrText>
      </w:r>
      <w:r>
        <w:rPr>
          <w:rFonts w:ascii="Times New Roman" w:hAnsi="Times New Roman"/>
        </w:rPr>
        <w:fldChar w:fldCharType="separate"/>
      </w:r>
      <w:r>
        <w:rPr>
          <w:rFonts w:ascii="Times New Roman" w:hAnsi="Times New Roman"/>
        </w:rPr>
        <w:t>106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"_Toc20353" </w:instrText>
      </w:r>
      <w:r>
        <w:fldChar w:fldCharType="separate"/>
      </w:r>
      <w:r>
        <w:rPr>
          <w:rFonts w:ascii="Times New Roman" w:hAnsi="Times New Roman"/>
        </w:rPr>
        <w:t>5.2.3.3构造</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_Toc20353 </w:instrText>
      </w:r>
      <w:r>
        <w:rPr>
          <w:rFonts w:ascii="Times New Roman" w:hAnsi="Times New Roman"/>
        </w:rPr>
        <w:fldChar w:fldCharType="separate"/>
      </w:r>
      <w:r>
        <w:rPr>
          <w:rFonts w:ascii="Times New Roman" w:hAnsi="Times New Roman"/>
        </w:rPr>
        <w:t>106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"_Toc20800" </w:instrText>
      </w:r>
      <w:r>
        <w:fldChar w:fldCharType="separate"/>
      </w:r>
      <w:r>
        <w:rPr>
          <w:rFonts w:ascii="Times New Roman" w:hAnsi="Times New Roman"/>
        </w:rPr>
        <w:t>5.2.3.4水文地质条件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_Toc20800 </w:instrText>
      </w:r>
      <w:r>
        <w:rPr>
          <w:rFonts w:ascii="Times New Roman" w:hAnsi="Times New Roman"/>
        </w:rPr>
        <w:fldChar w:fldCharType="separate"/>
      </w:r>
      <w:r>
        <w:rPr>
          <w:rFonts w:ascii="Times New Roman" w:hAnsi="Times New Roman"/>
        </w:rPr>
        <w:t>106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"_Toc32314" </w:instrText>
      </w:r>
      <w:r>
        <w:fldChar w:fldCharType="separate"/>
      </w:r>
      <w:r>
        <w:rPr>
          <w:rFonts w:ascii="Times New Roman" w:hAnsi="Times New Roman"/>
        </w:rPr>
        <w:t>5.2.3.5预测原则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_Toc32314 </w:instrText>
      </w:r>
      <w:r>
        <w:rPr>
          <w:rFonts w:ascii="Times New Roman" w:hAnsi="Times New Roman"/>
        </w:rPr>
        <w:fldChar w:fldCharType="separate"/>
      </w:r>
      <w:r>
        <w:rPr>
          <w:rFonts w:ascii="Times New Roman" w:hAnsi="Times New Roman"/>
        </w:rPr>
        <w:t>107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"_Toc475" </w:instrText>
      </w:r>
      <w:r>
        <w:fldChar w:fldCharType="separate"/>
      </w:r>
      <w:r>
        <w:rPr>
          <w:rFonts w:ascii="Times New Roman" w:hAnsi="Times New Roman"/>
        </w:rPr>
        <w:t>5.2.3.6环境影响分析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_Toc475 </w:instrText>
      </w:r>
      <w:r>
        <w:rPr>
          <w:rFonts w:ascii="Times New Roman" w:hAnsi="Times New Roman"/>
        </w:rPr>
        <w:fldChar w:fldCharType="separate"/>
      </w:r>
      <w:r>
        <w:rPr>
          <w:rFonts w:ascii="Times New Roman" w:hAnsi="Times New Roman"/>
        </w:rPr>
        <w:t>107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"_Toc13250" </w:instrText>
      </w:r>
      <w:r>
        <w:fldChar w:fldCharType="separate"/>
      </w:r>
      <w:r>
        <w:rPr>
          <w:rFonts w:ascii="Times New Roman" w:hAnsi="Times New Roman"/>
        </w:rPr>
        <w:t>5.2.3.7预测范围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_Toc13250 </w:instrText>
      </w:r>
      <w:r>
        <w:rPr>
          <w:rFonts w:ascii="Times New Roman" w:hAnsi="Times New Roman"/>
        </w:rPr>
        <w:fldChar w:fldCharType="separate"/>
      </w:r>
      <w:r>
        <w:rPr>
          <w:rFonts w:ascii="Times New Roman" w:hAnsi="Times New Roman"/>
        </w:rPr>
        <w:t>107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"_Toc4698" </w:instrText>
      </w:r>
      <w:r>
        <w:fldChar w:fldCharType="separate"/>
      </w:r>
      <w:r>
        <w:rPr>
          <w:rFonts w:ascii="Times New Roman" w:hAnsi="Times New Roman"/>
        </w:rPr>
        <w:t>5.2.3.8预测时段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_Toc4698 </w:instrText>
      </w:r>
      <w:r>
        <w:rPr>
          <w:rFonts w:ascii="Times New Roman" w:hAnsi="Times New Roman"/>
        </w:rPr>
        <w:fldChar w:fldCharType="separate"/>
      </w:r>
      <w:r>
        <w:rPr>
          <w:rFonts w:ascii="Times New Roman" w:hAnsi="Times New Roman"/>
        </w:rPr>
        <w:t>108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"_Toc22934" </w:instrText>
      </w:r>
      <w:r>
        <w:fldChar w:fldCharType="separate"/>
      </w:r>
      <w:r>
        <w:rPr>
          <w:rFonts w:ascii="Times New Roman" w:hAnsi="Times New Roman"/>
        </w:rPr>
        <w:t>5.2.3.9污染情景设置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_Toc22934 </w:instrText>
      </w:r>
      <w:r>
        <w:rPr>
          <w:rFonts w:ascii="Times New Roman" w:hAnsi="Times New Roman"/>
        </w:rPr>
        <w:fldChar w:fldCharType="separate"/>
      </w:r>
      <w:r>
        <w:rPr>
          <w:rFonts w:ascii="Times New Roman" w:hAnsi="Times New Roman"/>
        </w:rPr>
        <w:t>108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"_Toc23307" </w:instrText>
      </w:r>
      <w:r>
        <w:fldChar w:fldCharType="separate"/>
      </w:r>
      <w:r>
        <w:rPr>
          <w:rFonts w:ascii="Times New Roman" w:hAnsi="Times New Roman"/>
        </w:rPr>
        <w:t>5.2.3.10正常状况下地下水环境影响预测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_Toc23307 </w:instrText>
      </w:r>
      <w:r>
        <w:rPr>
          <w:rFonts w:ascii="Times New Roman" w:hAnsi="Times New Roman"/>
        </w:rPr>
        <w:fldChar w:fldCharType="separate"/>
      </w:r>
      <w:r>
        <w:rPr>
          <w:rFonts w:ascii="Times New Roman" w:hAnsi="Times New Roman"/>
        </w:rPr>
        <w:t>108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"_Toc4257" </w:instrText>
      </w:r>
      <w:r>
        <w:fldChar w:fldCharType="separate"/>
      </w:r>
      <w:r>
        <w:rPr>
          <w:rFonts w:ascii="Times New Roman" w:hAnsi="Times New Roman"/>
        </w:rPr>
        <w:t>5.2.3.11非正常状况下地下水环境影响预测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_Toc4257 </w:instrText>
      </w:r>
      <w:r>
        <w:rPr>
          <w:rFonts w:ascii="Times New Roman" w:hAnsi="Times New Roman"/>
        </w:rPr>
        <w:fldChar w:fldCharType="separate"/>
      </w:r>
      <w:r>
        <w:rPr>
          <w:rFonts w:ascii="Times New Roman" w:hAnsi="Times New Roman"/>
        </w:rPr>
        <w:t>108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"_Toc17328" </w:instrText>
      </w:r>
      <w:r>
        <w:fldChar w:fldCharType="separate"/>
      </w:r>
      <w:r>
        <w:rPr>
          <w:rFonts w:ascii="Times New Roman" w:hAnsi="Times New Roman"/>
        </w:rPr>
        <w:t>5.2.3.12污染因子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_Toc17328 </w:instrText>
      </w:r>
      <w:r>
        <w:rPr>
          <w:rFonts w:ascii="Times New Roman" w:hAnsi="Times New Roman"/>
        </w:rPr>
        <w:fldChar w:fldCharType="separate"/>
      </w:r>
      <w:r>
        <w:rPr>
          <w:rFonts w:ascii="Times New Roman" w:hAnsi="Times New Roman"/>
        </w:rPr>
        <w:t>108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"_Toc27134" </w:instrText>
      </w:r>
      <w:r>
        <w:fldChar w:fldCharType="separate"/>
      </w:r>
      <w:r>
        <w:rPr>
          <w:rFonts w:ascii="Times New Roman" w:hAnsi="Times New Roman"/>
        </w:rPr>
        <w:t>5.2.3.13预测模型的概化</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_Toc27134 </w:instrText>
      </w:r>
      <w:r>
        <w:rPr>
          <w:rFonts w:ascii="Times New Roman" w:hAnsi="Times New Roman"/>
        </w:rPr>
        <w:fldChar w:fldCharType="separate"/>
      </w:r>
      <w:r>
        <w:rPr>
          <w:rFonts w:ascii="Times New Roman" w:hAnsi="Times New Roman"/>
        </w:rPr>
        <w:t>109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"_Toc18389" </w:instrText>
      </w:r>
      <w:r>
        <w:fldChar w:fldCharType="separate"/>
      </w:r>
      <w:r>
        <w:rPr>
          <w:rFonts w:ascii="Times New Roman" w:hAnsi="Times New Roman"/>
        </w:rPr>
        <w:t>5.2.4声环境影响预测与评价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_Toc18389 </w:instrText>
      </w:r>
      <w:r>
        <w:rPr>
          <w:rFonts w:ascii="Times New Roman" w:hAnsi="Times New Roman"/>
        </w:rPr>
        <w:fldChar w:fldCharType="separate"/>
      </w:r>
      <w:r>
        <w:rPr>
          <w:rFonts w:ascii="Times New Roman" w:hAnsi="Times New Roman"/>
        </w:rPr>
        <w:t>115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"_Toc20090" </w:instrText>
      </w:r>
      <w:r>
        <w:fldChar w:fldCharType="separate"/>
      </w:r>
      <w:r>
        <w:rPr>
          <w:rFonts w:ascii="Times New Roman" w:hAnsi="Times New Roman"/>
        </w:rPr>
        <w:t>5.2.5固体废物环境影响分析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_Toc20090 </w:instrText>
      </w:r>
      <w:r>
        <w:rPr>
          <w:rFonts w:ascii="Times New Roman" w:hAnsi="Times New Roman"/>
        </w:rPr>
        <w:fldChar w:fldCharType="separate"/>
      </w:r>
      <w:r>
        <w:rPr>
          <w:rFonts w:ascii="Times New Roman" w:hAnsi="Times New Roman"/>
        </w:rPr>
        <w:t>116</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"_Toc21329" </w:instrText>
      </w:r>
      <w:r>
        <w:fldChar w:fldCharType="separate"/>
      </w:r>
      <w:r>
        <w:rPr>
          <w:rFonts w:ascii="Times New Roman" w:hAnsi="Times New Roman"/>
        </w:rPr>
        <w:t>第六章 生态环境影响分析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_Toc21329 </w:instrText>
      </w:r>
      <w:r>
        <w:rPr>
          <w:rFonts w:ascii="Times New Roman" w:hAnsi="Times New Roman"/>
        </w:rPr>
        <w:fldChar w:fldCharType="separate"/>
      </w:r>
      <w:r>
        <w:rPr>
          <w:rFonts w:ascii="Times New Roman" w:hAnsi="Times New Roman"/>
        </w:rPr>
        <w:t>117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"_Toc18348" </w:instrText>
      </w:r>
      <w:r>
        <w:fldChar w:fldCharType="separate"/>
      </w:r>
      <w:r>
        <w:rPr>
          <w:rFonts w:ascii="Times New Roman" w:hAnsi="Times New Roman"/>
        </w:rPr>
        <w:t>6.1生态环境影响评价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_Toc18348 </w:instrText>
      </w:r>
      <w:r>
        <w:rPr>
          <w:rFonts w:ascii="Times New Roman" w:hAnsi="Times New Roman"/>
        </w:rPr>
        <w:fldChar w:fldCharType="separate"/>
      </w:r>
      <w:r>
        <w:rPr>
          <w:rFonts w:ascii="Times New Roman" w:hAnsi="Times New Roman"/>
        </w:rPr>
        <w:t>117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"_Toc28104" </w:instrText>
      </w:r>
      <w:r>
        <w:fldChar w:fldCharType="separate"/>
      </w:r>
      <w:r>
        <w:rPr>
          <w:rFonts w:ascii="Times New Roman" w:hAnsi="Times New Roman"/>
          <w:szCs w:val="24"/>
        </w:rPr>
        <w:t>6.1.1 生态影响因子识别</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_Toc28104 </w:instrText>
      </w:r>
      <w:r>
        <w:rPr>
          <w:rFonts w:ascii="Times New Roman" w:hAnsi="Times New Roman"/>
        </w:rPr>
        <w:fldChar w:fldCharType="separate"/>
      </w:r>
      <w:r>
        <w:rPr>
          <w:rFonts w:ascii="Times New Roman" w:hAnsi="Times New Roman"/>
        </w:rPr>
        <w:t>117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"_Toc12703" </w:instrText>
      </w:r>
      <w:r>
        <w:fldChar w:fldCharType="separate"/>
      </w:r>
      <w:r>
        <w:rPr>
          <w:rFonts w:ascii="Times New Roman" w:hAnsi="Times New Roman"/>
          <w:szCs w:val="24"/>
        </w:rPr>
        <w:t>6.1.2 评价内容、评价范围与评价等级</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_Toc12703 </w:instrText>
      </w:r>
      <w:r>
        <w:rPr>
          <w:rFonts w:ascii="Times New Roman" w:hAnsi="Times New Roman"/>
        </w:rPr>
        <w:fldChar w:fldCharType="separate"/>
      </w:r>
      <w:r>
        <w:rPr>
          <w:rFonts w:ascii="Times New Roman" w:hAnsi="Times New Roman"/>
        </w:rPr>
        <w:t>117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"_Toc17544" </w:instrText>
      </w:r>
      <w:r>
        <w:fldChar w:fldCharType="separate"/>
      </w:r>
      <w:r>
        <w:rPr>
          <w:rFonts w:ascii="Times New Roman" w:hAnsi="Times New Roman"/>
          <w:szCs w:val="24"/>
        </w:rPr>
        <w:t>6.1.3 生态环境现状调查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_Toc17544 </w:instrText>
      </w:r>
      <w:r>
        <w:rPr>
          <w:rFonts w:ascii="Times New Roman" w:hAnsi="Times New Roman"/>
        </w:rPr>
        <w:fldChar w:fldCharType="separate"/>
      </w:r>
      <w:r>
        <w:rPr>
          <w:rFonts w:ascii="Times New Roman" w:hAnsi="Times New Roman"/>
        </w:rPr>
        <w:t>118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"_Toc11700" </w:instrText>
      </w:r>
      <w:r>
        <w:fldChar w:fldCharType="separate"/>
      </w:r>
      <w:r>
        <w:rPr>
          <w:rFonts w:ascii="Times New Roman" w:hAnsi="Times New Roman"/>
          <w:szCs w:val="24"/>
        </w:rPr>
        <w:t>6.1.4 生态环境影响预测与评价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_Toc11700 </w:instrText>
      </w:r>
      <w:r>
        <w:rPr>
          <w:rFonts w:ascii="Times New Roman" w:hAnsi="Times New Roman"/>
        </w:rPr>
        <w:fldChar w:fldCharType="separate"/>
      </w:r>
      <w:r>
        <w:rPr>
          <w:rFonts w:ascii="Times New Roman" w:hAnsi="Times New Roman"/>
        </w:rPr>
        <w:t>118</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"_Toc5354" </w:instrText>
      </w:r>
      <w:r>
        <w:fldChar w:fldCharType="separate"/>
      </w:r>
      <w:r>
        <w:rPr>
          <w:rFonts w:ascii="Times New Roman" w:hAnsi="Times New Roman"/>
        </w:rPr>
        <w:t>6.2水土流失分析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_Toc5354 </w:instrText>
      </w:r>
      <w:r>
        <w:rPr>
          <w:rFonts w:ascii="Times New Roman" w:hAnsi="Times New Roman"/>
        </w:rPr>
        <w:fldChar w:fldCharType="separate"/>
      </w:r>
      <w:r>
        <w:rPr>
          <w:rFonts w:ascii="Times New Roman" w:hAnsi="Times New Roman"/>
        </w:rPr>
        <w:t>124</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"_Toc7624" </w:instrText>
      </w:r>
      <w:r>
        <w:fldChar w:fldCharType="separate"/>
      </w:r>
      <w:r>
        <w:rPr>
          <w:rFonts w:ascii="Times New Roman" w:hAnsi="Times New Roman"/>
          <w:szCs w:val="24"/>
        </w:rPr>
        <w:t>6.2.1预测单元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_Toc7624 </w:instrText>
      </w:r>
      <w:r>
        <w:rPr>
          <w:rFonts w:ascii="Times New Roman" w:hAnsi="Times New Roman"/>
        </w:rPr>
        <w:fldChar w:fldCharType="separate"/>
      </w:r>
      <w:r>
        <w:rPr>
          <w:rFonts w:ascii="Times New Roman" w:hAnsi="Times New Roman"/>
        </w:rPr>
        <w:t>124</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"_Toc5017" </w:instrText>
      </w:r>
      <w:r>
        <w:fldChar w:fldCharType="separate"/>
      </w:r>
      <w:r>
        <w:rPr>
          <w:rFonts w:ascii="Times New Roman" w:hAnsi="Times New Roman"/>
          <w:szCs w:val="24"/>
        </w:rPr>
        <w:t>6.2.2扰动后土壤侵蚀模数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_Toc5017 </w:instrText>
      </w:r>
      <w:r>
        <w:rPr>
          <w:rFonts w:ascii="Times New Roman" w:hAnsi="Times New Roman"/>
        </w:rPr>
        <w:fldChar w:fldCharType="separate"/>
      </w:r>
      <w:r>
        <w:rPr>
          <w:rFonts w:ascii="Times New Roman" w:hAnsi="Times New Roman"/>
        </w:rPr>
        <w:t>125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"_Toc23835" </w:instrText>
      </w:r>
      <w:r>
        <w:fldChar w:fldCharType="separate"/>
      </w:r>
      <w:r>
        <w:rPr>
          <w:rFonts w:ascii="Times New Roman" w:hAnsi="Times New Roman"/>
          <w:szCs w:val="24"/>
        </w:rPr>
        <w:t>6.2.3预测水土流失总量和新增水土流失量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_Toc23835 </w:instrText>
      </w:r>
      <w:r>
        <w:rPr>
          <w:rFonts w:ascii="Times New Roman" w:hAnsi="Times New Roman"/>
        </w:rPr>
        <w:fldChar w:fldCharType="separate"/>
      </w:r>
      <w:r>
        <w:rPr>
          <w:rFonts w:ascii="Times New Roman" w:hAnsi="Times New Roman"/>
        </w:rPr>
        <w:t>125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"_Toc11048" </w:instrText>
      </w:r>
      <w:r>
        <w:fldChar w:fldCharType="separate"/>
      </w:r>
      <w:r>
        <w:rPr>
          <w:rFonts w:ascii="Times New Roman" w:hAnsi="Times New Roman"/>
          <w:szCs w:val="24"/>
        </w:rPr>
        <w:t>6.2.4水土流失危害分析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_Toc11048 </w:instrText>
      </w:r>
      <w:r>
        <w:rPr>
          <w:rFonts w:ascii="Times New Roman" w:hAnsi="Times New Roman"/>
        </w:rPr>
        <w:fldChar w:fldCharType="separate"/>
      </w:r>
      <w:r>
        <w:rPr>
          <w:rFonts w:ascii="Times New Roman" w:hAnsi="Times New Roman"/>
        </w:rPr>
        <w:t>126</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"_Toc32503" </w:instrText>
      </w:r>
      <w:r>
        <w:fldChar w:fldCharType="separate"/>
      </w:r>
      <w:r>
        <w:rPr>
          <w:rFonts w:ascii="Times New Roman" w:hAnsi="Times New Roman"/>
        </w:rPr>
        <w:t>第七章 污染防治措施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_Toc32503 </w:instrText>
      </w:r>
      <w:r>
        <w:rPr>
          <w:rFonts w:ascii="Times New Roman" w:hAnsi="Times New Roman"/>
        </w:rPr>
        <w:fldChar w:fldCharType="separate"/>
      </w:r>
      <w:r>
        <w:rPr>
          <w:rFonts w:ascii="Times New Roman" w:hAnsi="Times New Roman"/>
        </w:rPr>
        <w:t>127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"_Toc20634" </w:instrText>
      </w:r>
      <w:r>
        <w:fldChar w:fldCharType="separate"/>
      </w:r>
      <w:r>
        <w:rPr>
          <w:rFonts w:ascii="Times New Roman" w:hAnsi="Times New Roman"/>
        </w:rPr>
        <w:t>7.1施工期污染防治措施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_Toc20634 </w:instrText>
      </w:r>
      <w:r>
        <w:rPr>
          <w:rFonts w:ascii="Times New Roman" w:hAnsi="Times New Roman"/>
        </w:rPr>
        <w:fldChar w:fldCharType="separate"/>
      </w:r>
      <w:r>
        <w:rPr>
          <w:rFonts w:ascii="Times New Roman" w:hAnsi="Times New Roman"/>
        </w:rPr>
        <w:t>127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"_Toc8108" </w:instrText>
      </w:r>
      <w:r>
        <w:fldChar w:fldCharType="separate"/>
      </w:r>
      <w:r>
        <w:rPr>
          <w:rFonts w:ascii="Times New Roman" w:hAnsi="Times New Roman"/>
        </w:rPr>
        <w:t>7.1.1废水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_Toc8108 </w:instrText>
      </w:r>
      <w:r>
        <w:rPr>
          <w:rFonts w:ascii="Times New Roman" w:hAnsi="Times New Roman"/>
        </w:rPr>
        <w:fldChar w:fldCharType="separate"/>
      </w:r>
      <w:r>
        <w:rPr>
          <w:rFonts w:ascii="Times New Roman" w:hAnsi="Times New Roman"/>
        </w:rPr>
        <w:t>127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"_Toc9457" </w:instrText>
      </w:r>
      <w:r>
        <w:fldChar w:fldCharType="separate"/>
      </w:r>
      <w:r>
        <w:rPr>
          <w:rFonts w:ascii="Times New Roman" w:hAnsi="Times New Roman"/>
        </w:rPr>
        <w:t>7.1.2废气</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_Toc9457 </w:instrText>
      </w:r>
      <w:r>
        <w:rPr>
          <w:rFonts w:ascii="Times New Roman" w:hAnsi="Times New Roman"/>
        </w:rPr>
        <w:fldChar w:fldCharType="separate"/>
      </w:r>
      <w:r>
        <w:rPr>
          <w:rFonts w:ascii="Times New Roman" w:hAnsi="Times New Roman"/>
        </w:rPr>
        <w:t>127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"_Toc16998" </w:instrText>
      </w:r>
      <w:r>
        <w:fldChar w:fldCharType="separate"/>
      </w:r>
      <w:r>
        <w:rPr>
          <w:rFonts w:ascii="Times New Roman" w:hAnsi="Times New Roman"/>
        </w:rPr>
        <w:t>7.1.3噪声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_Toc16998 </w:instrText>
      </w:r>
      <w:r>
        <w:rPr>
          <w:rFonts w:ascii="Times New Roman" w:hAnsi="Times New Roman"/>
        </w:rPr>
        <w:fldChar w:fldCharType="separate"/>
      </w:r>
      <w:r>
        <w:rPr>
          <w:rFonts w:ascii="Times New Roman" w:hAnsi="Times New Roman"/>
        </w:rPr>
        <w:t>127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"_Toc5162" </w:instrText>
      </w:r>
      <w:r>
        <w:fldChar w:fldCharType="separate"/>
      </w:r>
      <w:r>
        <w:rPr>
          <w:rFonts w:ascii="Times New Roman" w:hAnsi="Times New Roman"/>
        </w:rPr>
        <w:t>7.1.4固体废物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_Toc5162 </w:instrText>
      </w:r>
      <w:r>
        <w:rPr>
          <w:rFonts w:ascii="Times New Roman" w:hAnsi="Times New Roman"/>
        </w:rPr>
        <w:fldChar w:fldCharType="separate"/>
      </w:r>
      <w:r>
        <w:rPr>
          <w:rFonts w:ascii="Times New Roman" w:hAnsi="Times New Roman"/>
        </w:rPr>
        <w:t>128</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"_Toc19105" </w:instrText>
      </w:r>
      <w:r>
        <w:fldChar w:fldCharType="separate"/>
      </w:r>
      <w:r>
        <w:rPr>
          <w:rFonts w:ascii="Times New Roman" w:hAnsi="Times New Roman"/>
        </w:rPr>
        <w:t>7.1.5生态保护措施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_Toc19105 </w:instrText>
      </w:r>
      <w:r>
        <w:rPr>
          <w:rFonts w:ascii="Times New Roman" w:hAnsi="Times New Roman"/>
        </w:rPr>
        <w:fldChar w:fldCharType="separate"/>
      </w:r>
      <w:r>
        <w:rPr>
          <w:rFonts w:ascii="Times New Roman" w:hAnsi="Times New Roman"/>
        </w:rPr>
        <w:t>128</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"_Toc25958" </w:instrText>
      </w:r>
      <w:r>
        <w:fldChar w:fldCharType="separate"/>
      </w:r>
      <w:r>
        <w:rPr>
          <w:rFonts w:ascii="Times New Roman" w:hAnsi="Times New Roman"/>
        </w:rPr>
        <w:t>7.2运营期污染防治措施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_Toc25958 </w:instrText>
      </w:r>
      <w:r>
        <w:rPr>
          <w:rFonts w:ascii="Times New Roman" w:hAnsi="Times New Roman"/>
        </w:rPr>
        <w:fldChar w:fldCharType="separate"/>
      </w:r>
      <w:r>
        <w:rPr>
          <w:rFonts w:ascii="Times New Roman" w:hAnsi="Times New Roman"/>
        </w:rPr>
        <w:t>129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"_Toc22085" </w:instrText>
      </w:r>
      <w:r>
        <w:fldChar w:fldCharType="separate"/>
      </w:r>
      <w:r>
        <w:rPr>
          <w:rFonts w:ascii="Times New Roman" w:hAnsi="Times New Roman"/>
        </w:rPr>
        <w:t>7.2.1废水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_Toc22085 </w:instrText>
      </w:r>
      <w:r>
        <w:rPr>
          <w:rFonts w:ascii="Times New Roman" w:hAnsi="Times New Roman"/>
        </w:rPr>
        <w:fldChar w:fldCharType="separate"/>
      </w:r>
      <w:r>
        <w:rPr>
          <w:rFonts w:ascii="Times New Roman" w:hAnsi="Times New Roman"/>
        </w:rPr>
        <w:t>129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"_Toc9657" </w:instrText>
      </w:r>
      <w:r>
        <w:fldChar w:fldCharType="separate"/>
      </w:r>
      <w:r>
        <w:rPr>
          <w:rFonts w:ascii="Times New Roman" w:hAnsi="Times New Roman"/>
        </w:rPr>
        <w:t>7.2.2废气</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_Toc9657 </w:instrText>
      </w:r>
      <w:r>
        <w:rPr>
          <w:rFonts w:ascii="Times New Roman" w:hAnsi="Times New Roman"/>
        </w:rPr>
        <w:fldChar w:fldCharType="separate"/>
      </w:r>
      <w:r>
        <w:rPr>
          <w:rFonts w:ascii="Times New Roman" w:hAnsi="Times New Roman"/>
        </w:rPr>
        <w:t>130</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"_Toc22813" </w:instrText>
      </w:r>
      <w:r>
        <w:fldChar w:fldCharType="separate"/>
      </w:r>
      <w:r>
        <w:rPr>
          <w:rFonts w:ascii="Times New Roman" w:hAnsi="Times New Roman"/>
        </w:rPr>
        <w:t>7.2.3噪声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_Toc22813 </w:instrText>
      </w:r>
      <w:r>
        <w:rPr>
          <w:rFonts w:ascii="Times New Roman" w:hAnsi="Times New Roman"/>
        </w:rPr>
        <w:fldChar w:fldCharType="separate"/>
      </w:r>
      <w:r>
        <w:rPr>
          <w:rFonts w:ascii="Times New Roman" w:hAnsi="Times New Roman"/>
        </w:rPr>
        <w:t>131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"_Toc26984" </w:instrText>
      </w:r>
      <w:r>
        <w:fldChar w:fldCharType="separate"/>
      </w:r>
      <w:r>
        <w:rPr>
          <w:rFonts w:ascii="Times New Roman" w:hAnsi="Times New Roman"/>
        </w:rPr>
        <w:t>7.2.4地下水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_Toc26984 </w:instrText>
      </w:r>
      <w:r>
        <w:rPr>
          <w:rFonts w:ascii="Times New Roman" w:hAnsi="Times New Roman"/>
        </w:rPr>
        <w:fldChar w:fldCharType="separate"/>
      </w:r>
      <w:r>
        <w:rPr>
          <w:rFonts w:ascii="Times New Roman" w:hAnsi="Times New Roman"/>
        </w:rPr>
        <w:t>132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"_Toc4374" </w:instrText>
      </w:r>
      <w:r>
        <w:fldChar w:fldCharType="separate"/>
      </w:r>
      <w:r>
        <w:rPr>
          <w:rFonts w:ascii="Times New Roman" w:hAnsi="Times New Roman"/>
        </w:rPr>
        <w:t>7.2.4.1源头控制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_Toc4374 </w:instrText>
      </w:r>
      <w:r>
        <w:rPr>
          <w:rFonts w:ascii="Times New Roman" w:hAnsi="Times New Roman"/>
        </w:rPr>
        <w:fldChar w:fldCharType="separate"/>
      </w:r>
      <w:r>
        <w:rPr>
          <w:rFonts w:ascii="Times New Roman" w:hAnsi="Times New Roman"/>
        </w:rPr>
        <w:t>132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"_Toc18571" </w:instrText>
      </w:r>
      <w:r>
        <w:fldChar w:fldCharType="separate"/>
      </w:r>
      <w:r>
        <w:rPr>
          <w:rFonts w:ascii="Times New Roman" w:hAnsi="Times New Roman"/>
        </w:rPr>
        <w:t>7.2.4.2分区防控措施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_Toc18571 </w:instrText>
      </w:r>
      <w:r>
        <w:rPr>
          <w:rFonts w:ascii="Times New Roman" w:hAnsi="Times New Roman"/>
        </w:rPr>
        <w:fldChar w:fldCharType="separate"/>
      </w:r>
      <w:r>
        <w:rPr>
          <w:rFonts w:ascii="Times New Roman" w:hAnsi="Times New Roman"/>
        </w:rPr>
        <w:t>133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"_Toc11806" </w:instrText>
      </w:r>
      <w:r>
        <w:fldChar w:fldCharType="separate"/>
      </w:r>
      <w:r>
        <w:rPr>
          <w:rFonts w:ascii="Times New Roman" w:hAnsi="Times New Roman"/>
        </w:rPr>
        <w:t>7.2.4.3监测机构和人员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_Toc11806 </w:instrText>
      </w:r>
      <w:r>
        <w:rPr>
          <w:rFonts w:ascii="Times New Roman" w:hAnsi="Times New Roman"/>
        </w:rPr>
        <w:fldChar w:fldCharType="separate"/>
      </w:r>
      <w:r>
        <w:rPr>
          <w:rFonts w:ascii="Times New Roman" w:hAnsi="Times New Roman"/>
        </w:rPr>
        <w:t>135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"_Toc21309" </w:instrText>
      </w:r>
      <w:r>
        <w:fldChar w:fldCharType="separate"/>
      </w:r>
      <w:r>
        <w:rPr>
          <w:rFonts w:ascii="Times New Roman" w:hAnsi="Times New Roman"/>
        </w:rPr>
        <w:t>7.2.4.4地下水跟踪监测与信息公开计划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_Toc21309 </w:instrText>
      </w:r>
      <w:r>
        <w:rPr>
          <w:rFonts w:ascii="Times New Roman" w:hAnsi="Times New Roman"/>
        </w:rPr>
        <w:fldChar w:fldCharType="separate"/>
      </w:r>
      <w:r>
        <w:rPr>
          <w:rFonts w:ascii="Times New Roman" w:hAnsi="Times New Roman"/>
        </w:rPr>
        <w:t>136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"_Toc13642" </w:instrText>
      </w:r>
      <w:r>
        <w:fldChar w:fldCharType="separate"/>
      </w:r>
      <w:r>
        <w:rPr>
          <w:rFonts w:ascii="Times New Roman" w:hAnsi="Times New Roman"/>
        </w:rPr>
        <w:t>7.2.5固体废物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_Toc13642 </w:instrText>
      </w:r>
      <w:r>
        <w:rPr>
          <w:rFonts w:ascii="Times New Roman" w:hAnsi="Times New Roman"/>
        </w:rPr>
        <w:fldChar w:fldCharType="separate"/>
      </w:r>
      <w:r>
        <w:rPr>
          <w:rFonts w:ascii="Times New Roman" w:hAnsi="Times New Roman"/>
        </w:rPr>
        <w:t>136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"_Toc25114" </w:instrText>
      </w:r>
      <w:r>
        <w:fldChar w:fldCharType="separate"/>
      </w:r>
      <w:r>
        <w:rPr>
          <w:rFonts w:ascii="Times New Roman" w:hAnsi="Times New Roman"/>
        </w:rPr>
        <w:t>7.2.6生态保护措施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_Toc25114 </w:instrText>
      </w:r>
      <w:r>
        <w:rPr>
          <w:rFonts w:ascii="Times New Roman" w:hAnsi="Times New Roman"/>
        </w:rPr>
        <w:fldChar w:fldCharType="separate"/>
      </w:r>
      <w:r>
        <w:rPr>
          <w:rFonts w:ascii="Times New Roman" w:hAnsi="Times New Roman"/>
        </w:rPr>
        <w:t>137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"_Toc19762" </w:instrText>
      </w:r>
      <w:r>
        <w:fldChar w:fldCharType="separate"/>
      </w:r>
      <w:r>
        <w:rPr>
          <w:rFonts w:ascii="Times New Roman" w:hAnsi="Times New Roman"/>
        </w:rPr>
        <w:t>7.3闭矿期生态保护措施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_Toc19762 </w:instrText>
      </w:r>
      <w:r>
        <w:rPr>
          <w:rFonts w:ascii="Times New Roman" w:hAnsi="Times New Roman"/>
        </w:rPr>
        <w:fldChar w:fldCharType="separate"/>
      </w:r>
      <w:r>
        <w:rPr>
          <w:rFonts w:ascii="Times New Roman" w:hAnsi="Times New Roman"/>
        </w:rPr>
        <w:t>137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"_Toc14336" </w:instrText>
      </w:r>
      <w:r>
        <w:fldChar w:fldCharType="separate"/>
      </w:r>
      <w:r>
        <w:rPr>
          <w:rFonts w:ascii="Times New Roman" w:hAnsi="Times New Roman"/>
        </w:rPr>
        <w:t>7.4“以新带老”措施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_Toc14336 </w:instrText>
      </w:r>
      <w:r>
        <w:rPr>
          <w:rFonts w:ascii="Times New Roman" w:hAnsi="Times New Roman"/>
        </w:rPr>
        <w:fldChar w:fldCharType="separate"/>
      </w:r>
      <w:r>
        <w:rPr>
          <w:rFonts w:ascii="Times New Roman" w:hAnsi="Times New Roman"/>
        </w:rPr>
        <w:t>139</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"_Toc12610" </w:instrText>
      </w:r>
      <w:r>
        <w:fldChar w:fldCharType="separate"/>
      </w:r>
      <w:r>
        <w:rPr>
          <w:rFonts w:ascii="Times New Roman" w:hAnsi="Times New Roman"/>
        </w:rPr>
        <w:t>7.5污染防治措施清单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_Toc12610 </w:instrText>
      </w:r>
      <w:r>
        <w:rPr>
          <w:rFonts w:ascii="Times New Roman" w:hAnsi="Times New Roman"/>
        </w:rPr>
        <w:fldChar w:fldCharType="separate"/>
      </w:r>
      <w:r>
        <w:rPr>
          <w:rFonts w:ascii="Times New Roman" w:hAnsi="Times New Roman"/>
        </w:rPr>
        <w:t>139</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"_Toc7849" </w:instrText>
      </w:r>
      <w:r>
        <w:fldChar w:fldCharType="separate"/>
      </w:r>
      <w:r>
        <w:rPr>
          <w:rFonts w:ascii="Times New Roman" w:hAnsi="Times New Roman"/>
        </w:rPr>
        <w:t>第八章 环境风险分析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_Toc7849 </w:instrText>
      </w:r>
      <w:r>
        <w:rPr>
          <w:rFonts w:ascii="Times New Roman" w:hAnsi="Times New Roman"/>
        </w:rPr>
        <w:fldChar w:fldCharType="separate"/>
      </w:r>
      <w:r>
        <w:rPr>
          <w:rFonts w:ascii="Times New Roman" w:hAnsi="Times New Roman"/>
        </w:rPr>
        <w:t>142</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"_Toc30814" </w:instrText>
      </w:r>
      <w:r>
        <w:fldChar w:fldCharType="separate"/>
      </w:r>
      <w:r>
        <w:rPr>
          <w:rFonts w:ascii="Times New Roman" w:hAnsi="Times New Roman"/>
        </w:rPr>
        <w:t>8.1风险评价的目的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_Toc30814 </w:instrText>
      </w:r>
      <w:r>
        <w:rPr>
          <w:rFonts w:ascii="Times New Roman" w:hAnsi="Times New Roman"/>
        </w:rPr>
        <w:fldChar w:fldCharType="separate"/>
      </w:r>
      <w:r>
        <w:rPr>
          <w:rFonts w:ascii="Times New Roman" w:hAnsi="Times New Roman"/>
        </w:rPr>
        <w:t>142</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"_Toc4561" </w:instrText>
      </w:r>
      <w:r>
        <w:fldChar w:fldCharType="separate"/>
      </w:r>
      <w:r>
        <w:rPr>
          <w:rFonts w:ascii="Times New Roman" w:hAnsi="Times New Roman"/>
        </w:rPr>
        <w:t>8.2尾矿库风险评价依据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_Toc4561 </w:instrText>
      </w:r>
      <w:r>
        <w:rPr>
          <w:rFonts w:ascii="Times New Roman" w:hAnsi="Times New Roman"/>
        </w:rPr>
        <w:fldChar w:fldCharType="separate"/>
      </w:r>
      <w:r>
        <w:rPr>
          <w:rFonts w:ascii="Times New Roman" w:hAnsi="Times New Roman"/>
        </w:rPr>
        <w:t>142</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"_Toc8145" </w:instrText>
      </w:r>
      <w:r>
        <w:fldChar w:fldCharType="separate"/>
      </w:r>
      <w:r>
        <w:rPr>
          <w:rFonts w:ascii="Times New Roman" w:hAnsi="Times New Roman"/>
        </w:rPr>
        <w:t>8.3资料准备与环境风险识别</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_Toc8145 </w:instrText>
      </w:r>
      <w:r>
        <w:rPr>
          <w:rFonts w:ascii="Times New Roman" w:hAnsi="Times New Roman"/>
        </w:rPr>
        <w:fldChar w:fldCharType="separate"/>
      </w:r>
      <w:r>
        <w:rPr>
          <w:rFonts w:ascii="Times New Roman" w:hAnsi="Times New Roman"/>
        </w:rPr>
        <w:t>142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"_Toc12970" </w:instrText>
      </w:r>
      <w:r>
        <w:fldChar w:fldCharType="separate"/>
      </w:r>
      <w:r>
        <w:rPr>
          <w:rFonts w:ascii="Times New Roman" w:hAnsi="Times New Roman"/>
          <w:szCs w:val="24"/>
        </w:rPr>
        <w:t>8.3.1尾矿库基本信息</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_Toc12970 </w:instrText>
      </w:r>
      <w:r>
        <w:rPr>
          <w:rFonts w:ascii="Times New Roman" w:hAnsi="Times New Roman"/>
        </w:rPr>
        <w:fldChar w:fldCharType="separate"/>
      </w:r>
      <w:r>
        <w:rPr>
          <w:rFonts w:ascii="Times New Roman" w:hAnsi="Times New Roman"/>
        </w:rPr>
        <w:t>142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"_Toc25159" </w:instrText>
      </w:r>
      <w:r>
        <w:fldChar w:fldCharType="separate"/>
      </w:r>
      <w:r>
        <w:rPr>
          <w:rFonts w:ascii="Times New Roman" w:hAnsi="Times New Roman"/>
          <w:szCs w:val="24"/>
        </w:rPr>
        <w:t>8.3.2尾矿库周边环境风险受体情况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_Toc25159 </w:instrText>
      </w:r>
      <w:r>
        <w:rPr>
          <w:rFonts w:ascii="Times New Roman" w:hAnsi="Times New Roman"/>
        </w:rPr>
        <w:fldChar w:fldCharType="separate"/>
      </w:r>
      <w:r>
        <w:rPr>
          <w:rFonts w:ascii="Times New Roman" w:hAnsi="Times New Roman"/>
        </w:rPr>
        <w:t>142</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"_Toc32487" </w:instrText>
      </w:r>
      <w:r>
        <w:fldChar w:fldCharType="separate"/>
      </w:r>
      <w:r>
        <w:rPr>
          <w:rFonts w:ascii="Times New Roman" w:hAnsi="Times New Roman"/>
          <w:szCs w:val="24"/>
        </w:rPr>
        <w:t>8.3.3尾矿库涉及特征污染物情况</w:t>
      </w:r>
      <w:r>
        <w:rPr>
          <w:rFonts w:ascii="Times New Roman" w:hAnsi="Times New Roman"/>
        </w:rPr>
        <w:tab/>
      </w:r>
      <w:r>
        <w:rPr>
          <w:rFonts w:hint="eastAsia" w:ascii="Times New Roman" w:hAnsi="Times New Roman"/>
        </w:rPr>
        <w:t>1</w:t>
      </w:r>
      <w:r>
        <w:rPr>
          <w:rFonts w:hint="eastAsia" w:ascii="Times New Roman" w:hAnsi="Times New Roman"/>
        </w:rPr>
        <w:fldChar w:fldCharType="end"/>
      </w:r>
      <w:r>
        <w:rPr>
          <w:rFonts w:hint="eastAsia" w:ascii="Times New Roman" w:hAnsi="Times New Roman"/>
        </w:rPr>
        <w:t>43</w:t>
      </w:r>
    </w:p>
    <w:p>
      <w:pPr>
        <w:pStyle w:val="11"/>
        <w:tabs>
          <w:tab w:val="right" w:leader="dot" w:pos="8306"/>
        </w:tabs>
        <w:rPr>
          <w:rFonts w:ascii="Times New Roman" w:hAnsi="Times New Roman"/>
        </w:rPr>
      </w:pPr>
      <w:r>
        <w:fldChar w:fldCharType="begin"/>
      </w:r>
      <w:r>
        <w:instrText xml:space="preserve"> HYPERLINK \l "_Toc15056" </w:instrText>
      </w:r>
      <w:r>
        <w:fldChar w:fldCharType="separate"/>
      </w:r>
      <w:r>
        <w:rPr>
          <w:rFonts w:ascii="Times New Roman" w:hAnsi="Times New Roman"/>
          <w:szCs w:val="24"/>
        </w:rPr>
        <w:t>8.3.4生产工艺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_Toc15056 </w:instrText>
      </w:r>
      <w:r>
        <w:rPr>
          <w:rFonts w:ascii="Times New Roman" w:hAnsi="Times New Roman"/>
        </w:rPr>
        <w:fldChar w:fldCharType="separate"/>
      </w:r>
      <w:r>
        <w:rPr>
          <w:rFonts w:ascii="Times New Roman" w:hAnsi="Times New Roman"/>
        </w:rPr>
        <w:t>143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"_Toc21798" </w:instrText>
      </w:r>
      <w:r>
        <w:fldChar w:fldCharType="separate"/>
      </w:r>
      <w:r>
        <w:rPr>
          <w:rFonts w:ascii="Times New Roman" w:hAnsi="Times New Roman"/>
          <w:szCs w:val="24"/>
        </w:rPr>
        <w:t>8.3.5生产安全管理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_Toc21798 </w:instrText>
      </w:r>
      <w:r>
        <w:rPr>
          <w:rFonts w:ascii="Times New Roman" w:hAnsi="Times New Roman"/>
        </w:rPr>
        <w:fldChar w:fldCharType="separate"/>
      </w:r>
      <w:r>
        <w:rPr>
          <w:rFonts w:ascii="Times New Roman" w:hAnsi="Times New Roman"/>
        </w:rPr>
        <w:t>143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"_Toc20895" </w:instrText>
      </w:r>
      <w:r>
        <w:fldChar w:fldCharType="separate"/>
      </w:r>
      <w:r>
        <w:rPr>
          <w:rFonts w:ascii="Times New Roman" w:hAnsi="Times New Roman"/>
          <w:szCs w:val="24"/>
        </w:rPr>
        <w:t>8.3.6环境风险防控与应急措施情况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_Toc20895 </w:instrText>
      </w:r>
      <w:r>
        <w:rPr>
          <w:rFonts w:ascii="Times New Roman" w:hAnsi="Times New Roman"/>
        </w:rPr>
        <w:fldChar w:fldCharType="separate"/>
      </w:r>
      <w:r>
        <w:rPr>
          <w:rFonts w:ascii="Times New Roman" w:hAnsi="Times New Roman"/>
        </w:rPr>
        <w:t>143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"_Toc28964" </w:instrText>
      </w:r>
      <w:r>
        <w:fldChar w:fldCharType="separate"/>
      </w:r>
      <w:r>
        <w:rPr>
          <w:rFonts w:ascii="Times New Roman" w:hAnsi="Times New Roman"/>
          <w:szCs w:val="24"/>
        </w:rPr>
        <w:t>8.3.7应急物资与装备、救援队伍情况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_Toc28964 </w:instrText>
      </w:r>
      <w:r>
        <w:rPr>
          <w:rFonts w:ascii="Times New Roman" w:hAnsi="Times New Roman"/>
        </w:rPr>
        <w:fldChar w:fldCharType="separate"/>
      </w:r>
      <w:r>
        <w:rPr>
          <w:rFonts w:ascii="Times New Roman" w:hAnsi="Times New Roman"/>
        </w:rPr>
        <w:t>143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"_Toc29999" </w:instrText>
      </w:r>
      <w:r>
        <w:fldChar w:fldCharType="separate"/>
      </w:r>
      <w:r>
        <w:rPr>
          <w:rFonts w:ascii="Times New Roman" w:hAnsi="Times New Roman"/>
          <w:szCs w:val="24"/>
        </w:rPr>
        <w:t>8.3.8相关环境安全管理制度情况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_Toc29999 </w:instrText>
      </w:r>
      <w:r>
        <w:rPr>
          <w:rFonts w:ascii="Times New Roman" w:hAnsi="Times New Roman"/>
        </w:rPr>
        <w:fldChar w:fldCharType="separate"/>
      </w:r>
      <w:r>
        <w:rPr>
          <w:rFonts w:ascii="Times New Roman" w:hAnsi="Times New Roman"/>
        </w:rPr>
        <w:t>144</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"_Toc15799" </w:instrText>
      </w:r>
      <w:r>
        <w:fldChar w:fldCharType="separate"/>
      </w:r>
      <w:r>
        <w:rPr>
          <w:rFonts w:ascii="Times New Roman" w:hAnsi="Times New Roman"/>
        </w:rPr>
        <w:t>8.4尾矿库环境风险评估情况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_Toc15799 </w:instrText>
      </w:r>
      <w:r>
        <w:rPr>
          <w:rFonts w:ascii="Times New Roman" w:hAnsi="Times New Roman"/>
        </w:rPr>
        <w:fldChar w:fldCharType="separate"/>
      </w:r>
      <w:r>
        <w:rPr>
          <w:rFonts w:ascii="Times New Roman" w:hAnsi="Times New Roman"/>
        </w:rPr>
        <w:t>145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"_Toc12306" </w:instrText>
      </w:r>
      <w:r>
        <w:fldChar w:fldCharType="separate"/>
      </w:r>
      <w:r>
        <w:rPr>
          <w:rFonts w:ascii="Times New Roman" w:hAnsi="Times New Roman"/>
          <w:szCs w:val="24"/>
        </w:rPr>
        <w:t>8.4.1环境风险预判情况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_Toc12306 </w:instrText>
      </w:r>
      <w:r>
        <w:rPr>
          <w:rFonts w:ascii="Times New Roman" w:hAnsi="Times New Roman"/>
        </w:rPr>
        <w:fldChar w:fldCharType="separate"/>
      </w:r>
      <w:r>
        <w:rPr>
          <w:rFonts w:ascii="Times New Roman" w:hAnsi="Times New Roman"/>
        </w:rPr>
        <w:t>145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"_Toc22361" </w:instrText>
      </w:r>
      <w:r>
        <w:fldChar w:fldCharType="separate"/>
      </w:r>
      <w:r>
        <w:rPr>
          <w:rFonts w:ascii="Times New Roman" w:hAnsi="Times New Roman"/>
          <w:szCs w:val="24"/>
        </w:rPr>
        <w:t>8.4.2环境风险等级划分情况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_Toc22361 </w:instrText>
      </w:r>
      <w:r>
        <w:rPr>
          <w:rFonts w:ascii="Times New Roman" w:hAnsi="Times New Roman"/>
        </w:rPr>
        <w:fldChar w:fldCharType="separate"/>
      </w:r>
      <w:r>
        <w:rPr>
          <w:rFonts w:ascii="Times New Roman" w:hAnsi="Times New Roman"/>
        </w:rPr>
        <w:t>145</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"_Toc32751" </w:instrText>
      </w:r>
      <w:r>
        <w:fldChar w:fldCharType="separate"/>
      </w:r>
      <w:r>
        <w:rPr>
          <w:rFonts w:ascii="Times New Roman" w:hAnsi="Times New Roman"/>
        </w:rPr>
        <w:t>8.5环境风险分析情况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_Toc32751 </w:instrText>
      </w:r>
      <w:r>
        <w:rPr>
          <w:rFonts w:ascii="Times New Roman" w:hAnsi="Times New Roman"/>
        </w:rPr>
        <w:fldChar w:fldCharType="separate"/>
      </w:r>
      <w:r>
        <w:rPr>
          <w:rFonts w:ascii="Times New Roman" w:hAnsi="Times New Roman"/>
        </w:rPr>
        <w:t>149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"_Toc7841" </w:instrText>
      </w:r>
      <w:r>
        <w:fldChar w:fldCharType="separate"/>
      </w:r>
      <w:r>
        <w:rPr>
          <w:rFonts w:ascii="Times New Roman" w:hAnsi="Times New Roman"/>
          <w:szCs w:val="24"/>
        </w:rPr>
        <w:t>8.5.1环境风险特征分析情况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_Toc7841 </w:instrText>
      </w:r>
      <w:r>
        <w:rPr>
          <w:rFonts w:ascii="Times New Roman" w:hAnsi="Times New Roman"/>
        </w:rPr>
        <w:fldChar w:fldCharType="separate"/>
      </w:r>
      <w:r>
        <w:rPr>
          <w:rFonts w:ascii="Times New Roman" w:hAnsi="Times New Roman"/>
        </w:rPr>
        <w:t>149</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"_Toc24094" </w:instrText>
      </w:r>
      <w:r>
        <w:fldChar w:fldCharType="separate"/>
      </w:r>
      <w:r>
        <w:rPr>
          <w:rFonts w:ascii="Times New Roman" w:hAnsi="Times New Roman"/>
          <w:szCs w:val="24"/>
        </w:rPr>
        <w:t>8.5.2尾矿库突发环境事件危险因素分析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_Toc24094 </w:instrText>
      </w:r>
      <w:r>
        <w:rPr>
          <w:rFonts w:ascii="Times New Roman" w:hAnsi="Times New Roman"/>
        </w:rPr>
        <w:fldChar w:fldCharType="separate"/>
      </w:r>
      <w:r>
        <w:rPr>
          <w:rFonts w:ascii="Times New Roman" w:hAnsi="Times New Roman"/>
        </w:rPr>
        <w:t>151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"_Toc24095" </w:instrText>
      </w:r>
      <w:r>
        <w:fldChar w:fldCharType="separate"/>
      </w:r>
      <w:r>
        <w:rPr>
          <w:rFonts w:ascii="Times New Roman" w:hAnsi="Times New Roman"/>
          <w:szCs w:val="24"/>
        </w:rPr>
        <w:t>8.5.3尾矿库突发环境事件情景分析情况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_Toc24095 </w:instrText>
      </w:r>
      <w:r>
        <w:rPr>
          <w:rFonts w:ascii="Times New Roman" w:hAnsi="Times New Roman"/>
        </w:rPr>
        <w:fldChar w:fldCharType="separate"/>
      </w:r>
      <w:r>
        <w:rPr>
          <w:rFonts w:ascii="Times New Roman" w:hAnsi="Times New Roman"/>
        </w:rPr>
        <w:t>151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"_Toc12067" </w:instrText>
      </w:r>
      <w:r>
        <w:fldChar w:fldCharType="separate"/>
      </w:r>
      <w:r>
        <w:rPr>
          <w:rFonts w:ascii="Times New Roman" w:hAnsi="Times New Roman"/>
          <w:szCs w:val="24"/>
        </w:rPr>
        <w:t>8.5.4事故类比调查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_Toc12067 </w:instrText>
      </w:r>
      <w:r>
        <w:rPr>
          <w:rFonts w:ascii="Times New Roman" w:hAnsi="Times New Roman"/>
        </w:rPr>
        <w:fldChar w:fldCharType="separate"/>
      </w:r>
      <w:r>
        <w:rPr>
          <w:rFonts w:ascii="Times New Roman" w:hAnsi="Times New Roman"/>
        </w:rPr>
        <w:t>152</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"_Toc25521" </w:instrText>
      </w:r>
      <w:r>
        <w:fldChar w:fldCharType="separate"/>
      </w:r>
      <w:r>
        <w:rPr>
          <w:rFonts w:ascii="Times New Roman" w:hAnsi="Times New Roman"/>
        </w:rPr>
        <w:t>8.6环境风险防范措施及应急预案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_Toc25521 </w:instrText>
      </w:r>
      <w:r>
        <w:rPr>
          <w:rFonts w:ascii="Times New Roman" w:hAnsi="Times New Roman"/>
        </w:rPr>
        <w:fldChar w:fldCharType="separate"/>
      </w:r>
      <w:r>
        <w:rPr>
          <w:rFonts w:ascii="Times New Roman" w:hAnsi="Times New Roman"/>
        </w:rPr>
        <w:t>155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"_Toc16165" </w:instrText>
      </w:r>
      <w:r>
        <w:fldChar w:fldCharType="separate"/>
      </w:r>
      <w:r>
        <w:rPr>
          <w:rFonts w:ascii="Times New Roman" w:hAnsi="Times New Roman"/>
          <w:szCs w:val="24"/>
        </w:rPr>
        <w:t>8.6.1风险防范措施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_Toc16165 </w:instrText>
      </w:r>
      <w:r>
        <w:rPr>
          <w:rFonts w:ascii="Times New Roman" w:hAnsi="Times New Roman"/>
        </w:rPr>
        <w:fldChar w:fldCharType="separate"/>
      </w:r>
      <w:r>
        <w:rPr>
          <w:rFonts w:ascii="Times New Roman" w:hAnsi="Times New Roman"/>
        </w:rPr>
        <w:t>155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"_Toc15137" </w:instrText>
      </w:r>
      <w:r>
        <w:fldChar w:fldCharType="separate"/>
      </w:r>
      <w:r>
        <w:rPr>
          <w:rFonts w:ascii="Times New Roman" w:hAnsi="Times New Roman"/>
          <w:szCs w:val="24"/>
        </w:rPr>
        <w:t>8.6.2风险应急预案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_Toc15137 </w:instrText>
      </w:r>
      <w:r>
        <w:rPr>
          <w:rFonts w:ascii="Times New Roman" w:hAnsi="Times New Roman"/>
        </w:rPr>
        <w:fldChar w:fldCharType="separate"/>
      </w:r>
      <w:r>
        <w:rPr>
          <w:rFonts w:ascii="Times New Roman" w:hAnsi="Times New Roman"/>
        </w:rPr>
        <w:t>157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"_Toc28026" </w:instrText>
      </w:r>
      <w:r>
        <w:fldChar w:fldCharType="separate"/>
      </w:r>
      <w:r>
        <w:rPr>
          <w:rFonts w:ascii="Times New Roman" w:hAnsi="Times New Roman"/>
          <w:szCs w:val="24"/>
        </w:rPr>
        <w:t>8.6.3监管方案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_Toc28026 </w:instrText>
      </w:r>
      <w:r>
        <w:rPr>
          <w:rFonts w:ascii="Times New Roman" w:hAnsi="Times New Roman"/>
        </w:rPr>
        <w:fldChar w:fldCharType="separate"/>
      </w:r>
      <w:r>
        <w:rPr>
          <w:rFonts w:ascii="Times New Roman" w:hAnsi="Times New Roman"/>
        </w:rPr>
        <w:t>159</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"_Toc21702" </w:instrText>
      </w:r>
      <w:r>
        <w:fldChar w:fldCharType="separate"/>
      </w:r>
      <w:r>
        <w:rPr>
          <w:rFonts w:ascii="Times New Roman" w:hAnsi="Times New Roman"/>
        </w:rPr>
        <w:t>8.7环境风险评价结论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_Toc21702 </w:instrText>
      </w:r>
      <w:r>
        <w:rPr>
          <w:rFonts w:ascii="Times New Roman" w:hAnsi="Times New Roman"/>
        </w:rPr>
        <w:fldChar w:fldCharType="separate"/>
      </w:r>
      <w:r>
        <w:rPr>
          <w:rFonts w:ascii="Times New Roman" w:hAnsi="Times New Roman"/>
        </w:rPr>
        <w:t>160</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"_Toc8975" </w:instrText>
      </w:r>
      <w:r>
        <w:fldChar w:fldCharType="separate"/>
      </w:r>
      <w:r>
        <w:rPr>
          <w:rFonts w:ascii="Times New Roman" w:hAnsi="Times New Roman"/>
        </w:rPr>
        <w:t>第九章 环境经济损益分析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_Toc8975 </w:instrText>
      </w:r>
      <w:r>
        <w:rPr>
          <w:rFonts w:ascii="Times New Roman" w:hAnsi="Times New Roman"/>
        </w:rPr>
        <w:fldChar w:fldCharType="separate"/>
      </w:r>
      <w:r>
        <w:rPr>
          <w:rFonts w:ascii="Times New Roman" w:hAnsi="Times New Roman"/>
        </w:rPr>
        <w:t>161</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"_Toc28185" </w:instrText>
      </w:r>
      <w:r>
        <w:fldChar w:fldCharType="separate"/>
      </w:r>
      <w:r>
        <w:rPr>
          <w:rFonts w:ascii="Times New Roman" w:hAnsi="Times New Roman"/>
        </w:rPr>
        <w:t>9.1环保投资分析</w:t>
      </w:r>
      <w:r>
        <w:rPr>
          <w:rFonts w:ascii="Times New Roman" w:hAnsi="Times New Roman"/>
        </w:rPr>
        <w:tab/>
      </w:r>
      <w:r>
        <w:rPr>
          <w:rFonts w:hint="eastAsia" w:ascii="Times New Roman" w:hAnsi="Times New Roman"/>
        </w:rPr>
        <w:t>1</w:t>
      </w:r>
      <w:r>
        <w:rPr>
          <w:rFonts w:hint="eastAsia" w:ascii="Times New Roman" w:hAnsi="Times New Roman"/>
        </w:rPr>
        <w:fldChar w:fldCharType="end"/>
      </w:r>
      <w:r>
        <w:rPr>
          <w:rFonts w:hint="eastAsia" w:ascii="Times New Roman" w:hAnsi="Times New Roman"/>
        </w:rPr>
        <w:t>61</w:t>
      </w:r>
    </w:p>
    <w:p>
      <w:pPr>
        <w:pStyle w:val="19"/>
        <w:tabs>
          <w:tab w:val="right" w:leader="dot" w:pos="8306"/>
        </w:tabs>
        <w:rPr>
          <w:rFonts w:ascii="Times New Roman" w:hAnsi="Times New Roman"/>
        </w:rPr>
      </w:pPr>
      <w:r>
        <w:fldChar w:fldCharType="begin"/>
      </w:r>
      <w:r>
        <w:instrText xml:space="preserve"> HYPERLINK \l "_Toc25592" </w:instrText>
      </w:r>
      <w:r>
        <w:fldChar w:fldCharType="separate"/>
      </w:r>
      <w:r>
        <w:rPr>
          <w:rFonts w:ascii="Times New Roman" w:hAnsi="Times New Roman"/>
        </w:rPr>
        <w:t>9.2环境影响经济影响分析</w:t>
      </w:r>
      <w:r>
        <w:rPr>
          <w:rFonts w:ascii="Times New Roman" w:hAnsi="Times New Roman"/>
        </w:rPr>
        <w:tab/>
      </w:r>
      <w:r>
        <w:rPr>
          <w:rFonts w:hint="eastAsia" w:ascii="Times New Roman" w:hAnsi="Times New Roman"/>
        </w:rPr>
        <w:t>1</w:t>
      </w:r>
      <w:r>
        <w:rPr>
          <w:rFonts w:hint="eastAsia" w:ascii="Times New Roman" w:hAnsi="Times New Roman"/>
        </w:rPr>
        <w:fldChar w:fldCharType="end"/>
      </w:r>
      <w:r>
        <w:rPr>
          <w:rFonts w:hint="eastAsia" w:ascii="Times New Roman" w:hAnsi="Times New Roman"/>
        </w:rPr>
        <w:t>61</w:t>
      </w:r>
    </w:p>
    <w:p>
      <w:pPr>
        <w:pStyle w:val="19"/>
        <w:tabs>
          <w:tab w:val="right" w:leader="dot" w:pos="8306"/>
        </w:tabs>
        <w:rPr>
          <w:rFonts w:ascii="Times New Roman" w:hAnsi="Times New Roman"/>
        </w:rPr>
      </w:pPr>
      <w:r>
        <w:fldChar w:fldCharType="begin"/>
      </w:r>
      <w:r>
        <w:instrText xml:space="preserve"> HYPERLINK \l "_Toc21332" </w:instrText>
      </w:r>
      <w:r>
        <w:fldChar w:fldCharType="separate"/>
      </w:r>
      <w:r>
        <w:rPr>
          <w:rFonts w:ascii="Times New Roman" w:hAnsi="Times New Roman"/>
          <w:szCs w:val="24"/>
        </w:rPr>
        <w:t>9.3经济效益</w:t>
      </w:r>
      <w:r>
        <w:rPr>
          <w:rFonts w:ascii="Times New Roman" w:hAnsi="Times New Roman"/>
        </w:rPr>
        <w:t>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_Toc21332 </w:instrText>
      </w:r>
      <w:r>
        <w:rPr>
          <w:rFonts w:ascii="Times New Roman" w:hAnsi="Times New Roman"/>
        </w:rPr>
        <w:fldChar w:fldCharType="separate"/>
      </w:r>
      <w:r>
        <w:rPr>
          <w:rFonts w:ascii="Times New Roman" w:hAnsi="Times New Roman"/>
        </w:rPr>
        <w:t>164</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"_Toc20612" </w:instrText>
      </w:r>
      <w:r>
        <w:fldChar w:fldCharType="separate"/>
      </w:r>
      <w:r>
        <w:rPr>
          <w:rFonts w:ascii="Times New Roman" w:hAnsi="Times New Roman"/>
        </w:rPr>
        <w:t>第十章 环境管理与环境监测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_Toc20612 </w:instrText>
      </w:r>
      <w:r>
        <w:rPr>
          <w:rFonts w:ascii="Times New Roman" w:hAnsi="Times New Roman"/>
        </w:rPr>
        <w:fldChar w:fldCharType="separate"/>
      </w:r>
      <w:r>
        <w:rPr>
          <w:rFonts w:ascii="Times New Roman" w:hAnsi="Times New Roman"/>
        </w:rPr>
        <w:t>165</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"_Toc31899" </w:instrText>
      </w:r>
      <w:r>
        <w:fldChar w:fldCharType="separate"/>
      </w:r>
      <w:r>
        <w:rPr>
          <w:rFonts w:ascii="Times New Roman" w:hAnsi="Times New Roman"/>
        </w:rPr>
        <w:t>10.1 环境管理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_Toc31899 </w:instrText>
      </w:r>
      <w:r>
        <w:rPr>
          <w:rFonts w:ascii="Times New Roman" w:hAnsi="Times New Roman"/>
        </w:rPr>
        <w:fldChar w:fldCharType="separate"/>
      </w:r>
      <w:r>
        <w:rPr>
          <w:rFonts w:ascii="Times New Roman" w:hAnsi="Times New Roman"/>
        </w:rPr>
        <w:t>165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"_Toc15631" </w:instrText>
      </w:r>
      <w:r>
        <w:fldChar w:fldCharType="separate"/>
      </w:r>
      <w:r>
        <w:rPr>
          <w:rFonts w:ascii="Times New Roman" w:hAnsi="Times New Roman"/>
          <w:szCs w:val="24"/>
        </w:rPr>
        <w:t>10.1.1环境管理机构设置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_Toc15631 </w:instrText>
      </w:r>
      <w:r>
        <w:rPr>
          <w:rFonts w:ascii="Times New Roman" w:hAnsi="Times New Roman"/>
        </w:rPr>
        <w:fldChar w:fldCharType="separate"/>
      </w:r>
      <w:r>
        <w:rPr>
          <w:rFonts w:ascii="Times New Roman" w:hAnsi="Times New Roman"/>
        </w:rPr>
        <w:t>165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"_Toc24188" </w:instrText>
      </w:r>
      <w:r>
        <w:fldChar w:fldCharType="separate"/>
      </w:r>
      <w:r>
        <w:rPr>
          <w:rFonts w:ascii="Times New Roman" w:hAnsi="Times New Roman"/>
          <w:szCs w:val="24"/>
        </w:rPr>
        <w:t>10.1.2环境管理职责</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_Toc24188 </w:instrText>
      </w:r>
      <w:r>
        <w:rPr>
          <w:rFonts w:ascii="Times New Roman" w:hAnsi="Times New Roman"/>
        </w:rPr>
        <w:fldChar w:fldCharType="separate"/>
      </w:r>
      <w:r>
        <w:rPr>
          <w:rFonts w:ascii="Times New Roman" w:hAnsi="Times New Roman"/>
        </w:rPr>
        <w:t>165</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"_Toc32520" </w:instrText>
      </w:r>
      <w:r>
        <w:fldChar w:fldCharType="separate"/>
      </w:r>
      <w:r>
        <w:rPr>
          <w:rFonts w:ascii="Times New Roman" w:hAnsi="Times New Roman"/>
        </w:rPr>
        <w:t>10.1.3环境管理措施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_Toc32520 </w:instrText>
      </w:r>
      <w:r>
        <w:rPr>
          <w:rFonts w:ascii="Times New Roman" w:hAnsi="Times New Roman"/>
        </w:rPr>
        <w:fldChar w:fldCharType="separate"/>
      </w:r>
      <w:r>
        <w:rPr>
          <w:rFonts w:ascii="Times New Roman" w:hAnsi="Times New Roman"/>
        </w:rPr>
        <w:t>166</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"_Toc18265" </w:instrText>
      </w:r>
      <w:r>
        <w:fldChar w:fldCharType="separate"/>
      </w:r>
      <w:r>
        <w:rPr>
          <w:rFonts w:ascii="Times New Roman" w:hAnsi="Times New Roman"/>
        </w:rPr>
        <w:t>10.1.4环境管理要求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_Toc18265 </w:instrText>
      </w:r>
      <w:r>
        <w:rPr>
          <w:rFonts w:ascii="Times New Roman" w:hAnsi="Times New Roman"/>
        </w:rPr>
        <w:fldChar w:fldCharType="separate"/>
      </w:r>
      <w:r>
        <w:rPr>
          <w:rFonts w:ascii="Times New Roman" w:hAnsi="Times New Roman"/>
        </w:rPr>
        <w:t>167</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"_Toc1844" </w:instrText>
      </w:r>
      <w:r>
        <w:fldChar w:fldCharType="separate"/>
      </w:r>
      <w:r>
        <w:rPr>
          <w:rFonts w:ascii="Times New Roman" w:hAnsi="Times New Roman"/>
        </w:rPr>
        <w:t>10.1.5污染物排放管理要求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_Toc1844 </w:instrText>
      </w:r>
      <w:r>
        <w:rPr>
          <w:rFonts w:ascii="Times New Roman" w:hAnsi="Times New Roman"/>
        </w:rPr>
        <w:fldChar w:fldCharType="separate"/>
      </w:r>
      <w:r>
        <w:rPr>
          <w:rFonts w:ascii="Times New Roman" w:hAnsi="Times New Roman"/>
        </w:rPr>
        <w:t>167</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"_Toc31016" </w:instrText>
      </w:r>
      <w:r>
        <w:fldChar w:fldCharType="separate"/>
      </w:r>
      <w:r>
        <w:rPr>
          <w:rFonts w:ascii="Times New Roman" w:hAnsi="Times New Roman"/>
        </w:rPr>
        <w:t>10.2环境监理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_Toc31016 </w:instrText>
      </w:r>
      <w:r>
        <w:rPr>
          <w:rFonts w:ascii="Times New Roman" w:hAnsi="Times New Roman"/>
        </w:rPr>
        <w:fldChar w:fldCharType="separate"/>
      </w:r>
      <w:r>
        <w:rPr>
          <w:rFonts w:ascii="Times New Roman" w:hAnsi="Times New Roman"/>
        </w:rPr>
        <w:t>173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"_Toc23277" </w:instrText>
      </w:r>
      <w:r>
        <w:fldChar w:fldCharType="separate"/>
      </w:r>
      <w:r>
        <w:rPr>
          <w:rFonts w:ascii="Times New Roman" w:hAnsi="Times New Roman"/>
        </w:rPr>
        <w:t>10.2.1人员设置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_Toc23277 </w:instrText>
      </w:r>
      <w:r>
        <w:rPr>
          <w:rFonts w:ascii="Times New Roman" w:hAnsi="Times New Roman"/>
        </w:rPr>
        <w:fldChar w:fldCharType="separate"/>
      </w:r>
      <w:r>
        <w:rPr>
          <w:rFonts w:ascii="Times New Roman" w:hAnsi="Times New Roman"/>
        </w:rPr>
        <w:t>173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"_Toc27183" </w:instrText>
      </w:r>
      <w:r>
        <w:fldChar w:fldCharType="separate"/>
      </w:r>
      <w:r>
        <w:rPr>
          <w:rFonts w:ascii="Times New Roman" w:hAnsi="Times New Roman"/>
        </w:rPr>
        <w:t>10.2.2环境监理职责</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_Toc27183 </w:instrText>
      </w:r>
      <w:r>
        <w:rPr>
          <w:rFonts w:ascii="Times New Roman" w:hAnsi="Times New Roman"/>
        </w:rPr>
        <w:fldChar w:fldCharType="separate"/>
      </w:r>
      <w:r>
        <w:rPr>
          <w:rFonts w:ascii="Times New Roman" w:hAnsi="Times New Roman"/>
        </w:rPr>
        <w:t>173</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"_Toc19563" </w:instrText>
      </w:r>
      <w:r>
        <w:fldChar w:fldCharType="separate"/>
      </w:r>
      <w:r>
        <w:rPr>
          <w:rFonts w:ascii="Times New Roman" w:hAnsi="Times New Roman"/>
        </w:rPr>
        <w:t>10.2.3环境监理范围和内容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_Toc19563 </w:instrText>
      </w:r>
      <w:r>
        <w:rPr>
          <w:rFonts w:ascii="Times New Roman" w:hAnsi="Times New Roman"/>
        </w:rPr>
        <w:fldChar w:fldCharType="separate"/>
      </w:r>
      <w:r>
        <w:rPr>
          <w:rFonts w:ascii="Times New Roman" w:hAnsi="Times New Roman"/>
        </w:rPr>
        <w:t>174</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"_Toc11428" </w:instrText>
      </w:r>
      <w:r>
        <w:fldChar w:fldCharType="separate"/>
      </w:r>
      <w:r>
        <w:rPr>
          <w:rFonts w:ascii="Times New Roman" w:hAnsi="Times New Roman"/>
        </w:rPr>
        <w:t>10.3环境监测计划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_Toc11428 </w:instrText>
      </w:r>
      <w:r>
        <w:rPr>
          <w:rFonts w:ascii="Times New Roman" w:hAnsi="Times New Roman"/>
        </w:rPr>
        <w:fldChar w:fldCharType="separate"/>
      </w:r>
      <w:r>
        <w:rPr>
          <w:rFonts w:ascii="Times New Roman" w:hAnsi="Times New Roman"/>
        </w:rPr>
        <w:t>175</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"_Toc4705" </w:instrText>
      </w:r>
      <w:r>
        <w:fldChar w:fldCharType="separate"/>
      </w:r>
      <w:r>
        <w:rPr>
          <w:rFonts w:ascii="Times New Roman" w:hAnsi="Times New Roman"/>
        </w:rPr>
        <w:t>10.4环境设施竣工验收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_Toc4705 </w:instrText>
      </w:r>
      <w:r>
        <w:rPr>
          <w:rFonts w:ascii="Times New Roman" w:hAnsi="Times New Roman"/>
        </w:rPr>
        <w:fldChar w:fldCharType="separate"/>
      </w:r>
      <w:r>
        <w:rPr>
          <w:rFonts w:ascii="Times New Roman" w:hAnsi="Times New Roman"/>
        </w:rPr>
        <w:t>176</w:t>
      </w:r>
      <w:r>
        <w:rPr>
          <w:rFonts w:ascii="Times New Roman" w:hAnsi="Times New Roman"/>
        </w:rPr>
        <w:fldChar w:fldCharType="end"/>
      </w:r>
      <w:r>
        <w:rPr>
          <w:rFonts w:ascii="Times New Roman" w:hAnsi="Times New Roman"/>
        </w:rPr>
        <w:fldChar w:fldCharType="end"/>
      </w:r>
    </w:p>
    <w:p>
      <w:pPr>
        <w:pStyle w:val="17"/>
        <w:tabs>
          <w:tab w:val="right" w:leader="dot" w:pos="8306"/>
        </w:tabs>
        <w:rPr>
          <w:rFonts w:ascii="Times New Roman" w:hAnsi="Times New Roman"/>
        </w:rPr>
      </w:pPr>
      <w:r>
        <w:fldChar w:fldCharType="begin"/>
      </w:r>
      <w:r>
        <w:instrText xml:space="preserve"> HYPERLINK \l "_Toc15456" </w:instrText>
      </w:r>
      <w:r>
        <w:fldChar w:fldCharType="separate"/>
      </w:r>
      <w:r>
        <w:rPr>
          <w:rFonts w:ascii="Times New Roman" w:hAnsi="Times New Roman"/>
        </w:rPr>
        <w:t>第十一章 结论与建议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_Toc15456 </w:instrText>
      </w:r>
      <w:r>
        <w:rPr>
          <w:rFonts w:ascii="Times New Roman" w:hAnsi="Times New Roman"/>
        </w:rPr>
        <w:fldChar w:fldCharType="separate"/>
      </w:r>
      <w:r>
        <w:rPr>
          <w:rFonts w:ascii="Times New Roman" w:hAnsi="Times New Roman"/>
        </w:rPr>
        <w:t>180</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"_Toc8561" </w:instrText>
      </w:r>
      <w:r>
        <w:fldChar w:fldCharType="separate"/>
      </w:r>
      <w:r>
        <w:rPr>
          <w:rFonts w:ascii="Times New Roman" w:hAnsi="Times New Roman"/>
          <w:szCs w:val="24"/>
        </w:rPr>
        <w:t>11.1建设项目概况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_Toc8561 </w:instrText>
      </w:r>
      <w:r>
        <w:rPr>
          <w:rFonts w:ascii="Times New Roman" w:hAnsi="Times New Roman"/>
        </w:rPr>
        <w:fldChar w:fldCharType="separate"/>
      </w:r>
      <w:r>
        <w:rPr>
          <w:rFonts w:ascii="Times New Roman" w:hAnsi="Times New Roman"/>
        </w:rPr>
        <w:t>180</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"_Toc11007" </w:instrText>
      </w:r>
      <w:r>
        <w:fldChar w:fldCharType="separate"/>
      </w:r>
      <w:r>
        <w:rPr>
          <w:rFonts w:ascii="Times New Roman" w:hAnsi="Times New Roman"/>
          <w:szCs w:val="24"/>
        </w:rPr>
        <w:t>11.2环境现状评价结论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_Toc11007 </w:instrText>
      </w:r>
      <w:r>
        <w:rPr>
          <w:rFonts w:ascii="Times New Roman" w:hAnsi="Times New Roman"/>
        </w:rPr>
        <w:fldChar w:fldCharType="separate"/>
      </w:r>
      <w:r>
        <w:rPr>
          <w:rFonts w:ascii="Times New Roman" w:hAnsi="Times New Roman"/>
        </w:rPr>
        <w:t>180</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"_Toc32322" </w:instrText>
      </w:r>
      <w:r>
        <w:fldChar w:fldCharType="separate"/>
      </w:r>
      <w:r>
        <w:rPr>
          <w:rFonts w:ascii="Times New Roman" w:hAnsi="Times New Roman"/>
          <w:szCs w:val="24"/>
        </w:rPr>
        <w:t>11.3污染影响与防治措施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_Toc32322 </w:instrText>
      </w:r>
      <w:r>
        <w:rPr>
          <w:rFonts w:ascii="Times New Roman" w:hAnsi="Times New Roman"/>
        </w:rPr>
        <w:fldChar w:fldCharType="separate"/>
      </w:r>
      <w:r>
        <w:rPr>
          <w:rFonts w:ascii="Times New Roman" w:hAnsi="Times New Roman"/>
        </w:rPr>
        <w:t>181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"_Toc9763" </w:instrText>
      </w:r>
      <w:r>
        <w:fldChar w:fldCharType="separate"/>
      </w:r>
      <w:r>
        <w:rPr>
          <w:rFonts w:ascii="Times New Roman" w:hAnsi="Times New Roman"/>
          <w:szCs w:val="24"/>
        </w:rPr>
        <w:t>11.3.1施工期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_Toc9763 </w:instrText>
      </w:r>
      <w:r>
        <w:rPr>
          <w:rFonts w:ascii="Times New Roman" w:hAnsi="Times New Roman"/>
        </w:rPr>
        <w:fldChar w:fldCharType="separate"/>
      </w:r>
      <w:r>
        <w:rPr>
          <w:rFonts w:ascii="Times New Roman" w:hAnsi="Times New Roman"/>
        </w:rPr>
        <w:t>181</w:t>
      </w:r>
      <w:r>
        <w:rPr>
          <w:rFonts w:ascii="Times New Roman" w:hAnsi="Times New Roman"/>
        </w:rPr>
        <w:fldChar w:fldCharType="end"/>
      </w:r>
      <w:r>
        <w:rPr>
          <w:rFonts w:ascii="Times New Roman" w:hAnsi="Times New Roman"/>
        </w:rPr>
        <w:fldChar w:fldCharType="end"/>
      </w:r>
    </w:p>
    <w:p>
      <w:pPr>
        <w:pStyle w:val="11"/>
        <w:tabs>
          <w:tab w:val="right" w:leader="dot" w:pos="8306"/>
        </w:tabs>
        <w:rPr>
          <w:rFonts w:ascii="Times New Roman" w:hAnsi="Times New Roman"/>
        </w:rPr>
      </w:pPr>
      <w:r>
        <w:fldChar w:fldCharType="begin"/>
      </w:r>
      <w:r>
        <w:instrText xml:space="preserve"> HYPERLINK \l "_Toc13626" </w:instrText>
      </w:r>
      <w:r>
        <w:fldChar w:fldCharType="separate"/>
      </w:r>
      <w:r>
        <w:rPr>
          <w:rFonts w:ascii="Times New Roman" w:hAnsi="Times New Roman"/>
        </w:rPr>
        <w:t>11.3.2营运期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_Toc13626 </w:instrText>
      </w:r>
      <w:r>
        <w:rPr>
          <w:rFonts w:ascii="Times New Roman" w:hAnsi="Times New Roman"/>
        </w:rPr>
        <w:fldChar w:fldCharType="separate"/>
      </w:r>
      <w:r>
        <w:rPr>
          <w:rFonts w:ascii="Times New Roman" w:hAnsi="Times New Roman"/>
        </w:rPr>
        <w:t>182</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"_Toc28853" </w:instrText>
      </w:r>
      <w:r>
        <w:fldChar w:fldCharType="separate"/>
      </w:r>
      <w:r>
        <w:rPr>
          <w:rFonts w:ascii="Times New Roman" w:hAnsi="Times New Roman"/>
          <w:szCs w:val="24"/>
        </w:rPr>
        <w:t>11.4公众意见采纳情况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_Toc28853 </w:instrText>
      </w:r>
      <w:r>
        <w:rPr>
          <w:rFonts w:ascii="Times New Roman" w:hAnsi="Times New Roman"/>
        </w:rPr>
        <w:fldChar w:fldCharType="separate"/>
      </w:r>
      <w:r>
        <w:rPr>
          <w:rFonts w:ascii="Times New Roman" w:hAnsi="Times New Roman"/>
        </w:rPr>
        <w:t>185</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"_Toc19763" </w:instrText>
      </w:r>
      <w:r>
        <w:fldChar w:fldCharType="separate"/>
      </w:r>
      <w:r>
        <w:rPr>
          <w:rFonts w:ascii="Times New Roman" w:hAnsi="Times New Roman"/>
          <w:szCs w:val="24"/>
        </w:rPr>
        <w:t>11.5环境风险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_Toc19763 </w:instrText>
      </w:r>
      <w:r>
        <w:rPr>
          <w:rFonts w:ascii="Times New Roman" w:hAnsi="Times New Roman"/>
        </w:rPr>
        <w:fldChar w:fldCharType="separate"/>
      </w:r>
      <w:r>
        <w:rPr>
          <w:rFonts w:ascii="Times New Roman" w:hAnsi="Times New Roman"/>
        </w:rPr>
        <w:t>185</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"_Toc28510" </w:instrText>
      </w:r>
      <w:r>
        <w:fldChar w:fldCharType="separate"/>
      </w:r>
      <w:r>
        <w:rPr>
          <w:rFonts w:ascii="Times New Roman" w:hAnsi="Times New Roman"/>
          <w:szCs w:val="24"/>
        </w:rPr>
        <w:t>11.6环境影响经济损益分析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_Toc28510 </w:instrText>
      </w:r>
      <w:r>
        <w:rPr>
          <w:rFonts w:ascii="Times New Roman" w:hAnsi="Times New Roman"/>
        </w:rPr>
        <w:fldChar w:fldCharType="separate"/>
      </w:r>
      <w:r>
        <w:rPr>
          <w:rFonts w:ascii="Times New Roman" w:hAnsi="Times New Roman"/>
        </w:rPr>
        <w:t>185</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"_Toc29854" </w:instrText>
      </w:r>
      <w:r>
        <w:fldChar w:fldCharType="separate"/>
      </w:r>
      <w:r>
        <w:rPr>
          <w:rFonts w:ascii="Times New Roman" w:hAnsi="Times New Roman"/>
          <w:szCs w:val="24"/>
        </w:rPr>
        <w:t>11.7环境管理与监测计划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_Toc29854 </w:instrText>
      </w:r>
      <w:r>
        <w:rPr>
          <w:rFonts w:ascii="Times New Roman" w:hAnsi="Times New Roman"/>
        </w:rPr>
        <w:fldChar w:fldCharType="separate"/>
      </w:r>
      <w:r>
        <w:rPr>
          <w:rFonts w:ascii="Times New Roman" w:hAnsi="Times New Roman"/>
        </w:rPr>
        <w:t>185</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"_Toc10634" </w:instrText>
      </w:r>
      <w:r>
        <w:fldChar w:fldCharType="separate"/>
      </w:r>
      <w:r>
        <w:rPr>
          <w:rFonts w:ascii="Times New Roman" w:hAnsi="Times New Roman"/>
          <w:szCs w:val="24"/>
        </w:rPr>
        <w:t>11.8清洁生产分析结论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_Toc10634 </w:instrText>
      </w:r>
      <w:r>
        <w:rPr>
          <w:rFonts w:ascii="Times New Roman" w:hAnsi="Times New Roman"/>
        </w:rPr>
        <w:fldChar w:fldCharType="separate"/>
      </w:r>
      <w:r>
        <w:rPr>
          <w:rFonts w:ascii="Times New Roman" w:hAnsi="Times New Roman"/>
        </w:rPr>
        <w:t>186</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"_Toc25839" </w:instrText>
      </w:r>
      <w:r>
        <w:fldChar w:fldCharType="separate"/>
      </w:r>
      <w:r>
        <w:rPr>
          <w:rFonts w:ascii="Times New Roman" w:hAnsi="Times New Roman"/>
          <w:szCs w:val="24"/>
        </w:rPr>
        <w:t>11.9环境可行性分析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_Toc25839 </w:instrText>
      </w:r>
      <w:r>
        <w:rPr>
          <w:rFonts w:ascii="Times New Roman" w:hAnsi="Times New Roman"/>
        </w:rPr>
        <w:fldChar w:fldCharType="separate"/>
      </w:r>
      <w:r>
        <w:rPr>
          <w:rFonts w:ascii="Times New Roman" w:hAnsi="Times New Roman"/>
        </w:rPr>
        <w:t>186</w:t>
      </w:r>
      <w:r>
        <w:rPr>
          <w:rFonts w:ascii="Times New Roman" w:hAnsi="Times New Roman"/>
        </w:rPr>
        <w:fldChar w:fldCharType="end"/>
      </w:r>
      <w:r>
        <w:rPr>
          <w:rFonts w:ascii="Times New Roman" w:hAnsi="Times New Roman"/>
        </w:rPr>
        <w:fldChar w:fldCharType="end"/>
      </w:r>
    </w:p>
    <w:p>
      <w:pPr>
        <w:pStyle w:val="19"/>
        <w:tabs>
          <w:tab w:val="right" w:leader="dot" w:pos="8306"/>
        </w:tabs>
        <w:rPr>
          <w:rFonts w:ascii="Times New Roman" w:hAnsi="Times New Roman"/>
        </w:rPr>
      </w:pPr>
      <w:r>
        <w:fldChar w:fldCharType="begin"/>
      </w:r>
      <w:r>
        <w:instrText xml:space="preserve"> HYPERLINK \l "_Toc27569" </w:instrText>
      </w:r>
      <w:r>
        <w:fldChar w:fldCharType="separate"/>
      </w:r>
      <w:r>
        <w:rPr>
          <w:rFonts w:ascii="Times New Roman" w:hAnsi="Times New Roman"/>
          <w:szCs w:val="24"/>
        </w:rPr>
        <w:t>11.10综合评价结论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_Toc27569 </w:instrText>
      </w:r>
      <w:r>
        <w:rPr>
          <w:rFonts w:ascii="Times New Roman" w:hAnsi="Times New Roman"/>
        </w:rPr>
        <w:fldChar w:fldCharType="separate"/>
      </w:r>
      <w:r>
        <w:rPr>
          <w:rFonts w:ascii="Times New Roman" w:hAnsi="Times New Roman"/>
        </w:rPr>
        <w:t>186</w:t>
      </w:r>
      <w:r>
        <w:rPr>
          <w:rFonts w:ascii="Times New Roman" w:hAnsi="Times New Roman"/>
        </w:rPr>
        <w:fldChar w:fldCharType="end"/>
      </w:r>
      <w:r>
        <w:rPr>
          <w:rFonts w:ascii="Times New Roman" w:hAnsi="Times New Roman"/>
        </w:rPr>
        <w:fldChar w:fldCharType="end"/>
      </w:r>
    </w:p>
    <w:p>
      <w:pPr>
        <w:pStyle w:val="20"/>
        <w:spacing w:beforeLines="50" w:afterLines="50"/>
        <w:ind w:firstLine="505"/>
        <w:jc w:val="center"/>
        <w:rPr>
          <w:rFonts w:ascii="Times New Roman" w:hAnsi="Times New Roman"/>
          <w:b/>
          <w:color w:val="auto"/>
        </w:rPr>
      </w:pPr>
      <w:r>
        <w:rPr>
          <w:rFonts w:ascii="Times New Roman" w:hAnsi="Times New Roman"/>
          <w:color w:val="auto"/>
        </w:rPr>
        <w:fldChar w:fldCharType="end"/>
      </w:r>
    </w:p>
    <w:p>
      <w:pPr>
        <w:tabs>
          <w:tab w:val="left" w:pos="3479"/>
        </w:tabs>
        <w:jc w:val="left"/>
      </w:pPr>
    </w:p>
    <w:p>
      <w:pPr>
        <w:tabs>
          <w:tab w:val="left" w:pos="3479"/>
        </w:tabs>
        <w:jc w:val="left"/>
      </w:pPr>
    </w:p>
    <w:p>
      <w:pPr>
        <w:tabs>
          <w:tab w:val="left" w:pos="3479"/>
        </w:tabs>
        <w:jc w:val="left"/>
      </w:pPr>
    </w:p>
    <w:p>
      <w:pPr>
        <w:tabs>
          <w:tab w:val="left" w:pos="3479"/>
        </w:tabs>
        <w:jc w:val="left"/>
      </w:pPr>
    </w:p>
    <w:p>
      <w:pPr>
        <w:tabs>
          <w:tab w:val="left" w:pos="3479"/>
        </w:tabs>
        <w:jc w:val="left"/>
      </w:pPr>
    </w:p>
    <w:p>
      <w:pPr>
        <w:tabs>
          <w:tab w:val="left" w:pos="3479"/>
        </w:tabs>
        <w:jc w:val="left"/>
      </w:pPr>
    </w:p>
    <w:p>
      <w:pPr>
        <w:tabs>
          <w:tab w:val="left" w:pos="3479"/>
        </w:tabs>
        <w:jc w:val="left"/>
      </w:pPr>
    </w:p>
    <w:p>
      <w:pPr>
        <w:tabs>
          <w:tab w:val="left" w:pos="3479"/>
        </w:tabs>
        <w:jc w:val="left"/>
      </w:pPr>
    </w:p>
    <w:p>
      <w:pPr>
        <w:tabs>
          <w:tab w:val="left" w:pos="3479"/>
        </w:tabs>
        <w:jc w:val="left"/>
      </w:pPr>
    </w:p>
    <w:p>
      <w:pPr>
        <w:tabs>
          <w:tab w:val="left" w:pos="3479"/>
        </w:tabs>
        <w:jc w:val="left"/>
      </w:pPr>
    </w:p>
    <w:p>
      <w:pPr>
        <w:tabs>
          <w:tab w:val="left" w:pos="3479"/>
        </w:tabs>
        <w:jc w:val="left"/>
      </w:pPr>
    </w:p>
    <w:p>
      <w:pPr>
        <w:tabs>
          <w:tab w:val="left" w:pos="3479"/>
        </w:tabs>
        <w:jc w:val="left"/>
      </w:pPr>
    </w:p>
    <w:p>
      <w:pPr>
        <w:pStyle w:val="3"/>
        <w:spacing w:beforeLines="150" w:beforeAutospacing="0" w:afterLines="150" w:afterAutospacing="0" w:line="360" w:lineRule="auto"/>
        <w:rPr>
          <w:rFonts w:ascii="Times New Roman"/>
          <w:color w:val="000000"/>
          <w:szCs w:val="36"/>
        </w:rPr>
      </w:pPr>
      <w:bookmarkStart w:id="0" w:name="_Toc25796"/>
      <w:r>
        <w:rPr>
          <w:rFonts w:ascii="Times New Roman"/>
          <w:color w:val="000000"/>
          <w:szCs w:val="36"/>
        </w:rPr>
        <w:t>第一章 概述</w:t>
      </w:r>
      <w:bookmarkEnd w:id="0"/>
    </w:p>
    <w:p>
      <w:pPr>
        <w:pStyle w:val="4"/>
        <w:rPr>
          <w:rFonts w:ascii="Times New Roman" w:hAnsi="Times New Roman" w:eastAsia="宋体"/>
          <w:sz w:val="30"/>
          <w:szCs w:val="30"/>
        </w:rPr>
      </w:pPr>
      <w:bookmarkStart w:id="1" w:name="_Toc19798"/>
      <w:bookmarkStart w:id="2" w:name="_Toc10718"/>
      <w:bookmarkStart w:id="3" w:name="_Toc17195"/>
      <w:r>
        <w:rPr>
          <w:rFonts w:ascii="Times New Roman" w:hAnsi="Times New Roman" w:eastAsia="宋体"/>
          <w:sz w:val="30"/>
          <w:szCs w:val="30"/>
        </w:rPr>
        <w:t>1.1</w:t>
      </w:r>
      <w:r>
        <w:rPr>
          <w:rFonts w:hint="eastAsia" w:ascii="Times New Roman" w:hAnsi="Times New Roman" w:eastAsia="宋体"/>
          <w:sz w:val="30"/>
          <w:szCs w:val="30"/>
        </w:rPr>
        <w:t>项目提出背景</w:t>
      </w:r>
      <w:bookmarkEnd w:id="1"/>
      <w:bookmarkEnd w:id="2"/>
      <w:bookmarkEnd w:id="3"/>
    </w:p>
    <w:p>
      <w:pPr>
        <w:spacing w:line="360" w:lineRule="auto"/>
        <w:ind w:firstLine="480" w:firstLineChars="200"/>
        <w:rPr>
          <w:rFonts w:ascii="Times New Roman" w:hAnsi="Times New Roman"/>
          <w:sz w:val="24"/>
          <w:szCs w:val="24"/>
        </w:rPr>
      </w:pPr>
      <w:r>
        <w:rPr>
          <w:rFonts w:ascii="Times New Roman" w:hAnsi="Times New Roman"/>
          <w:color w:val="FF0000"/>
          <w:sz w:val="24"/>
          <w:szCs w:val="24"/>
        </w:rPr>
        <w:t xml:space="preserve"> </w:t>
      </w:r>
      <w:r>
        <w:rPr>
          <w:rFonts w:ascii="Times New Roman" w:hAnsi="Times New Roman"/>
          <w:sz w:val="24"/>
          <w:szCs w:val="24"/>
        </w:rPr>
        <w:t>白山市江源区五道羊岔铁矿有限责任公司五道羊岔铁矿尾矿库位于白山市江源区</w:t>
      </w:r>
      <w:r>
        <w:rPr>
          <w:rFonts w:hint="eastAsia" w:ascii="Times New Roman" w:hAnsi="Times New Roman"/>
          <w:sz w:val="24"/>
          <w:szCs w:val="24"/>
        </w:rPr>
        <w:t>七岔村</w:t>
      </w:r>
      <w:r>
        <w:rPr>
          <w:rFonts w:ascii="Times New Roman" w:hAnsi="Times New Roman"/>
          <w:sz w:val="24"/>
          <w:szCs w:val="24"/>
        </w:rPr>
        <w:t>。本项目中心坐标为东经：126°26'21.6"，北纬：42°05'22.6"。</w:t>
      </w:r>
      <w:r>
        <w:rPr>
          <w:rFonts w:hint="eastAsia" w:ascii="Times New Roman" w:hAnsi="Times New Roman"/>
          <w:sz w:val="24"/>
          <w:szCs w:val="24"/>
        </w:rPr>
        <w:t>该公司</w:t>
      </w:r>
      <w:r>
        <w:rPr>
          <w:rFonts w:ascii="Times New Roman" w:hAnsi="Times New Roman"/>
          <w:sz w:val="24"/>
          <w:szCs w:val="24"/>
        </w:rPr>
        <w:t>于2008年正式投产使用。</w:t>
      </w:r>
      <w:r>
        <w:rPr>
          <w:rFonts w:hint="eastAsia" w:ascii="Times New Roman" w:hAnsi="Times New Roman"/>
          <w:sz w:val="24"/>
          <w:szCs w:val="24"/>
        </w:rPr>
        <w:t>主要经营范围为铁矿采、选含尾矿库。现有采矿规模为年采铁矿石20万t，矿石储量为97.48万t/a；采用地下开采，开采年限为6.1年。现有选矿规模为年产铁精粉8万t；采用单一磁选工艺（湿式磁选）。现有尾矿库规模为处理尾矿量120万t，服务年限为10年，尾矿库现有为湿排。</w:t>
      </w:r>
    </w:p>
    <w:p>
      <w:pPr>
        <w:spacing w:line="360" w:lineRule="auto"/>
        <w:ind w:firstLine="480" w:firstLineChars="200"/>
        <w:rPr>
          <w:rFonts w:ascii="Times New Roman" w:hAnsi="Times New Roman"/>
          <w:sz w:val="24"/>
          <w:szCs w:val="24"/>
        </w:rPr>
      </w:pPr>
      <w:r>
        <w:rPr>
          <w:rFonts w:ascii="Times New Roman" w:hAnsi="Times New Roman"/>
          <w:sz w:val="24"/>
          <w:szCs w:val="24"/>
        </w:rPr>
        <w:t>该公司位于2005取得由江源县环境保护局下发的《关于江源县五道羊岔铁矿选矿厂建设项目环境影响报告书》的批复，批复文号为：江源环发[2005]31号（见附件）。</w:t>
      </w:r>
      <w:r>
        <w:rPr>
          <w:rFonts w:hint="eastAsia" w:ascii="Times New Roman" w:hAnsi="Times New Roman"/>
          <w:sz w:val="24"/>
          <w:szCs w:val="24"/>
        </w:rPr>
        <w:t>并于2012年10月25日对白山市江源区五道羊岔铁矿有限责任公司采场、选矿厂及尾矿库进行验收，验收文号为：江环验发[2012]12号《江源区环境保护局环境保护设施竣工验收意见书》（见附件）。</w:t>
      </w:r>
      <w:r>
        <w:rPr>
          <w:rFonts w:hint="eastAsia" w:ascii="Times New Roman" w:hAnsi="Times New Roman"/>
          <w:sz w:val="24"/>
          <w:szCs w:val="24"/>
          <w:u w:val="single"/>
        </w:rPr>
        <w:t>由于现有尾矿库已达到设计库容；尾矿库水面已接近顶部，因此本次在现有采矿、选矿车间工艺规模等均不变的情况下，对尾矿库进行扩建。并且将选矿车间产生的尾矿浆经过本次新建的压滤系统压滤后干排尾矿渣至尾矿库内。现有尾矿库库容为8×10</w:t>
      </w:r>
      <w:r>
        <w:rPr>
          <w:rFonts w:hint="eastAsia" w:ascii="Times New Roman" w:hAnsi="Times New Roman"/>
          <w:sz w:val="24"/>
          <w:szCs w:val="24"/>
          <w:u w:val="single"/>
          <w:vertAlign w:val="superscript"/>
        </w:rPr>
        <w:t>4</w:t>
      </w:r>
      <w:r>
        <w:rPr>
          <w:rFonts w:hint="eastAsia" w:ascii="Times New Roman" w:hAnsi="Times New Roman"/>
          <w:sz w:val="24"/>
          <w:szCs w:val="24"/>
          <w:u w:val="single"/>
        </w:rPr>
        <w:t>m</w:t>
      </w:r>
      <w:r>
        <w:rPr>
          <w:rFonts w:hint="eastAsia" w:ascii="Times New Roman" w:hAnsi="Times New Roman"/>
          <w:sz w:val="24"/>
          <w:szCs w:val="24"/>
          <w:u w:val="single"/>
          <w:vertAlign w:val="superscript"/>
        </w:rPr>
        <w:t>3</w:t>
      </w:r>
      <w:r>
        <w:rPr>
          <w:rFonts w:hint="eastAsia" w:ascii="Times New Roman" w:hAnsi="Times New Roman"/>
          <w:sz w:val="24"/>
          <w:szCs w:val="24"/>
          <w:u w:val="single"/>
        </w:rPr>
        <w:t>。</w:t>
      </w:r>
      <w:r>
        <w:rPr>
          <w:rFonts w:hint="eastAsia" w:ascii="Times New Roman" w:hAnsi="Times New Roman"/>
          <w:sz w:val="24"/>
          <w:szCs w:val="24"/>
        </w:rPr>
        <w:t>扩建后尾矿库总库容为11.40×10</w:t>
      </w:r>
      <w:r>
        <w:rPr>
          <w:rFonts w:hint="eastAsia" w:ascii="Times New Roman" w:hAnsi="Times New Roman"/>
          <w:sz w:val="24"/>
          <w:szCs w:val="24"/>
          <w:vertAlign w:val="superscript"/>
        </w:rPr>
        <w:t>4</w:t>
      </w:r>
      <w:r>
        <w:rPr>
          <w:rFonts w:hint="eastAsia" w:ascii="Times New Roman" w:hAnsi="Times New Roman"/>
          <w:sz w:val="24"/>
          <w:szCs w:val="24"/>
        </w:rPr>
        <w:t>m</w:t>
      </w:r>
      <w:r>
        <w:rPr>
          <w:rFonts w:hint="eastAsia" w:ascii="Times New Roman" w:hAnsi="Times New Roman"/>
          <w:sz w:val="24"/>
          <w:szCs w:val="24"/>
          <w:vertAlign w:val="superscript"/>
        </w:rPr>
        <w:t>3</w:t>
      </w:r>
      <w:r>
        <w:rPr>
          <w:rFonts w:hint="eastAsia" w:ascii="Times New Roman" w:hAnsi="Times New Roman"/>
          <w:sz w:val="24"/>
          <w:szCs w:val="24"/>
        </w:rPr>
        <w:t>。服务年限增加了5.525年。新建压滤间，满负荷年处理15×10</w:t>
      </w:r>
      <w:r>
        <w:rPr>
          <w:rFonts w:hint="eastAsia" w:ascii="Times New Roman" w:hAnsi="Times New Roman"/>
          <w:sz w:val="24"/>
          <w:szCs w:val="24"/>
          <w:vertAlign w:val="superscript"/>
        </w:rPr>
        <w:t>4</w:t>
      </w:r>
      <w:r>
        <w:rPr>
          <w:rFonts w:hint="eastAsia" w:ascii="Times New Roman" w:hAnsi="Times New Roman"/>
          <w:sz w:val="24"/>
          <w:szCs w:val="24"/>
        </w:rPr>
        <w:t>t/a尾矿渣。该项目建成后大大降低了尾矿库的风险，为正效益项目。</w:t>
      </w:r>
    </w:p>
    <w:p>
      <w:pPr>
        <w:spacing w:line="360" w:lineRule="auto"/>
        <w:ind w:firstLine="480" w:firstLineChars="200"/>
        <w:rPr>
          <w:rFonts w:ascii="Times New Roman" w:hAnsi="Times New Roman"/>
          <w:sz w:val="24"/>
          <w:szCs w:val="24"/>
        </w:rPr>
      </w:pPr>
      <w:r>
        <w:rPr>
          <w:rFonts w:ascii="Times New Roman" w:hAnsi="Times New Roman"/>
          <w:sz w:val="24"/>
          <w:szCs w:val="24"/>
        </w:rPr>
        <w:t>受白山市江源区五道羊岔铁矿有限责任公司</w:t>
      </w:r>
      <w:r>
        <w:rPr>
          <w:rFonts w:hint="eastAsia" w:ascii="Times New Roman" w:hAnsi="Times New Roman"/>
          <w:sz w:val="24"/>
          <w:szCs w:val="24"/>
        </w:rPr>
        <w:t>的</w:t>
      </w:r>
      <w:r>
        <w:rPr>
          <w:rFonts w:ascii="Times New Roman" w:hAnsi="Times New Roman"/>
          <w:sz w:val="24"/>
          <w:szCs w:val="24"/>
        </w:rPr>
        <w:t>委托，吉林昊融技术开发有限公司承担了该项目的环境影响评价工作</w:t>
      </w:r>
      <w:r>
        <w:rPr>
          <w:rFonts w:hint="eastAsia" w:ascii="Times New Roman" w:hAnsi="Times New Roman"/>
          <w:sz w:val="24"/>
          <w:szCs w:val="24"/>
        </w:rPr>
        <w:t>。</w:t>
      </w:r>
      <w:r>
        <w:rPr>
          <w:rFonts w:ascii="Times New Roman" w:hAnsi="Times New Roman"/>
          <w:sz w:val="24"/>
          <w:szCs w:val="24"/>
        </w:rPr>
        <w:t>本次评价内容主要包括</w:t>
      </w:r>
      <w:r>
        <w:rPr>
          <w:rFonts w:hint="eastAsia" w:ascii="Times New Roman" w:hAnsi="Times New Roman"/>
          <w:sz w:val="24"/>
          <w:szCs w:val="24"/>
        </w:rPr>
        <w:t>尾矿库及选矿厂</w:t>
      </w:r>
      <w:r>
        <w:rPr>
          <w:rFonts w:ascii="Times New Roman" w:hAnsi="Times New Roman"/>
          <w:sz w:val="24"/>
          <w:szCs w:val="24"/>
        </w:rPr>
        <w:t>，</w:t>
      </w:r>
      <w:r>
        <w:rPr>
          <w:rFonts w:hint="eastAsia" w:ascii="Times New Roman" w:hAnsi="Times New Roman"/>
          <w:sz w:val="24"/>
          <w:szCs w:val="24"/>
        </w:rPr>
        <w:t>经过查询《建设项目环境影响评价分类管理名录》（环境保护部令第44号），本项目属于“四十三、黑色金属矿采选业”中“135黑色金属矿采选（含单独尾矿库）”，全部应该编制报告书，因此本项目编制环境影响报告书。</w:t>
      </w:r>
      <w:r>
        <w:rPr>
          <w:rFonts w:ascii="Times New Roman" w:hAnsi="Times New Roman"/>
          <w:sz w:val="24"/>
          <w:szCs w:val="24"/>
        </w:rPr>
        <w:t>在环境影响评价工作中得到了</w:t>
      </w:r>
      <w:r>
        <w:rPr>
          <w:rFonts w:hint="eastAsia" w:ascii="Times New Roman" w:hAnsi="Times New Roman"/>
          <w:sz w:val="24"/>
          <w:szCs w:val="24"/>
        </w:rPr>
        <w:t>白山市</w:t>
      </w:r>
      <w:r>
        <w:rPr>
          <w:rFonts w:ascii="Times New Roman" w:hAnsi="Times New Roman"/>
          <w:sz w:val="24"/>
          <w:szCs w:val="24"/>
        </w:rPr>
        <w:t>环境保护局的大力支持以及建设单位的密切配合，在此深表谢意</w:t>
      </w:r>
      <w:r>
        <w:rPr>
          <w:rFonts w:hint="eastAsia" w:ascii="Times New Roman" w:hAnsi="Times New Roman"/>
          <w:sz w:val="24"/>
          <w:szCs w:val="24"/>
        </w:rPr>
        <w:t>！</w:t>
      </w:r>
    </w:p>
    <w:p>
      <w:pPr>
        <w:pStyle w:val="4"/>
        <w:rPr>
          <w:rFonts w:ascii="Times New Roman" w:hAnsi="Times New Roman" w:eastAsia="宋体"/>
          <w:sz w:val="30"/>
          <w:szCs w:val="30"/>
        </w:rPr>
      </w:pPr>
      <w:bookmarkStart w:id="4" w:name="_Toc484616274"/>
      <w:bookmarkStart w:id="5" w:name="_Toc486349978"/>
      <w:bookmarkStart w:id="6" w:name="_Toc14328"/>
      <w:bookmarkStart w:id="7" w:name="_Toc5551"/>
      <w:bookmarkStart w:id="8" w:name="_Toc30478"/>
      <w:bookmarkStart w:id="9" w:name="_Toc26483"/>
      <w:bookmarkStart w:id="10" w:name="_Toc500420354"/>
      <w:bookmarkStart w:id="11" w:name="_Toc476642190"/>
      <w:bookmarkStart w:id="12" w:name="_Toc493837106"/>
      <w:r>
        <w:rPr>
          <w:rFonts w:ascii="Times New Roman" w:hAnsi="Times New Roman" w:eastAsia="宋体"/>
          <w:sz w:val="30"/>
          <w:szCs w:val="30"/>
        </w:rPr>
        <w:t>1.2评价目的</w:t>
      </w:r>
      <w:bookmarkEnd w:id="4"/>
      <w:bookmarkEnd w:id="5"/>
      <w:bookmarkEnd w:id="6"/>
      <w:bookmarkEnd w:id="7"/>
      <w:bookmarkEnd w:id="8"/>
      <w:bookmarkEnd w:id="9"/>
    </w:p>
    <w:p>
      <w:pPr>
        <w:snapToGrid w:val="0"/>
        <w:spacing w:line="360" w:lineRule="auto"/>
        <w:ind w:firstLine="480" w:firstLineChars="200"/>
        <w:rPr>
          <w:rFonts w:ascii="Times New Roman" w:hAnsi="Times New Roman"/>
          <w:sz w:val="24"/>
        </w:rPr>
      </w:pPr>
      <w:r>
        <w:rPr>
          <w:rFonts w:ascii="Times New Roman" w:hAnsi="Times New Roman"/>
          <w:sz w:val="24"/>
        </w:rPr>
        <w:t>1、通过现场调查与现状监测，了解</w:t>
      </w:r>
      <w:r>
        <w:rPr>
          <w:rFonts w:hint="eastAsia" w:ascii="Times New Roman" w:hAnsi="Times New Roman"/>
          <w:sz w:val="24"/>
        </w:rPr>
        <w:t>本</w:t>
      </w:r>
      <w:r>
        <w:rPr>
          <w:rFonts w:ascii="Times New Roman" w:hAnsi="Times New Roman"/>
          <w:sz w:val="24"/>
        </w:rPr>
        <w:t>项目所属区域的环境质量现状。</w:t>
      </w:r>
    </w:p>
    <w:p>
      <w:pPr>
        <w:snapToGrid w:val="0"/>
        <w:spacing w:line="360" w:lineRule="auto"/>
        <w:ind w:firstLine="480" w:firstLineChars="200"/>
        <w:rPr>
          <w:rFonts w:ascii="Times New Roman" w:hAnsi="Times New Roman"/>
          <w:sz w:val="24"/>
        </w:rPr>
      </w:pPr>
      <w:r>
        <w:rPr>
          <w:rFonts w:ascii="Times New Roman" w:hAnsi="Times New Roman"/>
          <w:sz w:val="24"/>
        </w:rPr>
        <w:t>2、根据</w:t>
      </w:r>
      <w:r>
        <w:rPr>
          <w:rFonts w:hint="eastAsia" w:ascii="Times New Roman" w:hAnsi="Times New Roman"/>
          <w:sz w:val="24"/>
        </w:rPr>
        <w:t>本项目</w:t>
      </w:r>
      <w:r>
        <w:rPr>
          <w:rFonts w:ascii="Times New Roman" w:hAnsi="Times New Roman"/>
          <w:sz w:val="24"/>
        </w:rPr>
        <w:t>对区域生态环境影响大的特点，在调查、分析区域生态环境质量现状的基础上，预测</w:t>
      </w:r>
      <w:r>
        <w:rPr>
          <w:rFonts w:hint="eastAsia" w:ascii="Times New Roman" w:hAnsi="Times New Roman"/>
          <w:sz w:val="24"/>
        </w:rPr>
        <w:t>工程占地</w:t>
      </w:r>
      <w:r>
        <w:rPr>
          <w:rFonts w:ascii="Times New Roman" w:hAnsi="Times New Roman"/>
          <w:sz w:val="24"/>
        </w:rPr>
        <w:t>对区域生态环境的影响程度和范围，为本工程生产期和闭矿期生态恢复措施提供科学依据。</w:t>
      </w:r>
    </w:p>
    <w:p>
      <w:pPr>
        <w:snapToGrid w:val="0"/>
        <w:spacing w:line="360" w:lineRule="auto"/>
        <w:ind w:firstLine="480" w:firstLineChars="200"/>
        <w:rPr>
          <w:rFonts w:ascii="Times New Roman" w:hAnsi="Times New Roman"/>
          <w:sz w:val="24"/>
        </w:rPr>
      </w:pPr>
      <w:r>
        <w:rPr>
          <w:rFonts w:ascii="Times New Roman" w:hAnsi="Times New Roman"/>
          <w:sz w:val="24"/>
        </w:rPr>
        <w:t>3、评价</w:t>
      </w:r>
      <w:r>
        <w:rPr>
          <w:rFonts w:hint="eastAsia" w:ascii="Times New Roman" w:hAnsi="Times New Roman"/>
          <w:sz w:val="24"/>
        </w:rPr>
        <w:t>本</w:t>
      </w:r>
      <w:r>
        <w:rPr>
          <w:rFonts w:ascii="Times New Roman" w:hAnsi="Times New Roman"/>
          <w:sz w:val="24"/>
        </w:rPr>
        <w:t>项目的环保设施、生态保护措施的可行性与可靠性，并有针对性提出防治措施及对策，为项目的工程设计、环境管理和决策部门以及污染物总量控制提供科学依据。</w:t>
      </w:r>
    </w:p>
    <w:p>
      <w:pPr>
        <w:snapToGrid w:val="0"/>
        <w:spacing w:line="360" w:lineRule="auto"/>
        <w:ind w:firstLine="480" w:firstLineChars="200"/>
        <w:rPr>
          <w:rFonts w:ascii="Times New Roman" w:hAnsi="Times New Roman"/>
          <w:sz w:val="24"/>
        </w:rPr>
      </w:pPr>
      <w:r>
        <w:rPr>
          <w:rFonts w:ascii="Times New Roman" w:hAnsi="Times New Roman"/>
          <w:sz w:val="24"/>
        </w:rPr>
        <w:t>4、通过对本</w:t>
      </w:r>
      <w:r>
        <w:rPr>
          <w:rFonts w:hint="eastAsia" w:ascii="Times New Roman" w:hAnsi="Times New Roman"/>
          <w:sz w:val="24"/>
        </w:rPr>
        <w:t>项目</w:t>
      </w:r>
      <w:r>
        <w:rPr>
          <w:rFonts w:ascii="Times New Roman" w:hAnsi="Times New Roman"/>
          <w:sz w:val="24"/>
        </w:rPr>
        <w:t>生产运行过程中可能发生的风险事故进行分析、预测，并对拟采取的风险防范措施进行分析论证，以便提出更切实可行的风险防范措施，努力使发生风险事故的概率降到最低限度。</w:t>
      </w:r>
    </w:p>
    <w:p>
      <w:pPr>
        <w:snapToGrid w:val="0"/>
        <w:spacing w:line="360" w:lineRule="auto"/>
        <w:ind w:firstLine="480" w:firstLineChars="200"/>
        <w:rPr>
          <w:rFonts w:ascii="Times New Roman" w:hAnsi="Times New Roman"/>
          <w:sz w:val="24"/>
        </w:rPr>
      </w:pPr>
      <w:r>
        <w:rPr>
          <w:rFonts w:ascii="Times New Roman" w:hAnsi="Times New Roman"/>
          <w:sz w:val="24"/>
        </w:rPr>
        <w:t>通过上述工作，为项目的环保设计和建成投产后环境管理部门提供决策依据。</w:t>
      </w:r>
    </w:p>
    <w:p>
      <w:pPr>
        <w:pStyle w:val="4"/>
        <w:rPr>
          <w:rFonts w:ascii="Times New Roman" w:hAnsi="Times New Roman" w:eastAsia="宋体"/>
          <w:sz w:val="30"/>
          <w:szCs w:val="30"/>
        </w:rPr>
      </w:pPr>
      <w:bookmarkStart w:id="13" w:name="_Toc32355"/>
      <w:bookmarkStart w:id="14" w:name="_Toc484616275"/>
      <w:bookmarkStart w:id="15" w:name="_Toc24149"/>
      <w:bookmarkStart w:id="16" w:name="_Toc486349979"/>
      <w:bookmarkStart w:id="17" w:name="_Toc23631"/>
      <w:bookmarkStart w:id="18" w:name="_Toc31070"/>
      <w:r>
        <w:rPr>
          <w:rFonts w:ascii="Times New Roman" w:hAnsi="Times New Roman" w:eastAsia="宋体"/>
          <w:sz w:val="30"/>
          <w:szCs w:val="30"/>
        </w:rPr>
        <w:t>1.3评价原则</w:t>
      </w:r>
      <w:bookmarkEnd w:id="13"/>
      <w:bookmarkEnd w:id="14"/>
      <w:bookmarkEnd w:id="15"/>
      <w:bookmarkEnd w:id="16"/>
      <w:bookmarkEnd w:id="17"/>
      <w:bookmarkEnd w:id="18"/>
    </w:p>
    <w:p>
      <w:pPr>
        <w:spacing w:line="360" w:lineRule="auto"/>
        <w:ind w:firstLine="480" w:firstLineChars="200"/>
        <w:rPr>
          <w:rFonts w:ascii="Times New Roman" w:hAnsi="Times New Roman"/>
          <w:sz w:val="24"/>
        </w:rPr>
      </w:pPr>
      <w:r>
        <w:rPr>
          <w:rFonts w:ascii="Times New Roman" w:hAnsi="Times New Roman"/>
          <w:sz w:val="24"/>
        </w:rPr>
        <w:t>1、依法评价</w:t>
      </w:r>
    </w:p>
    <w:p>
      <w:pPr>
        <w:spacing w:line="360" w:lineRule="auto"/>
        <w:ind w:firstLine="480" w:firstLineChars="200"/>
        <w:rPr>
          <w:rFonts w:ascii="Times New Roman" w:hAnsi="Times New Roman"/>
          <w:sz w:val="24"/>
        </w:rPr>
      </w:pPr>
      <w:r>
        <w:rPr>
          <w:rFonts w:ascii="Times New Roman" w:hAnsi="Times New Roman"/>
          <w:sz w:val="24"/>
        </w:rPr>
        <w:t>贯彻执行我国环境保护相关法律法规、标准、政策和规划等，优化项目建设，服务环境管理。</w:t>
      </w:r>
    </w:p>
    <w:p>
      <w:pPr>
        <w:spacing w:line="360" w:lineRule="auto"/>
        <w:ind w:firstLine="480" w:firstLineChars="200"/>
        <w:outlineLvl w:val="0"/>
        <w:rPr>
          <w:rFonts w:ascii="Times New Roman" w:hAnsi="Times New Roman"/>
          <w:sz w:val="24"/>
        </w:rPr>
      </w:pPr>
      <w:r>
        <w:rPr>
          <w:rFonts w:ascii="Times New Roman" w:hAnsi="Times New Roman"/>
          <w:sz w:val="24"/>
        </w:rPr>
        <w:t>2、科学评价</w:t>
      </w:r>
    </w:p>
    <w:p>
      <w:pPr>
        <w:spacing w:line="360" w:lineRule="auto"/>
        <w:ind w:firstLine="480" w:firstLineChars="200"/>
        <w:rPr>
          <w:rFonts w:ascii="Times New Roman" w:hAnsi="Times New Roman"/>
          <w:sz w:val="24"/>
        </w:rPr>
      </w:pPr>
      <w:r>
        <w:rPr>
          <w:rFonts w:ascii="Times New Roman" w:hAnsi="Times New Roman"/>
          <w:sz w:val="24"/>
        </w:rPr>
        <w:t>规范环境影响评价方法，科学分析项目建设对环境质量的影响。</w:t>
      </w:r>
    </w:p>
    <w:p>
      <w:pPr>
        <w:spacing w:line="360" w:lineRule="auto"/>
        <w:ind w:firstLine="480" w:firstLineChars="200"/>
        <w:outlineLvl w:val="0"/>
        <w:rPr>
          <w:rFonts w:ascii="Times New Roman" w:hAnsi="Times New Roman"/>
          <w:sz w:val="24"/>
        </w:rPr>
      </w:pPr>
      <w:r>
        <w:rPr>
          <w:rFonts w:ascii="Times New Roman" w:hAnsi="Times New Roman"/>
          <w:sz w:val="24"/>
        </w:rPr>
        <w:t>3、突出重点</w:t>
      </w:r>
    </w:p>
    <w:p>
      <w:pPr>
        <w:spacing w:line="360" w:lineRule="auto"/>
        <w:ind w:firstLine="480" w:firstLineChars="200"/>
        <w:rPr>
          <w:rFonts w:ascii="Times New Roman" w:hAnsi="Times New Roman"/>
          <w:sz w:val="24"/>
        </w:rPr>
      </w:pPr>
      <w:r>
        <w:rPr>
          <w:rFonts w:ascii="Times New Roman" w:hAnsi="Times New Roman"/>
          <w:sz w:val="24"/>
        </w:rPr>
        <w:t>根据建设项目的工程内容及其特点，</w:t>
      </w:r>
      <w:r>
        <w:rPr>
          <w:rFonts w:hint="eastAsia" w:ascii="Times New Roman" w:hAnsi="Times New Roman"/>
          <w:sz w:val="24"/>
        </w:rPr>
        <w:t>明确</w:t>
      </w:r>
      <w:r>
        <w:rPr>
          <w:rFonts w:ascii="Times New Roman" w:hAnsi="Times New Roman"/>
          <w:sz w:val="24"/>
        </w:rPr>
        <w:t>与环境要素</w:t>
      </w:r>
      <w:r>
        <w:rPr>
          <w:rFonts w:hint="eastAsia" w:ascii="Times New Roman" w:hAnsi="Times New Roman"/>
          <w:sz w:val="24"/>
        </w:rPr>
        <w:t>间</w:t>
      </w:r>
      <w:r>
        <w:rPr>
          <w:rFonts w:ascii="Times New Roman" w:hAnsi="Times New Roman"/>
          <w:sz w:val="24"/>
        </w:rPr>
        <w:t>的作用效应关系，根据规划环境影响评价结论和审查意见，充分利用符合时效的数据资料及成果，对建设项目主要环境影响予以重点分析和评价。</w:t>
      </w:r>
    </w:p>
    <w:p>
      <w:pPr>
        <w:pStyle w:val="4"/>
        <w:rPr>
          <w:rFonts w:ascii="Times New Roman" w:hAnsi="Times New Roman" w:eastAsia="宋体"/>
          <w:sz w:val="30"/>
          <w:szCs w:val="30"/>
        </w:rPr>
      </w:pPr>
      <w:bookmarkStart w:id="19" w:name="_Toc5713"/>
      <w:bookmarkStart w:id="20" w:name="_Toc4221"/>
      <w:bookmarkStart w:id="21" w:name="_Toc23581"/>
      <w:r>
        <w:rPr>
          <w:rFonts w:ascii="Times New Roman" w:hAnsi="Times New Roman" w:eastAsia="宋体"/>
          <w:sz w:val="30"/>
          <w:szCs w:val="30"/>
        </w:rPr>
        <w:t>1.</w:t>
      </w:r>
      <w:r>
        <w:rPr>
          <w:rFonts w:hint="eastAsia" w:ascii="Times New Roman" w:hAnsi="Times New Roman" w:eastAsia="宋体"/>
          <w:sz w:val="30"/>
          <w:szCs w:val="30"/>
        </w:rPr>
        <w:t>4</w:t>
      </w:r>
      <w:r>
        <w:rPr>
          <w:rFonts w:ascii="Times New Roman" w:hAnsi="Times New Roman" w:eastAsia="宋体"/>
          <w:sz w:val="30"/>
          <w:szCs w:val="30"/>
        </w:rPr>
        <w:t>环境影响评价的工作过程</w:t>
      </w:r>
      <w:bookmarkEnd w:id="10"/>
      <w:bookmarkEnd w:id="11"/>
      <w:bookmarkEnd w:id="12"/>
      <w:bookmarkEnd w:id="19"/>
      <w:bookmarkEnd w:id="20"/>
      <w:bookmarkEnd w:id="21"/>
    </w:p>
    <w:p>
      <w:pPr>
        <w:spacing w:line="360" w:lineRule="auto"/>
        <w:ind w:firstLine="480" w:firstLineChars="200"/>
        <w:rPr>
          <w:rFonts w:ascii="Times New Roman" w:hAnsi="Times New Roman"/>
          <w:sz w:val="24"/>
          <w:szCs w:val="24"/>
        </w:rPr>
      </w:pPr>
      <w:r>
        <w:rPr>
          <w:rFonts w:ascii="Times New Roman" w:hAnsi="Times New Roman"/>
          <w:sz w:val="24"/>
          <w:szCs w:val="24"/>
        </w:rPr>
        <w:t>环境影响评价工作程序见图1-1。</w:t>
      </w:r>
    </w:p>
    <w:p>
      <w:pPr>
        <w:jc w:val="center"/>
        <w:rPr>
          <w:rFonts w:ascii="Times New Roman" w:hAnsi="Times New Roman"/>
        </w:rPr>
      </w:pPr>
      <w:r>
        <w:rPr>
          <w:rFonts w:ascii="Times New Roman" w:hAnsi="Times New Roman"/>
        </w:rPr>
        <w:drawing>
          <wp:inline distT="0" distB="0" distL="0" distR="0">
            <wp:extent cx="5495290" cy="5115560"/>
            <wp:effectExtent l="19050" t="0" r="0" b="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7" cstate="print"/>
                    <a:srcRect r="4395"/>
                    <a:stretch>
                      <a:fillRect/>
                    </a:stretch>
                  </pic:blipFill>
                  <pic:spPr>
                    <a:xfrm>
                      <a:off x="0" y="0"/>
                      <a:ext cx="5495290" cy="5115560"/>
                    </a:xfrm>
                    <a:prstGeom prst="rect">
                      <a:avLst/>
                    </a:prstGeom>
                    <a:noFill/>
                    <a:ln w="9525" cmpd="sng">
                      <a:noFill/>
                      <a:miter lim="800000"/>
                      <a:headEnd/>
                      <a:tailEnd/>
                    </a:ln>
                  </pic:spPr>
                </pic:pic>
              </a:graphicData>
            </a:graphic>
          </wp:inline>
        </w:drawing>
      </w:r>
    </w:p>
    <w:p>
      <w:pPr>
        <w:spacing w:line="360" w:lineRule="auto"/>
        <w:jc w:val="center"/>
        <w:rPr>
          <w:rFonts w:ascii="Times New Roman" w:hAnsi="Times New Roman"/>
          <w:b/>
          <w:sz w:val="24"/>
        </w:rPr>
      </w:pPr>
      <w:r>
        <w:rPr>
          <w:rFonts w:ascii="Times New Roman" w:hAnsi="Times New Roman"/>
          <w:b/>
          <w:sz w:val="24"/>
        </w:rPr>
        <w:t>图1-1 建设项目环境影响评价工作程序图</w:t>
      </w:r>
    </w:p>
    <w:p>
      <w:pPr>
        <w:pStyle w:val="4"/>
        <w:rPr>
          <w:rFonts w:ascii="Times New Roman" w:hAnsi="Times New Roman" w:eastAsia="宋体"/>
          <w:sz w:val="30"/>
          <w:szCs w:val="30"/>
        </w:rPr>
      </w:pPr>
      <w:bookmarkStart w:id="22" w:name="_Toc14325"/>
      <w:bookmarkStart w:id="23" w:name="_Toc7642"/>
      <w:bookmarkStart w:id="24" w:name="_Toc19300"/>
      <w:bookmarkStart w:id="25" w:name="_Toc500420355"/>
      <w:bookmarkStart w:id="26" w:name="_Toc493837107"/>
      <w:r>
        <w:rPr>
          <w:rFonts w:ascii="Times New Roman" w:hAnsi="Times New Roman" w:eastAsia="宋体"/>
          <w:sz w:val="30"/>
          <w:szCs w:val="30"/>
        </w:rPr>
        <w:t>1.</w:t>
      </w:r>
      <w:r>
        <w:rPr>
          <w:rFonts w:hint="eastAsia" w:ascii="Times New Roman" w:hAnsi="Times New Roman" w:eastAsia="宋体"/>
          <w:sz w:val="30"/>
          <w:szCs w:val="30"/>
        </w:rPr>
        <w:t>5分析判定相关情况</w:t>
      </w:r>
      <w:bookmarkEnd w:id="22"/>
      <w:bookmarkEnd w:id="23"/>
      <w:bookmarkEnd w:id="24"/>
    </w:p>
    <w:p>
      <w:pPr>
        <w:spacing w:line="360" w:lineRule="auto"/>
        <w:ind w:firstLine="480" w:firstLineChars="200"/>
        <w:rPr>
          <w:rFonts w:ascii="Times New Roman" w:hAnsi="Times New Roman"/>
          <w:sz w:val="24"/>
          <w:szCs w:val="24"/>
        </w:rPr>
      </w:pPr>
      <w:r>
        <w:rPr>
          <w:rFonts w:ascii="Times New Roman" w:hAnsi="Times New Roman"/>
          <w:sz w:val="24"/>
          <w:szCs w:val="24"/>
        </w:rPr>
        <w:t>1、项目分类管理类别</w:t>
      </w:r>
    </w:p>
    <w:p>
      <w:pPr>
        <w:spacing w:line="360" w:lineRule="auto"/>
        <w:ind w:firstLine="480" w:firstLineChars="200"/>
        <w:rPr>
          <w:rFonts w:ascii="Times New Roman" w:hAnsi="Times New Roman"/>
          <w:sz w:val="24"/>
          <w:szCs w:val="24"/>
        </w:rPr>
      </w:pPr>
      <w:r>
        <w:rPr>
          <w:rFonts w:ascii="Times New Roman" w:hAnsi="Times New Roman"/>
          <w:sz w:val="24"/>
          <w:szCs w:val="24"/>
        </w:rPr>
        <w:t>根据环境保护部第44号令《建设项目环境影响评价分类管理名录》（2017.9.1），本项目属于“</w:t>
      </w:r>
      <w:r>
        <w:rPr>
          <w:rFonts w:hint="eastAsia" w:ascii="Times New Roman" w:hAnsi="Times New Roman"/>
          <w:sz w:val="24"/>
          <w:szCs w:val="24"/>
        </w:rPr>
        <w:t>四十三-黑色金属矿采选</w:t>
      </w:r>
      <w:r>
        <w:rPr>
          <w:rFonts w:ascii="Times New Roman" w:hAnsi="Times New Roman"/>
          <w:sz w:val="24"/>
          <w:szCs w:val="24"/>
        </w:rPr>
        <w:t>”类别，需编制环境影响报告书。</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2、相关政策的相符性分析</w:t>
      </w:r>
    </w:p>
    <w:p>
      <w:pPr>
        <w:spacing w:line="360" w:lineRule="auto"/>
        <w:ind w:firstLine="480" w:firstLineChars="200"/>
        <w:rPr>
          <w:rFonts w:ascii="Times New Roman" w:hAnsi="Times New Roman"/>
          <w:sz w:val="24"/>
          <w:szCs w:val="24"/>
        </w:rPr>
      </w:pPr>
      <w:r>
        <w:rPr>
          <w:rFonts w:ascii="Times New Roman" w:hAnsi="Times New Roman"/>
          <w:sz w:val="24"/>
          <w:szCs w:val="24"/>
        </w:rPr>
        <w:t>根据《产业结构调整指导目录》（2011年本）（2013年修正），本项目不属于限制类及淘汰类建设项目，因此符合国家相关产业政策要求。</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3、选址合理性初筛</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①</w:t>
      </w:r>
      <w:r>
        <w:rPr>
          <w:rFonts w:ascii="Times New Roman" w:hAnsi="Times New Roman"/>
          <w:sz w:val="24"/>
          <w:szCs w:val="24"/>
        </w:rPr>
        <w:t>《中华人民共和国矿产资源法》第二十条规定：“非经国务院授权的有关主管部门同意，不得在下列地区开采矿产资源：①港口、机场、国防工程设施圈定地区以内；②重要工业区、大型水利工程设施、城镇市政工程设施附近一定距离以内；③铁路、重要公路两侧一定距离以内；④重要河流、堤坝两侧一定距离以内；⑤国家划定的自然保护区、重要风景区，国家重点保护的不能移动的历史文物和名胜古迹所在地；⑥国家规定不得开采矿产资源的其他地区。”</w:t>
      </w:r>
    </w:p>
    <w:p>
      <w:pPr>
        <w:pStyle w:val="2"/>
        <w:spacing w:after="0" w:line="360" w:lineRule="auto"/>
        <w:ind w:firstLine="480" w:firstLineChars="200"/>
        <w:rPr>
          <w:rFonts w:ascii="Times New Roman" w:hAnsi="Times New Roman"/>
          <w:sz w:val="24"/>
          <w:szCs w:val="24"/>
        </w:rPr>
      </w:pPr>
      <w:r>
        <w:rPr>
          <w:rFonts w:ascii="Times New Roman" w:hAnsi="Times New Roman"/>
          <w:sz w:val="24"/>
          <w:szCs w:val="24"/>
        </w:rPr>
        <w:t>本项目距离西北岔河生活饮用水源保护区二级保护区边界5.6km，距离较远，不在生活饮用水源保护区范围之内，详见附图</w:t>
      </w:r>
      <w:r>
        <w:rPr>
          <w:rFonts w:hint="eastAsia" w:ascii="Times New Roman" w:hAnsi="Times New Roman"/>
          <w:sz w:val="24"/>
          <w:szCs w:val="24"/>
        </w:rPr>
        <w:t>17</w:t>
      </w:r>
      <w:r>
        <w:rPr>
          <w:rFonts w:ascii="Times New Roman" w:hAnsi="Times New Roman"/>
          <w:sz w:val="24"/>
          <w:szCs w:val="24"/>
        </w:rPr>
        <w:t>。</w:t>
      </w:r>
    </w:p>
    <w:p>
      <w:pPr>
        <w:spacing w:line="360" w:lineRule="auto"/>
        <w:ind w:firstLine="480" w:firstLineChars="200"/>
        <w:rPr>
          <w:rFonts w:ascii="Times New Roman" w:hAnsi="Times New Roman"/>
          <w:sz w:val="24"/>
          <w:szCs w:val="24"/>
        </w:rPr>
      </w:pPr>
      <w:r>
        <w:rPr>
          <w:rFonts w:ascii="Times New Roman" w:hAnsi="Times New Roman"/>
          <w:sz w:val="24"/>
          <w:szCs w:val="24"/>
        </w:rPr>
        <w:t>本项目所在位置不属于上述列出的《中华人民共和国矿产资源法》中规定的禁止开采矿产资源的区域，符合相关法律法规要求。因此从环保角度分析，本项目选址合理。</w:t>
      </w:r>
      <w:bookmarkStart w:id="27" w:name="_Toc490207376"/>
      <w:bookmarkStart w:id="28" w:name="_Toc490206722"/>
      <w:bookmarkStart w:id="29" w:name="_Toc490206938"/>
      <w:bookmarkStart w:id="30" w:name="_Toc490152388"/>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②根据《尾矿库设计规范》中第2.0.1条：尾矿库库址的选择应经多方案技术经济比较综合考虑，并遵守下列原则： </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不宜位于工业企业、大型水源地、水产基地和大居民区的上游；</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二、不宜位于大居民区及厂区最大频率风向的上风侧。</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三、不迁或少迁村庄； </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四、不应位于全国和省重点保护名胜古迹上游；</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五、不宜位于有开采价值的矿床上面； </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六、汇水面积小，有足够库容和初、终期库长；</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七、筑坝工程最小，生产管理方便；</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八、工程、水文地质条件好；</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九、尾矿输送距离短，能自流或扬程小</w:t>
      </w:r>
    </w:p>
    <w:p>
      <w:pPr>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本项目符合上述原则，选址合理。</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4、规划相符性初筛</w:t>
      </w:r>
      <w:bookmarkEnd w:id="27"/>
      <w:bookmarkEnd w:id="28"/>
      <w:bookmarkEnd w:id="29"/>
      <w:bookmarkEnd w:id="30"/>
    </w:p>
    <w:p>
      <w:pPr>
        <w:spacing w:line="360" w:lineRule="auto"/>
        <w:ind w:firstLine="480" w:firstLineChars="200"/>
        <w:rPr>
          <w:rFonts w:ascii="Times New Roman" w:hAnsi="Times New Roman"/>
          <w:sz w:val="24"/>
          <w:szCs w:val="24"/>
        </w:rPr>
      </w:pPr>
      <w:r>
        <w:rPr>
          <w:rFonts w:ascii="Times New Roman" w:hAnsi="Times New Roman"/>
          <w:sz w:val="24"/>
          <w:szCs w:val="24"/>
        </w:rPr>
        <w:t>根据《吉林省矿产资源总体规划》（2016-2020）的有关规定，</w:t>
      </w:r>
      <w:r>
        <w:rPr>
          <w:rFonts w:ascii="Times New Roman" w:hAnsi="Times New Roman"/>
          <w:bCs/>
          <w:sz w:val="24"/>
          <w:szCs w:val="24"/>
        </w:rPr>
        <w:t>截至2015年</w:t>
      </w:r>
      <w:r>
        <w:rPr>
          <w:rFonts w:ascii="Times New Roman" w:hAnsi="Times New Roman"/>
          <w:sz w:val="24"/>
          <w:szCs w:val="24"/>
        </w:rPr>
        <w:t>底，全省已发现各类矿产185种（以亚矿种为基本统计单位），其中查明资源储量的矿产136种，列入吉林省矿产资源储量数据库的矿产122种，已开发利用的矿产96种。我省优势矿产油页岩、油砂、硅灰石、硅藻土、火山渣、陶粒页岩、伊利石等查明资源储量居全国首位。目前我省磁铁矿属第储量不足、不能满足省内需求的矿产。规划指出在重要矿产和我省优势矿产资源分布相对集中、找矿潜力大、开发利用基础条件优越的地区，构建与我省勘查开发总体布局相协调的8个资源产业基地，促进矿业开发的规模效应和聚集效应，充分发挥优势矿产资源对地域经济的支撑作用。其中磁铁矿资源产业基地拟加大老矿山深部及外围找矿力度；支持共伴生矿产综合利用；巩固优势矿产大型矿山企业的主导地位，带动其它矿产和中小型矿山企业共同发展。本项目即为铁矿的开发利用，因此，其建设符合该规划要求。</w:t>
      </w:r>
    </w:p>
    <w:p>
      <w:pPr>
        <w:spacing w:line="360" w:lineRule="auto"/>
        <w:ind w:firstLine="480" w:firstLineChars="200"/>
        <w:rPr>
          <w:rFonts w:ascii="Times New Roman" w:hAnsi="Times New Roman"/>
          <w:sz w:val="24"/>
          <w:u w:val="single"/>
        </w:rPr>
      </w:pPr>
      <w:r>
        <w:rPr>
          <w:rFonts w:ascii="Times New Roman" w:hAnsi="Times New Roman"/>
          <w:color w:val="000000"/>
          <w:sz w:val="24"/>
          <w:szCs w:val="24"/>
          <w:u w:val="single"/>
        </w:rPr>
        <w:t>5、</w:t>
      </w:r>
      <w:r>
        <w:rPr>
          <w:rFonts w:ascii="Times New Roman" w:hAnsi="Times New Roman"/>
          <w:sz w:val="24"/>
          <w:u w:val="single"/>
        </w:rPr>
        <w:t>根据《吉林省主体功能区划》，本项目所在区域白山市属于重点生态功能区，为限制开发区域，其发展方向和开发原则为：以保护和修复生态环境，提供生态产品为首要任务，因地制宜发展不影响主体功能定位的适宜产业，引导超载人口逐步有序转移。推进森林生态资源保护、森林资源培育，湿地保护，治理水土流失，维护或重建森林等生态系统。严格保护具有水源涵养功能的自然植被，调减森林采伐量，实施森林分 类经营，禁止无序开采、毁林开荒等行为。加强松花江、鸭绿江、图们江源头及上游地区的小流域治理和植树造林，减少面源污染。拓宽农民增收渠道，解决农民长远生计。转变传统畜牧生产方式，实行禁牧休牧，推行舍饲圈养，以草定畜，严格控制载畜量。加大退牧还草力度，恢复草原植被，严格保护沙区林草植被，禁止滥开垦、滥樵采、滥放牧，保护沙区湿地，禁止发展高耗水工业。对主要沙尘源区、沙尘暴频发区实行封禁管理。</w:t>
      </w:r>
    </w:p>
    <w:p>
      <w:pPr>
        <w:spacing w:line="360" w:lineRule="auto"/>
        <w:ind w:firstLine="480" w:firstLineChars="200"/>
        <w:rPr>
          <w:rFonts w:ascii="Times New Roman" w:hAnsi="Times New Roman"/>
          <w:sz w:val="24"/>
          <w:u w:val="single"/>
        </w:rPr>
      </w:pPr>
      <w:r>
        <w:rPr>
          <w:rFonts w:ascii="Times New Roman" w:hAnsi="Times New Roman"/>
          <w:sz w:val="24"/>
          <w:u w:val="single"/>
        </w:rPr>
        <w:t>坚持生态主导、保护优先，把保护与修复林区、草地、荒漠生态系统作为首要任务，严格控制森林资源采伐强度和过度放牧，逐步停止主伐，加强森林草地经营，强化森林草地 管护，提升森林草地质量。对各类开发活动进行严格管制，尽可能减少对自然生态系统的干扰，不得损害生态系统的稳定和完整性。开发矿产资源、水生生物资源、发展适宜产业和建设基础设施，都要控制在尽可能小的空间范围之内，控制新增公路、铁路建设规模，必须新建的，应事先规划好动物迁徙通道。在有 条件的地区之间，要通过水系、绿带等构建生态廊道，避免形成 “生态孤岛”。严格落实水土保持方案报告制度，有效控制生产建设中造成新的人为水土流失。实行更加严格的行业准入环境标准，严把项目准入关。在不损害生态系统功能的前提下，因地制宜地适度发展旅游、农林牧产品生产和加工、休闲农业等产业，积极发展服务业，根据 不同地区的情况，保持一定的经济增长速度和财政自给能力。加强县城和中心镇的道路、供排水、垃圾污水处理等基础设施建设。在条件适宜的地区，积极推广沼气、风能、太阳能、生物质能、地热能等清洁能源，努力解决农村特别是山区、草原地区农村的能源需求。在有条件的地区建设一批节能环保的生态型社区。引导一部分人口向城市化地区、区域内的县城和中心镇 转移，健全公共服务体系，改善教育、医疗、文化等设施条件，提高公共服务供给能力和水平。</w:t>
      </w:r>
    </w:p>
    <w:p>
      <w:pPr>
        <w:spacing w:line="360" w:lineRule="auto"/>
        <w:ind w:firstLine="480" w:firstLineChars="200"/>
        <w:rPr>
          <w:rFonts w:ascii="Times New Roman" w:hAnsi="Times New Roman"/>
          <w:sz w:val="24"/>
          <w:u w:val="single"/>
        </w:rPr>
      </w:pPr>
      <w:r>
        <w:rPr>
          <w:rFonts w:ascii="Times New Roman" w:hAnsi="Times New Roman"/>
          <w:sz w:val="24"/>
          <w:u w:val="single"/>
        </w:rPr>
        <w:t>本项目位于白山市江源区</w:t>
      </w:r>
      <w:r>
        <w:rPr>
          <w:rFonts w:hint="eastAsia" w:ascii="Times New Roman" w:hAnsi="Times New Roman"/>
          <w:snapToGrid w:val="0"/>
          <w:kern w:val="0"/>
          <w:sz w:val="24"/>
          <w:u w:val="single"/>
        </w:rPr>
        <w:t>七岔村</w:t>
      </w:r>
      <w:r>
        <w:rPr>
          <w:rFonts w:ascii="Times New Roman" w:hAnsi="Times New Roman"/>
          <w:sz w:val="24"/>
          <w:u w:val="single"/>
        </w:rPr>
        <w:t>，项目占地为</w:t>
      </w:r>
      <w:r>
        <w:rPr>
          <w:rFonts w:hint="eastAsia" w:ascii="Times New Roman" w:hAnsi="Times New Roman"/>
          <w:sz w:val="24"/>
          <w:u w:val="single"/>
        </w:rPr>
        <w:t>建设</w:t>
      </w:r>
      <w:r>
        <w:rPr>
          <w:rFonts w:ascii="Times New Roman" w:hAnsi="Times New Roman"/>
          <w:sz w:val="24"/>
          <w:u w:val="single"/>
        </w:rPr>
        <w:t>用地，因此本项目不会对重点生态功能区的主体功能区划有影响。</w:t>
      </w:r>
    </w:p>
    <w:p>
      <w:pPr>
        <w:pStyle w:val="2"/>
        <w:spacing w:line="360" w:lineRule="auto"/>
        <w:ind w:firstLine="480" w:firstLineChars="200"/>
        <w:rPr>
          <w:rFonts w:ascii="Times New Roman" w:hAnsi="Times New Roman"/>
          <w:sz w:val="24"/>
          <w:u w:val="single"/>
        </w:rPr>
      </w:pPr>
      <w:r>
        <w:rPr>
          <w:rFonts w:hint="eastAsia" w:ascii="Times New Roman" w:hAnsi="Times New Roman"/>
          <w:sz w:val="24"/>
          <w:u w:val="single"/>
        </w:rPr>
        <w:t>6、土地利用规划相符性</w:t>
      </w:r>
    </w:p>
    <w:p>
      <w:pPr>
        <w:pStyle w:val="2"/>
        <w:spacing w:line="360" w:lineRule="auto"/>
        <w:ind w:firstLine="480" w:firstLineChars="200"/>
        <w:rPr>
          <w:rFonts w:ascii="Times New Roman" w:hAnsi="Times New Roman"/>
          <w:sz w:val="24"/>
          <w:u w:val="single"/>
        </w:rPr>
      </w:pPr>
      <w:r>
        <w:rPr>
          <w:rFonts w:hint="eastAsia" w:ascii="Times New Roman" w:hAnsi="Times New Roman"/>
          <w:sz w:val="24"/>
          <w:u w:val="single"/>
        </w:rPr>
        <w:t>本项目占地性质为建设用地，符合当地土地利用规划。</w:t>
      </w:r>
    </w:p>
    <w:p>
      <w:pPr>
        <w:pStyle w:val="4"/>
        <w:rPr>
          <w:rFonts w:ascii="Times New Roman" w:hAnsi="Times New Roman" w:eastAsia="宋体"/>
          <w:sz w:val="30"/>
          <w:szCs w:val="30"/>
        </w:rPr>
      </w:pPr>
      <w:bookmarkStart w:id="31" w:name="_Toc22461"/>
      <w:bookmarkStart w:id="32" w:name="_Toc3969"/>
      <w:bookmarkStart w:id="33" w:name="_Toc13402"/>
      <w:r>
        <w:rPr>
          <w:rFonts w:hint="eastAsia" w:ascii="Times New Roman" w:hAnsi="Times New Roman" w:eastAsia="宋体"/>
          <w:sz w:val="30"/>
          <w:szCs w:val="30"/>
        </w:rPr>
        <w:t>1.6</w:t>
      </w:r>
      <w:r>
        <w:rPr>
          <w:rFonts w:ascii="Times New Roman" w:hAnsi="Times New Roman" w:eastAsia="宋体"/>
          <w:sz w:val="30"/>
          <w:szCs w:val="30"/>
        </w:rPr>
        <w:t>评价重点</w:t>
      </w:r>
      <w:bookmarkEnd w:id="25"/>
      <w:bookmarkEnd w:id="26"/>
      <w:bookmarkEnd w:id="31"/>
      <w:bookmarkEnd w:id="32"/>
      <w:bookmarkEnd w:id="33"/>
    </w:p>
    <w:p>
      <w:pPr>
        <w:spacing w:line="360" w:lineRule="auto"/>
        <w:ind w:firstLine="480" w:firstLineChars="200"/>
        <w:rPr>
          <w:rFonts w:ascii="Times New Roman" w:hAnsi="Times New Roman"/>
          <w:sz w:val="24"/>
          <w:szCs w:val="24"/>
        </w:rPr>
      </w:pPr>
      <w:r>
        <w:rPr>
          <w:rFonts w:ascii="Times New Roman" w:hAnsi="Times New Roman"/>
          <w:sz w:val="24"/>
          <w:szCs w:val="24"/>
        </w:rPr>
        <w:t>根据工程特点和周围环境特征，确定本次评价工作的重点是在工程分析的基础上，</w:t>
      </w:r>
      <w:r>
        <w:rPr>
          <w:rFonts w:hint="eastAsia" w:ascii="Times New Roman" w:hAnsi="Times New Roman"/>
          <w:sz w:val="24"/>
          <w:szCs w:val="24"/>
        </w:rPr>
        <w:t>本项目</w:t>
      </w:r>
      <w:r>
        <w:rPr>
          <w:rFonts w:ascii="Times New Roman" w:hAnsi="Times New Roman"/>
          <w:sz w:val="24"/>
          <w:szCs w:val="24"/>
        </w:rPr>
        <w:t>对</w:t>
      </w:r>
      <w:r>
        <w:rPr>
          <w:rFonts w:hint="eastAsia" w:ascii="Times New Roman" w:hAnsi="Times New Roman"/>
          <w:sz w:val="24"/>
          <w:szCs w:val="24"/>
        </w:rPr>
        <w:t>大气、地表水、地下水及生态</w:t>
      </w:r>
      <w:r>
        <w:rPr>
          <w:rFonts w:ascii="Times New Roman" w:hAnsi="Times New Roman"/>
          <w:sz w:val="24"/>
          <w:szCs w:val="24"/>
        </w:rPr>
        <w:t>环境影响评价及</w:t>
      </w:r>
      <w:r>
        <w:rPr>
          <w:rFonts w:hint="eastAsia" w:ascii="Times New Roman" w:hAnsi="Times New Roman"/>
          <w:sz w:val="24"/>
          <w:szCs w:val="24"/>
        </w:rPr>
        <w:t>建设</w:t>
      </w:r>
      <w:r>
        <w:rPr>
          <w:rFonts w:ascii="Times New Roman" w:hAnsi="Times New Roman"/>
          <w:sz w:val="24"/>
          <w:szCs w:val="24"/>
        </w:rPr>
        <w:t>可行性和影响分析作为重点，并提出具有可操作性的污染防治对策。</w:t>
      </w:r>
    </w:p>
    <w:p>
      <w:pPr>
        <w:pStyle w:val="4"/>
        <w:rPr>
          <w:rFonts w:ascii="Times New Roman" w:hAnsi="Times New Roman" w:eastAsia="宋体"/>
          <w:sz w:val="30"/>
          <w:szCs w:val="30"/>
        </w:rPr>
      </w:pPr>
      <w:bookmarkStart w:id="34" w:name="_Toc500420356"/>
      <w:bookmarkStart w:id="35" w:name="_Toc493837108"/>
      <w:bookmarkStart w:id="36" w:name="_Toc20281"/>
      <w:bookmarkStart w:id="37" w:name="_Toc30599"/>
      <w:bookmarkStart w:id="38" w:name="_Toc9345"/>
      <w:r>
        <w:rPr>
          <w:rFonts w:ascii="Times New Roman" w:hAnsi="Times New Roman" w:eastAsia="宋体"/>
          <w:sz w:val="30"/>
          <w:szCs w:val="30"/>
        </w:rPr>
        <w:t>1.</w:t>
      </w:r>
      <w:r>
        <w:rPr>
          <w:rFonts w:hint="eastAsia" w:ascii="Times New Roman" w:hAnsi="Times New Roman" w:eastAsia="宋体"/>
          <w:sz w:val="30"/>
          <w:szCs w:val="30"/>
        </w:rPr>
        <w:t>7</w:t>
      </w:r>
      <w:r>
        <w:rPr>
          <w:rFonts w:ascii="Times New Roman" w:hAnsi="Times New Roman" w:eastAsia="宋体"/>
          <w:sz w:val="30"/>
          <w:szCs w:val="30"/>
        </w:rPr>
        <w:t>关注的主要环境问题及环境影响</w:t>
      </w:r>
      <w:bookmarkEnd w:id="34"/>
      <w:bookmarkEnd w:id="35"/>
      <w:bookmarkEnd w:id="36"/>
      <w:bookmarkEnd w:id="37"/>
      <w:bookmarkEnd w:id="38"/>
    </w:p>
    <w:p>
      <w:pPr>
        <w:spacing w:line="360" w:lineRule="auto"/>
        <w:ind w:firstLine="480" w:firstLineChars="200"/>
        <w:rPr>
          <w:rFonts w:ascii="Times New Roman" w:hAnsi="Times New Roman"/>
          <w:sz w:val="24"/>
          <w:szCs w:val="24"/>
        </w:rPr>
      </w:pPr>
      <w:bookmarkStart w:id="39" w:name="_Toc493837109"/>
      <w:bookmarkStart w:id="40" w:name="_Toc476642193"/>
      <w:r>
        <w:rPr>
          <w:rFonts w:ascii="Times New Roman" w:hAnsi="Times New Roman"/>
          <w:sz w:val="24"/>
          <w:szCs w:val="24"/>
        </w:rPr>
        <w:t>根据工程特点及工程所在区域的环境特征分析，工程在施工期、生产期和闭矿期影响周围环境的因素主要有环境空气、地表水、地下水、声环境、固体废物、事故风险等。</w:t>
      </w:r>
    </w:p>
    <w:p>
      <w:pPr>
        <w:spacing w:line="360" w:lineRule="auto"/>
        <w:ind w:firstLine="480" w:firstLineChars="200"/>
        <w:rPr>
          <w:rFonts w:ascii="Times New Roman" w:hAnsi="Times New Roman"/>
          <w:sz w:val="24"/>
          <w:szCs w:val="24"/>
        </w:rPr>
      </w:pPr>
      <w:r>
        <w:rPr>
          <w:rFonts w:ascii="Times New Roman" w:hAnsi="Times New Roman"/>
          <w:sz w:val="24"/>
          <w:szCs w:val="24"/>
        </w:rPr>
        <w:t>1、施工期</w:t>
      </w:r>
      <w:r>
        <w:rPr>
          <w:rFonts w:hint="eastAsia" w:ascii="Times New Roman" w:hAnsi="Times New Roman"/>
          <w:sz w:val="24"/>
          <w:szCs w:val="24"/>
        </w:rPr>
        <w:t>对环境的</w:t>
      </w:r>
      <w:r>
        <w:rPr>
          <w:rFonts w:ascii="Times New Roman" w:hAnsi="Times New Roman"/>
          <w:sz w:val="24"/>
          <w:szCs w:val="24"/>
        </w:rPr>
        <w:t>影响主要表现为：</w:t>
      </w:r>
      <w:r>
        <w:rPr>
          <w:rFonts w:hint="eastAsia" w:ascii="Times New Roman" w:hAnsi="Times New Roman"/>
          <w:sz w:val="24"/>
          <w:szCs w:val="24"/>
        </w:rPr>
        <w:t>土建</w:t>
      </w:r>
      <w:r>
        <w:rPr>
          <w:rFonts w:ascii="Times New Roman" w:hAnsi="Times New Roman"/>
          <w:sz w:val="24"/>
          <w:szCs w:val="24"/>
        </w:rPr>
        <w:t>施工等</w:t>
      </w:r>
      <w:r>
        <w:rPr>
          <w:rFonts w:hint="eastAsia" w:ascii="Times New Roman" w:hAnsi="Times New Roman"/>
          <w:sz w:val="24"/>
          <w:szCs w:val="24"/>
        </w:rPr>
        <w:t>过程</w:t>
      </w:r>
      <w:r>
        <w:rPr>
          <w:rFonts w:ascii="Times New Roman" w:hAnsi="Times New Roman"/>
          <w:sz w:val="24"/>
          <w:szCs w:val="24"/>
        </w:rPr>
        <w:t>产生的施工扬尘、施工机械噪声、施工废水等对环境的影响，以及施工</w:t>
      </w:r>
      <w:r>
        <w:rPr>
          <w:rFonts w:hint="eastAsia" w:ascii="Times New Roman" w:hAnsi="Times New Roman"/>
          <w:sz w:val="24"/>
          <w:szCs w:val="24"/>
        </w:rPr>
        <w:t>扬尘</w:t>
      </w:r>
      <w:r>
        <w:rPr>
          <w:rFonts w:ascii="Times New Roman" w:hAnsi="Times New Roman"/>
          <w:sz w:val="24"/>
          <w:szCs w:val="24"/>
        </w:rPr>
        <w:t>对植被的</w:t>
      </w:r>
      <w:r>
        <w:rPr>
          <w:rFonts w:hint="eastAsia" w:ascii="Times New Roman" w:hAnsi="Times New Roman"/>
          <w:sz w:val="24"/>
          <w:szCs w:val="24"/>
        </w:rPr>
        <w:t>不利</w:t>
      </w:r>
      <w:r>
        <w:rPr>
          <w:rFonts w:ascii="Times New Roman" w:hAnsi="Times New Roman"/>
          <w:sz w:val="24"/>
          <w:szCs w:val="24"/>
        </w:rPr>
        <w:t>影响等。</w:t>
      </w:r>
    </w:p>
    <w:p>
      <w:pPr>
        <w:spacing w:line="360" w:lineRule="auto"/>
        <w:ind w:firstLine="480" w:firstLineChars="200"/>
        <w:rPr>
          <w:rFonts w:ascii="Times New Roman" w:hAnsi="Times New Roman"/>
          <w:sz w:val="24"/>
          <w:szCs w:val="24"/>
        </w:rPr>
      </w:pPr>
      <w:r>
        <w:rPr>
          <w:rFonts w:ascii="Times New Roman" w:hAnsi="Times New Roman"/>
          <w:sz w:val="24"/>
          <w:szCs w:val="24"/>
        </w:rPr>
        <w:t>2、生产期对环境的影响主要表现为：</w:t>
      </w:r>
      <w:r>
        <w:rPr>
          <w:rFonts w:hint="eastAsia" w:ascii="Times New Roman" w:hAnsi="Times New Roman"/>
          <w:sz w:val="24"/>
          <w:szCs w:val="24"/>
        </w:rPr>
        <w:t>尾矿库</w:t>
      </w:r>
      <w:r>
        <w:rPr>
          <w:rFonts w:ascii="Times New Roman" w:hAnsi="Times New Roman"/>
          <w:sz w:val="24"/>
          <w:szCs w:val="24"/>
        </w:rPr>
        <w:t>扬尘</w:t>
      </w:r>
      <w:r>
        <w:rPr>
          <w:rFonts w:hint="eastAsia" w:ascii="Times New Roman" w:hAnsi="Times New Roman"/>
          <w:sz w:val="24"/>
          <w:szCs w:val="24"/>
        </w:rPr>
        <w:t>、胶带运输尾矿渣产生无组织粉尘</w:t>
      </w:r>
      <w:r>
        <w:rPr>
          <w:rFonts w:ascii="Times New Roman" w:hAnsi="Times New Roman"/>
          <w:sz w:val="24"/>
          <w:szCs w:val="24"/>
        </w:rPr>
        <w:t>对</w:t>
      </w:r>
      <w:r>
        <w:rPr>
          <w:rFonts w:hint="eastAsia" w:ascii="Times New Roman" w:hAnsi="Times New Roman"/>
          <w:sz w:val="24"/>
          <w:szCs w:val="24"/>
        </w:rPr>
        <w:t>大气</w:t>
      </w:r>
      <w:r>
        <w:rPr>
          <w:rFonts w:ascii="Times New Roman" w:hAnsi="Times New Roman"/>
          <w:sz w:val="24"/>
          <w:szCs w:val="24"/>
        </w:rPr>
        <w:t>环境的影响。</w:t>
      </w:r>
    </w:p>
    <w:p>
      <w:pPr>
        <w:spacing w:line="360" w:lineRule="auto"/>
        <w:ind w:firstLine="480" w:firstLineChars="200"/>
        <w:rPr>
          <w:rFonts w:ascii="Times New Roman" w:hAnsi="Times New Roman"/>
          <w:sz w:val="24"/>
          <w:szCs w:val="24"/>
        </w:rPr>
      </w:pPr>
      <w:r>
        <w:rPr>
          <w:rFonts w:ascii="Times New Roman" w:hAnsi="Times New Roman"/>
          <w:sz w:val="24"/>
          <w:szCs w:val="24"/>
        </w:rPr>
        <w:t>在非正常生产时，尾矿库渗漏对地下水的影响、尾矿库溃坝、</w:t>
      </w:r>
      <w:r>
        <w:rPr>
          <w:rFonts w:hint="eastAsia" w:ascii="Times New Roman" w:hAnsi="Times New Roman"/>
          <w:sz w:val="24"/>
          <w:szCs w:val="24"/>
        </w:rPr>
        <w:t>回</w:t>
      </w:r>
      <w:r>
        <w:rPr>
          <w:rFonts w:ascii="Times New Roman" w:hAnsi="Times New Roman"/>
          <w:sz w:val="24"/>
          <w:szCs w:val="24"/>
        </w:rPr>
        <w:t>水管线泄漏对地表水环境的影响等。</w:t>
      </w:r>
    </w:p>
    <w:p>
      <w:pPr>
        <w:spacing w:line="360" w:lineRule="auto"/>
        <w:ind w:firstLine="480" w:firstLineChars="200"/>
        <w:rPr>
          <w:rFonts w:ascii="Times New Roman" w:hAnsi="Times New Roman"/>
          <w:sz w:val="24"/>
          <w:szCs w:val="24"/>
        </w:rPr>
      </w:pPr>
      <w:r>
        <w:rPr>
          <w:rFonts w:ascii="Times New Roman" w:hAnsi="Times New Roman"/>
          <w:sz w:val="24"/>
          <w:szCs w:val="24"/>
        </w:rPr>
        <w:t>3、闭矿期对环境的影响将会比生产期明显减弱，不利影响主要表现为尾矿库</w:t>
      </w:r>
      <w:r>
        <w:rPr>
          <w:rFonts w:hint="eastAsia" w:ascii="Times New Roman" w:hAnsi="Times New Roman"/>
          <w:sz w:val="24"/>
          <w:szCs w:val="24"/>
        </w:rPr>
        <w:t>及选矿厂</w:t>
      </w:r>
      <w:r>
        <w:rPr>
          <w:rFonts w:ascii="Times New Roman" w:hAnsi="Times New Roman"/>
          <w:sz w:val="24"/>
          <w:szCs w:val="24"/>
        </w:rPr>
        <w:t>在植被恢复前对土壤侵蚀的影响，以及扬尘对</w:t>
      </w:r>
      <w:r>
        <w:rPr>
          <w:rFonts w:hint="eastAsia" w:ascii="Times New Roman" w:hAnsi="Times New Roman"/>
          <w:sz w:val="24"/>
          <w:szCs w:val="24"/>
        </w:rPr>
        <w:t>大气及生态</w:t>
      </w:r>
      <w:r>
        <w:rPr>
          <w:rFonts w:ascii="Times New Roman" w:hAnsi="Times New Roman"/>
          <w:sz w:val="24"/>
          <w:szCs w:val="24"/>
        </w:rPr>
        <w:t>环境的影响等。</w:t>
      </w:r>
    </w:p>
    <w:p>
      <w:pPr>
        <w:pStyle w:val="4"/>
        <w:rPr>
          <w:rFonts w:ascii="Times New Roman" w:hAnsi="Times New Roman" w:eastAsia="宋体"/>
          <w:sz w:val="30"/>
          <w:szCs w:val="30"/>
        </w:rPr>
      </w:pPr>
      <w:bookmarkStart w:id="41" w:name="_Toc500420357"/>
      <w:bookmarkStart w:id="42" w:name="_Toc30078"/>
      <w:bookmarkStart w:id="43" w:name="_Toc10743"/>
      <w:bookmarkStart w:id="44" w:name="_Toc9379"/>
      <w:r>
        <w:rPr>
          <w:rFonts w:ascii="Times New Roman" w:hAnsi="Times New Roman" w:eastAsia="宋体"/>
          <w:sz w:val="30"/>
          <w:szCs w:val="30"/>
        </w:rPr>
        <w:t>1.</w:t>
      </w:r>
      <w:r>
        <w:rPr>
          <w:rFonts w:hint="eastAsia" w:ascii="Times New Roman" w:hAnsi="Times New Roman" w:eastAsia="宋体"/>
          <w:sz w:val="30"/>
          <w:szCs w:val="30"/>
        </w:rPr>
        <w:t>8</w:t>
      </w:r>
      <w:r>
        <w:rPr>
          <w:rFonts w:ascii="Times New Roman" w:hAnsi="Times New Roman" w:eastAsia="宋体"/>
          <w:sz w:val="30"/>
          <w:szCs w:val="30"/>
        </w:rPr>
        <w:t>环境影响评价的主要结论</w:t>
      </w:r>
      <w:bookmarkEnd w:id="39"/>
      <w:bookmarkEnd w:id="40"/>
      <w:bookmarkEnd w:id="41"/>
      <w:bookmarkEnd w:id="42"/>
      <w:bookmarkEnd w:id="43"/>
      <w:bookmarkEnd w:id="44"/>
    </w:p>
    <w:p>
      <w:pPr>
        <w:spacing w:line="360" w:lineRule="auto"/>
        <w:ind w:firstLine="480" w:firstLineChars="200"/>
        <w:rPr>
          <w:rFonts w:ascii="Times New Roman" w:hAnsi="Times New Roman"/>
          <w:sz w:val="24"/>
          <w:szCs w:val="24"/>
        </w:rPr>
      </w:pPr>
      <w:r>
        <w:rPr>
          <w:rFonts w:ascii="Times New Roman" w:hAnsi="Times New Roman"/>
          <w:sz w:val="24"/>
          <w:szCs w:val="24"/>
        </w:rPr>
        <w:t>本项目是</w:t>
      </w:r>
      <w:r>
        <w:rPr>
          <w:rFonts w:hint="eastAsia" w:ascii="Times New Roman" w:hAnsi="Times New Roman"/>
          <w:sz w:val="24"/>
          <w:szCs w:val="24"/>
        </w:rPr>
        <w:t>扩建项目</w:t>
      </w:r>
      <w:r>
        <w:rPr>
          <w:rFonts w:ascii="Times New Roman" w:hAnsi="Times New Roman"/>
          <w:sz w:val="24"/>
          <w:szCs w:val="24"/>
        </w:rPr>
        <w:t>，项目建设符合国家产</w:t>
      </w:r>
      <w:r>
        <w:rPr>
          <w:rFonts w:hint="eastAsia" w:ascii="Times New Roman" w:hAnsi="Times New Roman"/>
          <w:sz w:val="24"/>
          <w:szCs w:val="24"/>
        </w:rPr>
        <w:t>业</w:t>
      </w:r>
      <w:r>
        <w:rPr>
          <w:rFonts w:ascii="Times New Roman" w:hAnsi="Times New Roman"/>
          <w:sz w:val="24"/>
          <w:szCs w:val="24"/>
        </w:rPr>
        <w:t>政策，有利于</w:t>
      </w:r>
      <w:r>
        <w:rPr>
          <w:rFonts w:hint="eastAsia" w:ascii="Times New Roman" w:hAnsi="Times New Roman"/>
          <w:sz w:val="24"/>
          <w:szCs w:val="24"/>
        </w:rPr>
        <w:t>白山市</w:t>
      </w:r>
      <w:r>
        <w:rPr>
          <w:rFonts w:ascii="Times New Roman" w:hAnsi="Times New Roman"/>
          <w:sz w:val="24"/>
          <w:szCs w:val="24"/>
        </w:rPr>
        <w:t>经济发展，符合企业发展规划，公众认同性较好。环境影响分析结果表明，在采取</w:t>
      </w:r>
      <w:r>
        <w:rPr>
          <w:rFonts w:hint="eastAsia" w:ascii="Times New Roman" w:hAnsi="Times New Roman"/>
          <w:sz w:val="24"/>
          <w:szCs w:val="24"/>
        </w:rPr>
        <w:t>本</w:t>
      </w:r>
      <w:r>
        <w:rPr>
          <w:rFonts w:ascii="Times New Roman" w:hAnsi="Times New Roman"/>
          <w:sz w:val="24"/>
          <w:szCs w:val="24"/>
        </w:rPr>
        <w:t>环评所提各项污染防治、生态减缓和风险防范措施后，</w:t>
      </w:r>
      <w:r>
        <w:rPr>
          <w:rFonts w:hint="eastAsia" w:ascii="Times New Roman" w:hAnsi="Times New Roman"/>
          <w:sz w:val="24"/>
          <w:szCs w:val="24"/>
        </w:rPr>
        <w:t>本</w:t>
      </w:r>
      <w:r>
        <w:rPr>
          <w:rFonts w:ascii="Times New Roman" w:hAnsi="Times New Roman"/>
          <w:sz w:val="24"/>
          <w:szCs w:val="24"/>
        </w:rPr>
        <w:t>项目对环境产生的不利影响可得到有效控制，能够被环境所接受。只要建设单位严格执行环境保护</w:t>
      </w:r>
      <w:r>
        <w:rPr>
          <w:rFonts w:hint="eastAsia" w:ascii="Times New Roman" w:hAnsi="Times New Roman"/>
          <w:sz w:val="24"/>
          <w:szCs w:val="24"/>
        </w:rPr>
        <w:t>“</w:t>
      </w:r>
      <w:r>
        <w:rPr>
          <w:rFonts w:ascii="Times New Roman" w:hAnsi="Times New Roman"/>
          <w:sz w:val="24"/>
          <w:szCs w:val="24"/>
        </w:rPr>
        <w:t>三同时</w:t>
      </w:r>
      <w:r>
        <w:rPr>
          <w:rFonts w:hint="eastAsia" w:ascii="Times New Roman" w:hAnsi="Times New Roman"/>
          <w:sz w:val="24"/>
          <w:szCs w:val="24"/>
        </w:rPr>
        <w:t>”</w:t>
      </w:r>
      <w:r>
        <w:rPr>
          <w:rFonts w:ascii="Times New Roman" w:hAnsi="Times New Roman"/>
          <w:sz w:val="24"/>
          <w:szCs w:val="24"/>
        </w:rPr>
        <w:t>制度，认真落实好环评文件提出的各项环保措施，从环保角度</w:t>
      </w:r>
      <w:r>
        <w:rPr>
          <w:rFonts w:hint="eastAsia" w:ascii="Times New Roman" w:hAnsi="Times New Roman"/>
          <w:sz w:val="24"/>
          <w:szCs w:val="24"/>
        </w:rPr>
        <w:t>而言</w:t>
      </w:r>
      <w:r>
        <w:rPr>
          <w:rFonts w:ascii="Times New Roman" w:hAnsi="Times New Roman"/>
          <w:sz w:val="24"/>
          <w:szCs w:val="24"/>
        </w:rPr>
        <w:t>，本</w:t>
      </w:r>
      <w:r>
        <w:rPr>
          <w:rFonts w:hint="eastAsia" w:ascii="Times New Roman" w:hAnsi="Times New Roman"/>
          <w:sz w:val="24"/>
          <w:szCs w:val="24"/>
        </w:rPr>
        <w:t>项目</w:t>
      </w:r>
      <w:r>
        <w:rPr>
          <w:rFonts w:ascii="Times New Roman" w:hAnsi="Times New Roman"/>
          <w:sz w:val="24"/>
          <w:szCs w:val="24"/>
        </w:rPr>
        <w:t>建设可行。</w:t>
      </w: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480"/>
        <w:rPr>
          <w:rFonts w:hint="default" w:ascii="Times New Roman" w:hAnsi="Times New Roman"/>
          <w:sz w:val="24"/>
          <w:szCs w:val="24"/>
        </w:rPr>
      </w:pPr>
    </w:p>
    <w:p>
      <w:pPr>
        <w:pStyle w:val="61"/>
        <w:ind w:firstLine="0" w:firstLineChars="0"/>
        <w:rPr>
          <w:rFonts w:hint="default" w:ascii="Times New Roman" w:hAnsi="Times New Roman"/>
          <w:sz w:val="24"/>
          <w:szCs w:val="24"/>
        </w:rPr>
      </w:pPr>
    </w:p>
    <w:p>
      <w:pPr>
        <w:pStyle w:val="61"/>
        <w:ind w:firstLine="0" w:firstLineChars="0"/>
        <w:rPr>
          <w:rFonts w:hint="default" w:ascii="Times New Roman" w:hAnsi="Times New Roman"/>
          <w:sz w:val="24"/>
          <w:szCs w:val="24"/>
        </w:rPr>
      </w:pPr>
    </w:p>
    <w:p/>
    <w:p>
      <w:pPr>
        <w:pStyle w:val="3"/>
        <w:snapToGrid w:val="0"/>
        <w:spacing w:beforeLines="150" w:beforeAutospacing="0" w:afterLines="150" w:afterAutospacing="0" w:line="360" w:lineRule="auto"/>
        <w:rPr>
          <w:rFonts w:ascii="Times New Roman"/>
          <w:color w:val="000000"/>
          <w:szCs w:val="36"/>
        </w:rPr>
      </w:pPr>
      <w:bookmarkStart w:id="45" w:name="_Toc26869"/>
      <w:bookmarkStart w:id="46" w:name="_Toc11983"/>
      <w:bookmarkStart w:id="47" w:name="_Toc32108"/>
      <w:r>
        <w:rPr>
          <w:rFonts w:hint="eastAsia" w:ascii="Times New Roman"/>
          <w:color w:val="000000"/>
          <w:szCs w:val="36"/>
        </w:rPr>
        <w:t>第二章 总则</w:t>
      </w:r>
      <w:bookmarkEnd w:id="45"/>
      <w:bookmarkEnd w:id="46"/>
      <w:bookmarkEnd w:id="47"/>
    </w:p>
    <w:p>
      <w:pPr>
        <w:pStyle w:val="4"/>
        <w:rPr>
          <w:rFonts w:ascii="Times New Roman" w:hAnsi="Times New Roman"/>
        </w:rPr>
      </w:pPr>
      <w:bookmarkStart w:id="48" w:name="_Toc30314"/>
      <w:bookmarkStart w:id="49" w:name="_Toc30915"/>
      <w:bookmarkStart w:id="50" w:name="_Toc18101"/>
      <w:r>
        <w:rPr>
          <w:rFonts w:ascii="Times New Roman" w:hAnsi="Times New Roman"/>
        </w:rPr>
        <w:t>2.1编制依据</w:t>
      </w:r>
      <w:bookmarkEnd w:id="48"/>
      <w:bookmarkEnd w:id="49"/>
      <w:bookmarkEnd w:id="50"/>
    </w:p>
    <w:p>
      <w:pPr>
        <w:pStyle w:val="5"/>
        <w:spacing w:before="0" w:after="0" w:line="360" w:lineRule="auto"/>
        <w:rPr>
          <w:sz w:val="24"/>
          <w:szCs w:val="24"/>
        </w:rPr>
      </w:pPr>
      <w:bookmarkStart w:id="51" w:name="_Toc1642"/>
      <w:bookmarkStart w:id="52" w:name="_Toc19104"/>
      <w:bookmarkStart w:id="53" w:name="_Toc4697"/>
      <w:r>
        <w:rPr>
          <w:sz w:val="24"/>
          <w:szCs w:val="24"/>
        </w:rPr>
        <w:t>2.1.1法律、法规</w:t>
      </w:r>
      <w:bookmarkEnd w:id="51"/>
      <w:bookmarkEnd w:id="52"/>
      <w:bookmarkEnd w:id="53"/>
    </w:p>
    <w:p>
      <w:pPr>
        <w:spacing w:line="360" w:lineRule="auto"/>
        <w:ind w:firstLine="480" w:firstLineChars="200"/>
        <w:rPr>
          <w:rFonts w:ascii="Times New Roman" w:hAnsi="Times New Roman"/>
          <w:sz w:val="24"/>
        </w:rPr>
      </w:pPr>
      <w:r>
        <w:rPr>
          <w:rFonts w:ascii="Times New Roman" w:hAnsi="Times New Roman"/>
          <w:sz w:val="24"/>
        </w:rPr>
        <w:t>1、《中华人民共和国环境保护法》（2015年1月1日）；</w:t>
      </w:r>
    </w:p>
    <w:p>
      <w:pPr>
        <w:spacing w:line="360" w:lineRule="auto"/>
        <w:ind w:firstLine="480" w:firstLineChars="200"/>
        <w:outlineLvl w:val="0"/>
        <w:rPr>
          <w:rFonts w:ascii="Times New Roman" w:hAnsi="Times New Roman"/>
          <w:sz w:val="24"/>
        </w:rPr>
      </w:pPr>
      <w:r>
        <w:rPr>
          <w:rFonts w:hint="eastAsia" w:ascii="Times New Roman" w:hAnsi="Times New Roman"/>
          <w:sz w:val="24"/>
        </w:rPr>
        <w:t>2</w:t>
      </w:r>
      <w:r>
        <w:rPr>
          <w:rFonts w:ascii="Times New Roman" w:hAnsi="Times New Roman"/>
          <w:sz w:val="24"/>
        </w:rPr>
        <w:t>、《中华人民共和国环境影响评价法》（2016年9月1日）；</w:t>
      </w:r>
    </w:p>
    <w:p>
      <w:pPr>
        <w:spacing w:line="360" w:lineRule="auto"/>
        <w:ind w:firstLine="480" w:firstLineChars="200"/>
        <w:rPr>
          <w:rFonts w:ascii="Times New Roman" w:hAnsi="Times New Roman"/>
          <w:sz w:val="24"/>
        </w:rPr>
      </w:pPr>
      <w:r>
        <w:rPr>
          <w:rFonts w:hint="eastAsia" w:ascii="Times New Roman" w:hAnsi="Times New Roman"/>
          <w:sz w:val="24"/>
        </w:rPr>
        <w:t>3</w:t>
      </w:r>
      <w:r>
        <w:rPr>
          <w:rFonts w:ascii="Times New Roman" w:hAnsi="Times New Roman"/>
          <w:sz w:val="24"/>
        </w:rPr>
        <w:t>、《建设项目环境保护管理条例》（2017年10月1日）；</w:t>
      </w:r>
    </w:p>
    <w:p>
      <w:pPr>
        <w:spacing w:line="360" w:lineRule="auto"/>
        <w:ind w:firstLine="480" w:firstLineChars="200"/>
        <w:outlineLvl w:val="0"/>
        <w:rPr>
          <w:rFonts w:ascii="Times New Roman" w:hAnsi="Times New Roman"/>
          <w:sz w:val="24"/>
        </w:rPr>
      </w:pPr>
      <w:r>
        <w:rPr>
          <w:rFonts w:hint="eastAsia" w:ascii="Times New Roman" w:hAnsi="Times New Roman"/>
          <w:sz w:val="24"/>
        </w:rPr>
        <w:t>4</w:t>
      </w:r>
      <w:r>
        <w:rPr>
          <w:rFonts w:ascii="Times New Roman" w:hAnsi="Times New Roman"/>
          <w:sz w:val="24"/>
        </w:rPr>
        <w:t>、《中华人民共和国水法》（2016年7月2日）；</w:t>
      </w:r>
    </w:p>
    <w:p>
      <w:pPr>
        <w:spacing w:line="360" w:lineRule="auto"/>
        <w:ind w:firstLine="480" w:firstLineChars="200"/>
        <w:rPr>
          <w:rFonts w:ascii="Times New Roman" w:hAnsi="Times New Roman"/>
          <w:sz w:val="24"/>
        </w:rPr>
      </w:pPr>
      <w:r>
        <w:rPr>
          <w:rFonts w:hint="eastAsia" w:ascii="Times New Roman" w:hAnsi="Times New Roman"/>
          <w:sz w:val="24"/>
        </w:rPr>
        <w:t>5</w:t>
      </w:r>
      <w:r>
        <w:rPr>
          <w:rFonts w:ascii="Times New Roman" w:hAnsi="Times New Roman"/>
          <w:sz w:val="24"/>
        </w:rPr>
        <w:t>、《中华人民共和国水污染防治法》（2018年1月1日）；</w:t>
      </w:r>
    </w:p>
    <w:p>
      <w:pPr>
        <w:spacing w:line="360" w:lineRule="auto"/>
        <w:ind w:firstLine="480" w:firstLineChars="200"/>
        <w:rPr>
          <w:rFonts w:ascii="Times New Roman" w:hAnsi="Times New Roman"/>
          <w:sz w:val="24"/>
        </w:rPr>
      </w:pPr>
      <w:r>
        <w:rPr>
          <w:rFonts w:hint="eastAsia" w:ascii="Times New Roman" w:hAnsi="Times New Roman"/>
          <w:sz w:val="24"/>
        </w:rPr>
        <w:t>6</w:t>
      </w:r>
      <w:r>
        <w:rPr>
          <w:rFonts w:ascii="Times New Roman" w:hAnsi="Times New Roman"/>
          <w:sz w:val="24"/>
        </w:rPr>
        <w:t>、《中华人民共和国水污染防治法实施细则》（2008年6月1日）；</w:t>
      </w:r>
    </w:p>
    <w:p>
      <w:pPr>
        <w:spacing w:line="360" w:lineRule="auto"/>
        <w:ind w:firstLine="480" w:firstLineChars="200"/>
        <w:outlineLvl w:val="0"/>
        <w:rPr>
          <w:rFonts w:ascii="Times New Roman" w:hAnsi="Times New Roman"/>
          <w:sz w:val="24"/>
        </w:rPr>
      </w:pPr>
      <w:r>
        <w:rPr>
          <w:rFonts w:hint="eastAsia" w:ascii="Times New Roman" w:hAnsi="Times New Roman"/>
          <w:sz w:val="24"/>
        </w:rPr>
        <w:t>7</w:t>
      </w:r>
      <w:r>
        <w:rPr>
          <w:rFonts w:ascii="Times New Roman" w:hAnsi="Times New Roman"/>
          <w:sz w:val="24"/>
        </w:rPr>
        <w:t>、《中华人民共和国大气污染防治法》（2016年1月1日）；</w:t>
      </w:r>
    </w:p>
    <w:p>
      <w:pPr>
        <w:spacing w:line="360" w:lineRule="auto"/>
        <w:ind w:firstLine="480" w:firstLineChars="200"/>
        <w:rPr>
          <w:rFonts w:ascii="Times New Roman" w:hAnsi="Times New Roman"/>
          <w:sz w:val="24"/>
        </w:rPr>
      </w:pPr>
      <w:r>
        <w:rPr>
          <w:rFonts w:hint="eastAsia" w:ascii="Times New Roman" w:hAnsi="Times New Roman"/>
          <w:sz w:val="24"/>
        </w:rPr>
        <w:t>8</w:t>
      </w:r>
      <w:r>
        <w:rPr>
          <w:rFonts w:ascii="Times New Roman" w:hAnsi="Times New Roman"/>
          <w:sz w:val="24"/>
        </w:rPr>
        <w:t>、《中华人民共和国环境噪声污染防治法》（</w:t>
      </w:r>
      <w:r>
        <w:rPr>
          <w:rFonts w:hint="eastAsia" w:ascii="Times New Roman" w:hAnsi="Times New Roman"/>
          <w:sz w:val="24"/>
        </w:rPr>
        <w:t>2019</w:t>
      </w:r>
      <w:r>
        <w:rPr>
          <w:rFonts w:ascii="Times New Roman" w:hAnsi="Times New Roman"/>
          <w:sz w:val="24"/>
        </w:rPr>
        <w:t>年</w:t>
      </w:r>
      <w:r>
        <w:rPr>
          <w:rFonts w:hint="eastAsia" w:ascii="Times New Roman" w:hAnsi="Times New Roman"/>
          <w:sz w:val="24"/>
        </w:rPr>
        <w:t>1</w:t>
      </w:r>
      <w:r>
        <w:rPr>
          <w:rFonts w:ascii="Times New Roman" w:hAnsi="Times New Roman"/>
          <w:sz w:val="24"/>
        </w:rPr>
        <w:t>月1日）；</w:t>
      </w:r>
    </w:p>
    <w:p>
      <w:pPr>
        <w:spacing w:line="360" w:lineRule="auto"/>
        <w:ind w:firstLine="480" w:firstLineChars="200"/>
        <w:rPr>
          <w:rFonts w:ascii="Times New Roman" w:hAnsi="Times New Roman"/>
          <w:sz w:val="24"/>
        </w:rPr>
      </w:pPr>
      <w:r>
        <w:rPr>
          <w:rFonts w:hint="eastAsia" w:ascii="Times New Roman" w:hAnsi="Times New Roman"/>
          <w:sz w:val="24"/>
        </w:rPr>
        <w:t>9</w:t>
      </w:r>
      <w:r>
        <w:rPr>
          <w:rFonts w:ascii="Times New Roman" w:hAnsi="Times New Roman"/>
          <w:sz w:val="24"/>
        </w:rPr>
        <w:t>、《中华人民共和国固体废物污染环境防治法》（2016年11月7日）；</w:t>
      </w:r>
    </w:p>
    <w:p>
      <w:pPr>
        <w:spacing w:line="360" w:lineRule="auto"/>
        <w:ind w:firstLine="480" w:firstLineChars="200"/>
        <w:outlineLvl w:val="0"/>
        <w:rPr>
          <w:rFonts w:ascii="Times New Roman" w:hAnsi="Times New Roman"/>
          <w:sz w:val="24"/>
        </w:rPr>
      </w:pPr>
      <w:r>
        <w:rPr>
          <w:rFonts w:hint="eastAsia" w:ascii="Times New Roman" w:hAnsi="Times New Roman"/>
          <w:sz w:val="24"/>
        </w:rPr>
        <w:t>10</w:t>
      </w:r>
      <w:r>
        <w:rPr>
          <w:rFonts w:ascii="Times New Roman" w:hAnsi="Times New Roman"/>
          <w:sz w:val="24"/>
        </w:rPr>
        <w:t>、《中华人民共和国土地管理法》（2004年8月24日）；</w:t>
      </w:r>
    </w:p>
    <w:p>
      <w:pPr>
        <w:spacing w:line="360" w:lineRule="auto"/>
        <w:ind w:firstLine="480" w:firstLineChars="200"/>
        <w:rPr>
          <w:rFonts w:ascii="Times New Roman" w:hAnsi="Times New Roman"/>
          <w:sz w:val="24"/>
        </w:rPr>
      </w:pPr>
      <w:r>
        <w:rPr>
          <w:rFonts w:hint="eastAsia" w:ascii="Times New Roman" w:hAnsi="Times New Roman"/>
          <w:sz w:val="24"/>
        </w:rPr>
        <w:t>11</w:t>
      </w:r>
      <w:r>
        <w:rPr>
          <w:rFonts w:ascii="Times New Roman" w:hAnsi="Times New Roman"/>
          <w:sz w:val="24"/>
        </w:rPr>
        <w:t>、《中华人民共和国水土保持法》（2011年3月1日）；</w:t>
      </w:r>
    </w:p>
    <w:p>
      <w:pPr>
        <w:spacing w:line="360" w:lineRule="auto"/>
        <w:ind w:firstLine="480" w:firstLineChars="200"/>
        <w:outlineLvl w:val="0"/>
        <w:rPr>
          <w:rFonts w:ascii="Times New Roman" w:hAnsi="Times New Roman"/>
          <w:sz w:val="24"/>
        </w:rPr>
      </w:pPr>
      <w:r>
        <w:rPr>
          <w:rFonts w:hint="eastAsia" w:ascii="Times New Roman" w:hAnsi="Times New Roman"/>
          <w:sz w:val="24"/>
        </w:rPr>
        <w:t>12</w:t>
      </w:r>
      <w:r>
        <w:rPr>
          <w:rFonts w:ascii="Times New Roman" w:hAnsi="Times New Roman"/>
          <w:sz w:val="24"/>
        </w:rPr>
        <w:t>、《中华人民共和国清洁生产促进法》（2016年7月1日）；</w:t>
      </w:r>
    </w:p>
    <w:p>
      <w:pPr>
        <w:spacing w:line="360" w:lineRule="auto"/>
        <w:ind w:firstLine="480" w:firstLineChars="200"/>
        <w:rPr>
          <w:rFonts w:ascii="Times New Roman" w:hAnsi="Times New Roman"/>
          <w:sz w:val="24"/>
        </w:rPr>
      </w:pPr>
      <w:r>
        <w:rPr>
          <w:rFonts w:hint="eastAsia" w:ascii="Times New Roman" w:hAnsi="Times New Roman"/>
          <w:sz w:val="24"/>
        </w:rPr>
        <w:t>13</w:t>
      </w:r>
      <w:r>
        <w:rPr>
          <w:rFonts w:ascii="Times New Roman" w:hAnsi="Times New Roman"/>
          <w:sz w:val="24"/>
        </w:rPr>
        <w:t>、《中华人民共和国循环经济促进法》（2009年1月1日）；</w:t>
      </w:r>
    </w:p>
    <w:p>
      <w:pPr>
        <w:spacing w:line="360" w:lineRule="auto"/>
        <w:ind w:firstLine="480" w:firstLineChars="200"/>
        <w:rPr>
          <w:rFonts w:ascii="Times New Roman" w:hAnsi="Times New Roman"/>
          <w:sz w:val="24"/>
        </w:rPr>
      </w:pPr>
      <w:r>
        <w:rPr>
          <w:rFonts w:hint="eastAsia" w:ascii="Times New Roman" w:hAnsi="Times New Roman"/>
          <w:sz w:val="24"/>
        </w:rPr>
        <w:t>14</w:t>
      </w:r>
      <w:r>
        <w:rPr>
          <w:rFonts w:ascii="Times New Roman" w:hAnsi="Times New Roman"/>
          <w:sz w:val="24"/>
        </w:rPr>
        <w:t>、《中华人民共和国野生动物保护法》（2004年8月28日）；</w:t>
      </w:r>
    </w:p>
    <w:p>
      <w:pPr>
        <w:spacing w:line="360" w:lineRule="auto"/>
        <w:ind w:firstLine="480" w:firstLineChars="200"/>
        <w:rPr>
          <w:rFonts w:ascii="Times New Roman" w:hAnsi="Times New Roman"/>
          <w:sz w:val="24"/>
        </w:rPr>
      </w:pPr>
      <w:r>
        <w:rPr>
          <w:rFonts w:ascii="Times New Roman" w:hAnsi="Times New Roman"/>
          <w:sz w:val="24"/>
        </w:rPr>
        <w:t>15、《中华人民共和国野生植物保护条例》（1997年1月1日）。</w:t>
      </w:r>
    </w:p>
    <w:p>
      <w:pPr>
        <w:pStyle w:val="5"/>
        <w:spacing w:before="0" w:after="0" w:line="360" w:lineRule="auto"/>
        <w:rPr>
          <w:sz w:val="24"/>
          <w:szCs w:val="24"/>
        </w:rPr>
      </w:pPr>
      <w:bookmarkStart w:id="54" w:name="_Toc7553"/>
      <w:bookmarkStart w:id="55" w:name="_Toc23115"/>
      <w:bookmarkStart w:id="56" w:name="_Toc4516"/>
      <w:r>
        <w:rPr>
          <w:sz w:val="24"/>
          <w:szCs w:val="24"/>
        </w:rPr>
        <w:t>2.1.2</w:t>
      </w:r>
      <w:r>
        <w:rPr>
          <w:rFonts w:hint="eastAsia"/>
          <w:sz w:val="24"/>
          <w:szCs w:val="24"/>
        </w:rPr>
        <w:t>国务院规范性文件、部委规章及相关规范文件</w:t>
      </w:r>
      <w:bookmarkEnd w:id="54"/>
      <w:bookmarkEnd w:id="55"/>
      <w:bookmarkEnd w:id="56"/>
    </w:p>
    <w:p>
      <w:pPr>
        <w:spacing w:line="360" w:lineRule="auto"/>
        <w:ind w:firstLine="480" w:firstLineChars="200"/>
        <w:rPr>
          <w:rFonts w:ascii="Times New Roman" w:hAnsi="Times New Roman"/>
          <w:sz w:val="24"/>
        </w:rPr>
      </w:pPr>
      <w:r>
        <w:rPr>
          <w:rFonts w:hint="eastAsia" w:ascii="Times New Roman" w:hAnsi="Times New Roman"/>
          <w:sz w:val="24"/>
        </w:rPr>
        <w:t>1</w:t>
      </w:r>
      <w:r>
        <w:rPr>
          <w:rFonts w:ascii="Times New Roman" w:hAnsi="Times New Roman"/>
          <w:sz w:val="24"/>
        </w:rPr>
        <w:t>、生态环境部令部令第1号《建设项目环境影响评价分类管理名录》（2018年4月28日）；</w:t>
      </w:r>
    </w:p>
    <w:p>
      <w:pPr>
        <w:spacing w:line="360" w:lineRule="auto"/>
        <w:ind w:firstLine="480" w:firstLineChars="200"/>
        <w:rPr>
          <w:rFonts w:ascii="Times New Roman" w:hAnsi="Times New Roman"/>
          <w:sz w:val="24"/>
        </w:rPr>
      </w:pPr>
      <w:r>
        <w:rPr>
          <w:rFonts w:hint="eastAsia" w:ascii="Times New Roman" w:hAnsi="Times New Roman"/>
          <w:sz w:val="24"/>
        </w:rPr>
        <w:t>2</w:t>
      </w:r>
      <w:r>
        <w:rPr>
          <w:rFonts w:ascii="Times New Roman" w:hAnsi="Times New Roman"/>
          <w:sz w:val="24"/>
        </w:rPr>
        <w:t>、</w:t>
      </w:r>
      <w:r>
        <w:rPr>
          <w:rFonts w:hint="eastAsia" w:ascii="Times New Roman" w:hAnsi="Times New Roman"/>
          <w:sz w:val="24"/>
        </w:rPr>
        <w:t>原</w:t>
      </w:r>
      <w:r>
        <w:rPr>
          <w:rFonts w:ascii="Times New Roman" w:hAnsi="Times New Roman"/>
          <w:sz w:val="24"/>
        </w:rPr>
        <w:t>环境保护部办公厅环办[2013]103号《关于印发&lt;建设项目环境影响评价政府信息公开指南（试行）&gt;的通知》（2013年11月14）；</w:t>
      </w:r>
    </w:p>
    <w:p>
      <w:pPr>
        <w:spacing w:line="360" w:lineRule="auto"/>
        <w:ind w:firstLine="480" w:firstLineChars="200"/>
        <w:rPr>
          <w:rFonts w:ascii="Times New Roman" w:hAnsi="Times New Roman"/>
          <w:sz w:val="24"/>
        </w:rPr>
      </w:pPr>
      <w:r>
        <w:rPr>
          <w:rFonts w:hint="eastAsia" w:ascii="Times New Roman" w:hAnsi="Times New Roman"/>
          <w:sz w:val="24"/>
        </w:rPr>
        <w:t>3</w:t>
      </w:r>
      <w:r>
        <w:rPr>
          <w:rFonts w:ascii="Times New Roman" w:hAnsi="Times New Roman"/>
          <w:sz w:val="24"/>
        </w:rPr>
        <w:t>、</w:t>
      </w:r>
      <w:r>
        <w:rPr>
          <w:rFonts w:hint="eastAsia" w:ascii="Times New Roman" w:hAnsi="Times New Roman"/>
          <w:sz w:val="24"/>
        </w:rPr>
        <w:t>原</w:t>
      </w:r>
      <w:r>
        <w:rPr>
          <w:rFonts w:ascii="Times New Roman" w:hAnsi="Times New Roman"/>
          <w:sz w:val="24"/>
        </w:rPr>
        <w:t>环境保护部环发[2012]77号《关于进一步加强环境影响评价防范环境风险的通知》（2012年7月3日）；</w:t>
      </w:r>
    </w:p>
    <w:p>
      <w:pPr>
        <w:spacing w:line="360" w:lineRule="auto"/>
        <w:ind w:firstLine="480" w:firstLineChars="200"/>
        <w:rPr>
          <w:rFonts w:ascii="Times New Roman" w:hAnsi="Times New Roman"/>
          <w:sz w:val="24"/>
        </w:rPr>
      </w:pPr>
      <w:r>
        <w:rPr>
          <w:rFonts w:hint="eastAsia" w:ascii="Times New Roman" w:hAnsi="Times New Roman"/>
          <w:sz w:val="24"/>
        </w:rPr>
        <w:t>4</w:t>
      </w:r>
      <w:r>
        <w:rPr>
          <w:rFonts w:ascii="Times New Roman" w:hAnsi="Times New Roman"/>
          <w:sz w:val="24"/>
        </w:rPr>
        <w:t>、国家工业和信息产业化部</w:t>
      </w:r>
      <w:r>
        <w:rPr>
          <w:rFonts w:ascii="Times New Roman" w:hAnsi="Times New Roman"/>
          <w:kern w:val="0"/>
          <w:sz w:val="24"/>
        </w:rPr>
        <w:t>工信部[2011]600号文</w:t>
      </w:r>
      <w:r>
        <w:rPr>
          <w:rFonts w:ascii="Times New Roman" w:hAnsi="Times New Roman"/>
          <w:sz w:val="24"/>
        </w:rPr>
        <w:t>《</w:t>
      </w:r>
      <w:r>
        <w:rPr>
          <w:rFonts w:ascii="Times New Roman" w:hAnsi="Times New Roman"/>
          <w:kern w:val="0"/>
          <w:sz w:val="24"/>
        </w:rPr>
        <w:t>大宗工业固体废物综合利用“十二五”规划》（</w:t>
      </w:r>
      <w:r>
        <w:rPr>
          <w:rFonts w:ascii="Times New Roman" w:hAnsi="Times New Roman"/>
          <w:sz w:val="24"/>
        </w:rPr>
        <w:t>2011年12月17日</w:t>
      </w:r>
      <w:r>
        <w:rPr>
          <w:rFonts w:ascii="Times New Roman" w:hAnsi="Times New Roman"/>
          <w:kern w:val="0"/>
          <w:sz w:val="24"/>
        </w:rPr>
        <w:t>）</w:t>
      </w:r>
      <w:r>
        <w:rPr>
          <w:rFonts w:ascii="Times New Roman" w:hAnsi="Times New Roman"/>
          <w:sz w:val="24"/>
        </w:rPr>
        <w:t>；</w:t>
      </w:r>
    </w:p>
    <w:p>
      <w:pPr>
        <w:spacing w:line="360" w:lineRule="auto"/>
        <w:ind w:firstLine="470" w:firstLineChars="196"/>
        <w:rPr>
          <w:rFonts w:ascii="Times New Roman" w:hAnsi="Times New Roman"/>
          <w:sz w:val="24"/>
        </w:rPr>
      </w:pPr>
      <w:r>
        <w:rPr>
          <w:rFonts w:hint="eastAsia" w:ascii="Times New Roman" w:hAnsi="Times New Roman"/>
          <w:sz w:val="24"/>
        </w:rPr>
        <w:t>5</w:t>
      </w:r>
      <w:r>
        <w:rPr>
          <w:rFonts w:ascii="Times New Roman" w:hAnsi="Times New Roman"/>
          <w:sz w:val="24"/>
        </w:rPr>
        <w:t>、</w:t>
      </w:r>
      <w:r>
        <w:rPr>
          <w:rFonts w:hint="eastAsia" w:ascii="Times New Roman" w:hAnsi="Times New Roman"/>
          <w:sz w:val="24"/>
        </w:rPr>
        <w:t>原</w:t>
      </w:r>
      <w:r>
        <w:rPr>
          <w:rFonts w:ascii="Times New Roman" w:hAnsi="Times New Roman"/>
          <w:sz w:val="24"/>
        </w:rPr>
        <w:t>国家环境保护部</w:t>
      </w:r>
      <w:r>
        <w:rPr>
          <w:rFonts w:ascii="Times New Roman" w:hAnsi="Times New Roman"/>
          <w:bCs/>
          <w:sz w:val="24"/>
        </w:rPr>
        <w:t>环发</w:t>
      </w:r>
      <w:r>
        <w:rPr>
          <w:rFonts w:ascii="Times New Roman" w:hAnsi="Times New Roman"/>
          <w:sz w:val="24"/>
        </w:rPr>
        <w:t>[2012]98号文《关于切实加强风险防范、严格环境影响评价管理的通知》（2012年8月8日）；</w:t>
      </w:r>
    </w:p>
    <w:p>
      <w:pPr>
        <w:spacing w:line="360" w:lineRule="auto"/>
        <w:ind w:firstLine="480" w:firstLineChars="200"/>
        <w:rPr>
          <w:rFonts w:ascii="Times New Roman" w:hAnsi="Times New Roman"/>
          <w:sz w:val="24"/>
        </w:rPr>
      </w:pPr>
      <w:r>
        <w:rPr>
          <w:rFonts w:hint="eastAsia" w:ascii="Times New Roman" w:hAnsi="Times New Roman"/>
          <w:sz w:val="24"/>
        </w:rPr>
        <w:t>6</w:t>
      </w:r>
      <w:r>
        <w:rPr>
          <w:rFonts w:ascii="Times New Roman" w:hAnsi="Times New Roman"/>
          <w:sz w:val="24"/>
        </w:rPr>
        <w:t>、</w:t>
      </w:r>
      <w:r>
        <w:rPr>
          <w:rFonts w:hint="eastAsia" w:ascii="Times New Roman" w:hAnsi="Times New Roman"/>
          <w:sz w:val="24"/>
        </w:rPr>
        <w:t>原</w:t>
      </w:r>
      <w:r>
        <w:rPr>
          <w:rFonts w:ascii="Times New Roman" w:hAnsi="Times New Roman"/>
          <w:sz w:val="24"/>
        </w:rPr>
        <w:t>国家环保总局[2005]109号《矿山生态环境保护与污染防治技术政策》（2005年9月7日）；</w:t>
      </w:r>
    </w:p>
    <w:p>
      <w:pPr>
        <w:spacing w:line="360" w:lineRule="auto"/>
        <w:ind w:firstLine="480" w:firstLineChars="200"/>
        <w:rPr>
          <w:rFonts w:ascii="Times New Roman" w:hAnsi="Times New Roman"/>
          <w:sz w:val="24"/>
        </w:rPr>
      </w:pPr>
      <w:r>
        <w:rPr>
          <w:rFonts w:hint="eastAsia" w:ascii="Times New Roman" w:hAnsi="Times New Roman"/>
          <w:sz w:val="24"/>
        </w:rPr>
        <w:t>7</w:t>
      </w:r>
      <w:r>
        <w:rPr>
          <w:rFonts w:ascii="Times New Roman" w:hAnsi="Times New Roman"/>
          <w:sz w:val="24"/>
        </w:rPr>
        <w:t>、国家发展和改革委员会第21号《产业结构调整指导目录（2013修正版）》（2013年5月1日）；</w:t>
      </w:r>
    </w:p>
    <w:p>
      <w:pPr>
        <w:spacing w:line="360" w:lineRule="auto"/>
        <w:ind w:firstLine="480" w:firstLineChars="200"/>
        <w:rPr>
          <w:rFonts w:ascii="Times New Roman" w:hAnsi="Times New Roman"/>
          <w:bCs/>
          <w:sz w:val="24"/>
        </w:rPr>
      </w:pPr>
      <w:r>
        <w:rPr>
          <w:rFonts w:hint="eastAsia" w:ascii="Times New Roman" w:hAnsi="Times New Roman"/>
          <w:bCs/>
          <w:sz w:val="24"/>
        </w:rPr>
        <w:t>8</w:t>
      </w:r>
      <w:r>
        <w:rPr>
          <w:rFonts w:ascii="Times New Roman" w:hAnsi="Times New Roman"/>
          <w:bCs/>
          <w:sz w:val="24"/>
        </w:rPr>
        <w:t>、国务院国发[2013]37号《国务院关于印发大气污染防治行动计划的通知》（2013年9月10日）；</w:t>
      </w:r>
    </w:p>
    <w:p>
      <w:pPr>
        <w:spacing w:line="360" w:lineRule="auto"/>
        <w:ind w:firstLine="480" w:firstLineChars="200"/>
        <w:rPr>
          <w:rFonts w:ascii="Times New Roman" w:hAnsi="Times New Roman"/>
          <w:bCs/>
          <w:sz w:val="24"/>
        </w:rPr>
      </w:pPr>
      <w:r>
        <w:rPr>
          <w:rFonts w:hint="eastAsia" w:ascii="Times New Roman" w:hAnsi="Times New Roman"/>
          <w:bCs/>
          <w:sz w:val="24"/>
        </w:rPr>
        <w:t>9</w:t>
      </w:r>
      <w:r>
        <w:rPr>
          <w:rFonts w:ascii="Times New Roman" w:hAnsi="Times New Roman"/>
          <w:bCs/>
          <w:sz w:val="24"/>
        </w:rPr>
        <w:t>、国务院国发[2015]17号《国务院关于印发水污染防治行动计划的通知》（2015年4月2日）；</w:t>
      </w:r>
    </w:p>
    <w:p>
      <w:pPr>
        <w:spacing w:line="360" w:lineRule="auto"/>
        <w:ind w:firstLine="480" w:firstLineChars="200"/>
        <w:rPr>
          <w:rFonts w:ascii="Times New Roman" w:hAnsi="Times New Roman"/>
          <w:bCs/>
          <w:sz w:val="24"/>
        </w:rPr>
      </w:pPr>
      <w:r>
        <w:rPr>
          <w:rFonts w:hint="eastAsia" w:ascii="Times New Roman" w:hAnsi="Times New Roman"/>
          <w:bCs/>
          <w:sz w:val="24"/>
        </w:rPr>
        <w:t>10</w:t>
      </w:r>
      <w:r>
        <w:rPr>
          <w:rFonts w:ascii="Times New Roman" w:hAnsi="Times New Roman"/>
          <w:bCs/>
          <w:sz w:val="24"/>
        </w:rPr>
        <w:t>、国务院国发[2016]31号《国务院关于印发土壤污染防治行动计划的通知》（2016年5月28日）；</w:t>
      </w:r>
    </w:p>
    <w:p>
      <w:pPr>
        <w:spacing w:line="360" w:lineRule="auto"/>
        <w:ind w:firstLine="480" w:firstLineChars="200"/>
        <w:rPr>
          <w:rFonts w:ascii="Times New Roman" w:hAnsi="Times New Roman"/>
          <w:bCs/>
          <w:sz w:val="24"/>
        </w:rPr>
      </w:pPr>
      <w:r>
        <w:rPr>
          <w:rFonts w:hint="eastAsia" w:ascii="Times New Roman" w:hAnsi="Times New Roman"/>
          <w:bCs/>
          <w:sz w:val="24"/>
        </w:rPr>
        <w:t>11</w:t>
      </w:r>
      <w:r>
        <w:rPr>
          <w:rFonts w:ascii="Times New Roman" w:hAnsi="Times New Roman"/>
          <w:bCs/>
          <w:sz w:val="24"/>
        </w:rPr>
        <w:t>、国土资源部令[2009]第44号《矿山地质环境保护规定》（2009年5月1日）；</w:t>
      </w:r>
    </w:p>
    <w:p>
      <w:pPr>
        <w:spacing w:line="360" w:lineRule="auto"/>
        <w:ind w:firstLine="480" w:firstLineChars="200"/>
        <w:rPr>
          <w:rFonts w:ascii="Times New Roman" w:hAnsi="Times New Roman"/>
          <w:bCs/>
          <w:sz w:val="24"/>
          <w:szCs w:val="21"/>
        </w:rPr>
      </w:pPr>
      <w:r>
        <w:rPr>
          <w:rFonts w:hint="eastAsia" w:ascii="Times New Roman" w:hAnsi="Times New Roman"/>
          <w:bCs/>
          <w:sz w:val="24"/>
          <w:szCs w:val="21"/>
        </w:rPr>
        <w:t>12</w:t>
      </w:r>
      <w:r>
        <w:rPr>
          <w:rFonts w:ascii="Times New Roman" w:hAnsi="Times New Roman"/>
          <w:bCs/>
          <w:sz w:val="24"/>
          <w:szCs w:val="21"/>
        </w:rPr>
        <w:t>、《国家级公益林管理办法》（国家林业局、财政部、投资发</w:t>
      </w:r>
      <w:r>
        <w:rPr>
          <w:rFonts w:hint="eastAsia" w:ascii="Times New Roman" w:hAnsi="Times New Roman"/>
          <w:bCs/>
          <w:sz w:val="24"/>
          <w:szCs w:val="21"/>
        </w:rPr>
        <w:t>[</w:t>
      </w:r>
      <w:r>
        <w:rPr>
          <w:rFonts w:ascii="Times New Roman" w:hAnsi="Times New Roman"/>
          <w:bCs/>
          <w:sz w:val="24"/>
          <w:szCs w:val="21"/>
        </w:rPr>
        <w:t>2013</w:t>
      </w:r>
      <w:r>
        <w:rPr>
          <w:rFonts w:hint="eastAsia" w:ascii="Times New Roman" w:hAnsi="Times New Roman"/>
          <w:bCs/>
          <w:sz w:val="24"/>
          <w:szCs w:val="21"/>
        </w:rPr>
        <w:t>]</w:t>
      </w:r>
      <w:r>
        <w:rPr>
          <w:rFonts w:ascii="Times New Roman" w:hAnsi="Times New Roman"/>
          <w:bCs/>
          <w:sz w:val="24"/>
          <w:szCs w:val="21"/>
        </w:rPr>
        <w:t>71号）；</w:t>
      </w:r>
    </w:p>
    <w:p>
      <w:pPr>
        <w:spacing w:line="360" w:lineRule="auto"/>
        <w:ind w:firstLine="480" w:firstLineChars="200"/>
        <w:rPr>
          <w:rFonts w:ascii="Times New Roman" w:hAnsi="Times New Roman"/>
          <w:sz w:val="24"/>
        </w:rPr>
      </w:pPr>
      <w:r>
        <w:rPr>
          <w:rFonts w:hint="eastAsia" w:ascii="Times New Roman" w:hAnsi="Times New Roman"/>
          <w:sz w:val="24"/>
        </w:rPr>
        <w:t>13</w:t>
      </w:r>
      <w:r>
        <w:rPr>
          <w:rFonts w:ascii="Times New Roman" w:hAnsi="Times New Roman"/>
          <w:sz w:val="24"/>
        </w:rPr>
        <w:t>、《建设项目使用林地审核审批管理办法》（2015年3月31日）；</w:t>
      </w:r>
    </w:p>
    <w:p>
      <w:pPr>
        <w:spacing w:line="360" w:lineRule="auto"/>
        <w:ind w:firstLine="480" w:firstLineChars="200"/>
        <w:rPr>
          <w:rFonts w:ascii="Times New Roman" w:hAnsi="Times New Roman"/>
        </w:rPr>
      </w:pPr>
      <w:r>
        <w:rPr>
          <w:rFonts w:hint="eastAsia" w:ascii="Times New Roman" w:hAnsi="Times New Roman"/>
          <w:sz w:val="24"/>
        </w:rPr>
        <w:t>14</w:t>
      </w:r>
      <w:r>
        <w:rPr>
          <w:rFonts w:ascii="Times New Roman" w:hAnsi="Times New Roman"/>
          <w:sz w:val="24"/>
        </w:rPr>
        <w:t>、《生态保护红线划定指南》（环保部、发改委、环办生态</w:t>
      </w:r>
      <w:r>
        <w:rPr>
          <w:rFonts w:hint="eastAsia" w:ascii="Times New Roman" w:hAnsi="Times New Roman"/>
          <w:sz w:val="24"/>
        </w:rPr>
        <w:t>[</w:t>
      </w:r>
      <w:r>
        <w:rPr>
          <w:rFonts w:ascii="Times New Roman" w:hAnsi="Times New Roman"/>
          <w:sz w:val="24"/>
        </w:rPr>
        <w:t>2017</w:t>
      </w:r>
      <w:r>
        <w:rPr>
          <w:rFonts w:hint="eastAsia" w:ascii="Times New Roman" w:hAnsi="Times New Roman"/>
          <w:sz w:val="24"/>
        </w:rPr>
        <w:t>]</w:t>
      </w:r>
      <w:r>
        <w:rPr>
          <w:rFonts w:ascii="Times New Roman" w:hAnsi="Times New Roman"/>
          <w:sz w:val="24"/>
        </w:rPr>
        <w:t>48号）。</w:t>
      </w:r>
    </w:p>
    <w:p>
      <w:pPr>
        <w:spacing w:line="360" w:lineRule="auto"/>
        <w:ind w:firstLine="480" w:firstLineChars="200"/>
        <w:outlineLvl w:val="0"/>
        <w:rPr>
          <w:rFonts w:ascii="Times New Roman" w:hAnsi="Times New Roman"/>
          <w:sz w:val="24"/>
        </w:rPr>
      </w:pPr>
      <w:r>
        <w:rPr>
          <w:rFonts w:hint="eastAsia" w:ascii="Times New Roman" w:hAnsi="Times New Roman"/>
          <w:sz w:val="24"/>
        </w:rPr>
        <w:t>15</w:t>
      </w:r>
      <w:r>
        <w:rPr>
          <w:rFonts w:ascii="Times New Roman" w:hAnsi="Times New Roman"/>
          <w:sz w:val="24"/>
        </w:rPr>
        <w:t>、《土地复垦</w:t>
      </w:r>
      <w:r>
        <w:fldChar w:fldCharType="begin"/>
      </w:r>
      <w:r>
        <w:instrText xml:space="preserve"> HYPERLINK "http://baike.baidu.com/view/467316.htm" \t "_blank" </w:instrText>
      </w:r>
      <w:r>
        <w:fldChar w:fldCharType="separate"/>
      </w:r>
      <w:r>
        <w:rPr>
          <w:rFonts w:ascii="Times New Roman" w:hAnsi="Times New Roman"/>
          <w:sz w:val="24"/>
        </w:rPr>
        <w:t>条例</w:t>
      </w:r>
      <w:r>
        <w:rPr>
          <w:rFonts w:ascii="Times New Roman" w:hAnsi="Times New Roman"/>
          <w:sz w:val="24"/>
        </w:rPr>
        <w:fldChar w:fldCharType="end"/>
      </w:r>
      <w:r>
        <w:rPr>
          <w:rFonts w:ascii="Times New Roman" w:hAnsi="Times New Roman"/>
          <w:sz w:val="24"/>
        </w:rPr>
        <w:t>》（2011年3月5日）；</w:t>
      </w:r>
    </w:p>
    <w:p>
      <w:pPr>
        <w:spacing w:line="360" w:lineRule="auto"/>
        <w:ind w:firstLine="480" w:firstLineChars="200"/>
        <w:rPr>
          <w:rFonts w:ascii="Times New Roman" w:hAnsi="Times New Roman"/>
          <w:sz w:val="24"/>
        </w:rPr>
      </w:pPr>
      <w:r>
        <w:rPr>
          <w:rFonts w:hint="eastAsia" w:ascii="Times New Roman" w:hAnsi="Times New Roman"/>
          <w:sz w:val="24"/>
        </w:rPr>
        <w:t>16</w:t>
      </w:r>
      <w:r>
        <w:rPr>
          <w:rFonts w:ascii="Times New Roman" w:hAnsi="Times New Roman"/>
          <w:sz w:val="24"/>
        </w:rPr>
        <w:t>、《</w:t>
      </w:r>
      <w:r>
        <w:fldChar w:fldCharType="begin"/>
      </w:r>
      <w:r>
        <w:instrText xml:space="preserve"> HYPERLINK "http://baike.baidu.com/view/9911526.htm" \t "_blank" </w:instrText>
      </w:r>
      <w:r>
        <w:fldChar w:fldCharType="separate"/>
      </w:r>
      <w:r>
        <w:rPr>
          <w:rFonts w:ascii="Times New Roman" w:hAnsi="Times New Roman"/>
          <w:sz w:val="24"/>
        </w:rPr>
        <w:t>土地复垦条例实施办法</w:t>
      </w:r>
      <w:r>
        <w:rPr>
          <w:rFonts w:ascii="Times New Roman" w:hAnsi="Times New Roman"/>
          <w:sz w:val="24"/>
        </w:rPr>
        <w:fldChar w:fldCharType="end"/>
      </w:r>
      <w:r>
        <w:rPr>
          <w:rFonts w:ascii="Times New Roman" w:hAnsi="Times New Roman"/>
          <w:sz w:val="24"/>
        </w:rPr>
        <w:t>》（2013年3月1日）；</w:t>
      </w:r>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7</w:t>
      </w:r>
      <w:r>
        <w:rPr>
          <w:rFonts w:ascii="Times New Roman" w:hAnsi="Times New Roman"/>
          <w:sz w:val="24"/>
        </w:rPr>
        <w:t>、《吉林省生态功能区划》；</w:t>
      </w:r>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8</w:t>
      </w:r>
      <w:r>
        <w:rPr>
          <w:rFonts w:ascii="Times New Roman" w:hAnsi="Times New Roman"/>
          <w:sz w:val="24"/>
        </w:rPr>
        <w:t>、《吉林省主体功能区划》；</w:t>
      </w:r>
    </w:p>
    <w:p>
      <w:pPr>
        <w:spacing w:line="360" w:lineRule="auto"/>
        <w:ind w:firstLine="480" w:firstLineChars="200"/>
        <w:rPr>
          <w:rFonts w:ascii="Times New Roman" w:hAnsi="Times New Roman"/>
          <w:bCs/>
          <w:sz w:val="24"/>
        </w:rPr>
      </w:pPr>
      <w:r>
        <w:rPr>
          <w:rFonts w:ascii="Times New Roman" w:hAnsi="Times New Roman"/>
          <w:bCs/>
          <w:sz w:val="24"/>
        </w:rPr>
        <w:t>1</w:t>
      </w:r>
      <w:r>
        <w:rPr>
          <w:rFonts w:hint="eastAsia" w:ascii="Times New Roman" w:hAnsi="Times New Roman"/>
          <w:bCs/>
          <w:sz w:val="24"/>
        </w:rPr>
        <w:t>9</w:t>
      </w:r>
      <w:r>
        <w:rPr>
          <w:rFonts w:ascii="Times New Roman" w:hAnsi="Times New Roman"/>
          <w:bCs/>
          <w:sz w:val="24"/>
        </w:rPr>
        <w:t>、《吉林省大气污染防治条例》（2016年7月1日）；</w:t>
      </w:r>
    </w:p>
    <w:p>
      <w:pPr>
        <w:spacing w:line="360" w:lineRule="auto"/>
        <w:ind w:firstLine="480" w:firstLineChars="200"/>
        <w:rPr>
          <w:rFonts w:ascii="Times New Roman" w:hAnsi="Times New Roman"/>
          <w:bCs/>
          <w:sz w:val="24"/>
        </w:rPr>
      </w:pPr>
      <w:r>
        <w:rPr>
          <w:rFonts w:hint="eastAsia" w:ascii="Times New Roman" w:hAnsi="Times New Roman"/>
          <w:bCs/>
          <w:sz w:val="24"/>
        </w:rPr>
        <w:t>20</w:t>
      </w:r>
      <w:r>
        <w:rPr>
          <w:rFonts w:ascii="Times New Roman" w:hAnsi="Times New Roman"/>
          <w:bCs/>
          <w:sz w:val="24"/>
        </w:rPr>
        <w:t>、</w:t>
      </w:r>
      <w:r>
        <w:rPr>
          <w:rFonts w:ascii="Times New Roman" w:hAnsi="Times New Roman"/>
          <w:bCs/>
          <w:sz w:val="24"/>
          <w:szCs w:val="21"/>
        </w:rPr>
        <w:t>《吉林省清洁空气行动计划（2016-2020）》（</w:t>
      </w:r>
      <w:r>
        <w:rPr>
          <w:rFonts w:ascii="Times New Roman" w:hAnsi="Times New Roman"/>
          <w:bCs/>
          <w:sz w:val="24"/>
        </w:rPr>
        <w:t>2016年5月23日</w:t>
      </w:r>
      <w:r>
        <w:rPr>
          <w:rFonts w:ascii="Times New Roman" w:hAnsi="Times New Roman"/>
          <w:bCs/>
          <w:sz w:val="24"/>
          <w:szCs w:val="21"/>
        </w:rPr>
        <w:t>）；</w:t>
      </w:r>
    </w:p>
    <w:p>
      <w:pPr>
        <w:spacing w:line="360" w:lineRule="auto"/>
        <w:ind w:firstLine="480" w:firstLineChars="200"/>
        <w:rPr>
          <w:rFonts w:ascii="Times New Roman" w:hAnsi="Times New Roman"/>
          <w:bCs/>
          <w:sz w:val="24"/>
          <w:szCs w:val="21"/>
        </w:rPr>
      </w:pPr>
      <w:r>
        <w:rPr>
          <w:rFonts w:hint="eastAsia" w:ascii="Times New Roman" w:hAnsi="Times New Roman"/>
          <w:bCs/>
          <w:sz w:val="24"/>
          <w:szCs w:val="21"/>
        </w:rPr>
        <w:t>21</w:t>
      </w:r>
      <w:r>
        <w:rPr>
          <w:rFonts w:ascii="Times New Roman" w:hAnsi="Times New Roman"/>
          <w:bCs/>
          <w:sz w:val="24"/>
          <w:szCs w:val="21"/>
        </w:rPr>
        <w:t>、《吉林省清洁水体行动计划（2016-2020）》（</w:t>
      </w:r>
      <w:r>
        <w:rPr>
          <w:rFonts w:ascii="Times New Roman" w:hAnsi="Times New Roman"/>
          <w:bCs/>
          <w:sz w:val="24"/>
        </w:rPr>
        <w:t>2016年5月23日</w:t>
      </w:r>
      <w:r>
        <w:rPr>
          <w:rFonts w:ascii="Times New Roman" w:hAnsi="Times New Roman"/>
          <w:bCs/>
          <w:sz w:val="24"/>
          <w:szCs w:val="21"/>
        </w:rPr>
        <w:t>）；</w:t>
      </w:r>
    </w:p>
    <w:p>
      <w:pPr>
        <w:spacing w:line="360" w:lineRule="auto"/>
        <w:ind w:firstLine="480" w:firstLineChars="200"/>
        <w:rPr>
          <w:rFonts w:ascii="Times New Roman" w:hAnsi="Times New Roman"/>
          <w:bCs/>
          <w:sz w:val="24"/>
          <w:szCs w:val="21"/>
        </w:rPr>
      </w:pPr>
      <w:r>
        <w:rPr>
          <w:rFonts w:hint="eastAsia" w:ascii="Times New Roman" w:hAnsi="Times New Roman"/>
          <w:bCs/>
          <w:sz w:val="24"/>
          <w:szCs w:val="21"/>
        </w:rPr>
        <w:t>22</w:t>
      </w:r>
      <w:r>
        <w:rPr>
          <w:rFonts w:ascii="Times New Roman" w:hAnsi="Times New Roman"/>
          <w:bCs/>
          <w:sz w:val="24"/>
          <w:szCs w:val="21"/>
        </w:rPr>
        <w:t>、《吉林省清洁土壤行动计划（2016-2020）》（</w:t>
      </w:r>
      <w:r>
        <w:rPr>
          <w:rFonts w:ascii="Times New Roman" w:hAnsi="Times New Roman"/>
          <w:bCs/>
          <w:sz w:val="24"/>
        </w:rPr>
        <w:t>2016年11月28日</w:t>
      </w:r>
      <w:r>
        <w:rPr>
          <w:rFonts w:ascii="Times New Roman" w:hAnsi="Times New Roman"/>
          <w:bCs/>
          <w:sz w:val="24"/>
          <w:szCs w:val="21"/>
        </w:rPr>
        <w:t>）；</w:t>
      </w:r>
    </w:p>
    <w:p>
      <w:pPr>
        <w:spacing w:line="360" w:lineRule="auto"/>
        <w:ind w:firstLine="480" w:firstLineChars="200"/>
        <w:rPr>
          <w:rFonts w:ascii="Times New Roman" w:hAnsi="Times New Roman"/>
          <w:bCs/>
          <w:sz w:val="24"/>
          <w:szCs w:val="21"/>
        </w:rPr>
      </w:pPr>
      <w:r>
        <w:rPr>
          <w:rFonts w:ascii="Times New Roman" w:hAnsi="Times New Roman"/>
          <w:bCs/>
          <w:sz w:val="24"/>
          <w:szCs w:val="21"/>
        </w:rPr>
        <w:t>2</w:t>
      </w:r>
      <w:r>
        <w:rPr>
          <w:rFonts w:hint="eastAsia" w:ascii="Times New Roman" w:hAnsi="Times New Roman"/>
          <w:bCs/>
          <w:sz w:val="24"/>
          <w:szCs w:val="21"/>
        </w:rPr>
        <w:t>3</w:t>
      </w:r>
      <w:r>
        <w:rPr>
          <w:rFonts w:ascii="Times New Roman" w:hAnsi="Times New Roman"/>
          <w:bCs/>
          <w:sz w:val="24"/>
          <w:szCs w:val="21"/>
        </w:rPr>
        <w:t>、《吉林省落实大气污染防治行动计划实施细则》（</w:t>
      </w:r>
      <w:r>
        <w:rPr>
          <w:rFonts w:ascii="Times New Roman" w:hAnsi="Times New Roman"/>
          <w:bCs/>
          <w:sz w:val="24"/>
        </w:rPr>
        <w:t>2013年12月24日</w:t>
      </w:r>
      <w:r>
        <w:rPr>
          <w:rFonts w:ascii="Times New Roman" w:hAnsi="Times New Roman"/>
          <w:bCs/>
          <w:sz w:val="24"/>
          <w:szCs w:val="21"/>
        </w:rPr>
        <w:t>）；</w:t>
      </w:r>
    </w:p>
    <w:p>
      <w:pPr>
        <w:spacing w:line="360" w:lineRule="auto"/>
        <w:ind w:firstLine="480" w:firstLineChars="200"/>
        <w:rPr>
          <w:rFonts w:ascii="Times New Roman" w:hAnsi="Times New Roman"/>
          <w:bCs/>
          <w:sz w:val="24"/>
          <w:szCs w:val="21"/>
        </w:rPr>
      </w:pPr>
      <w:r>
        <w:rPr>
          <w:rFonts w:ascii="Times New Roman" w:hAnsi="Times New Roman"/>
          <w:bCs/>
          <w:sz w:val="24"/>
          <w:szCs w:val="21"/>
        </w:rPr>
        <w:t>2</w:t>
      </w:r>
      <w:r>
        <w:rPr>
          <w:rFonts w:hint="eastAsia" w:ascii="Times New Roman" w:hAnsi="Times New Roman"/>
          <w:bCs/>
          <w:sz w:val="24"/>
          <w:szCs w:val="21"/>
        </w:rPr>
        <w:t>4</w:t>
      </w:r>
      <w:r>
        <w:rPr>
          <w:rFonts w:ascii="Times New Roman" w:hAnsi="Times New Roman"/>
          <w:bCs/>
          <w:sz w:val="24"/>
          <w:szCs w:val="21"/>
        </w:rPr>
        <w:t>、《吉林省落实水污染防治行动计划工作方案》（</w:t>
      </w:r>
      <w:r>
        <w:rPr>
          <w:rFonts w:ascii="Times New Roman" w:hAnsi="Times New Roman"/>
          <w:bCs/>
          <w:sz w:val="24"/>
        </w:rPr>
        <w:t>2015年12月29日</w:t>
      </w:r>
      <w:r>
        <w:rPr>
          <w:rFonts w:ascii="Times New Roman" w:hAnsi="Times New Roman"/>
          <w:bCs/>
          <w:sz w:val="24"/>
          <w:szCs w:val="21"/>
        </w:rPr>
        <w:t>）；</w:t>
      </w:r>
    </w:p>
    <w:p>
      <w:pPr>
        <w:spacing w:line="360" w:lineRule="auto"/>
        <w:ind w:firstLine="480" w:firstLineChars="200"/>
        <w:rPr>
          <w:rFonts w:ascii="Times New Roman" w:hAnsi="Times New Roman"/>
          <w:bCs/>
          <w:sz w:val="24"/>
          <w:szCs w:val="21"/>
        </w:rPr>
      </w:pPr>
      <w:r>
        <w:rPr>
          <w:rFonts w:ascii="Times New Roman" w:hAnsi="Times New Roman"/>
          <w:bCs/>
          <w:sz w:val="24"/>
          <w:szCs w:val="21"/>
        </w:rPr>
        <w:t>2</w:t>
      </w:r>
      <w:r>
        <w:rPr>
          <w:rFonts w:hint="eastAsia" w:ascii="Times New Roman" w:hAnsi="Times New Roman"/>
          <w:bCs/>
          <w:sz w:val="24"/>
          <w:szCs w:val="21"/>
        </w:rPr>
        <w:t>5</w:t>
      </w:r>
      <w:r>
        <w:rPr>
          <w:rFonts w:ascii="Times New Roman" w:hAnsi="Times New Roman"/>
          <w:bCs/>
          <w:sz w:val="24"/>
          <w:szCs w:val="21"/>
        </w:rPr>
        <w:t>、吉政发[2016]40号《吉林省人民政府关于印发吉林省清洁土壤行动计划的通知》（2016年11月28日）；</w:t>
      </w:r>
    </w:p>
    <w:p>
      <w:pPr>
        <w:spacing w:line="360" w:lineRule="auto"/>
        <w:ind w:firstLine="480" w:firstLineChars="200"/>
        <w:rPr>
          <w:rFonts w:ascii="Times New Roman" w:hAnsi="Times New Roman"/>
          <w:bCs/>
          <w:sz w:val="24"/>
          <w:szCs w:val="21"/>
        </w:rPr>
      </w:pPr>
      <w:r>
        <w:rPr>
          <w:rFonts w:ascii="Times New Roman" w:hAnsi="Times New Roman"/>
          <w:bCs/>
          <w:sz w:val="24"/>
          <w:szCs w:val="21"/>
        </w:rPr>
        <w:t>2</w:t>
      </w:r>
      <w:r>
        <w:rPr>
          <w:rFonts w:hint="eastAsia" w:ascii="Times New Roman" w:hAnsi="Times New Roman"/>
          <w:bCs/>
          <w:sz w:val="24"/>
          <w:szCs w:val="21"/>
        </w:rPr>
        <w:t>6</w:t>
      </w:r>
      <w:r>
        <w:rPr>
          <w:rFonts w:ascii="Times New Roman" w:hAnsi="Times New Roman"/>
          <w:bCs/>
          <w:sz w:val="24"/>
          <w:szCs w:val="21"/>
        </w:rPr>
        <w:t>、</w:t>
      </w:r>
      <w:r>
        <w:rPr>
          <w:rFonts w:hint="eastAsia" w:ascii="Times New Roman" w:hAnsi="Times New Roman"/>
          <w:bCs/>
          <w:sz w:val="24"/>
          <w:szCs w:val="21"/>
        </w:rPr>
        <w:t>吉政发[2003]11号《吉林省人民政府关于印发吉林省生态环境保护规划的通知》</w:t>
      </w:r>
      <w:r>
        <w:rPr>
          <w:rFonts w:ascii="Times New Roman" w:hAnsi="Times New Roman"/>
          <w:bCs/>
          <w:sz w:val="24"/>
          <w:szCs w:val="21"/>
        </w:rPr>
        <w:t>（2003年3月4日）；</w:t>
      </w:r>
    </w:p>
    <w:p>
      <w:pPr>
        <w:spacing w:line="360" w:lineRule="auto"/>
        <w:ind w:firstLine="480" w:firstLineChars="200"/>
        <w:rPr>
          <w:rFonts w:ascii="Times New Roman" w:hAnsi="Times New Roman"/>
          <w:bCs/>
          <w:sz w:val="24"/>
          <w:szCs w:val="21"/>
        </w:rPr>
      </w:pPr>
      <w:r>
        <w:rPr>
          <w:rFonts w:ascii="Times New Roman" w:hAnsi="Times New Roman"/>
          <w:bCs/>
          <w:sz w:val="24"/>
          <w:szCs w:val="21"/>
        </w:rPr>
        <w:t>2</w:t>
      </w:r>
      <w:r>
        <w:rPr>
          <w:rFonts w:hint="eastAsia" w:ascii="Times New Roman" w:hAnsi="Times New Roman"/>
          <w:bCs/>
          <w:sz w:val="24"/>
          <w:szCs w:val="21"/>
        </w:rPr>
        <w:t>7</w:t>
      </w:r>
      <w:r>
        <w:rPr>
          <w:rFonts w:ascii="Times New Roman" w:hAnsi="Times New Roman"/>
          <w:bCs/>
          <w:sz w:val="24"/>
          <w:szCs w:val="21"/>
        </w:rPr>
        <w:t>、《吉林省</w:t>
      </w:r>
      <w:r>
        <w:rPr>
          <w:rFonts w:hint="eastAsia" w:ascii="Times New Roman" w:hAnsi="Times New Roman"/>
          <w:bCs/>
          <w:sz w:val="24"/>
          <w:szCs w:val="21"/>
        </w:rPr>
        <w:t>“</w:t>
      </w:r>
      <w:r>
        <w:rPr>
          <w:rFonts w:ascii="Times New Roman" w:hAnsi="Times New Roman"/>
          <w:bCs/>
          <w:sz w:val="24"/>
          <w:szCs w:val="21"/>
        </w:rPr>
        <w:t>十三五</w:t>
      </w:r>
      <w:r>
        <w:rPr>
          <w:rFonts w:hint="eastAsia" w:ascii="Times New Roman" w:hAnsi="Times New Roman"/>
          <w:bCs/>
          <w:sz w:val="24"/>
          <w:szCs w:val="21"/>
        </w:rPr>
        <w:t>”</w:t>
      </w:r>
      <w:r>
        <w:rPr>
          <w:rFonts w:ascii="Times New Roman" w:hAnsi="Times New Roman"/>
          <w:bCs/>
          <w:sz w:val="24"/>
          <w:szCs w:val="21"/>
        </w:rPr>
        <w:t>环境保护规划》（2017年1月20日）；</w:t>
      </w:r>
    </w:p>
    <w:p>
      <w:pPr>
        <w:spacing w:line="360" w:lineRule="auto"/>
        <w:ind w:firstLine="480" w:firstLineChars="200"/>
        <w:rPr>
          <w:rFonts w:ascii="Times New Roman" w:hAnsi="Times New Roman"/>
          <w:bCs/>
          <w:sz w:val="24"/>
          <w:szCs w:val="21"/>
        </w:rPr>
      </w:pPr>
      <w:r>
        <w:rPr>
          <w:rFonts w:ascii="Times New Roman" w:hAnsi="Times New Roman"/>
          <w:bCs/>
          <w:sz w:val="24"/>
          <w:szCs w:val="21"/>
        </w:rPr>
        <w:t>2</w:t>
      </w:r>
      <w:r>
        <w:rPr>
          <w:rFonts w:hint="eastAsia" w:ascii="Times New Roman" w:hAnsi="Times New Roman"/>
          <w:bCs/>
          <w:sz w:val="24"/>
          <w:szCs w:val="21"/>
        </w:rPr>
        <w:t>8</w:t>
      </w:r>
      <w:r>
        <w:rPr>
          <w:rFonts w:ascii="Times New Roman" w:hAnsi="Times New Roman"/>
          <w:bCs/>
          <w:sz w:val="24"/>
          <w:szCs w:val="21"/>
        </w:rPr>
        <w:t>、</w:t>
      </w:r>
      <w:r>
        <w:rPr>
          <w:rFonts w:ascii="Times New Roman" w:hAnsi="Times New Roman"/>
          <w:sz w:val="24"/>
        </w:rPr>
        <w:t>《吉林省矿产资源总体规划（2016-2020）》</w:t>
      </w:r>
      <w:r>
        <w:rPr>
          <w:rFonts w:ascii="Times New Roman" w:hAnsi="Times New Roman"/>
          <w:bCs/>
          <w:sz w:val="24"/>
          <w:szCs w:val="21"/>
        </w:rPr>
        <w:t>（</w:t>
      </w:r>
      <w:r>
        <w:rPr>
          <w:rFonts w:ascii="Times New Roman" w:hAnsi="Times New Roman"/>
          <w:bCs/>
          <w:sz w:val="24"/>
        </w:rPr>
        <w:t>2016年12月，送审稿</w:t>
      </w:r>
      <w:r>
        <w:rPr>
          <w:rFonts w:ascii="Times New Roman" w:hAnsi="Times New Roman"/>
          <w:bCs/>
          <w:sz w:val="24"/>
          <w:szCs w:val="21"/>
        </w:rPr>
        <w:t>）；</w:t>
      </w:r>
    </w:p>
    <w:p>
      <w:pPr>
        <w:spacing w:line="360" w:lineRule="auto"/>
        <w:ind w:firstLine="480" w:firstLineChars="200"/>
        <w:rPr>
          <w:rFonts w:ascii="Times New Roman" w:hAnsi="Times New Roman"/>
          <w:bCs/>
          <w:sz w:val="24"/>
          <w:szCs w:val="21"/>
        </w:rPr>
      </w:pPr>
      <w:r>
        <w:rPr>
          <w:rFonts w:ascii="Times New Roman" w:hAnsi="Times New Roman"/>
          <w:bCs/>
          <w:sz w:val="24"/>
          <w:szCs w:val="21"/>
        </w:rPr>
        <w:t>29、环办[2014]30号《关于落实大气污染防治行动计划严格环境影响评价准入的通知》（2014</w:t>
      </w:r>
      <w:r>
        <w:rPr>
          <w:rFonts w:hint="eastAsia" w:ascii="Times New Roman" w:hAnsi="Times New Roman"/>
          <w:bCs/>
          <w:sz w:val="24"/>
          <w:szCs w:val="21"/>
        </w:rPr>
        <w:t>年</w:t>
      </w:r>
      <w:r>
        <w:rPr>
          <w:rFonts w:ascii="Times New Roman" w:hAnsi="Times New Roman"/>
          <w:bCs/>
          <w:sz w:val="24"/>
          <w:szCs w:val="21"/>
        </w:rPr>
        <w:t>3</w:t>
      </w:r>
      <w:r>
        <w:rPr>
          <w:rFonts w:hint="eastAsia" w:ascii="Times New Roman" w:hAnsi="Times New Roman"/>
          <w:bCs/>
          <w:sz w:val="24"/>
          <w:szCs w:val="21"/>
        </w:rPr>
        <w:t>月</w:t>
      </w:r>
      <w:r>
        <w:rPr>
          <w:rFonts w:ascii="Times New Roman" w:hAnsi="Times New Roman"/>
          <w:bCs/>
          <w:sz w:val="24"/>
          <w:szCs w:val="21"/>
        </w:rPr>
        <w:t>25</w:t>
      </w:r>
      <w:r>
        <w:rPr>
          <w:rFonts w:hint="eastAsia" w:ascii="Times New Roman" w:hAnsi="Times New Roman"/>
          <w:bCs/>
          <w:sz w:val="24"/>
          <w:szCs w:val="21"/>
        </w:rPr>
        <w:t>日</w:t>
      </w:r>
      <w:r>
        <w:rPr>
          <w:rFonts w:ascii="Times New Roman" w:hAnsi="Times New Roman"/>
          <w:bCs/>
          <w:sz w:val="24"/>
          <w:szCs w:val="21"/>
        </w:rPr>
        <w:t>）；</w:t>
      </w:r>
    </w:p>
    <w:p>
      <w:pPr>
        <w:pStyle w:val="5"/>
        <w:spacing w:before="0" w:after="0" w:line="360" w:lineRule="auto"/>
        <w:rPr>
          <w:sz w:val="24"/>
          <w:szCs w:val="24"/>
        </w:rPr>
      </w:pPr>
      <w:bookmarkStart w:id="57" w:name="_Toc29291"/>
      <w:bookmarkStart w:id="58" w:name="_Toc7735"/>
      <w:bookmarkStart w:id="59" w:name="_Toc8980"/>
      <w:r>
        <w:rPr>
          <w:rFonts w:hint="eastAsia"/>
          <w:sz w:val="24"/>
          <w:szCs w:val="24"/>
        </w:rPr>
        <w:t>2.1.3</w:t>
      </w:r>
      <w:r>
        <w:rPr>
          <w:sz w:val="24"/>
          <w:szCs w:val="24"/>
        </w:rPr>
        <w:t>技术导则</w:t>
      </w:r>
      <w:r>
        <w:rPr>
          <w:rFonts w:hint="eastAsia"/>
          <w:sz w:val="24"/>
          <w:szCs w:val="24"/>
        </w:rPr>
        <w:t>及技术规范</w:t>
      </w:r>
      <w:bookmarkEnd w:id="57"/>
      <w:bookmarkEnd w:id="58"/>
      <w:bookmarkEnd w:id="59"/>
    </w:p>
    <w:p>
      <w:pPr>
        <w:spacing w:line="360" w:lineRule="auto"/>
        <w:ind w:firstLine="480" w:firstLineChars="200"/>
        <w:rPr>
          <w:rFonts w:ascii="Times New Roman" w:hAnsi="Times New Roman"/>
          <w:sz w:val="24"/>
        </w:rPr>
      </w:pPr>
      <w:r>
        <w:rPr>
          <w:rFonts w:hint="eastAsia" w:ascii="Times New Roman" w:hAnsi="宋体"/>
          <w:sz w:val="24"/>
        </w:rPr>
        <w:t>1、</w:t>
      </w:r>
      <w:r>
        <w:rPr>
          <w:rFonts w:ascii="Times New Roman" w:hAnsi="Times New Roman"/>
          <w:sz w:val="24"/>
        </w:rPr>
        <w:t>《建设项目环境影响评价技术导则-总纲》（HJ2.1-2016）；</w:t>
      </w:r>
    </w:p>
    <w:p>
      <w:pPr>
        <w:spacing w:line="360" w:lineRule="auto"/>
        <w:ind w:firstLine="480" w:firstLineChars="200"/>
        <w:outlineLvl w:val="0"/>
        <w:rPr>
          <w:rFonts w:ascii="Times New Roman" w:hAnsi="Times New Roman"/>
          <w:sz w:val="24"/>
        </w:rPr>
      </w:pPr>
      <w:r>
        <w:rPr>
          <w:rFonts w:hint="eastAsia" w:ascii="Times New Roman" w:hAnsi="宋体"/>
          <w:sz w:val="24"/>
        </w:rPr>
        <w:t>2、</w:t>
      </w:r>
      <w:r>
        <w:rPr>
          <w:rFonts w:ascii="Times New Roman" w:hAnsi="Times New Roman"/>
          <w:sz w:val="24"/>
        </w:rPr>
        <w:t>《环境影响评价技术导则-大气环境》（HJ2.2-20</w:t>
      </w:r>
      <w:r>
        <w:rPr>
          <w:rFonts w:hint="eastAsia" w:ascii="Times New Roman" w:hAnsi="Times New Roman"/>
          <w:sz w:val="24"/>
        </w:rPr>
        <w:t>1</w:t>
      </w:r>
      <w:r>
        <w:rPr>
          <w:rFonts w:ascii="Times New Roman" w:hAnsi="Times New Roman"/>
          <w:sz w:val="24"/>
        </w:rPr>
        <w:t>8）；</w:t>
      </w:r>
    </w:p>
    <w:p>
      <w:pPr>
        <w:spacing w:line="360" w:lineRule="auto"/>
        <w:ind w:firstLine="480" w:firstLineChars="200"/>
        <w:rPr>
          <w:rFonts w:ascii="Times New Roman" w:hAnsi="Times New Roman"/>
          <w:sz w:val="24"/>
        </w:rPr>
      </w:pPr>
      <w:r>
        <w:rPr>
          <w:rFonts w:hint="eastAsia" w:ascii="Times New Roman" w:hAnsi="宋体"/>
          <w:sz w:val="24"/>
        </w:rPr>
        <w:t>3、</w:t>
      </w:r>
      <w:r>
        <w:rPr>
          <w:rFonts w:ascii="Times New Roman" w:hAnsi="Times New Roman"/>
          <w:sz w:val="24"/>
        </w:rPr>
        <w:t>《环境影响评价技术导则-地面水环境》（HJ/T2.3-93）；</w:t>
      </w:r>
    </w:p>
    <w:p>
      <w:pPr>
        <w:spacing w:line="360" w:lineRule="auto"/>
        <w:ind w:firstLine="480" w:firstLineChars="200"/>
        <w:outlineLvl w:val="0"/>
        <w:rPr>
          <w:rFonts w:ascii="Times New Roman" w:hAnsi="Times New Roman"/>
          <w:sz w:val="24"/>
        </w:rPr>
      </w:pPr>
      <w:r>
        <w:rPr>
          <w:rFonts w:hint="eastAsia" w:ascii="Times New Roman" w:hAnsi="宋体"/>
          <w:sz w:val="24"/>
        </w:rPr>
        <w:t>4、</w:t>
      </w:r>
      <w:r>
        <w:rPr>
          <w:rFonts w:ascii="Times New Roman" w:hAnsi="Times New Roman"/>
          <w:sz w:val="24"/>
        </w:rPr>
        <w:t>《环境影响评价技术导则-声环境》（HJ2.4-2009）；</w:t>
      </w:r>
    </w:p>
    <w:p>
      <w:pPr>
        <w:spacing w:line="360" w:lineRule="auto"/>
        <w:ind w:firstLine="480" w:firstLineChars="200"/>
        <w:rPr>
          <w:rFonts w:ascii="Times New Roman" w:hAnsi="Times New Roman"/>
          <w:sz w:val="24"/>
        </w:rPr>
      </w:pPr>
      <w:r>
        <w:rPr>
          <w:rFonts w:hint="eastAsia" w:ascii="Times New Roman" w:hAnsi="宋体"/>
          <w:sz w:val="24"/>
        </w:rPr>
        <w:t>5、</w:t>
      </w:r>
      <w:r>
        <w:rPr>
          <w:rFonts w:ascii="Times New Roman" w:hAnsi="Times New Roman"/>
          <w:sz w:val="24"/>
        </w:rPr>
        <w:t>《建设项目环境风险评价技术导则》（HJ/T169-2004）；</w:t>
      </w:r>
    </w:p>
    <w:p>
      <w:pPr>
        <w:spacing w:line="360" w:lineRule="auto"/>
        <w:ind w:firstLine="480" w:firstLineChars="200"/>
        <w:outlineLvl w:val="0"/>
        <w:rPr>
          <w:rFonts w:ascii="Times New Roman" w:hAnsi="Times New Roman"/>
          <w:sz w:val="24"/>
        </w:rPr>
      </w:pPr>
      <w:r>
        <w:rPr>
          <w:rFonts w:hint="eastAsia" w:ascii="Times New Roman" w:hAnsi="宋体"/>
          <w:sz w:val="24"/>
        </w:rPr>
        <w:t>6、</w:t>
      </w:r>
      <w:r>
        <w:rPr>
          <w:rFonts w:ascii="Times New Roman" w:hAnsi="Times New Roman"/>
          <w:sz w:val="24"/>
        </w:rPr>
        <w:t>《环境影响评价技术导则 地下水环境》（HJ 610-2016）；</w:t>
      </w:r>
    </w:p>
    <w:p>
      <w:pPr>
        <w:spacing w:line="360" w:lineRule="auto"/>
        <w:ind w:firstLine="480" w:firstLineChars="200"/>
        <w:rPr>
          <w:rFonts w:ascii="Times New Roman" w:hAnsi="Times New Roman"/>
          <w:sz w:val="24"/>
        </w:rPr>
      </w:pPr>
      <w:r>
        <w:rPr>
          <w:rFonts w:hint="eastAsia" w:ascii="Times New Roman" w:hAnsi="宋体"/>
          <w:sz w:val="24"/>
        </w:rPr>
        <w:t>7、</w:t>
      </w:r>
      <w:r>
        <w:rPr>
          <w:rFonts w:ascii="Times New Roman" w:hAnsi="Times New Roman"/>
          <w:sz w:val="24"/>
        </w:rPr>
        <w:t>《环境影响评价技术导则 生态影响》（HJ19-2011）；</w:t>
      </w:r>
    </w:p>
    <w:p>
      <w:pPr>
        <w:spacing w:line="360" w:lineRule="auto"/>
        <w:ind w:firstLine="480" w:firstLineChars="200"/>
        <w:rPr>
          <w:rFonts w:ascii="Times New Roman" w:hAnsi="Times New Roman"/>
          <w:sz w:val="24"/>
        </w:rPr>
      </w:pPr>
      <w:r>
        <w:rPr>
          <w:rFonts w:hint="eastAsia" w:ascii="Times New Roman" w:hAnsi="宋体"/>
          <w:sz w:val="24"/>
        </w:rPr>
        <w:t>8、</w:t>
      </w:r>
      <w:r>
        <w:rPr>
          <w:rFonts w:ascii="Times New Roman" w:hAnsi="Times New Roman"/>
          <w:sz w:val="24"/>
        </w:rPr>
        <w:t>《建设项目危险废物环境影响评价指南》环境保护部2017年43号公告；</w:t>
      </w:r>
    </w:p>
    <w:p>
      <w:pPr>
        <w:spacing w:line="360" w:lineRule="auto"/>
        <w:ind w:firstLine="480" w:firstLineChars="200"/>
        <w:outlineLvl w:val="0"/>
        <w:rPr>
          <w:rFonts w:ascii="Times New Roman" w:hAnsi="Times New Roman"/>
          <w:sz w:val="24"/>
        </w:rPr>
      </w:pPr>
      <w:r>
        <w:rPr>
          <w:rFonts w:hint="eastAsia" w:ascii="Times New Roman" w:hAnsi="Times New Roman"/>
          <w:sz w:val="24"/>
        </w:rPr>
        <w:t>9、</w:t>
      </w:r>
      <w:r>
        <w:rPr>
          <w:rFonts w:ascii="Times New Roman" w:hAnsi="Times New Roman"/>
          <w:sz w:val="24"/>
        </w:rPr>
        <w:t>《开发建设项目水土保持技术规范》（GB50433</w:t>
      </w:r>
      <w:r>
        <w:rPr>
          <w:rFonts w:hint="eastAsia" w:ascii="Times New Roman" w:hAnsi="Times New Roman"/>
          <w:sz w:val="24"/>
        </w:rPr>
        <w:t>-</w:t>
      </w:r>
      <w:r>
        <w:rPr>
          <w:rFonts w:ascii="Times New Roman" w:hAnsi="Times New Roman"/>
          <w:sz w:val="24"/>
        </w:rPr>
        <w:t>2008）；</w:t>
      </w:r>
    </w:p>
    <w:p>
      <w:pPr>
        <w:spacing w:line="360" w:lineRule="auto"/>
        <w:ind w:firstLine="480" w:firstLineChars="200"/>
        <w:rPr>
          <w:rFonts w:ascii="Times New Roman" w:hAnsi="Times New Roman"/>
          <w:sz w:val="24"/>
        </w:rPr>
      </w:pPr>
      <w:r>
        <w:rPr>
          <w:rFonts w:hint="eastAsia" w:ascii="Times New Roman" w:hAnsi="Times New Roman"/>
          <w:sz w:val="24"/>
        </w:rPr>
        <w:t>10、</w:t>
      </w:r>
      <w:r>
        <w:rPr>
          <w:rFonts w:ascii="Times New Roman" w:hAnsi="Times New Roman"/>
          <w:sz w:val="24"/>
        </w:rPr>
        <w:t>《开发建设项目水土流失防治标准》（GB 50434</w:t>
      </w:r>
      <w:r>
        <w:rPr>
          <w:rFonts w:hint="eastAsia" w:ascii="Times New Roman" w:hAnsi="Times New Roman"/>
          <w:sz w:val="24"/>
        </w:rPr>
        <w:t>-</w:t>
      </w:r>
      <w:r>
        <w:rPr>
          <w:rFonts w:ascii="Times New Roman" w:hAnsi="Times New Roman"/>
          <w:sz w:val="24"/>
        </w:rPr>
        <w:t>2008）；</w:t>
      </w:r>
    </w:p>
    <w:p>
      <w:pPr>
        <w:spacing w:line="360" w:lineRule="auto"/>
        <w:ind w:firstLine="480" w:firstLineChars="200"/>
        <w:rPr>
          <w:rFonts w:ascii="Times New Roman" w:hAnsi="Times New Roman"/>
          <w:bCs/>
          <w:sz w:val="24"/>
          <w:szCs w:val="21"/>
        </w:rPr>
      </w:pPr>
      <w:r>
        <w:rPr>
          <w:rFonts w:hint="eastAsia" w:ascii="Times New Roman" w:hAnsi="Times New Roman"/>
          <w:bCs/>
          <w:sz w:val="24"/>
          <w:szCs w:val="21"/>
        </w:rPr>
        <w:t>11</w:t>
      </w:r>
      <w:r>
        <w:rPr>
          <w:rFonts w:ascii="Times New Roman" w:hAnsi="Times New Roman"/>
          <w:bCs/>
          <w:sz w:val="24"/>
          <w:szCs w:val="21"/>
        </w:rPr>
        <w:t>、《矿山生态环境保护与恢复治理技术规范（试行）》（HJ651-2013）；</w:t>
      </w:r>
    </w:p>
    <w:p>
      <w:pPr>
        <w:spacing w:line="360" w:lineRule="auto"/>
        <w:ind w:firstLine="480" w:firstLineChars="200"/>
        <w:rPr>
          <w:rFonts w:ascii="Times New Roman" w:hAnsi="Times New Roman"/>
          <w:sz w:val="24"/>
        </w:rPr>
      </w:pPr>
      <w:r>
        <w:rPr>
          <w:rFonts w:hint="eastAsia" w:ascii="Times New Roman" w:hAnsi="Times New Roman"/>
          <w:sz w:val="24"/>
        </w:rPr>
        <w:t>12、</w:t>
      </w:r>
      <w:r>
        <w:rPr>
          <w:rFonts w:ascii="Times New Roman" w:hAnsi="Times New Roman"/>
          <w:sz w:val="24"/>
        </w:rPr>
        <w:t>《尾矿库环境风险评估技术导则（试行）》（HJ740-2015）。</w:t>
      </w:r>
    </w:p>
    <w:p>
      <w:pPr>
        <w:pStyle w:val="5"/>
        <w:spacing w:before="0" w:after="0" w:line="360" w:lineRule="auto"/>
        <w:rPr>
          <w:sz w:val="24"/>
          <w:szCs w:val="24"/>
        </w:rPr>
      </w:pPr>
      <w:bookmarkStart w:id="60" w:name="_Toc5835"/>
      <w:bookmarkStart w:id="61" w:name="_Toc12699"/>
      <w:bookmarkStart w:id="62" w:name="_Toc24318"/>
      <w:r>
        <w:rPr>
          <w:sz w:val="24"/>
          <w:szCs w:val="24"/>
        </w:rPr>
        <w:t>2.1.4与本项目有关其他文件资料</w:t>
      </w:r>
      <w:bookmarkEnd w:id="60"/>
      <w:bookmarkEnd w:id="61"/>
      <w:bookmarkEnd w:id="62"/>
    </w:p>
    <w:p>
      <w:pPr>
        <w:spacing w:line="360" w:lineRule="auto"/>
        <w:ind w:firstLine="480" w:firstLineChars="200"/>
        <w:rPr>
          <w:rFonts w:ascii="Times New Roman" w:hAnsi="Times New Roman"/>
          <w:sz w:val="24"/>
          <w:szCs w:val="24"/>
        </w:rPr>
      </w:pPr>
      <w:r>
        <w:rPr>
          <w:rFonts w:ascii="Times New Roman" w:hAnsi="Times New Roman"/>
          <w:sz w:val="24"/>
          <w:szCs w:val="24"/>
        </w:rPr>
        <w:t>1、《白山市江源区五道羊岔铁矿有限责任公司五道羊岔铁矿尾矿库扩建项目可行性研究报告》，2018年5月；</w:t>
      </w:r>
    </w:p>
    <w:p>
      <w:pPr>
        <w:spacing w:line="360" w:lineRule="auto"/>
        <w:ind w:firstLine="480" w:firstLineChars="200"/>
        <w:rPr>
          <w:rFonts w:ascii="Times New Roman" w:hAnsi="Times New Roman"/>
          <w:sz w:val="24"/>
          <w:szCs w:val="24"/>
        </w:rPr>
      </w:pPr>
      <w:r>
        <w:rPr>
          <w:rFonts w:ascii="Times New Roman" w:hAnsi="Times New Roman"/>
          <w:sz w:val="24"/>
          <w:szCs w:val="24"/>
        </w:rPr>
        <w:t>2、东北煤炭工业环境保护研究所与长春市泷源环保科学咨询服务有限公司共同编制的《江源县五道阳岔铁矿选矿厂建设项目环境影响报告书》及环评批复，2005年9月；</w:t>
      </w:r>
    </w:p>
    <w:p>
      <w:pPr>
        <w:spacing w:line="360" w:lineRule="auto"/>
        <w:ind w:firstLine="480" w:firstLineChars="200"/>
        <w:rPr>
          <w:rFonts w:ascii="Times New Roman" w:hAnsi="Times New Roman"/>
          <w:sz w:val="24"/>
          <w:szCs w:val="24"/>
        </w:rPr>
      </w:pPr>
      <w:r>
        <w:rPr>
          <w:rFonts w:ascii="Times New Roman" w:hAnsi="Times New Roman"/>
          <w:sz w:val="24"/>
          <w:szCs w:val="24"/>
        </w:rPr>
        <w:t>3、白山市江源区环境保护局下达的江环验发[2012]12《江源县五道阳岔铁矿选矿厂建设项目竣工环境保护验收意见书》，2012年10月；</w:t>
      </w:r>
    </w:p>
    <w:p>
      <w:pPr>
        <w:spacing w:line="360" w:lineRule="auto"/>
        <w:ind w:firstLine="480" w:firstLineChars="200"/>
        <w:rPr>
          <w:rFonts w:ascii="Times New Roman" w:hAnsi="Times New Roman"/>
          <w:sz w:val="24"/>
          <w:szCs w:val="24"/>
        </w:rPr>
      </w:pPr>
      <w:r>
        <w:rPr>
          <w:rFonts w:ascii="Times New Roman" w:hAnsi="Times New Roman"/>
          <w:sz w:val="24"/>
          <w:szCs w:val="24"/>
        </w:rPr>
        <w:t>4、白山市江源区五道羊岔铁矿有限责任公司与吉林昊融技术开发有限公司签订的关于本项目环境影响评价技术咨询合同，2018年10月；</w:t>
      </w:r>
    </w:p>
    <w:p>
      <w:pPr>
        <w:spacing w:line="360" w:lineRule="auto"/>
        <w:ind w:firstLine="480" w:firstLineChars="200"/>
        <w:rPr>
          <w:rFonts w:ascii="Times New Roman" w:hAnsi="Times New Roman"/>
          <w:sz w:val="24"/>
          <w:szCs w:val="24"/>
        </w:rPr>
      </w:pPr>
      <w:r>
        <w:rPr>
          <w:rFonts w:ascii="Times New Roman" w:hAnsi="Times New Roman"/>
          <w:sz w:val="24"/>
          <w:szCs w:val="24"/>
        </w:rPr>
        <w:t>5、建设单位提供的其他资料。</w:t>
      </w:r>
    </w:p>
    <w:p>
      <w:pPr>
        <w:pStyle w:val="4"/>
        <w:rPr>
          <w:rFonts w:ascii="Times New Roman" w:hAnsi="Times New Roman" w:eastAsia="宋体"/>
          <w:color w:val="000000"/>
        </w:rPr>
      </w:pPr>
      <w:bookmarkStart w:id="63" w:name="_Toc11072"/>
      <w:bookmarkStart w:id="64" w:name="_Toc29223"/>
      <w:bookmarkStart w:id="65" w:name="_Toc16384"/>
      <w:r>
        <w:rPr>
          <w:rFonts w:ascii="Times New Roman" w:hAnsi="Times New Roman" w:eastAsia="宋体"/>
          <w:color w:val="000000"/>
        </w:rPr>
        <w:t>2.2评价因子与评价标准</w:t>
      </w:r>
      <w:bookmarkEnd w:id="63"/>
      <w:bookmarkEnd w:id="64"/>
      <w:bookmarkEnd w:id="65"/>
    </w:p>
    <w:p>
      <w:pPr>
        <w:pStyle w:val="5"/>
        <w:spacing w:before="0" w:after="0" w:line="360" w:lineRule="auto"/>
        <w:rPr>
          <w:sz w:val="24"/>
          <w:szCs w:val="24"/>
        </w:rPr>
      </w:pPr>
      <w:bookmarkStart w:id="66" w:name="_Toc26704"/>
      <w:bookmarkStart w:id="67" w:name="_Toc14285"/>
      <w:bookmarkStart w:id="68" w:name="_Toc28265"/>
      <w:r>
        <w:rPr>
          <w:sz w:val="24"/>
          <w:szCs w:val="24"/>
        </w:rPr>
        <w:t>2.2.1评价因子</w:t>
      </w:r>
      <w:bookmarkEnd w:id="66"/>
      <w:bookmarkEnd w:id="67"/>
      <w:bookmarkEnd w:id="68"/>
    </w:p>
    <w:p>
      <w:pPr>
        <w:spacing w:line="360" w:lineRule="auto"/>
        <w:rPr>
          <w:rFonts w:ascii="Times New Roman" w:hAnsi="Times New Roman"/>
          <w:color w:val="000000"/>
          <w:sz w:val="24"/>
          <w:szCs w:val="24"/>
        </w:rPr>
      </w:pPr>
      <w:r>
        <w:rPr>
          <w:rFonts w:ascii="Times New Roman" w:hAnsi="Times New Roman"/>
          <w:color w:val="000000"/>
          <w:sz w:val="24"/>
          <w:szCs w:val="24"/>
        </w:rPr>
        <w:t>2.2.1.1环境影响因素识别</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根据矿山开发项目的工程特点及本项目所在区域的环境特征分析，本项目在施工期、</w:t>
      </w:r>
      <w:r>
        <w:rPr>
          <w:rFonts w:hint="eastAsia" w:ascii="Times New Roman" w:hAnsi="Times New Roman"/>
          <w:color w:val="000000"/>
          <w:sz w:val="24"/>
          <w:szCs w:val="24"/>
        </w:rPr>
        <w:t>运营期</w:t>
      </w:r>
      <w:r>
        <w:rPr>
          <w:rFonts w:ascii="Times New Roman" w:hAnsi="Times New Roman"/>
          <w:color w:val="000000"/>
          <w:sz w:val="24"/>
          <w:szCs w:val="24"/>
        </w:rPr>
        <w:t>和闭矿期影响周围环境的因素主要有环境空气、地表水、地下水、声环境、固体废物、事故风险等。</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1、施工期影响主要表现为：</w:t>
      </w:r>
      <w:r>
        <w:rPr>
          <w:rFonts w:hint="eastAsia" w:ascii="Times New Roman" w:hAnsi="Times New Roman"/>
          <w:color w:val="000000"/>
          <w:sz w:val="24"/>
          <w:szCs w:val="24"/>
        </w:rPr>
        <w:t>土建</w:t>
      </w:r>
      <w:r>
        <w:rPr>
          <w:rFonts w:ascii="Times New Roman" w:hAnsi="Times New Roman"/>
          <w:color w:val="000000"/>
          <w:sz w:val="24"/>
          <w:szCs w:val="24"/>
        </w:rPr>
        <w:t>施工等</w:t>
      </w:r>
      <w:r>
        <w:rPr>
          <w:rFonts w:hint="eastAsia" w:ascii="Times New Roman" w:hAnsi="Times New Roman"/>
          <w:color w:val="000000"/>
          <w:sz w:val="24"/>
          <w:szCs w:val="24"/>
        </w:rPr>
        <w:t>过程</w:t>
      </w:r>
      <w:r>
        <w:rPr>
          <w:rFonts w:ascii="Times New Roman" w:hAnsi="Times New Roman"/>
          <w:color w:val="000000"/>
          <w:sz w:val="24"/>
          <w:szCs w:val="24"/>
        </w:rPr>
        <w:t>产生的施工扬尘、施工机械噪声、施工废水等对环境的影响，以及施工</w:t>
      </w:r>
      <w:r>
        <w:rPr>
          <w:rFonts w:hint="eastAsia" w:ascii="Times New Roman" w:hAnsi="Times New Roman"/>
          <w:color w:val="000000"/>
          <w:sz w:val="24"/>
          <w:szCs w:val="24"/>
        </w:rPr>
        <w:t>扬尘</w:t>
      </w:r>
      <w:r>
        <w:rPr>
          <w:rFonts w:ascii="Times New Roman" w:hAnsi="Times New Roman"/>
          <w:color w:val="000000"/>
          <w:sz w:val="24"/>
          <w:szCs w:val="24"/>
        </w:rPr>
        <w:t>对植被的</w:t>
      </w:r>
      <w:r>
        <w:rPr>
          <w:rFonts w:hint="eastAsia" w:ascii="Times New Roman" w:hAnsi="Times New Roman"/>
          <w:color w:val="000000"/>
          <w:sz w:val="24"/>
          <w:szCs w:val="24"/>
        </w:rPr>
        <w:t>不利</w:t>
      </w:r>
      <w:r>
        <w:rPr>
          <w:rFonts w:ascii="Times New Roman" w:hAnsi="Times New Roman"/>
          <w:color w:val="000000"/>
          <w:sz w:val="24"/>
          <w:szCs w:val="24"/>
        </w:rPr>
        <w:t>影响等。</w:t>
      </w:r>
    </w:p>
    <w:p>
      <w:pPr>
        <w:spacing w:line="360" w:lineRule="auto"/>
        <w:ind w:firstLine="480" w:firstLineChars="200"/>
        <w:rPr>
          <w:rFonts w:ascii="Times New Roman" w:hAnsi="Times New Roman"/>
          <w:sz w:val="24"/>
          <w:szCs w:val="24"/>
        </w:rPr>
      </w:pPr>
      <w:r>
        <w:rPr>
          <w:rFonts w:ascii="Times New Roman" w:hAnsi="Times New Roman"/>
          <w:sz w:val="24"/>
          <w:szCs w:val="24"/>
        </w:rPr>
        <w:t>2、运营期对环境的影响主要表现为：尾矿库</w:t>
      </w:r>
      <w:r>
        <w:rPr>
          <w:rFonts w:hint="eastAsia" w:ascii="Times New Roman" w:hAnsi="Times New Roman"/>
          <w:sz w:val="24"/>
          <w:szCs w:val="24"/>
        </w:rPr>
        <w:t>扬尘、胶带运输粉尘及运输扬尘</w:t>
      </w:r>
      <w:r>
        <w:rPr>
          <w:rFonts w:ascii="Times New Roman" w:hAnsi="Times New Roman"/>
          <w:sz w:val="24"/>
          <w:szCs w:val="24"/>
        </w:rPr>
        <w:t>对</w:t>
      </w:r>
      <w:r>
        <w:rPr>
          <w:rFonts w:hint="eastAsia" w:ascii="Times New Roman" w:hAnsi="Times New Roman"/>
          <w:sz w:val="24"/>
          <w:szCs w:val="24"/>
        </w:rPr>
        <w:t>大气</w:t>
      </w:r>
      <w:r>
        <w:rPr>
          <w:rFonts w:ascii="Times New Roman" w:hAnsi="Times New Roman"/>
          <w:sz w:val="24"/>
          <w:szCs w:val="24"/>
        </w:rPr>
        <w:t>环境</w:t>
      </w:r>
      <w:r>
        <w:rPr>
          <w:rFonts w:hint="eastAsia" w:ascii="Times New Roman" w:hAnsi="Times New Roman"/>
          <w:sz w:val="24"/>
          <w:szCs w:val="24"/>
        </w:rPr>
        <w:t>、水环境及生态环境</w:t>
      </w:r>
      <w:r>
        <w:rPr>
          <w:rFonts w:ascii="Times New Roman" w:hAnsi="Times New Roman"/>
          <w:sz w:val="24"/>
          <w:szCs w:val="24"/>
        </w:rPr>
        <w:t>的影响。</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3、闭矿期对环境的影响将会比运营期明显减弱，不利影响主要表现为尾矿库</w:t>
      </w:r>
      <w:r>
        <w:rPr>
          <w:rFonts w:hint="eastAsia" w:ascii="Times New Roman" w:hAnsi="Times New Roman"/>
          <w:color w:val="000000"/>
          <w:sz w:val="24"/>
          <w:szCs w:val="24"/>
        </w:rPr>
        <w:t>、选矿厂</w:t>
      </w:r>
      <w:r>
        <w:rPr>
          <w:rFonts w:ascii="Times New Roman" w:hAnsi="Times New Roman"/>
          <w:color w:val="000000"/>
          <w:sz w:val="24"/>
          <w:szCs w:val="24"/>
        </w:rPr>
        <w:t>在植被恢复前对土壤侵蚀的影响，以及扬尘对</w:t>
      </w:r>
      <w:r>
        <w:rPr>
          <w:rFonts w:hint="eastAsia" w:ascii="Times New Roman" w:hAnsi="Times New Roman"/>
          <w:color w:val="000000"/>
          <w:sz w:val="24"/>
          <w:szCs w:val="24"/>
        </w:rPr>
        <w:t>大气、生态</w:t>
      </w:r>
      <w:r>
        <w:rPr>
          <w:rFonts w:ascii="Times New Roman" w:hAnsi="Times New Roman"/>
          <w:color w:val="000000"/>
          <w:sz w:val="24"/>
          <w:szCs w:val="24"/>
        </w:rPr>
        <w:t>环境的影响等。</w:t>
      </w:r>
    </w:p>
    <w:p>
      <w:pPr>
        <w:spacing w:line="360" w:lineRule="auto"/>
        <w:ind w:firstLine="480"/>
        <w:rPr>
          <w:rFonts w:ascii="Times New Roman" w:hAnsi="Times New Roman"/>
          <w:sz w:val="24"/>
          <w:szCs w:val="24"/>
        </w:rPr>
      </w:pPr>
      <w:r>
        <w:rPr>
          <w:rFonts w:hint="eastAsia" w:ascii="Times New Roman" w:hAnsi="Times New Roman"/>
          <w:sz w:val="24"/>
          <w:szCs w:val="24"/>
        </w:rPr>
        <w:t>采用矩阵法对本项目产生的环境影响程度进行识别，详见下表。</w:t>
      </w:r>
    </w:p>
    <w:p>
      <w:pPr>
        <w:jc w:val="center"/>
        <w:rPr>
          <w:rFonts w:ascii="Times New Roman" w:hAnsi="Times New Roman"/>
          <w:b/>
          <w:sz w:val="24"/>
        </w:rPr>
      </w:pPr>
      <w:r>
        <w:rPr>
          <w:rFonts w:ascii="Times New Roman" w:hAnsi="Times New Roman"/>
          <w:b/>
          <w:sz w:val="24"/>
        </w:rPr>
        <w:t>表</w:t>
      </w:r>
      <w:r>
        <w:rPr>
          <w:rFonts w:hint="eastAsia" w:ascii="Times New Roman" w:hAnsi="Times New Roman"/>
          <w:b/>
          <w:sz w:val="24"/>
        </w:rPr>
        <w:t>2-</w:t>
      </w:r>
      <w:r>
        <w:rPr>
          <w:rFonts w:ascii="Times New Roman" w:hAnsi="Times New Roman"/>
          <w:b/>
          <w:sz w:val="24"/>
        </w:rPr>
        <w:t xml:space="preserve">1  </w:t>
      </w:r>
      <w:r>
        <w:rPr>
          <w:rFonts w:hint="eastAsia" w:ascii="Times New Roman" w:hAnsi="Times New Roman"/>
          <w:b/>
          <w:sz w:val="24"/>
        </w:rPr>
        <w:t>本项目</w:t>
      </w:r>
      <w:r>
        <w:rPr>
          <w:rFonts w:ascii="Times New Roman" w:hAnsi="Times New Roman"/>
          <w:b/>
          <w:sz w:val="24"/>
        </w:rPr>
        <w:t>全过程环境影响因素识别及筛选矩阵</w:t>
      </w:r>
      <w:r>
        <w:rPr>
          <w:rFonts w:hint="eastAsia" w:ascii="Times New Roman" w:hAnsi="Times New Roman"/>
          <w:b/>
          <w:sz w:val="24"/>
        </w:rPr>
        <w:t>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494"/>
        <w:gridCol w:w="5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73" w:type="dxa"/>
            <w:gridSpan w:val="2"/>
            <w:tcBorders>
              <w:top w:val="single" w:color="auto" w:sz="12" w:space="0"/>
              <w:left w:val="nil"/>
              <w:bottom w:val="single" w:color="auto" w:sz="4" w:space="0"/>
              <w:tl2br w:val="single" w:color="auto" w:sz="4" w:space="0"/>
            </w:tcBorders>
            <w:vAlign w:val="center"/>
          </w:tcPr>
          <w:p>
            <w:pPr>
              <w:pStyle w:val="56"/>
              <w:spacing w:line="240" w:lineRule="exact"/>
              <w:rPr>
                <w:color w:val="000000"/>
              </w:rPr>
            </w:pPr>
            <w:r>
              <w:rPr>
                <w:color w:val="000000"/>
              </w:rPr>
              <w:t xml:space="preserve">          污染环节</w:t>
            </w:r>
          </w:p>
          <w:p>
            <w:pPr>
              <w:pStyle w:val="56"/>
              <w:spacing w:line="240" w:lineRule="exact"/>
              <w:jc w:val="both"/>
              <w:rPr>
                <w:color w:val="000000"/>
              </w:rPr>
            </w:pPr>
            <w:r>
              <w:rPr>
                <w:color w:val="000000"/>
              </w:rPr>
              <w:t>环境要素</w:t>
            </w:r>
          </w:p>
        </w:tc>
        <w:tc>
          <w:tcPr>
            <w:tcW w:w="5047" w:type="dxa"/>
            <w:tcBorders>
              <w:top w:val="single" w:color="auto" w:sz="12" w:space="0"/>
              <w:bottom w:val="single" w:color="auto" w:sz="4" w:space="0"/>
              <w:right w:val="nil"/>
            </w:tcBorders>
            <w:vAlign w:val="center"/>
          </w:tcPr>
          <w:p>
            <w:pPr>
              <w:pStyle w:val="56"/>
              <w:spacing w:line="240" w:lineRule="exact"/>
              <w:rPr>
                <w:color w:val="000000"/>
              </w:rPr>
            </w:pPr>
            <w:r>
              <w:rPr>
                <w:rFonts w:hint="eastAsia"/>
                <w:color w:val="000000"/>
              </w:rPr>
              <w:t>尾矿库、选矿厂</w:t>
            </w:r>
            <w:r>
              <w:rPr>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restart"/>
            <w:tcBorders>
              <w:top w:val="single" w:color="auto" w:sz="4" w:space="0"/>
              <w:left w:val="nil"/>
            </w:tcBorders>
            <w:vAlign w:val="center"/>
          </w:tcPr>
          <w:p>
            <w:pPr>
              <w:pStyle w:val="56"/>
              <w:spacing w:line="240" w:lineRule="exact"/>
              <w:rPr>
                <w:color w:val="000000"/>
              </w:rPr>
            </w:pPr>
            <w:r>
              <w:rPr>
                <w:color w:val="000000"/>
              </w:rPr>
              <w:t>施工期</w:t>
            </w:r>
          </w:p>
        </w:tc>
        <w:tc>
          <w:tcPr>
            <w:tcW w:w="2494" w:type="dxa"/>
            <w:tcBorders>
              <w:top w:val="single" w:color="auto" w:sz="4" w:space="0"/>
              <w:left w:val="nil"/>
            </w:tcBorders>
            <w:vAlign w:val="center"/>
          </w:tcPr>
          <w:p>
            <w:pPr>
              <w:pStyle w:val="56"/>
              <w:spacing w:line="240" w:lineRule="exact"/>
              <w:rPr>
                <w:color w:val="000000"/>
              </w:rPr>
            </w:pPr>
            <w:r>
              <w:rPr>
                <w:color w:val="000000"/>
              </w:rPr>
              <w:t>环境空气</w:t>
            </w:r>
          </w:p>
        </w:tc>
        <w:tc>
          <w:tcPr>
            <w:tcW w:w="5047" w:type="dxa"/>
            <w:tcBorders>
              <w:top w:val="single" w:color="auto" w:sz="4" w:space="0"/>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地表水</w:t>
            </w:r>
          </w:p>
        </w:tc>
        <w:tc>
          <w:tcPr>
            <w:tcW w:w="5047" w:type="dxa"/>
            <w:tcBorders>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地下水</w:t>
            </w:r>
          </w:p>
        </w:tc>
        <w:tc>
          <w:tcPr>
            <w:tcW w:w="5047" w:type="dxa"/>
            <w:tcBorders>
              <w:right w:val="nil"/>
            </w:tcBorders>
            <w:vAlign w:val="center"/>
          </w:tcPr>
          <w:p>
            <w:pPr>
              <w:pStyle w:val="56"/>
              <w:spacing w:line="24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环境噪声</w:t>
            </w:r>
          </w:p>
        </w:tc>
        <w:tc>
          <w:tcPr>
            <w:tcW w:w="5047" w:type="dxa"/>
            <w:tcBorders>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bottom w:val="single" w:color="auto" w:sz="4" w:space="0"/>
            </w:tcBorders>
            <w:vAlign w:val="center"/>
          </w:tcPr>
          <w:p>
            <w:pPr>
              <w:pStyle w:val="56"/>
              <w:spacing w:line="240" w:lineRule="exact"/>
              <w:rPr>
                <w:color w:val="000000"/>
              </w:rPr>
            </w:pPr>
            <w:r>
              <w:rPr>
                <w:color w:val="000000"/>
              </w:rPr>
              <w:t>生态</w:t>
            </w:r>
          </w:p>
        </w:tc>
        <w:tc>
          <w:tcPr>
            <w:tcW w:w="5047" w:type="dxa"/>
            <w:tcBorders>
              <w:bottom w:val="single" w:color="auto" w:sz="4" w:space="0"/>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bottom w:val="single" w:color="auto" w:sz="4" w:space="0"/>
            </w:tcBorders>
            <w:vAlign w:val="center"/>
          </w:tcPr>
          <w:p>
            <w:pPr>
              <w:pStyle w:val="56"/>
              <w:spacing w:line="240" w:lineRule="exact"/>
              <w:rPr>
                <w:color w:val="000000"/>
              </w:rPr>
            </w:pPr>
          </w:p>
        </w:tc>
        <w:tc>
          <w:tcPr>
            <w:tcW w:w="2494" w:type="dxa"/>
            <w:tcBorders>
              <w:top w:val="single" w:color="auto" w:sz="4" w:space="0"/>
              <w:left w:val="nil"/>
              <w:bottom w:val="single" w:color="auto" w:sz="4" w:space="0"/>
            </w:tcBorders>
            <w:vAlign w:val="center"/>
          </w:tcPr>
          <w:p>
            <w:pPr>
              <w:pStyle w:val="56"/>
              <w:spacing w:line="240" w:lineRule="exact"/>
              <w:rPr>
                <w:color w:val="000000"/>
              </w:rPr>
            </w:pPr>
            <w:r>
              <w:rPr>
                <w:color w:val="000000"/>
              </w:rPr>
              <w:t>固体废物</w:t>
            </w:r>
          </w:p>
        </w:tc>
        <w:tc>
          <w:tcPr>
            <w:tcW w:w="5047" w:type="dxa"/>
            <w:tcBorders>
              <w:top w:val="single" w:color="auto" w:sz="4" w:space="0"/>
              <w:bottom w:val="single" w:color="auto" w:sz="4" w:space="0"/>
              <w:right w:val="nil"/>
            </w:tcBorders>
            <w:vAlign w:val="center"/>
          </w:tcPr>
          <w:p>
            <w:pPr>
              <w:pStyle w:val="56"/>
              <w:spacing w:line="24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restart"/>
            <w:tcBorders>
              <w:top w:val="single" w:color="auto" w:sz="4" w:space="0"/>
              <w:left w:val="nil"/>
            </w:tcBorders>
            <w:vAlign w:val="center"/>
          </w:tcPr>
          <w:p>
            <w:pPr>
              <w:pStyle w:val="56"/>
              <w:spacing w:line="240" w:lineRule="exact"/>
              <w:rPr>
                <w:color w:val="000000"/>
              </w:rPr>
            </w:pPr>
            <w:r>
              <w:rPr>
                <w:color w:val="000000"/>
              </w:rPr>
              <w:t>生产期</w:t>
            </w:r>
          </w:p>
        </w:tc>
        <w:tc>
          <w:tcPr>
            <w:tcW w:w="2494" w:type="dxa"/>
            <w:tcBorders>
              <w:top w:val="single" w:color="auto" w:sz="4" w:space="0"/>
              <w:left w:val="nil"/>
            </w:tcBorders>
            <w:vAlign w:val="center"/>
          </w:tcPr>
          <w:p>
            <w:pPr>
              <w:pStyle w:val="56"/>
              <w:spacing w:line="240" w:lineRule="exact"/>
              <w:rPr>
                <w:color w:val="000000"/>
              </w:rPr>
            </w:pPr>
            <w:r>
              <w:rPr>
                <w:color w:val="000000"/>
              </w:rPr>
              <w:t>环境空气</w:t>
            </w:r>
          </w:p>
        </w:tc>
        <w:tc>
          <w:tcPr>
            <w:tcW w:w="5047" w:type="dxa"/>
            <w:tcBorders>
              <w:top w:val="single" w:color="auto" w:sz="4" w:space="0"/>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地表水</w:t>
            </w:r>
          </w:p>
        </w:tc>
        <w:tc>
          <w:tcPr>
            <w:tcW w:w="5047" w:type="dxa"/>
            <w:tcBorders>
              <w:right w:val="nil"/>
            </w:tcBorders>
            <w:vAlign w:val="center"/>
          </w:tcPr>
          <w:p>
            <w:pPr>
              <w:pStyle w:val="56"/>
              <w:spacing w:line="240" w:lineRule="exact"/>
              <w:rPr>
                <w:color w:val="000000"/>
              </w:rPr>
            </w:pPr>
            <w:r>
              <w:rPr>
                <w:color w:val="000000"/>
              </w:rPr>
              <w:t>――</w:t>
            </w:r>
            <w:r>
              <w:rPr>
                <w:b/>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地下水</w:t>
            </w:r>
          </w:p>
        </w:tc>
        <w:tc>
          <w:tcPr>
            <w:tcW w:w="5047" w:type="dxa"/>
            <w:tcBorders>
              <w:right w:val="nil"/>
            </w:tcBorders>
            <w:vAlign w:val="center"/>
          </w:tcPr>
          <w:p>
            <w:pPr>
              <w:pStyle w:val="56"/>
              <w:spacing w:line="240" w:lineRule="exact"/>
              <w:rPr>
                <w:color w:val="000000"/>
              </w:rPr>
            </w:pPr>
            <w:r>
              <w:rPr>
                <w:color w:val="000000"/>
              </w:rPr>
              <w:t>――</w:t>
            </w:r>
            <w:r>
              <w:rPr>
                <w:b/>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环境噪声</w:t>
            </w:r>
          </w:p>
        </w:tc>
        <w:tc>
          <w:tcPr>
            <w:tcW w:w="5047" w:type="dxa"/>
            <w:tcBorders>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生态</w:t>
            </w:r>
          </w:p>
        </w:tc>
        <w:tc>
          <w:tcPr>
            <w:tcW w:w="5047" w:type="dxa"/>
            <w:tcBorders>
              <w:right w:val="nil"/>
            </w:tcBorders>
            <w:vAlign w:val="center"/>
          </w:tcPr>
          <w:p>
            <w:pPr>
              <w:pStyle w:val="56"/>
              <w:spacing w:line="240" w:lineRule="exact"/>
              <w:rPr>
                <w:color w:val="000000"/>
              </w:rPr>
            </w:pPr>
            <w:r>
              <w:rPr>
                <w:color w:val="000000"/>
              </w:rPr>
              <w:t>―――</w:t>
            </w:r>
            <w:r>
              <w:rPr>
                <w:b/>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土壤</w:t>
            </w:r>
          </w:p>
        </w:tc>
        <w:tc>
          <w:tcPr>
            <w:tcW w:w="5047" w:type="dxa"/>
            <w:tcBorders>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bottom w:val="single" w:color="auto" w:sz="4" w:space="0"/>
            </w:tcBorders>
            <w:vAlign w:val="center"/>
          </w:tcPr>
          <w:p>
            <w:pPr>
              <w:pStyle w:val="56"/>
              <w:spacing w:line="240" w:lineRule="exact"/>
              <w:rPr>
                <w:color w:val="000000"/>
              </w:rPr>
            </w:pPr>
          </w:p>
        </w:tc>
        <w:tc>
          <w:tcPr>
            <w:tcW w:w="2494" w:type="dxa"/>
            <w:tcBorders>
              <w:left w:val="nil"/>
              <w:bottom w:val="single" w:color="auto" w:sz="4" w:space="0"/>
            </w:tcBorders>
            <w:vAlign w:val="center"/>
          </w:tcPr>
          <w:p>
            <w:pPr>
              <w:pStyle w:val="56"/>
              <w:spacing w:line="240" w:lineRule="exact"/>
              <w:rPr>
                <w:color w:val="000000"/>
              </w:rPr>
            </w:pPr>
            <w:r>
              <w:rPr>
                <w:color w:val="000000"/>
              </w:rPr>
              <w:t>固体废物</w:t>
            </w:r>
          </w:p>
        </w:tc>
        <w:tc>
          <w:tcPr>
            <w:tcW w:w="5047" w:type="dxa"/>
            <w:tcBorders>
              <w:bottom w:val="single" w:color="auto" w:sz="4" w:space="0"/>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restart"/>
            <w:tcBorders>
              <w:top w:val="single" w:color="auto" w:sz="4" w:space="0"/>
              <w:left w:val="nil"/>
            </w:tcBorders>
            <w:vAlign w:val="center"/>
          </w:tcPr>
          <w:p>
            <w:pPr>
              <w:pStyle w:val="56"/>
              <w:spacing w:line="240" w:lineRule="exact"/>
              <w:rPr>
                <w:color w:val="000000"/>
              </w:rPr>
            </w:pPr>
            <w:r>
              <w:rPr>
                <w:color w:val="000000"/>
              </w:rPr>
              <w:t>闭矿期</w:t>
            </w:r>
          </w:p>
        </w:tc>
        <w:tc>
          <w:tcPr>
            <w:tcW w:w="2494" w:type="dxa"/>
            <w:tcBorders>
              <w:top w:val="single" w:color="auto" w:sz="4" w:space="0"/>
              <w:left w:val="nil"/>
            </w:tcBorders>
            <w:vAlign w:val="center"/>
          </w:tcPr>
          <w:p>
            <w:pPr>
              <w:pStyle w:val="56"/>
              <w:spacing w:line="240" w:lineRule="exact"/>
              <w:rPr>
                <w:color w:val="000000"/>
              </w:rPr>
            </w:pPr>
            <w:r>
              <w:rPr>
                <w:color w:val="000000"/>
              </w:rPr>
              <w:t>环境空气</w:t>
            </w:r>
          </w:p>
        </w:tc>
        <w:tc>
          <w:tcPr>
            <w:tcW w:w="5047" w:type="dxa"/>
            <w:tcBorders>
              <w:top w:val="single" w:color="auto" w:sz="4" w:space="0"/>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地表水</w:t>
            </w:r>
          </w:p>
        </w:tc>
        <w:tc>
          <w:tcPr>
            <w:tcW w:w="5047" w:type="dxa"/>
            <w:tcBorders>
              <w:right w:val="nil"/>
            </w:tcBorders>
            <w:vAlign w:val="center"/>
          </w:tcPr>
          <w:p>
            <w:pPr>
              <w:pStyle w:val="56"/>
              <w:spacing w:line="24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地下水</w:t>
            </w:r>
          </w:p>
        </w:tc>
        <w:tc>
          <w:tcPr>
            <w:tcW w:w="5047" w:type="dxa"/>
            <w:tcBorders>
              <w:right w:val="nil"/>
            </w:tcBorders>
            <w:vAlign w:val="center"/>
          </w:tcPr>
          <w:p>
            <w:pPr>
              <w:pStyle w:val="56"/>
              <w:spacing w:line="24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环境噪声</w:t>
            </w:r>
          </w:p>
        </w:tc>
        <w:tc>
          <w:tcPr>
            <w:tcW w:w="5047" w:type="dxa"/>
            <w:tcBorders>
              <w:right w:val="nil"/>
            </w:tcBorders>
            <w:vAlign w:val="center"/>
          </w:tcPr>
          <w:p>
            <w:pPr>
              <w:pStyle w:val="56"/>
              <w:spacing w:line="240" w:lineRule="exac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79" w:type="dxa"/>
            <w:vMerge w:val="continue"/>
            <w:tcBorders>
              <w:left w:val="nil"/>
            </w:tcBorders>
            <w:vAlign w:val="center"/>
          </w:tcPr>
          <w:p>
            <w:pPr>
              <w:pStyle w:val="56"/>
              <w:spacing w:line="240" w:lineRule="exact"/>
              <w:rPr>
                <w:color w:val="000000"/>
              </w:rPr>
            </w:pPr>
          </w:p>
        </w:tc>
        <w:tc>
          <w:tcPr>
            <w:tcW w:w="2494" w:type="dxa"/>
            <w:tcBorders>
              <w:left w:val="nil"/>
            </w:tcBorders>
            <w:vAlign w:val="center"/>
          </w:tcPr>
          <w:p>
            <w:pPr>
              <w:pStyle w:val="56"/>
              <w:spacing w:line="240" w:lineRule="exact"/>
              <w:rPr>
                <w:color w:val="000000"/>
              </w:rPr>
            </w:pPr>
            <w:r>
              <w:rPr>
                <w:color w:val="000000"/>
              </w:rPr>
              <w:t>生态</w:t>
            </w:r>
          </w:p>
        </w:tc>
        <w:tc>
          <w:tcPr>
            <w:tcW w:w="5047" w:type="dxa"/>
            <w:tcBorders>
              <w:right w:val="nil"/>
            </w:tcBorders>
            <w:vAlign w:val="center"/>
          </w:tcPr>
          <w:p>
            <w:pPr>
              <w:pStyle w:val="56"/>
              <w:spacing w:line="240" w:lineRule="exact"/>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79" w:type="dxa"/>
            <w:vMerge w:val="continue"/>
            <w:tcBorders>
              <w:left w:val="nil"/>
              <w:bottom w:val="single" w:color="auto" w:sz="12" w:space="0"/>
            </w:tcBorders>
            <w:vAlign w:val="center"/>
          </w:tcPr>
          <w:p>
            <w:pPr>
              <w:pStyle w:val="56"/>
              <w:spacing w:line="240" w:lineRule="exact"/>
              <w:rPr>
                <w:color w:val="000000"/>
              </w:rPr>
            </w:pPr>
          </w:p>
        </w:tc>
        <w:tc>
          <w:tcPr>
            <w:tcW w:w="2494" w:type="dxa"/>
            <w:tcBorders>
              <w:left w:val="nil"/>
              <w:bottom w:val="single" w:color="auto" w:sz="12" w:space="0"/>
            </w:tcBorders>
            <w:vAlign w:val="center"/>
          </w:tcPr>
          <w:p>
            <w:pPr>
              <w:pStyle w:val="56"/>
              <w:spacing w:line="240" w:lineRule="exact"/>
              <w:rPr>
                <w:color w:val="000000"/>
              </w:rPr>
            </w:pPr>
            <w:r>
              <w:rPr>
                <w:color w:val="000000"/>
              </w:rPr>
              <w:t>固体废物</w:t>
            </w:r>
          </w:p>
        </w:tc>
        <w:tc>
          <w:tcPr>
            <w:tcW w:w="5047" w:type="dxa"/>
            <w:tcBorders>
              <w:bottom w:val="single" w:color="auto" w:sz="12" w:space="0"/>
              <w:right w:val="nil"/>
            </w:tcBorders>
            <w:vAlign w:val="center"/>
          </w:tcPr>
          <w:p>
            <w:pPr>
              <w:pStyle w:val="56"/>
              <w:spacing w:line="240" w:lineRule="exact"/>
              <w:rPr>
                <w:color w:val="000000"/>
              </w:rPr>
            </w:pPr>
          </w:p>
        </w:tc>
      </w:tr>
    </w:tbl>
    <w:p>
      <w:pPr>
        <w:rPr>
          <w:rFonts w:ascii="Times New Roman" w:hAnsi="Times New Roman"/>
          <w:sz w:val="24"/>
        </w:rPr>
      </w:pPr>
      <w:r>
        <w:rPr>
          <w:rFonts w:ascii="Times New Roman" w:hAnsi="Times New Roman"/>
          <w:color w:val="000000"/>
          <w:sz w:val="18"/>
        </w:rPr>
        <w:t>注：表中“</w:t>
      </w:r>
      <w:r>
        <w:rPr>
          <w:rFonts w:ascii="Times New Roman" w:hAnsi="Times New Roman"/>
          <w:b/>
          <w:bCs/>
          <w:color w:val="000000"/>
        </w:rPr>
        <w:t>－</w:t>
      </w:r>
      <w:r>
        <w:rPr>
          <w:rFonts w:ascii="Times New Roman" w:hAnsi="Times New Roman"/>
          <w:color w:val="000000"/>
          <w:sz w:val="18"/>
        </w:rPr>
        <w:t>”代表对环境的负影响及影响程度；“</w:t>
      </w:r>
      <w:r>
        <w:rPr>
          <w:rFonts w:ascii="Times New Roman" w:hAnsi="Times New Roman"/>
          <w:b/>
          <w:color w:val="000000"/>
        </w:rPr>
        <w:t>*</w:t>
      </w:r>
      <w:r>
        <w:rPr>
          <w:rFonts w:ascii="Times New Roman" w:hAnsi="Times New Roman"/>
          <w:color w:val="000000"/>
          <w:sz w:val="18"/>
        </w:rPr>
        <w:t>”代表事故状态下的环境影响。</w:t>
      </w:r>
    </w:p>
    <w:p>
      <w:pPr>
        <w:spacing w:line="360" w:lineRule="auto"/>
        <w:rPr>
          <w:rFonts w:ascii="Times New Roman" w:hAnsi="Times New Roman"/>
          <w:sz w:val="24"/>
          <w:szCs w:val="24"/>
        </w:rPr>
      </w:pPr>
      <w:r>
        <w:rPr>
          <w:rFonts w:hint="eastAsia" w:ascii="Times New Roman" w:hAnsi="Times New Roman"/>
          <w:sz w:val="24"/>
          <w:szCs w:val="24"/>
        </w:rPr>
        <w:t>2.2.1.2评价因子筛选</w:t>
      </w:r>
    </w:p>
    <w:p>
      <w:pPr>
        <w:spacing w:line="360" w:lineRule="auto"/>
        <w:ind w:firstLine="480" w:firstLineChars="200"/>
        <w:outlineLvl w:val="0"/>
      </w:pPr>
      <w:r>
        <w:rPr>
          <w:rFonts w:hint="eastAsia" w:ascii="Times New Roman" w:hAnsi="Times New Roman"/>
          <w:sz w:val="24"/>
          <w:szCs w:val="24"/>
        </w:rPr>
        <w:t>1、环境现状评价因子</w:t>
      </w:r>
    </w:p>
    <w:p>
      <w:pPr>
        <w:autoSpaceDE w:val="0"/>
        <w:autoSpaceDN w:val="0"/>
        <w:adjustRightInd w:val="0"/>
        <w:spacing w:line="360" w:lineRule="auto"/>
        <w:ind w:firstLine="480" w:firstLineChars="200"/>
        <w:rPr>
          <w:rFonts w:ascii="Times New Roman" w:hAnsi="Times New Roman"/>
          <w:snapToGrid w:val="0"/>
          <w:kern w:val="0"/>
          <w:sz w:val="24"/>
        </w:rPr>
      </w:pPr>
      <w:r>
        <w:rPr>
          <w:rFonts w:ascii="Times New Roman" w:hAnsi="Times New Roman"/>
          <w:sz w:val="24"/>
          <w:szCs w:val="24"/>
        </w:rPr>
        <w:t>（1）环境空气：</w:t>
      </w:r>
      <w:r>
        <w:rPr>
          <w:rFonts w:hint="eastAsia" w:ascii="Times New Roman" w:hAnsi="Times New Roman"/>
          <w:sz w:val="24"/>
          <w:szCs w:val="24"/>
        </w:rPr>
        <w:t>PM</w:t>
      </w:r>
      <w:r>
        <w:rPr>
          <w:rFonts w:hint="eastAsia" w:ascii="Times New Roman" w:hAnsi="Times New Roman"/>
          <w:sz w:val="24"/>
          <w:szCs w:val="24"/>
          <w:vertAlign w:val="subscript"/>
        </w:rPr>
        <w:t>2.5</w:t>
      </w:r>
      <w:r>
        <w:rPr>
          <w:rFonts w:hint="eastAsia" w:ascii="Times New Roman" w:hAnsi="Times New Roman"/>
          <w:sz w:val="24"/>
          <w:szCs w:val="24"/>
        </w:rPr>
        <w:t>、</w:t>
      </w:r>
      <w:r>
        <w:rPr>
          <w:rFonts w:ascii="Times New Roman" w:hAnsi="Times New Roman"/>
          <w:sz w:val="24"/>
        </w:rPr>
        <w:t>PM</w:t>
      </w:r>
      <w:r>
        <w:rPr>
          <w:rFonts w:ascii="Times New Roman" w:hAnsi="Times New Roman"/>
          <w:sz w:val="24"/>
          <w:vertAlign w:val="subscript"/>
        </w:rPr>
        <w:t>10</w:t>
      </w:r>
      <w:r>
        <w:rPr>
          <w:rFonts w:ascii="Times New Roman" w:hAnsi="Times New Roman"/>
          <w:sz w:val="24"/>
        </w:rPr>
        <w:t>、</w:t>
      </w:r>
      <w:r>
        <w:rPr>
          <w:rFonts w:hint="eastAsia" w:ascii="Times New Roman" w:hAnsi="Times New Roman"/>
          <w:sz w:val="24"/>
        </w:rPr>
        <w:t>SO</w:t>
      </w:r>
      <w:r>
        <w:rPr>
          <w:rFonts w:hint="eastAsia" w:ascii="Times New Roman" w:hAnsi="Times New Roman"/>
          <w:sz w:val="24"/>
          <w:vertAlign w:val="subscript"/>
        </w:rPr>
        <w:t>2</w:t>
      </w:r>
      <w:r>
        <w:rPr>
          <w:rFonts w:hint="eastAsia" w:ascii="Times New Roman" w:hAnsi="Times New Roman"/>
          <w:sz w:val="24"/>
        </w:rPr>
        <w:t>、NO</w:t>
      </w:r>
      <w:r>
        <w:rPr>
          <w:rFonts w:hint="eastAsia" w:ascii="Times New Roman" w:hAnsi="Times New Roman"/>
          <w:sz w:val="24"/>
          <w:vertAlign w:val="subscript"/>
        </w:rPr>
        <w:t>2</w:t>
      </w:r>
      <w:r>
        <w:rPr>
          <w:rFonts w:hint="eastAsia" w:ascii="Times New Roman" w:hAnsi="Times New Roman"/>
          <w:sz w:val="24"/>
        </w:rPr>
        <w:t>、O</w:t>
      </w:r>
      <w:r>
        <w:rPr>
          <w:rFonts w:hint="eastAsia" w:ascii="Times New Roman" w:hAnsi="Times New Roman"/>
          <w:sz w:val="24"/>
          <w:vertAlign w:val="subscript"/>
        </w:rPr>
        <w:t>3</w:t>
      </w:r>
      <w:r>
        <w:rPr>
          <w:rFonts w:hint="eastAsia" w:ascii="Times New Roman" w:hAnsi="Times New Roman"/>
          <w:sz w:val="24"/>
        </w:rPr>
        <w:t>、CO</w:t>
      </w:r>
      <w:r>
        <w:rPr>
          <w:rFonts w:ascii="Times New Roman" w:hAnsi="Times New Roman"/>
          <w:snapToGrid w:val="0"/>
          <w:kern w:val="0"/>
          <w:sz w:val="24"/>
          <w:lang w:val="zh-CN"/>
        </w:rPr>
        <w:t>。</w:t>
      </w:r>
    </w:p>
    <w:p>
      <w:pPr>
        <w:autoSpaceDE w:val="0"/>
        <w:autoSpaceDN w:val="0"/>
        <w:adjustRightInd w:val="0"/>
        <w:spacing w:line="360" w:lineRule="auto"/>
        <w:ind w:firstLine="480" w:firstLineChars="200"/>
        <w:rPr>
          <w:rFonts w:ascii="Times New Roman" w:hAnsi="Times New Roman"/>
          <w:color w:val="FF0000"/>
          <w:sz w:val="24"/>
          <w:szCs w:val="24"/>
        </w:rPr>
      </w:pPr>
      <w:r>
        <w:rPr>
          <w:rFonts w:ascii="Times New Roman" w:hAnsi="Times New Roman"/>
          <w:sz w:val="24"/>
          <w:szCs w:val="24"/>
        </w:rPr>
        <w:t>（2）地表水环境：pH、COD、BOD</w:t>
      </w:r>
      <w:r>
        <w:rPr>
          <w:rFonts w:ascii="Times New Roman" w:hAnsi="Times New Roman"/>
          <w:sz w:val="24"/>
          <w:szCs w:val="24"/>
          <w:vertAlign w:val="subscript"/>
        </w:rPr>
        <w:t>5</w:t>
      </w:r>
      <w:r>
        <w:rPr>
          <w:rFonts w:ascii="Times New Roman" w:hAnsi="Times New Roman"/>
          <w:sz w:val="24"/>
          <w:szCs w:val="24"/>
        </w:rPr>
        <w:t>、NH</w:t>
      </w:r>
      <w:r>
        <w:rPr>
          <w:rFonts w:ascii="Times New Roman" w:hAnsi="Times New Roman"/>
          <w:sz w:val="24"/>
          <w:szCs w:val="24"/>
          <w:vertAlign w:val="subscript"/>
        </w:rPr>
        <w:t>3</w:t>
      </w:r>
      <w:r>
        <w:rPr>
          <w:rFonts w:ascii="Times New Roman" w:hAnsi="Times New Roman"/>
          <w:sz w:val="24"/>
          <w:szCs w:val="24"/>
        </w:rPr>
        <w:t>-N、石油类、SS、硫化物、氟化物、Hg、Pb、六价铬、Cd、As</w:t>
      </w:r>
      <w:r>
        <w:rPr>
          <w:rFonts w:ascii="Times New Roman" w:hAnsi="Times New Roman"/>
          <w:color w:val="000000"/>
          <w:sz w:val="24"/>
          <w:szCs w:val="24"/>
        </w:rPr>
        <w:t>。</w:t>
      </w:r>
    </w:p>
    <w:p>
      <w:pPr>
        <w:autoSpaceDE w:val="0"/>
        <w:autoSpaceDN w:val="0"/>
        <w:adjustRightInd w:val="0"/>
        <w:spacing w:line="360" w:lineRule="auto"/>
        <w:ind w:firstLine="480" w:firstLineChars="200"/>
        <w:rPr>
          <w:rFonts w:ascii="Times New Roman" w:hAnsi="Times New Roman"/>
          <w:kern w:val="0"/>
          <w:sz w:val="24"/>
          <w:szCs w:val="20"/>
        </w:rPr>
      </w:pPr>
      <w:r>
        <w:rPr>
          <w:rFonts w:ascii="Times New Roman" w:hAnsi="Times New Roman"/>
          <w:sz w:val="24"/>
          <w:szCs w:val="24"/>
        </w:rPr>
        <w:t>（3）地下水环境：pH、氨氮、总硬度、硝酸盐、亚硝酸盐、挥发性酚类、氰化物、砷、硫酸盐、氯化物、氟化物、铁、锰、铬（六价）、铅、镉、铜、锌、汞、溶解性总固体、镍</w:t>
      </w:r>
      <w:r>
        <w:rPr>
          <w:rFonts w:ascii="Times New Roman" w:hAnsi="Times New Roman"/>
          <w:kern w:val="0"/>
          <w:sz w:val="24"/>
          <w:szCs w:val="20"/>
        </w:rPr>
        <w:t>。</w:t>
      </w:r>
    </w:p>
    <w:p>
      <w:pPr>
        <w:pStyle w:val="2"/>
        <w:spacing w:after="0" w:line="360" w:lineRule="auto"/>
        <w:ind w:firstLine="480" w:firstLineChars="200"/>
        <w:rPr>
          <w:rFonts w:ascii="Times New Roman" w:hAnsi="Times New Roman"/>
          <w:sz w:val="24"/>
        </w:rPr>
      </w:pPr>
      <w:r>
        <w:rPr>
          <w:rFonts w:ascii="Times New Roman" w:hAnsi="Times New Roman"/>
          <w:kern w:val="0"/>
          <w:sz w:val="24"/>
          <w:szCs w:val="20"/>
        </w:rPr>
        <w:t>（4）声环境：</w:t>
      </w:r>
      <w:r>
        <w:rPr>
          <w:rFonts w:ascii="Times New Roman" w:hAnsi="Times New Roman"/>
          <w:sz w:val="24"/>
        </w:rPr>
        <w:t>Leq（A）。</w:t>
      </w:r>
    </w:p>
    <w:p>
      <w:pPr>
        <w:autoSpaceDE w:val="0"/>
        <w:autoSpaceDN w:val="0"/>
        <w:adjustRightInd w:val="0"/>
        <w:spacing w:line="360" w:lineRule="auto"/>
        <w:ind w:firstLine="480" w:firstLineChars="200"/>
        <w:rPr>
          <w:rFonts w:ascii="Times New Roman" w:hAnsi="Times New Roman"/>
          <w:sz w:val="24"/>
          <w:szCs w:val="24"/>
        </w:rPr>
      </w:pPr>
      <w:r>
        <w:rPr>
          <w:rFonts w:ascii="Times New Roman" w:hAnsi="Times New Roman"/>
          <w:sz w:val="24"/>
          <w:szCs w:val="24"/>
        </w:rPr>
        <w:t>（5）生态环境：对区域生态环境的影响主要表现在施工及运营活动对森林植被生长的影响。本次现状评价包括森林生态系统植被的分布、面积、种类、生物量（蓄积量）、野生动植物资源等。</w:t>
      </w:r>
    </w:p>
    <w:p>
      <w:pPr>
        <w:spacing w:line="360" w:lineRule="auto"/>
        <w:ind w:firstLine="480" w:firstLineChars="200"/>
        <w:rPr>
          <w:rFonts w:ascii="Times New Roman" w:hAnsi="Times New Roman"/>
          <w:sz w:val="24"/>
        </w:rPr>
      </w:pPr>
      <w:r>
        <w:rPr>
          <w:rFonts w:ascii="Times New Roman" w:hAnsi="Times New Roman"/>
          <w:sz w:val="24"/>
          <w:szCs w:val="24"/>
        </w:rPr>
        <w:t>（6）土壤：pH、镉、汞、砷、铅、铜、锌、铬、镍</w:t>
      </w:r>
      <w:r>
        <w:rPr>
          <w:rFonts w:hint="eastAsia" w:ascii="Times New Roman" w:hAnsi="Times New Roman"/>
          <w:sz w:val="24"/>
          <w:szCs w:val="24"/>
        </w:rPr>
        <w:t>等</w:t>
      </w:r>
      <w:r>
        <w:rPr>
          <w:rFonts w:ascii="Times New Roman" w:hAnsi="Times New Roman"/>
          <w:sz w:val="24"/>
          <w:szCs w:val="24"/>
        </w:rPr>
        <w:t>共9项</w:t>
      </w:r>
      <w:r>
        <w:rPr>
          <w:rFonts w:ascii="Times New Roman" w:hAnsi="Times New Roman"/>
          <w:sz w:val="24"/>
        </w:rPr>
        <w:t>。</w:t>
      </w:r>
    </w:p>
    <w:p>
      <w:pPr>
        <w:autoSpaceDE w:val="0"/>
        <w:autoSpaceDN w:val="0"/>
        <w:adjustRightInd w:val="0"/>
        <w:spacing w:line="360" w:lineRule="auto"/>
        <w:ind w:firstLine="480" w:firstLineChars="200"/>
        <w:rPr>
          <w:rFonts w:ascii="Times New Roman" w:hAnsi="Times New Roman"/>
          <w:sz w:val="24"/>
          <w:szCs w:val="24"/>
        </w:rPr>
      </w:pPr>
      <w:r>
        <w:rPr>
          <w:rFonts w:hint="eastAsia" w:ascii="Times New Roman" w:hAnsi="Times New Roman"/>
          <w:sz w:val="24"/>
          <w:szCs w:val="24"/>
        </w:rPr>
        <w:t>2、环境影响预测评价因子</w:t>
      </w:r>
    </w:p>
    <w:p>
      <w:pPr>
        <w:autoSpaceDE w:val="0"/>
        <w:autoSpaceDN w:val="0"/>
        <w:adjustRightInd w:val="0"/>
        <w:spacing w:line="360" w:lineRule="auto"/>
        <w:ind w:firstLine="480" w:firstLineChars="200"/>
        <w:rPr>
          <w:rFonts w:ascii="Times New Roman" w:hAnsi="Times New Roman"/>
          <w:sz w:val="24"/>
          <w:szCs w:val="24"/>
        </w:rPr>
      </w:pPr>
      <w:r>
        <w:rPr>
          <w:rFonts w:hint="eastAsia" w:ascii="Times New Roman" w:hAnsi="Times New Roman"/>
          <w:sz w:val="24"/>
          <w:szCs w:val="24"/>
        </w:rPr>
        <w:t>（1）废气：TSP。</w:t>
      </w:r>
    </w:p>
    <w:p>
      <w:pPr>
        <w:autoSpaceDE w:val="0"/>
        <w:autoSpaceDN w:val="0"/>
        <w:adjustRightInd w:val="0"/>
        <w:spacing w:line="360" w:lineRule="auto"/>
        <w:ind w:firstLine="480" w:firstLineChars="200"/>
        <w:rPr>
          <w:rFonts w:ascii="Times New Roman" w:hAnsi="Times New Roman"/>
          <w:sz w:val="24"/>
          <w:szCs w:val="24"/>
        </w:rPr>
      </w:pPr>
      <w:r>
        <w:rPr>
          <w:rFonts w:hint="eastAsia" w:ascii="Times New Roman" w:hAnsi="Times New Roman"/>
          <w:sz w:val="24"/>
          <w:szCs w:val="24"/>
        </w:rPr>
        <w:t>（2）废水：COD、</w:t>
      </w:r>
      <w:r>
        <w:rPr>
          <w:rFonts w:ascii="Times New Roman" w:hAnsi="Times New Roman"/>
          <w:kern w:val="0"/>
          <w:sz w:val="24"/>
        </w:rPr>
        <w:t>NH</w:t>
      </w:r>
      <w:r>
        <w:rPr>
          <w:rFonts w:ascii="Times New Roman" w:hAnsi="Times New Roman"/>
          <w:kern w:val="0"/>
          <w:sz w:val="24"/>
          <w:vertAlign w:val="subscript"/>
        </w:rPr>
        <w:t>3</w:t>
      </w:r>
      <w:r>
        <w:rPr>
          <w:rFonts w:ascii="Times New Roman" w:hAnsi="Times New Roman"/>
          <w:kern w:val="0"/>
          <w:sz w:val="24"/>
        </w:rPr>
        <w:t>-N</w:t>
      </w:r>
      <w:r>
        <w:rPr>
          <w:rFonts w:hint="eastAsia" w:ascii="Times New Roman" w:hAnsi="Times New Roman"/>
          <w:sz w:val="24"/>
          <w:szCs w:val="24"/>
        </w:rPr>
        <w:t>。</w:t>
      </w:r>
    </w:p>
    <w:p>
      <w:pPr>
        <w:autoSpaceDE w:val="0"/>
        <w:autoSpaceDN w:val="0"/>
        <w:adjustRightInd w:val="0"/>
        <w:spacing w:line="360" w:lineRule="auto"/>
        <w:ind w:firstLine="480" w:firstLineChars="200"/>
        <w:rPr>
          <w:kern w:val="0"/>
          <w:sz w:val="24"/>
          <w:szCs w:val="20"/>
        </w:rPr>
      </w:pPr>
      <w:r>
        <w:rPr>
          <w:rFonts w:hint="eastAsia" w:ascii="Times New Roman" w:hAnsi="Times New Roman"/>
          <w:sz w:val="24"/>
          <w:szCs w:val="24"/>
        </w:rPr>
        <w:t>（3）地下水：SS。</w:t>
      </w:r>
    </w:p>
    <w:p>
      <w:pPr>
        <w:autoSpaceDE w:val="0"/>
        <w:autoSpaceDN w:val="0"/>
        <w:adjustRightInd w:val="0"/>
        <w:spacing w:line="360" w:lineRule="auto"/>
        <w:ind w:firstLine="480" w:firstLineChars="200"/>
        <w:rPr>
          <w:rFonts w:ascii="Times New Roman" w:hAnsi="Times New Roman"/>
          <w:sz w:val="24"/>
          <w:szCs w:val="24"/>
        </w:rPr>
      </w:pPr>
      <w:r>
        <w:rPr>
          <w:rFonts w:hint="eastAsia" w:ascii="Times New Roman" w:hAnsi="Times New Roman"/>
          <w:sz w:val="24"/>
          <w:szCs w:val="24"/>
        </w:rPr>
        <w:t>（4）噪声：</w:t>
      </w:r>
      <w:r>
        <w:rPr>
          <w:rFonts w:ascii="Times New Roman" w:hAnsi="Times New Roman"/>
          <w:sz w:val="24"/>
          <w:szCs w:val="24"/>
        </w:rPr>
        <w:t>Leq（A）</w:t>
      </w:r>
      <w:r>
        <w:rPr>
          <w:rFonts w:hint="eastAsia" w:ascii="Times New Roman" w:hAnsi="Times New Roman"/>
          <w:sz w:val="24"/>
          <w:szCs w:val="24"/>
        </w:rPr>
        <w:t>。</w:t>
      </w:r>
    </w:p>
    <w:p>
      <w:pPr>
        <w:autoSpaceDE w:val="0"/>
        <w:autoSpaceDN w:val="0"/>
        <w:adjustRightInd w:val="0"/>
        <w:spacing w:line="360" w:lineRule="auto"/>
        <w:ind w:firstLine="480" w:firstLineChars="200"/>
        <w:rPr>
          <w:rFonts w:ascii="Times New Roman" w:hAnsi="Times New Roman"/>
          <w:sz w:val="24"/>
          <w:szCs w:val="24"/>
        </w:rPr>
      </w:pPr>
      <w:r>
        <w:rPr>
          <w:rFonts w:hint="eastAsia" w:ascii="Times New Roman" w:hAnsi="Times New Roman"/>
          <w:sz w:val="24"/>
          <w:szCs w:val="24"/>
        </w:rPr>
        <w:t>（5）生态环境：选择地形地貌、植物、动物、生物多样性、土壤、生态效能、景观、水域及生态完整性等。</w:t>
      </w:r>
    </w:p>
    <w:p>
      <w:pPr>
        <w:autoSpaceDE w:val="0"/>
        <w:autoSpaceDN w:val="0"/>
        <w:adjustRightInd w:val="0"/>
        <w:spacing w:line="360" w:lineRule="auto"/>
        <w:ind w:firstLine="480" w:firstLineChars="200"/>
        <w:rPr>
          <w:rFonts w:ascii="Times New Roman" w:hAnsi="Times New Roman"/>
          <w:sz w:val="24"/>
          <w:szCs w:val="24"/>
          <w:lang w:val="zh-CN"/>
        </w:rPr>
      </w:pPr>
      <w:r>
        <w:rPr>
          <w:rFonts w:hint="eastAsia" w:ascii="Times New Roman" w:hAnsi="Times New Roman"/>
          <w:sz w:val="24"/>
          <w:szCs w:val="24"/>
        </w:rPr>
        <w:t>（6）土壤环境：</w:t>
      </w:r>
      <w:r>
        <w:rPr>
          <w:rFonts w:hint="eastAsia" w:ascii="Times New Roman" w:hAnsi="Times New Roman"/>
          <w:sz w:val="24"/>
          <w:szCs w:val="24"/>
          <w:lang w:val="zh-CN"/>
        </w:rPr>
        <w:t>矿山开发对土壤环境的影响评价只进行定性分析，不作具体污染物因子预测。</w:t>
      </w:r>
    </w:p>
    <w:p>
      <w:pPr>
        <w:pStyle w:val="5"/>
        <w:spacing w:before="0" w:after="0" w:line="360" w:lineRule="auto"/>
        <w:rPr>
          <w:sz w:val="24"/>
          <w:szCs w:val="24"/>
        </w:rPr>
      </w:pPr>
      <w:bookmarkStart w:id="69" w:name="_Toc32720"/>
      <w:bookmarkStart w:id="70" w:name="_Toc10922"/>
      <w:bookmarkStart w:id="71" w:name="_Toc1095"/>
      <w:r>
        <w:rPr>
          <w:sz w:val="24"/>
          <w:szCs w:val="24"/>
        </w:rPr>
        <w:t>2.2.2评价标准</w:t>
      </w:r>
      <w:bookmarkEnd w:id="69"/>
      <w:bookmarkEnd w:id="70"/>
      <w:bookmarkEnd w:id="71"/>
    </w:p>
    <w:p>
      <w:pPr>
        <w:spacing w:line="360" w:lineRule="auto"/>
        <w:rPr>
          <w:rFonts w:ascii="Times New Roman" w:hAnsi="Times New Roman"/>
          <w:sz w:val="24"/>
          <w:szCs w:val="24"/>
        </w:rPr>
      </w:pPr>
      <w:r>
        <w:rPr>
          <w:rFonts w:ascii="Times New Roman" w:hAnsi="Times New Roman"/>
          <w:sz w:val="24"/>
          <w:szCs w:val="24"/>
        </w:rPr>
        <w:t>2.2.2.1环境质量标准</w:t>
      </w:r>
    </w:p>
    <w:p>
      <w:pPr>
        <w:spacing w:line="360" w:lineRule="auto"/>
        <w:rPr>
          <w:rFonts w:ascii="Times New Roman" w:hAnsi="Times New Roman"/>
          <w:sz w:val="24"/>
          <w:szCs w:val="24"/>
        </w:rPr>
      </w:pPr>
      <w:r>
        <w:rPr>
          <w:rFonts w:ascii="Times New Roman" w:hAnsi="Times New Roman"/>
          <w:sz w:val="24"/>
          <w:szCs w:val="24"/>
        </w:rPr>
        <w:t>1、环境空气</w:t>
      </w:r>
    </w:p>
    <w:p>
      <w:pPr>
        <w:pStyle w:val="44"/>
        <w:rPr>
          <w:rFonts w:ascii="Times New Roman" w:hAnsi="Times New Roman"/>
        </w:rPr>
      </w:pPr>
      <w:r>
        <w:rPr>
          <w:rFonts w:ascii="Times New Roman" w:hAnsi="Times New Roman"/>
        </w:rPr>
        <w:t>本项目所在区域非自然保护区、风景名胜区和其他需要特殊保护的区域，项目位置</w:t>
      </w:r>
      <w:r>
        <w:rPr>
          <w:rFonts w:hint="eastAsia" w:ascii="Times New Roman" w:hAnsi="Times New Roman"/>
        </w:rPr>
        <w:t>地</w:t>
      </w:r>
      <w:r>
        <w:rPr>
          <w:rFonts w:ascii="Times New Roman" w:hAnsi="Times New Roman"/>
        </w:rPr>
        <w:t>属山区，《环境空气质量标准》（GB3095-2012）中无明确规定，本次环评按照农村地区考虑，因此属于二类环境空气质量功能区，执行《环境空气质量标准》（GB3095</w:t>
      </w:r>
      <w:r>
        <w:rPr>
          <w:rFonts w:hint="eastAsia" w:ascii="Times New Roman" w:hAnsi="Times New Roman"/>
        </w:rPr>
        <w:t>-</w:t>
      </w:r>
      <w:r>
        <w:rPr>
          <w:rFonts w:ascii="Times New Roman" w:hAnsi="Times New Roman"/>
        </w:rPr>
        <w:t>2012）中的二级标准，详见</w:t>
      </w:r>
      <w:r>
        <w:rPr>
          <w:rFonts w:hint="eastAsia" w:ascii="Times New Roman" w:hAnsi="Times New Roman"/>
        </w:rPr>
        <w:t>下表</w:t>
      </w:r>
      <w:r>
        <w:rPr>
          <w:rFonts w:ascii="Times New Roman" w:hAnsi="Times New Roman"/>
        </w:rPr>
        <w:t>。</w:t>
      </w:r>
    </w:p>
    <w:p>
      <w:pPr>
        <w:pStyle w:val="68"/>
        <w:rPr>
          <w:rFonts w:ascii="Times New Roman" w:hAnsi="Times New Roman"/>
          <w:szCs w:val="21"/>
        </w:rPr>
      </w:pPr>
      <w:r>
        <w:rPr>
          <w:rFonts w:ascii="Times New Roman" w:hAnsi="Times New Roman"/>
        </w:rPr>
        <w:t>表2-</w:t>
      </w:r>
      <w:r>
        <w:rPr>
          <w:rFonts w:hint="eastAsia" w:ascii="Times New Roman" w:hAnsi="Times New Roman"/>
        </w:rPr>
        <w:t>2</w:t>
      </w:r>
      <w:r>
        <w:rPr>
          <w:rFonts w:ascii="Times New Roman" w:hAnsi="Times New Roman"/>
        </w:rPr>
        <w:t xml:space="preserve"> 环境空气质量标准浓度限值</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
        <w:gridCol w:w="834"/>
        <w:gridCol w:w="1240"/>
        <w:gridCol w:w="1423"/>
        <w:gridCol w:w="1395"/>
        <w:gridCol w:w="1170"/>
        <w:gridCol w:w="1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488" w:type="dxa"/>
            <w:vAlign w:val="center"/>
          </w:tcPr>
          <w:p>
            <w:pPr>
              <w:pStyle w:val="78"/>
            </w:pPr>
            <w:r>
              <w:t>序号</w:t>
            </w:r>
          </w:p>
        </w:tc>
        <w:tc>
          <w:tcPr>
            <w:tcW w:w="834" w:type="dxa"/>
            <w:vAlign w:val="center"/>
          </w:tcPr>
          <w:p>
            <w:pPr>
              <w:pStyle w:val="78"/>
            </w:pPr>
            <w:r>
              <w:t>污染物</w:t>
            </w:r>
          </w:p>
          <w:p>
            <w:pPr>
              <w:pStyle w:val="78"/>
            </w:pPr>
            <w:r>
              <w:t>名称</w:t>
            </w:r>
          </w:p>
        </w:tc>
        <w:tc>
          <w:tcPr>
            <w:tcW w:w="1240" w:type="dxa"/>
            <w:vAlign w:val="center"/>
          </w:tcPr>
          <w:p>
            <w:pPr>
              <w:pStyle w:val="78"/>
            </w:pPr>
            <w:r>
              <w:t>1小时平均</w:t>
            </w:r>
          </w:p>
          <w:p>
            <w:pPr>
              <w:pStyle w:val="78"/>
            </w:pPr>
            <w:r>
              <w:t>浓度限值</w:t>
            </w:r>
          </w:p>
          <w:p>
            <w:pPr>
              <w:pStyle w:val="78"/>
            </w:pPr>
            <w:r>
              <w:t>（mg/m</w:t>
            </w:r>
            <w:r>
              <w:rPr>
                <w:vertAlign w:val="superscript"/>
              </w:rPr>
              <w:t>3</w:t>
            </w:r>
            <w:r>
              <w:rPr>
                <w:szCs w:val="21"/>
              </w:rPr>
              <w:t>）</w:t>
            </w:r>
          </w:p>
        </w:tc>
        <w:tc>
          <w:tcPr>
            <w:tcW w:w="1423" w:type="dxa"/>
            <w:vAlign w:val="center"/>
          </w:tcPr>
          <w:p>
            <w:pPr>
              <w:pStyle w:val="78"/>
            </w:pPr>
            <w:r>
              <w:t>日平均浓度限值（mg/m</w:t>
            </w:r>
            <w:r>
              <w:rPr>
                <w:vertAlign w:val="superscript"/>
              </w:rPr>
              <w:t>3</w:t>
            </w:r>
            <w:r>
              <w:rPr>
                <w:szCs w:val="21"/>
              </w:rPr>
              <w:t>）</w:t>
            </w:r>
          </w:p>
        </w:tc>
        <w:tc>
          <w:tcPr>
            <w:tcW w:w="1395" w:type="dxa"/>
            <w:vAlign w:val="center"/>
          </w:tcPr>
          <w:p>
            <w:pPr>
              <w:pStyle w:val="78"/>
            </w:pPr>
            <w:r>
              <w:t>日最大8小时平均浓度限值（mg/m</w:t>
            </w:r>
            <w:r>
              <w:rPr>
                <w:vertAlign w:val="superscript"/>
              </w:rPr>
              <w:t>3</w:t>
            </w:r>
            <w:r>
              <w:rPr>
                <w:szCs w:val="21"/>
              </w:rPr>
              <w:t>）</w:t>
            </w:r>
          </w:p>
        </w:tc>
        <w:tc>
          <w:tcPr>
            <w:tcW w:w="1170" w:type="dxa"/>
            <w:vAlign w:val="center"/>
          </w:tcPr>
          <w:p>
            <w:pPr>
              <w:pStyle w:val="78"/>
            </w:pPr>
            <w:r>
              <w:t>年平均（mg/m</w:t>
            </w:r>
            <w:r>
              <w:rPr>
                <w:vertAlign w:val="superscript"/>
              </w:rPr>
              <w:t>3</w:t>
            </w:r>
            <w:r>
              <w:rPr>
                <w:szCs w:val="21"/>
              </w:rPr>
              <w:t>）</w:t>
            </w:r>
          </w:p>
        </w:tc>
        <w:tc>
          <w:tcPr>
            <w:tcW w:w="1982" w:type="dxa"/>
            <w:vAlign w:val="center"/>
          </w:tcPr>
          <w:p>
            <w:pPr>
              <w:pStyle w:val="78"/>
            </w:pPr>
            <w: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88" w:type="dxa"/>
            <w:vAlign w:val="center"/>
          </w:tcPr>
          <w:p>
            <w:pPr>
              <w:pStyle w:val="78"/>
            </w:pPr>
            <w:r>
              <w:t>1</w:t>
            </w:r>
          </w:p>
        </w:tc>
        <w:tc>
          <w:tcPr>
            <w:tcW w:w="834" w:type="dxa"/>
            <w:vAlign w:val="center"/>
          </w:tcPr>
          <w:p>
            <w:pPr>
              <w:pStyle w:val="78"/>
            </w:pPr>
            <w:r>
              <w:t>PM</w:t>
            </w:r>
            <w:r>
              <w:rPr>
                <w:vertAlign w:val="subscript"/>
              </w:rPr>
              <w:t>10</w:t>
            </w:r>
          </w:p>
        </w:tc>
        <w:tc>
          <w:tcPr>
            <w:tcW w:w="1240" w:type="dxa"/>
            <w:vAlign w:val="center"/>
          </w:tcPr>
          <w:p>
            <w:pPr>
              <w:pStyle w:val="78"/>
            </w:pPr>
            <w:r>
              <w:t>/</w:t>
            </w:r>
          </w:p>
        </w:tc>
        <w:tc>
          <w:tcPr>
            <w:tcW w:w="1423" w:type="dxa"/>
            <w:vAlign w:val="center"/>
          </w:tcPr>
          <w:p>
            <w:pPr>
              <w:pStyle w:val="78"/>
            </w:pPr>
            <w:r>
              <w:t>0.15</w:t>
            </w:r>
          </w:p>
        </w:tc>
        <w:tc>
          <w:tcPr>
            <w:tcW w:w="1395" w:type="dxa"/>
            <w:vAlign w:val="center"/>
          </w:tcPr>
          <w:p>
            <w:pPr>
              <w:pStyle w:val="78"/>
            </w:pPr>
            <w:r>
              <w:t>--</w:t>
            </w:r>
          </w:p>
        </w:tc>
        <w:tc>
          <w:tcPr>
            <w:tcW w:w="1170" w:type="dxa"/>
            <w:vAlign w:val="center"/>
          </w:tcPr>
          <w:p>
            <w:pPr>
              <w:pStyle w:val="78"/>
            </w:pPr>
            <w:r>
              <w:t>0.07</w:t>
            </w:r>
          </w:p>
        </w:tc>
        <w:tc>
          <w:tcPr>
            <w:tcW w:w="1982" w:type="dxa"/>
            <w:vMerge w:val="restart"/>
            <w:vAlign w:val="center"/>
          </w:tcPr>
          <w:p>
            <w:pPr>
              <w:pStyle w:val="78"/>
            </w:pPr>
            <w:r>
              <w:t>GB 3095-2012</w:t>
            </w:r>
          </w:p>
          <w:p>
            <w:pPr>
              <w:pStyle w:val="78"/>
            </w:pPr>
            <w:r>
              <w:t>《环境空气质量标准》中二级标准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88" w:type="dxa"/>
            <w:vAlign w:val="center"/>
          </w:tcPr>
          <w:p>
            <w:pPr>
              <w:pStyle w:val="78"/>
            </w:pPr>
            <w:r>
              <w:rPr>
                <w:rFonts w:hint="eastAsia"/>
              </w:rPr>
              <w:t>2</w:t>
            </w:r>
          </w:p>
        </w:tc>
        <w:tc>
          <w:tcPr>
            <w:tcW w:w="834" w:type="dxa"/>
            <w:vAlign w:val="center"/>
          </w:tcPr>
          <w:p>
            <w:pPr>
              <w:pStyle w:val="78"/>
            </w:pPr>
            <w:r>
              <w:t>SO</w:t>
            </w:r>
            <w:r>
              <w:rPr>
                <w:szCs w:val="21"/>
                <w:vertAlign w:val="subscript"/>
              </w:rPr>
              <w:t>2</w:t>
            </w:r>
          </w:p>
        </w:tc>
        <w:tc>
          <w:tcPr>
            <w:tcW w:w="1240" w:type="dxa"/>
            <w:vAlign w:val="center"/>
          </w:tcPr>
          <w:p>
            <w:pPr>
              <w:pStyle w:val="78"/>
            </w:pPr>
            <w:r>
              <w:t>0.50</w:t>
            </w:r>
          </w:p>
        </w:tc>
        <w:tc>
          <w:tcPr>
            <w:tcW w:w="1423" w:type="dxa"/>
            <w:vAlign w:val="center"/>
          </w:tcPr>
          <w:p>
            <w:pPr>
              <w:pStyle w:val="78"/>
            </w:pPr>
            <w:r>
              <w:t>0.15</w:t>
            </w:r>
          </w:p>
        </w:tc>
        <w:tc>
          <w:tcPr>
            <w:tcW w:w="1395" w:type="dxa"/>
            <w:vAlign w:val="center"/>
          </w:tcPr>
          <w:p>
            <w:pPr>
              <w:pStyle w:val="78"/>
            </w:pPr>
            <w:r>
              <w:t>--</w:t>
            </w:r>
          </w:p>
        </w:tc>
        <w:tc>
          <w:tcPr>
            <w:tcW w:w="1170" w:type="dxa"/>
            <w:vAlign w:val="center"/>
          </w:tcPr>
          <w:p>
            <w:pPr>
              <w:pStyle w:val="78"/>
            </w:pPr>
            <w:r>
              <w:t>0.06</w:t>
            </w:r>
          </w:p>
        </w:tc>
        <w:tc>
          <w:tcPr>
            <w:tcW w:w="1982" w:type="dxa"/>
            <w:vMerge w:val="continue"/>
            <w:vAlign w:val="center"/>
          </w:tcPr>
          <w:p>
            <w:pPr>
              <w:pStyle w:val="78"/>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88" w:type="dxa"/>
            <w:vAlign w:val="center"/>
          </w:tcPr>
          <w:p>
            <w:pPr>
              <w:pStyle w:val="78"/>
            </w:pPr>
            <w:r>
              <w:rPr>
                <w:rFonts w:hint="eastAsia"/>
              </w:rPr>
              <w:t>3</w:t>
            </w:r>
          </w:p>
        </w:tc>
        <w:tc>
          <w:tcPr>
            <w:tcW w:w="834" w:type="dxa"/>
            <w:vAlign w:val="center"/>
          </w:tcPr>
          <w:p>
            <w:pPr>
              <w:pStyle w:val="78"/>
            </w:pPr>
            <w:r>
              <w:t>NO</w:t>
            </w:r>
            <w:r>
              <w:rPr>
                <w:szCs w:val="21"/>
                <w:vertAlign w:val="subscript"/>
              </w:rPr>
              <w:t>2</w:t>
            </w:r>
          </w:p>
        </w:tc>
        <w:tc>
          <w:tcPr>
            <w:tcW w:w="1240" w:type="dxa"/>
            <w:vAlign w:val="center"/>
          </w:tcPr>
          <w:p>
            <w:pPr>
              <w:pStyle w:val="78"/>
            </w:pPr>
            <w:r>
              <w:t>0.2</w:t>
            </w:r>
          </w:p>
        </w:tc>
        <w:tc>
          <w:tcPr>
            <w:tcW w:w="1423" w:type="dxa"/>
            <w:vAlign w:val="center"/>
          </w:tcPr>
          <w:p>
            <w:pPr>
              <w:pStyle w:val="78"/>
            </w:pPr>
            <w:r>
              <w:t>0.08</w:t>
            </w:r>
          </w:p>
        </w:tc>
        <w:tc>
          <w:tcPr>
            <w:tcW w:w="1395" w:type="dxa"/>
            <w:vAlign w:val="center"/>
          </w:tcPr>
          <w:p>
            <w:pPr>
              <w:pStyle w:val="78"/>
            </w:pPr>
            <w:r>
              <w:t>--</w:t>
            </w:r>
          </w:p>
        </w:tc>
        <w:tc>
          <w:tcPr>
            <w:tcW w:w="1170" w:type="dxa"/>
            <w:vAlign w:val="center"/>
          </w:tcPr>
          <w:p>
            <w:pPr>
              <w:pStyle w:val="78"/>
            </w:pPr>
            <w:r>
              <w:t>0.04</w:t>
            </w:r>
          </w:p>
        </w:tc>
        <w:tc>
          <w:tcPr>
            <w:tcW w:w="1982" w:type="dxa"/>
            <w:vMerge w:val="continue"/>
            <w:vAlign w:val="center"/>
          </w:tcPr>
          <w:p>
            <w:pPr>
              <w:pStyle w:val="78"/>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88" w:type="dxa"/>
            <w:vAlign w:val="center"/>
          </w:tcPr>
          <w:p>
            <w:pPr>
              <w:pStyle w:val="78"/>
            </w:pPr>
            <w:r>
              <w:rPr>
                <w:rFonts w:hint="eastAsia"/>
              </w:rPr>
              <w:t>4</w:t>
            </w:r>
          </w:p>
        </w:tc>
        <w:tc>
          <w:tcPr>
            <w:tcW w:w="834" w:type="dxa"/>
            <w:vAlign w:val="center"/>
          </w:tcPr>
          <w:p>
            <w:pPr>
              <w:pStyle w:val="78"/>
            </w:pPr>
            <w:r>
              <w:rPr>
                <w:sz w:val="24"/>
              </w:rPr>
              <w:t>PM</w:t>
            </w:r>
            <w:r>
              <w:rPr>
                <w:sz w:val="24"/>
                <w:vertAlign w:val="subscript"/>
              </w:rPr>
              <w:t>2.5</w:t>
            </w:r>
          </w:p>
        </w:tc>
        <w:tc>
          <w:tcPr>
            <w:tcW w:w="1240" w:type="dxa"/>
            <w:vAlign w:val="center"/>
          </w:tcPr>
          <w:p>
            <w:pPr>
              <w:pStyle w:val="78"/>
            </w:pPr>
            <w:r>
              <w:t>--</w:t>
            </w:r>
          </w:p>
        </w:tc>
        <w:tc>
          <w:tcPr>
            <w:tcW w:w="1423" w:type="dxa"/>
            <w:vAlign w:val="center"/>
          </w:tcPr>
          <w:p>
            <w:pPr>
              <w:pStyle w:val="78"/>
            </w:pPr>
            <w:r>
              <w:t>75</w:t>
            </w:r>
          </w:p>
        </w:tc>
        <w:tc>
          <w:tcPr>
            <w:tcW w:w="1395" w:type="dxa"/>
            <w:vAlign w:val="center"/>
          </w:tcPr>
          <w:p>
            <w:pPr>
              <w:pStyle w:val="78"/>
            </w:pPr>
            <w:r>
              <w:t>--</w:t>
            </w:r>
          </w:p>
        </w:tc>
        <w:tc>
          <w:tcPr>
            <w:tcW w:w="1170" w:type="dxa"/>
            <w:vAlign w:val="center"/>
          </w:tcPr>
          <w:p>
            <w:pPr>
              <w:pStyle w:val="78"/>
            </w:pPr>
            <w:r>
              <w:t>35</w:t>
            </w:r>
          </w:p>
        </w:tc>
        <w:tc>
          <w:tcPr>
            <w:tcW w:w="1982" w:type="dxa"/>
            <w:vMerge w:val="continue"/>
            <w:vAlign w:val="center"/>
          </w:tcPr>
          <w:p>
            <w:pPr>
              <w:pStyle w:val="78"/>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88" w:type="dxa"/>
            <w:vAlign w:val="center"/>
          </w:tcPr>
          <w:p>
            <w:pPr>
              <w:pStyle w:val="78"/>
            </w:pPr>
            <w:r>
              <w:rPr>
                <w:rFonts w:hint="eastAsia"/>
              </w:rPr>
              <w:t>5</w:t>
            </w:r>
          </w:p>
        </w:tc>
        <w:tc>
          <w:tcPr>
            <w:tcW w:w="834" w:type="dxa"/>
            <w:vAlign w:val="center"/>
          </w:tcPr>
          <w:p>
            <w:pPr>
              <w:pStyle w:val="78"/>
            </w:pPr>
            <w:r>
              <w:rPr>
                <w:sz w:val="24"/>
              </w:rPr>
              <w:t>O</w:t>
            </w:r>
            <w:r>
              <w:rPr>
                <w:sz w:val="24"/>
                <w:vertAlign w:val="subscript"/>
              </w:rPr>
              <w:t>3</w:t>
            </w:r>
          </w:p>
        </w:tc>
        <w:tc>
          <w:tcPr>
            <w:tcW w:w="1240" w:type="dxa"/>
            <w:vAlign w:val="center"/>
          </w:tcPr>
          <w:p>
            <w:pPr>
              <w:pStyle w:val="78"/>
            </w:pPr>
            <w:r>
              <w:t>200</w:t>
            </w:r>
          </w:p>
        </w:tc>
        <w:tc>
          <w:tcPr>
            <w:tcW w:w="1423" w:type="dxa"/>
            <w:vAlign w:val="center"/>
          </w:tcPr>
          <w:p>
            <w:pPr>
              <w:pStyle w:val="78"/>
            </w:pPr>
            <w:r>
              <w:t>--</w:t>
            </w:r>
          </w:p>
        </w:tc>
        <w:tc>
          <w:tcPr>
            <w:tcW w:w="1395" w:type="dxa"/>
            <w:vAlign w:val="center"/>
          </w:tcPr>
          <w:p>
            <w:pPr>
              <w:pStyle w:val="78"/>
            </w:pPr>
            <w:r>
              <w:t>160</w:t>
            </w:r>
          </w:p>
        </w:tc>
        <w:tc>
          <w:tcPr>
            <w:tcW w:w="1170" w:type="dxa"/>
            <w:vAlign w:val="center"/>
          </w:tcPr>
          <w:p>
            <w:pPr>
              <w:pStyle w:val="78"/>
            </w:pPr>
            <w:r>
              <w:t>--</w:t>
            </w:r>
          </w:p>
        </w:tc>
        <w:tc>
          <w:tcPr>
            <w:tcW w:w="1982" w:type="dxa"/>
            <w:vMerge w:val="continue"/>
            <w:vAlign w:val="center"/>
          </w:tcPr>
          <w:p>
            <w:pPr>
              <w:pStyle w:val="78"/>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88" w:type="dxa"/>
            <w:vAlign w:val="center"/>
          </w:tcPr>
          <w:p>
            <w:pPr>
              <w:pStyle w:val="78"/>
            </w:pPr>
            <w:r>
              <w:rPr>
                <w:rFonts w:hint="eastAsia"/>
              </w:rPr>
              <w:t>6</w:t>
            </w:r>
          </w:p>
        </w:tc>
        <w:tc>
          <w:tcPr>
            <w:tcW w:w="834" w:type="dxa"/>
            <w:vAlign w:val="center"/>
          </w:tcPr>
          <w:p>
            <w:pPr>
              <w:pStyle w:val="78"/>
            </w:pPr>
            <w:r>
              <w:rPr>
                <w:sz w:val="24"/>
              </w:rPr>
              <w:t>CO</w:t>
            </w:r>
          </w:p>
        </w:tc>
        <w:tc>
          <w:tcPr>
            <w:tcW w:w="1240" w:type="dxa"/>
            <w:vAlign w:val="center"/>
          </w:tcPr>
          <w:p>
            <w:pPr>
              <w:pStyle w:val="78"/>
            </w:pPr>
            <w:r>
              <w:t>10</w:t>
            </w:r>
          </w:p>
        </w:tc>
        <w:tc>
          <w:tcPr>
            <w:tcW w:w="1423" w:type="dxa"/>
            <w:vAlign w:val="center"/>
          </w:tcPr>
          <w:p>
            <w:pPr>
              <w:pStyle w:val="78"/>
            </w:pPr>
            <w:r>
              <w:t>4</w:t>
            </w:r>
          </w:p>
        </w:tc>
        <w:tc>
          <w:tcPr>
            <w:tcW w:w="1395" w:type="dxa"/>
            <w:vAlign w:val="center"/>
          </w:tcPr>
          <w:p>
            <w:pPr>
              <w:pStyle w:val="78"/>
            </w:pPr>
            <w:r>
              <w:t>--</w:t>
            </w:r>
          </w:p>
        </w:tc>
        <w:tc>
          <w:tcPr>
            <w:tcW w:w="1170" w:type="dxa"/>
            <w:vAlign w:val="center"/>
          </w:tcPr>
          <w:p>
            <w:pPr>
              <w:pStyle w:val="78"/>
            </w:pPr>
            <w:r>
              <w:t>--</w:t>
            </w:r>
          </w:p>
        </w:tc>
        <w:tc>
          <w:tcPr>
            <w:tcW w:w="1982" w:type="dxa"/>
            <w:vMerge w:val="continue"/>
            <w:vAlign w:val="center"/>
          </w:tcPr>
          <w:p>
            <w:pPr>
              <w:pStyle w:val="78"/>
            </w:pPr>
          </w:p>
        </w:tc>
      </w:tr>
    </w:tbl>
    <w:p>
      <w:pPr>
        <w:spacing w:beforeLines="50"/>
        <w:jc w:val="left"/>
        <w:rPr>
          <w:rFonts w:ascii="Times New Roman" w:hAnsi="Times New Roman"/>
          <w:sz w:val="24"/>
          <w:szCs w:val="24"/>
        </w:rPr>
      </w:pPr>
      <w:r>
        <w:rPr>
          <w:rFonts w:ascii="Times New Roman" w:hAnsi="Times New Roman"/>
          <w:sz w:val="24"/>
          <w:szCs w:val="24"/>
        </w:rPr>
        <w:t>2、地表水</w:t>
      </w:r>
    </w:p>
    <w:p>
      <w:pPr>
        <w:pStyle w:val="44"/>
        <w:rPr>
          <w:rFonts w:ascii="Times New Roman" w:hAnsi="Times New Roman"/>
        </w:rPr>
      </w:pPr>
      <w:r>
        <w:rPr>
          <w:rFonts w:ascii="Times New Roman" w:hAnsi="Times New Roman"/>
        </w:rPr>
        <w:t>本项目评价区水体为西南岔河，根据DB22/388－2004《吉林省地表水功能区》，源头——三岔子镇为浑江江源县饮用水源区，该段水体功能为II、III类水体（II、III表示饮用水源一级保护区水质目标为II类，其余水域水质目标为III类），本项目不位于饮用水源一级保护区范围内，因此执行III类标准；其中悬浮物参考《松花江水系环境质量标准》III类标准。详见表2-3。</w:t>
      </w:r>
    </w:p>
    <w:p>
      <w:pPr>
        <w:pStyle w:val="44"/>
        <w:ind w:firstLine="0" w:firstLineChars="0"/>
        <w:jc w:val="center"/>
        <w:rPr>
          <w:rFonts w:ascii="Times New Roman" w:hAnsi="Times New Roman"/>
          <w:b/>
        </w:rPr>
      </w:pPr>
      <w:r>
        <w:rPr>
          <w:rFonts w:hint="eastAsia" w:ascii="Times New Roman" w:hAnsi="Times New Roman"/>
          <w:b/>
          <w:bCs/>
        </w:rPr>
        <w:t>表2-3 地表水环境质量标准</w:t>
      </w:r>
      <w:r>
        <w:rPr>
          <w:rFonts w:ascii="Times New Roman" w:hAnsi="Times New Roman"/>
          <w:b/>
        </w:rPr>
        <w:t>（GB3838</w:t>
      </w:r>
      <w:r>
        <w:rPr>
          <w:rFonts w:hint="eastAsia" w:ascii="Times New Roman" w:hAnsi="Times New Roman"/>
          <w:b/>
        </w:rPr>
        <w:t>-</w:t>
      </w:r>
      <w:r>
        <w:rPr>
          <w:rFonts w:ascii="Times New Roman" w:hAnsi="Times New Roman"/>
          <w:b/>
        </w:rPr>
        <w:t>2002中III类）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097"/>
        <w:gridCol w:w="1691"/>
        <w:gridCol w:w="1691"/>
        <w:gridCol w:w="2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序号</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项  目</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执行标准</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标准限值</w:t>
            </w:r>
          </w:p>
        </w:tc>
        <w:tc>
          <w:tcPr>
            <w:tcW w:w="2127" w:type="dxa"/>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1</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pH</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6-9</w:t>
            </w:r>
          </w:p>
        </w:tc>
        <w:tc>
          <w:tcPr>
            <w:tcW w:w="2127" w:type="dxa"/>
            <w:vMerge w:val="restart"/>
            <w:vAlign w:val="center"/>
          </w:tcPr>
          <w:p>
            <w:pPr>
              <w:adjustRightInd w:val="0"/>
              <w:snapToGrid w:val="0"/>
              <w:jc w:val="center"/>
              <w:rPr>
                <w:rFonts w:ascii="Times New Roman" w:hAnsi="Times New Roman"/>
                <w:kern w:val="0"/>
                <w:szCs w:val="21"/>
              </w:rPr>
            </w:pPr>
            <w:r>
              <w:rPr>
                <w:rFonts w:ascii="Times New Roman" w:hAnsi="Times New Roman"/>
                <w:kern w:val="0"/>
                <w:szCs w:val="21"/>
              </w:rPr>
              <w:t>GB3838-2002</w:t>
            </w:r>
          </w:p>
          <w:p>
            <w:pPr>
              <w:adjustRightInd w:val="0"/>
              <w:snapToGrid w:val="0"/>
              <w:jc w:val="center"/>
              <w:rPr>
                <w:rFonts w:ascii="Times New Roman" w:hAnsi="Times New Roman"/>
                <w:kern w:val="0"/>
                <w:szCs w:val="21"/>
              </w:rPr>
            </w:pPr>
            <w:r>
              <w:rPr>
                <w:rFonts w:ascii="Times New Roman" w:hAnsi="Times New Roman"/>
                <w:kern w:val="0"/>
                <w:szCs w:val="21"/>
              </w:rPr>
              <w:t>《地表水环境质量标准》</w:t>
            </w:r>
          </w:p>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2</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COD</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≤20</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3</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BOD</w:t>
            </w:r>
            <w:r>
              <w:rPr>
                <w:rFonts w:ascii="Times New Roman" w:hAnsi="Times New Roman"/>
                <w:kern w:val="0"/>
                <w:szCs w:val="21"/>
                <w:vertAlign w:val="subscript"/>
              </w:rPr>
              <w:t>5</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≤4</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4</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NH</w:t>
            </w:r>
            <w:r>
              <w:rPr>
                <w:rFonts w:ascii="Times New Roman" w:hAnsi="Times New Roman"/>
                <w:kern w:val="0"/>
                <w:szCs w:val="21"/>
                <w:vertAlign w:val="subscript"/>
              </w:rPr>
              <w:t>3</w:t>
            </w:r>
            <w:r>
              <w:rPr>
                <w:rFonts w:ascii="Times New Roman" w:hAnsi="Times New Roman"/>
                <w:kern w:val="0"/>
                <w:szCs w:val="21"/>
              </w:rPr>
              <w:t>-N</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≤1.0</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5</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szCs w:val="21"/>
              </w:rPr>
              <w:t>硫化物</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≤0.2</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6</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szCs w:val="21"/>
              </w:rPr>
              <w:t>石油类</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jc w:val="center"/>
              <w:rPr>
                <w:rFonts w:ascii="Times New Roman" w:hAnsi="Times New Roman"/>
              </w:rPr>
            </w:pPr>
            <w:r>
              <w:rPr>
                <w:rFonts w:ascii="Times New Roman" w:hAnsi="Times New Roman"/>
                <w:kern w:val="0"/>
                <w:szCs w:val="21"/>
              </w:rPr>
              <w:t>≤0.05</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7</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szCs w:val="21"/>
              </w:rPr>
              <w:t>As</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jc w:val="center"/>
              <w:rPr>
                <w:rFonts w:ascii="Times New Roman" w:hAnsi="Times New Roman"/>
              </w:rPr>
            </w:pPr>
            <w:r>
              <w:rPr>
                <w:rFonts w:ascii="Times New Roman" w:hAnsi="Times New Roman"/>
                <w:kern w:val="0"/>
                <w:szCs w:val="21"/>
              </w:rPr>
              <w:t>≤0.05</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8</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氟化物</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jc w:val="center"/>
              <w:rPr>
                <w:rFonts w:ascii="Times New Roman" w:hAnsi="Times New Roman"/>
              </w:rPr>
            </w:pPr>
            <w:r>
              <w:rPr>
                <w:rFonts w:ascii="Times New Roman" w:hAnsi="Times New Roman"/>
                <w:kern w:val="0"/>
                <w:szCs w:val="21"/>
              </w:rPr>
              <w:t>≤1.0</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9</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szCs w:val="21"/>
              </w:rPr>
              <w:t>Pb</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jc w:val="center"/>
              <w:rPr>
                <w:rFonts w:ascii="Times New Roman" w:hAnsi="Times New Roman"/>
              </w:rPr>
            </w:pPr>
            <w:r>
              <w:rPr>
                <w:rFonts w:ascii="Times New Roman" w:hAnsi="Times New Roman"/>
                <w:kern w:val="0"/>
                <w:szCs w:val="21"/>
              </w:rPr>
              <w:t>≤0.05</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10</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szCs w:val="21"/>
              </w:rPr>
              <w:t>Cd</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jc w:val="center"/>
              <w:rPr>
                <w:rFonts w:ascii="Times New Roman" w:hAnsi="Times New Roman"/>
              </w:rPr>
            </w:pPr>
            <w:r>
              <w:rPr>
                <w:rFonts w:ascii="Times New Roman" w:hAnsi="Times New Roman"/>
                <w:kern w:val="0"/>
                <w:szCs w:val="21"/>
              </w:rPr>
              <w:t>≤0.005</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11</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szCs w:val="21"/>
              </w:rPr>
              <w:t>Hg</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jc w:val="center"/>
              <w:rPr>
                <w:rFonts w:ascii="Times New Roman" w:hAnsi="Times New Roman"/>
              </w:rPr>
            </w:pPr>
            <w:r>
              <w:rPr>
                <w:rFonts w:ascii="Times New Roman" w:hAnsi="Times New Roman"/>
                <w:kern w:val="0"/>
                <w:szCs w:val="21"/>
              </w:rPr>
              <w:t>≤0.0001</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12</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szCs w:val="21"/>
              </w:rPr>
              <w:t>六价铬</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jc w:val="center"/>
              <w:rPr>
                <w:rFonts w:ascii="Times New Roman" w:hAnsi="Times New Roman"/>
              </w:rPr>
            </w:pPr>
            <w:r>
              <w:rPr>
                <w:rFonts w:ascii="Times New Roman" w:hAnsi="Times New Roman"/>
                <w:kern w:val="0"/>
                <w:szCs w:val="21"/>
              </w:rPr>
              <w:t>≤0.05</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hint="eastAsia" w:ascii="Times New Roman" w:hAnsi="Times New Roman"/>
                <w:szCs w:val="21"/>
              </w:rPr>
              <w:t>13</w:t>
            </w:r>
          </w:p>
        </w:tc>
        <w:tc>
          <w:tcPr>
            <w:tcW w:w="2097" w:type="dxa"/>
            <w:vAlign w:val="center"/>
          </w:tcPr>
          <w:p>
            <w:pPr>
              <w:adjustRightInd w:val="0"/>
              <w:snapToGrid w:val="0"/>
              <w:jc w:val="center"/>
              <w:rPr>
                <w:rFonts w:ascii="Times New Roman" w:hAnsi="Times New Roman"/>
                <w:szCs w:val="21"/>
              </w:rPr>
            </w:pPr>
            <w:r>
              <w:rPr>
                <w:rFonts w:hint="eastAsia" w:ascii="Times New Roman" w:hAnsi="Times New Roman"/>
                <w:szCs w:val="21"/>
              </w:rPr>
              <w:t>Fe</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jc w:val="center"/>
              <w:rPr>
                <w:rFonts w:ascii="Times New Roman" w:hAnsi="Times New Roman"/>
                <w:kern w:val="0"/>
                <w:szCs w:val="21"/>
              </w:rPr>
            </w:pPr>
            <w:r>
              <w:rPr>
                <w:rFonts w:hint="eastAsia" w:ascii="Times New Roman" w:hAnsi="Times New Roman"/>
                <w:kern w:val="0"/>
                <w:szCs w:val="21"/>
              </w:rPr>
              <w:t>0.3</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hint="eastAsia" w:ascii="Times New Roman" w:hAnsi="Times New Roman"/>
                <w:szCs w:val="21"/>
              </w:rPr>
              <w:t>14</w:t>
            </w:r>
          </w:p>
        </w:tc>
        <w:tc>
          <w:tcPr>
            <w:tcW w:w="2097" w:type="dxa"/>
            <w:vAlign w:val="center"/>
          </w:tcPr>
          <w:p>
            <w:pPr>
              <w:adjustRightInd w:val="0"/>
              <w:snapToGrid w:val="0"/>
              <w:jc w:val="center"/>
              <w:rPr>
                <w:rFonts w:ascii="Times New Roman" w:hAnsi="Times New Roman"/>
                <w:szCs w:val="21"/>
              </w:rPr>
            </w:pPr>
            <w:r>
              <w:rPr>
                <w:rFonts w:hint="eastAsia" w:ascii="Times New Roman" w:hAnsi="Times New Roman"/>
                <w:szCs w:val="21"/>
              </w:rPr>
              <w:t>Mn</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jc w:val="center"/>
              <w:rPr>
                <w:rFonts w:ascii="Times New Roman" w:hAnsi="Times New Roman"/>
                <w:kern w:val="0"/>
                <w:szCs w:val="21"/>
              </w:rPr>
            </w:pPr>
            <w:r>
              <w:rPr>
                <w:rFonts w:hint="eastAsia" w:ascii="Times New Roman" w:hAnsi="Times New Roman"/>
                <w:kern w:val="0"/>
                <w:szCs w:val="21"/>
              </w:rPr>
              <w:t>0.1</w:t>
            </w:r>
          </w:p>
        </w:tc>
        <w:tc>
          <w:tcPr>
            <w:tcW w:w="2127" w:type="dxa"/>
            <w:vMerge w:val="continue"/>
            <w:vAlign w:val="center"/>
          </w:tcPr>
          <w:p>
            <w:pPr>
              <w:adjustRightInd w:val="0"/>
              <w:snapToGrid w:val="0"/>
              <w:jc w:val="center"/>
              <w:rPr>
                <w:rFonts w:ascii="Times New Roman" w:hAnsi="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16" w:type="dxa"/>
            <w:vAlign w:val="center"/>
          </w:tcPr>
          <w:p>
            <w:pPr>
              <w:adjustRightInd w:val="0"/>
              <w:snapToGrid w:val="0"/>
              <w:jc w:val="center"/>
              <w:rPr>
                <w:rFonts w:ascii="Times New Roman" w:hAnsi="Times New Roman"/>
                <w:szCs w:val="21"/>
              </w:rPr>
            </w:pPr>
            <w:r>
              <w:rPr>
                <w:rFonts w:ascii="Times New Roman" w:hAnsi="Times New Roman"/>
                <w:szCs w:val="21"/>
              </w:rPr>
              <w:t>13</w:t>
            </w:r>
          </w:p>
        </w:tc>
        <w:tc>
          <w:tcPr>
            <w:tcW w:w="2097"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SS</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III类</w:t>
            </w:r>
          </w:p>
        </w:tc>
        <w:tc>
          <w:tcPr>
            <w:tcW w:w="1691"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＜25</w:t>
            </w:r>
          </w:p>
        </w:tc>
        <w:tc>
          <w:tcPr>
            <w:tcW w:w="2127" w:type="dxa"/>
            <w:vAlign w:val="center"/>
          </w:tcPr>
          <w:p>
            <w:pPr>
              <w:adjustRightInd w:val="0"/>
              <w:snapToGrid w:val="0"/>
              <w:jc w:val="center"/>
              <w:rPr>
                <w:rFonts w:ascii="Times New Roman" w:hAnsi="Times New Roman"/>
                <w:kern w:val="0"/>
                <w:szCs w:val="21"/>
              </w:rPr>
            </w:pPr>
            <w:r>
              <w:rPr>
                <w:rFonts w:ascii="Times New Roman" w:hAnsi="Times New Roman"/>
                <w:kern w:val="0"/>
                <w:szCs w:val="21"/>
              </w:rPr>
              <w:t>《松花江水系环境质量标准》</w:t>
            </w:r>
          </w:p>
        </w:tc>
      </w:tr>
    </w:tbl>
    <w:p>
      <w:pPr>
        <w:pStyle w:val="44"/>
        <w:tabs>
          <w:tab w:val="left" w:pos="214"/>
        </w:tabs>
        <w:spacing w:beforeLines="50"/>
        <w:ind w:firstLine="0" w:firstLineChars="0"/>
        <w:jc w:val="left"/>
        <w:rPr>
          <w:rFonts w:ascii="Times New Roman" w:hAnsi="Times New Roman"/>
          <w:bCs/>
        </w:rPr>
      </w:pPr>
      <w:r>
        <w:rPr>
          <w:rFonts w:hint="eastAsia" w:ascii="Times New Roman" w:hAnsi="Times New Roman"/>
          <w:bCs/>
        </w:rPr>
        <w:t>3、地下水</w:t>
      </w:r>
    </w:p>
    <w:p>
      <w:pPr>
        <w:spacing w:line="360" w:lineRule="auto"/>
        <w:ind w:firstLine="480" w:firstLineChars="200"/>
        <w:rPr>
          <w:rFonts w:ascii="Times New Roman" w:hAnsi="Times New Roman"/>
          <w:sz w:val="24"/>
          <w:szCs w:val="24"/>
        </w:rPr>
      </w:pPr>
      <w:r>
        <w:rPr>
          <w:rFonts w:ascii="Times New Roman" w:hAnsi="Times New Roman"/>
          <w:sz w:val="24"/>
          <w:szCs w:val="24"/>
        </w:rPr>
        <w:t>本项目所在区域地下水主要用于矿区生活用水及生产用水，</w:t>
      </w:r>
      <w:r>
        <w:rPr>
          <w:rFonts w:ascii="Times New Roman" w:hAnsi="Times New Roman"/>
          <w:sz w:val="24"/>
        </w:rPr>
        <w:t>根据《地下水质量标准》（GB/T14848-2017）“地下水化学组分含量中等，适用于集中式生活饮用水水源及工业用水”为Ⅲ类地下水，</w:t>
      </w:r>
      <w:r>
        <w:rPr>
          <w:rFonts w:ascii="Times New Roman" w:hAnsi="Times New Roman"/>
          <w:sz w:val="24"/>
          <w:szCs w:val="24"/>
        </w:rPr>
        <w:t>采用《地下水质量标准》（GB/T14848-2017）中的Ⅲ类标准，标准值见下表。</w:t>
      </w:r>
    </w:p>
    <w:p>
      <w:pPr>
        <w:jc w:val="center"/>
        <w:rPr>
          <w:rFonts w:ascii="Times New Roman" w:hAnsi="Times New Roman"/>
          <w:b/>
          <w:color w:val="000000"/>
          <w:sz w:val="24"/>
          <w:szCs w:val="24"/>
        </w:rPr>
      </w:pPr>
      <w:r>
        <w:rPr>
          <w:rFonts w:ascii="Times New Roman" w:hAnsi="Times New Roman"/>
          <w:b/>
          <w:color w:val="000000"/>
          <w:sz w:val="24"/>
          <w:szCs w:val="24"/>
        </w:rPr>
        <w:t>表</w:t>
      </w:r>
      <w:r>
        <w:rPr>
          <w:rFonts w:hint="eastAsia" w:ascii="Times New Roman" w:hAnsi="Times New Roman"/>
          <w:b/>
          <w:color w:val="000000"/>
          <w:sz w:val="24"/>
          <w:szCs w:val="24"/>
        </w:rPr>
        <w:t>2-</w:t>
      </w:r>
      <w:r>
        <w:rPr>
          <w:rFonts w:ascii="Times New Roman" w:hAnsi="Times New Roman"/>
          <w:b/>
          <w:color w:val="000000"/>
          <w:sz w:val="24"/>
          <w:szCs w:val="24"/>
        </w:rPr>
        <w:t>4 地下水质量标准（GBT14848</w:t>
      </w:r>
      <w:r>
        <w:rPr>
          <w:rFonts w:hint="eastAsia" w:ascii="Times New Roman" w:hAnsi="Times New Roman"/>
          <w:b/>
          <w:color w:val="000000"/>
          <w:sz w:val="24"/>
          <w:szCs w:val="24"/>
        </w:rPr>
        <w:t>-2017</w:t>
      </w:r>
      <w:r>
        <w:rPr>
          <w:rFonts w:ascii="Times New Roman" w:hAnsi="Times New Roman"/>
          <w:b/>
          <w:color w:val="000000"/>
          <w:sz w:val="24"/>
          <w:szCs w:val="24"/>
        </w:rPr>
        <w:t>中Ⅲ类）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05"/>
        <w:gridCol w:w="2661"/>
        <w:gridCol w:w="1640"/>
        <w:gridCol w:w="311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序号</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项目</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标准</w:t>
            </w:r>
          </w:p>
        </w:tc>
        <w:tc>
          <w:tcPr>
            <w:tcW w:w="3116" w:type="dxa"/>
            <w:vAlign w:val="center"/>
          </w:tcPr>
          <w:p>
            <w:pPr>
              <w:jc w:val="center"/>
              <w:rPr>
                <w:rFonts w:ascii="Times New Roman" w:hAnsi="Times New Roman"/>
                <w:spacing w:val="8"/>
                <w:szCs w:val="21"/>
              </w:rPr>
            </w:pPr>
            <w:r>
              <w:rPr>
                <w:rFonts w:ascii="Times New Roman" w:hAnsi="Times New Roman"/>
                <w:spacing w:val="8"/>
                <w:szCs w:val="21"/>
              </w:rPr>
              <w:t>标准来源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pH</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6.5~8.5</w:t>
            </w:r>
          </w:p>
        </w:tc>
        <w:tc>
          <w:tcPr>
            <w:tcW w:w="3116" w:type="dxa"/>
            <w:vMerge w:val="restart"/>
            <w:vAlign w:val="center"/>
          </w:tcPr>
          <w:p>
            <w:pPr>
              <w:jc w:val="center"/>
              <w:rPr>
                <w:rFonts w:ascii="Times New Roman" w:hAnsi="Times New Roman"/>
                <w:spacing w:val="8"/>
                <w:szCs w:val="21"/>
              </w:rPr>
            </w:pPr>
            <w:r>
              <w:rPr>
                <w:rFonts w:ascii="Times New Roman" w:hAnsi="Times New Roman"/>
                <w:spacing w:val="8"/>
                <w:szCs w:val="21"/>
              </w:rPr>
              <w:t>GB/T14848-2017</w:t>
            </w:r>
          </w:p>
          <w:p>
            <w:pPr>
              <w:jc w:val="center"/>
              <w:rPr>
                <w:rFonts w:ascii="Times New Roman" w:hAnsi="Times New Roman"/>
                <w:spacing w:val="8"/>
                <w:szCs w:val="21"/>
              </w:rPr>
            </w:pPr>
            <w:r>
              <w:rPr>
                <w:rFonts w:ascii="Times New Roman" w:hAnsi="Times New Roman"/>
                <w:spacing w:val="8"/>
                <w:szCs w:val="21"/>
              </w:rPr>
              <w:t>《地下水质量标准》</w:t>
            </w:r>
          </w:p>
          <w:p>
            <w:pPr>
              <w:jc w:val="center"/>
              <w:rPr>
                <w:rFonts w:ascii="Times New Roman" w:hAnsi="Times New Roman"/>
                <w:spacing w:val="8"/>
                <w:szCs w:val="21"/>
              </w:rPr>
            </w:pPr>
            <w:r>
              <w:rPr>
                <w:rFonts w:ascii="Times New Roman" w:hAnsi="Times New Roman"/>
                <w:spacing w:val="8"/>
                <w:szCs w:val="21"/>
              </w:rPr>
              <w:t>中Ⅲ类标准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2</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氨氮</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≤0.5</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3</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总硬度</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≤450</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4</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硝酸盐</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≤20</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5</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亚硝酸盐</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≤1.00</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6</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挥发性酚类</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≤0.002</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7</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硫酸盐</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≤250</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8</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氯化物</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≤250</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9</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氰化物</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≤0.05</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10</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氟化物</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≤1.0</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11</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溶解性总固体</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≤1000</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12</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铁（Fe)</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≤0.3</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13</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锰（Mn）</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≤0.1</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14</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六价铬（Cr</w:t>
            </w:r>
            <w:r>
              <w:rPr>
                <w:rFonts w:ascii="Times New Roman" w:hAnsi="Times New Roman"/>
                <w:spacing w:val="8"/>
                <w:szCs w:val="21"/>
                <w:vertAlign w:val="superscript"/>
              </w:rPr>
              <w:t>6+</w:t>
            </w:r>
            <w:r>
              <w:rPr>
                <w:rFonts w:ascii="Times New Roman" w:hAnsi="Times New Roman"/>
                <w:spacing w:val="8"/>
                <w:szCs w:val="21"/>
              </w:rPr>
              <w:t>）</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≤0.05</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15</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砷（As）</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≤0.01</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16</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镍（Ni）</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≤0.02</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17</w:t>
            </w:r>
          </w:p>
        </w:tc>
        <w:tc>
          <w:tcPr>
            <w:tcW w:w="2661" w:type="dxa"/>
            <w:vAlign w:val="center"/>
          </w:tcPr>
          <w:p>
            <w:pPr>
              <w:jc w:val="center"/>
              <w:rPr>
                <w:rFonts w:ascii="Times New Roman" w:hAnsi="Times New Roman"/>
                <w:spacing w:val="8"/>
                <w:szCs w:val="21"/>
              </w:rPr>
            </w:pPr>
            <w:r>
              <w:rPr>
                <w:rFonts w:ascii="Times New Roman" w:hAnsi="Times New Roman"/>
                <w:spacing w:val="8"/>
                <w:szCs w:val="21"/>
              </w:rPr>
              <w:t>铅（Pb）</w:t>
            </w:r>
          </w:p>
        </w:tc>
        <w:tc>
          <w:tcPr>
            <w:tcW w:w="1640" w:type="dxa"/>
            <w:vAlign w:val="center"/>
          </w:tcPr>
          <w:p>
            <w:pPr>
              <w:jc w:val="center"/>
              <w:rPr>
                <w:rFonts w:ascii="Times New Roman" w:hAnsi="Times New Roman"/>
                <w:spacing w:val="8"/>
                <w:szCs w:val="21"/>
              </w:rPr>
            </w:pPr>
            <w:r>
              <w:rPr>
                <w:rFonts w:ascii="Times New Roman" w:hAnsi="Times New Roman"/>
                <w:spacing w:val="8"/>
                <w:szCs w:val="21"/>
              </w:rPr>
              <w:t>≤0.01</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18</w:t>
            </w:r>
          </w:p>
        </w:tc>
        <w:tc>
          <w:tcPr>
            <w:tcW w:w="2661" w:type="dxa"/>
            <w:vAlign w:val="center"/>
          </w:tcPr>
          <w:p>
            <w:pPr>
              <w:jc w:val="center"/>
              <w:rPr>
                <w:rFonts w:ascii="Times New Roman" w:hAnsi="Times New Roman"/>
                <w:spacing w:val="8"/>
                <w:szCs w:val="21"/>
              </w:rPr>
            </w:pPr>
            <w:r>
              <w:rPr>
                <w:rFonts w:ascii="Times New Roman" w:hAnsi="Times New Roman"/>
                <w:szCs w:val="21"/>
              </w:rPr>
              <w:t>铜（Cu）</w:t>
            </w:r>
          </w:p>
        </w:tc>
        <w:tc>
          <w:tcPr>
            <w:tcW w:w="1640" w:type="dxa"/>
            <w:vAlign w:val="center"/>
          </w:tcPr>
          <w:p>
            <w:pPr>
              <w:jc w:val="center"/>
              <w:rPr>
                <w:rFonts w:ascii="Times New Roman" w:hAnsi="Times New Roman"/>
                <w:szCs w:val="21"/>
              </w:rPr>
            </w:pPr>
            <w:r>
              <w:rPr>
                <w:rFonts w:ascii="Times New Roman" w:hAnsi="Times New Roman"/>
                <w:spacing w:val="8"/>
                <w:szCs w:val="21"/>
              </w:rPr>
              <w:t>≤1.0</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19</w:t>
            </w:r>
          </w:p>
        </w:tc>
        <w:tc>
          <w:tcPr>
            <w:tcW w:w="2661" w:type="dxa"/>
            <w:vAlign w:val="center"/>
          </w:tcPr>
          <w:p>
            <w:pPr>
              <w:jc w:val="center"/>
              <w:rPr>
                <w:rFonts w:ascii="Times New Roman" w:hAnsi="Times New Roman"/>
                <w:spacing w:val="8"/>
                <w:szCs w:val="21"/>
              </w:rPr>
            </w:pPr>
            <w:r>
              <w:rPr>
                <w:rFonts w:ascii="Times New Roman" w:hAnsi="Times New Roman"/>
                <w:szCs w:val="21"/>
              </w:rPr>
              <w:t>锌（Zn）</w:t>
            </w:r>
          </w:p>
        </w:tc>
        <w:tc>
          <w:tcPr>
            <w:tcW w:w="1640" w:type="dxa"/>
            <w:vAlign w:val="center"/>
          </w:tcPr>
          <w:p>
            <w:pPr>
              <w:jc w:val="center"/>
              <w:rPr>
                <w:rFonts w:ascii="Times New Roman" w:hAnsi="Times New Roman"/>
                <w:szCs w:val="21"/>
              </w:rPr>
            </w:pPr>
            <w:r>
              <w:rPr>
                <w:rFonts w:ascii="Times New Roman" w:hAnsi="Times New Roman"/>
                <w:spacing w:val="8"/>
                <w:szCs w:val="21"/>
              </w:rPr>
              <w:t>≤1.0</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20</w:t>
            </w:r>
          </w:p>
        </w:tc>
        <w:tc>
          <w:tcPr>
            <w:tcW w:w="2661" w:type="dxa"/>
            <w:vAlign w:val="center"/>
          </w:tcPr>
          <w:p>
            <w:pPr>
              <w:jc w:val="center"/>
              <w:rPr>
                <w:rFonts w:ascii="Times New Roman" w:hAnsi="Times New Roman"/>
                <w:spacing w:val="8"/>
                <w:szCs w:val="21"/>
              </w:rPr>
            </w:pPr>
            <w:r>
              <w:rPr>
                <w:rFonts w:ascii="Times New Roman" w:hAnsi="Times New Roman"/>
                <w:szCs w:val="21"/>
              </w:rPr>
              <w:t>镉（Cd）</w:t>
            </w:r>
          </w:p>
        </w:tc>
        <w:tc>
          <w:tcPr>
            <w:tcW w:w="1640" w:type="dxa"/>
            <w:vAlign w:val="center"/>
          </w:tcPr>
          <w:p>
            <w:pPr>
              <w:jc w:val="center"/>
              <w:rPr>
                <w:rFonts w:ascii="Times New Roman" w:hAnsi="Times New Roman"/>
                <w:szCs w:val="21"/>
              </w:rPr>
            </w:pPr>
            <w:r>
              <w:rPr>
                <w:rFonts w:ascii="Times New Roman" w:hAnsi="Times New Roman"/>
                <w:spacing w:val="8"/>
                <w:szCs w:val="21"/>
              </w:rPr>
              <w:t>≤0.001</w:t>
            </w:r>
          </w:p>
        </w:tc>
        <w:tc>
          <w:tcPr>
            <w:tcW w:w="3116" w:type="dxa"/>
            <w:vMerge w:val="continue"/>
            <w:vAlign w:val="center"/>
          </w:tcPr>
          <w:p>
            <w:pPr>
              <w:jc w:val="center"/>
              <w:rPr>
                <w:rFonts w:ascii="Times New Roman" w:hAnsi="Times New Roman"/>
                <w:spacing w:val="8"/>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05" w:type="dxa"/>
            <w:vAlign w:val="center"/>
          </w:tcPr>
          <w:p>
            <w:pPr>
              <w:jc w:val="center"/>
              <w:rPr>
                <w:rFonts w:ascii="Times New Roman" w:hAnsi="Times New Roman"/>
                <w:spacing w:val="8"/>
                <w:szCs w:val="21"/>
              </w:rPr>
            </w:pPr>
            <w:r>
              <w:rPr>
                <w:rFonts w:ascii="Times New Roman" w:hAnsi="Times New Roman"/>
                <w:spacing w:val="8"/>
                <w:szCs w:val="21"/>
              </w:rPr>
              <w:t>21</w:t>
            </w:r>
          </w:p>
        </w:tc>
        <w:tc>
          <w:tcPr>
            <w:tcW w:w="2661" w:type="dxa"/>
            <w:vAlign w:val="center"/>
          </w:tcPr>
          <w:p>
            <w:pPr>
              <w:ind w:firstLine="1050" w:firstLineChars="500"/>
              <w:rPr>
                <w:rFonts w:ascii="Times New Roman" w:hAnsi="Times New Roman"/>
                <w:szCs w:val="21"/>
              </w:rPr>
            </w:pPr>
            <w:r>
              <w:rPr>
                <w:rFonts w:ascii="Times New Roman" w:hAnsi="Times New Roman"/>
                <w:szCs w:val="21"/>
              </w:rPr>
              <w:t>汞(Hg)</w:t>
            </w:r>
          </w:p>
        </w:tc>
        <w:tc>
          <w:tcPr>
            <w:tcW w:w="1640" w:type="dxa"/>
            <w:vAlign w:val="center"/>
          </w:tcPr>
          <w:p>
            <w:pPr>
              <w:jc w:val="center"/>
              <w:rPr>
                <w:rFonts w:ascii="Times New Roman" w:hAnsi="Times New Roman"/>
                <w:szCs w:val="21"/>
              </w:rPr>
            </w:pPr>
            <w:r>
              <w:rPr>
                <w:rFonts w:ascii="Times New Roman" w:hAnsi="Times New Roman"/>
                <w:spacing w:val="8"/>
                <w:szCs w:val="21"/>
              </w:rPr>
              <w:t>≤0.001</w:t>
            </w:r>
          </w:p>
        </w:tc>
        <w:tc>
          <w:tcPr>
            <w:tcW w:w="3116" w:type="dxa"/>
            <w:vMerge w:val="continue"/>
            <w:vAlign w:val="center"/>
          </w:tcPr>
          <w:p>
            <w:pPr>
              <w:jc w:val="center"/>
              <w:rPr>
                <w:rFonts w:ascii="Times New Roman" w:hAnsi="Times New Roman"/>
                <w:spacing w:val="8"/>
                <w:szCs w:val="21"/>
              </w:rPr>
            </w:pPr>
          </w:p>
        </w:tc>
      </w:tr>
    </w:tbl>
    <w:p>
      <w:pPr>
        <w:pStyle w:val="44"/>
        <w:tabs>
          <w:tab w:val="left" w:pos="214"/>
        </w:tabs>
        <w:spacing w:beforeLines="50"/>
        <w:ind w:left="215" w:firstLine="0" w:firstLineChars="0"/>
        <w:jc w:val="left"/>
        <w:rPr>
          <w:rFonts w:ascii="Times New Roman" w:hAnsi="Times New Roman"/>
          <w:bCs/>
          <w:color w:val="000000"/>
        </w:rPr>
      </w:pPr>
      <w:r>
        <w:rPr>
          <w:rFonts w:hint="eastAsia" w:ascii="Times New Roman" w:hAnsi="Times New Roman"/>
          <w:bCs/>
          <w:color w:val="000000"/>
        </w:rPr>
        <w:t>4、声环境</w:t>
      </w:r>
    </w:p>
    <w:p>
      <w:pPr>
        <w:spacing w:line="360" w:lineRule="auto"/>
        <w:ind w:firstLine="480" w:firstLineChars="200"/>
        <w:rPr>
          <w:rFonts w:ascii="Times New Roman" w:hAnsi="Times New Roman"/>
          <w:sz w:val="24"/>
          <w:szCs w:val="24"/>
        </w:rPr>
      </w:pPr>
      <w:r>
        <w:rPr>
          <w:rFonts w:ascii="Times New Roman" w:hAnsi="Times New Roman"/>
          <w:sz w:val="24"/>
          <w:szCs w:val="24"/>
        </w:rPr>
        <w:t>本项目包括尾矿库及选矿厂压滤。本项目2km范围内无敏感点。因此结合本项目自身的建设性质及周围的环境情况，本次环评对该项目所在地按独立于村屯的工况企业考虑：本项目厂界执行GB3096-2008《声环境质量标准》3类区标准，运输线路两侧的村屯执行GB3096-2008《声环境质量标准》1类区标准，详见下表。</w:t>
      </w:r>
    </w:p>
    <w:p>
      <w:pPr>
        <w:spacing w:beforeLines="50"/>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2-</w:t>
      </w:r>
      <w:r>
        <w:rPr>
          <w:rFonts w:ascii="Times New Roman" w:hAnsi="Times New Roman"/>
          <w:b/>
          <w:sz w:val="24"/>
          <w:szCs w:val="24"/>
        </w:rPr>
        <w:t>5</w:t>
      </w:r>
      <w:r>
        <w:rPr>
          <w:rFonts w:hint="eastAsia" w:ascii="Times New Roman" w:hAnsi="Times New Roman"/>
          <w:b/>
          <w:sz w:val="24"/>
          <w:szCs w:val="24"/>
        </w:rPr>
        <w:t xml:space="preserve"> 声环境质量</w:t>
      </w:r>
      <w:r>
        <w:rPr>
          <w:rFonts w:ascii="Times New Roman" w:hAnsi="Times New Roman"/>
          <w:b/>
          <w:sz w:val="24"/>
          <w:szCs w:val="24"/>
        </w:rPr>
        <w:t>标准（GB3096</w:t>
      </w:r>
      <w:r>
        <w:rPr>
          <w:rFonts w:hint="eastAsia" w:ascii="Times New Roman" w:hAnsi="Times New Roman"/>
          <w:b/>
          <w:sz w:val="24"/>
          <w:szCs w:val="24"/>
        </w:rPr>
        <w:t>-</w:t>
      </w:r>
      <w:r>
        <w:rPr>
          <w:rFonts w:ascii="Times New Roman" w:hAnsi="Times New Roman"/>
          <w:b/>
          <w:sz w:val="24"/>
          <w:szCs w:val="24"/>
        </w:rPr>
        <w:t>2008）</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2454"/>
        <w:gridCol w:w="2454"/>
        <w:gridCol w:w="22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Merge w:val="restart"/>
            <w:vAlign w:val="center"/>
          </w:tcPr>
          <w:p>
            <w:pPr>
              <w:jc w:val="center"/>
              <w:rPr>
                <w:rFonts w:ascii="Times New Roman" w:hAnsi="Times New Roman"/>
              </w:rPr>
            </w:pPr>
            <w:r>
              <w:rPr>
                <w:rFonts w:ascii="Times New Roman" w:hAnsi="Times New Roman"/>
              </w:rPr>
              <w:t>采用级别</w:t>
            </w:r>
          </w:p>
        </w:tc>
        <w:tc>
          <w:tcPr>
            <w:tcW w:w="4908" w:type="dxa"/>
            <w:gridSpan w:val="2"/>
            <w:vAlign w:val="center"/>
          </w:tcPr>
          <w:p>
            <w:pPr>
              <w:jc w:val="center"/>
              <w:rPr>
                <w:rFonts w:ascii="Times New Roman" w:hAnsi="Times New Roman"/>
              </w:rPr>
            </w:pPr>
            <w:r>
              <w:rPr>
                <w:rFonts w:ascii="Times New Roman" w:hAnsi="Times New Roman"/>
              </w:rPr>
              <w:t>标  准  值</w:t>
            </w:r>
          </w:p>
        </w:tc>
        <w:tc>
          <w:tcPr>
            <w:tcW w:w="2258" w:type="dxa"/>
            <w:vMerge w:val="restart"/>
            <w:vAlign w:val="center"/>
          </w:tcPr>
          <w:p>
            <w:pPr>
              <w:jc w:val="center"/>
              <w:rPr>
                <w:rFonts w:ascii="Times New Roman" w:hAnsi="Times New Roman"/>
              </w:rPr>
            </w:pPr>
            <w:r>
              <w:rPr>
                <w:rFonts w:ascii="Times New Roman" w:hAnsi="Times New Roma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Merge w:val="continue"/>
            <w:vAlign w:val="center"/>
          </w:tcPr>
          <w:p>
            <w:pPr>
              <w:jc w:val="center"/>
              <w:rPr>
                <w:rFonts w:ascii="Times New Roman" w:hAnsi="Times New Roman"/>
              </w:rPr>
            </w:pPr>
          </w:p>
        </w:tc>
        <w:tc>
          <w:tcPr>
            <w:tcW w:w="2454" w:type="dxa"/>
            <w:vAlign w:val="center"/>
          </w:tcPr>
          <w:p>
            <w:pPr>
              <w:jc w:val="center"/>
              <w:rPr>
                <w:rFonts w:ascii="Times New Roman" w:hAnsi="Times New Roman"/>
              </w:rPr>
            </w:pPr>
            <w:r>
              <w:rPr>
                <w:rFonts w:ascii="Times New Roman" w:hAnsi="Times New Roman"/>
              </w:rPr>
              <w:t>昼  间</w:t>
            </w:r>
          </w:p>
        </w:tc>
        <w:tc>
          <w:tcPr>
            <w:tcW w:w="2454" w:type="dxa"/>
            <w:vAlign w:val="center"/>
          </w:tcPr>
          <w:p>
            <w:pPr>
              <w:jc w:val="center"/>
              <w:rPr>
                <w:rFonts w:ascii="Times New Roman" w:hAnsi="Times New Roman"/>
              </w:rPr>
            </w:pPr>
            <w:r>
              <w:rPr>
                <w:rFonts w:ascii="Times New Roman" w:hAnsi="Times New Roman"/>
              </w:rPr>
              <w:t>夜  间</w:t>
            </w:r>
          </w:p>
        </w:tc>
        <w:tc>
          <w:tcPr>
            <w:tcW w:w="2258" w:type="dxa"/>
            <w:vMerge w:val="continue"/>
            <w:vAlign w:val="center"/>
          </w:tcPr>
          <w:p>
            <w:pPr>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pPr>
              <w:jc w:val="center"/>
              <w:rPr>
                <w:rFonts w:ascii="Times New Roman" w:hAnsi="Times New Roman"/>
              </w:rPr>
            </w:pPr>
            <w:r>
              <w:rPr>
                <w:rFonts w:ascii="Times New Roman" w:hAnsi="Times New Roman"/>
              </w:rPr>
              <w:t>1类</w:t>
            </w:r>
          </w:p>
        </w:tc>
        <w:tc>
          <w:tcPr>
            <w:tcW w:w="2454" w:type="dxa"/>
            <w:vAlign w:val="center"/>
          </w:tcPr>
          <w:p>
            <w:pPr>
              <w:jc w:val="center"/>
              <w:rPr>
                <w:rFonts w:ascii="Times New Roman" w:hAnsi="Times New Roman"/>
              </w:rPr>
            </w:pPr>
            <w:r>
              <w:rPr>
                <w:rFonts w:ascii="Times New Roman" w:hAnsi="Times New Roman"/>
              </w:rPr>
              <w:t>55</w:t>
            </w:r>
          </w:p>
        </w:tc>
        <w:tc>
          <w:tcPr>
            <w:tcW w:w="2454" w:type="dxa"/>
            <w:vAlign w:val="center"/>
          </w:tcPr>
          <w:p>
            <w:pPr>
              <w:jc w:val="center"/>
              <w:rPr>
                <w:rFonts w:ascii="Times New Roman" w:hAnsi="Times New Roman"/>
              </w:rPr>
            </w:pPr>
            <w:r>
              <w:rPr>
                <w:rFonts w:ascii="Times New Roman" w:hAnsi="Times New Roman"/>
              </w:rPr>
              <w:t>45</w:t>
            </w:r>
          </w:p>
        </w:tc>
        <w:tc>
          <w:tcPr>
            <w:tcW w:w="2258" w:type="dxa"/>
            <w:vMerge w:val="restart"/>
            <w:vAlign w:val="center"/>
          </w:tcPr>
          <w:p>
            <w:pPr>
              <w:jc w:val="center"/>
              <w:rPr>
                <w:rFonts w:ascii="Times New Roman" w:hAnsi="Times New Roman"/>
              </w:rPr>
            </w:pPr>
            <w:r>
              <w:rPr>
                <w:rFonts w:ascii="Times New Roman" w:hAnsi="Times New Roman"/>
              </w:rPr>
              <w:t>GB3096-2008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4" w:type="dxa"/>
            <w:vAlign w:val="center"/>
          </w:tcPr>
          <w:p>
            <w:pPr>
              <w:jc w:val="center"/>
              <w:rPr>
                <w:rFonts w:ascii="Times New Roman" w:hAnsi="Times New Roman"/>
              </w:rPr>
            </w:pPr>
            <w:r>
              <w:rPr>
                <w:rFonts w:ascii="Times New Roman" w:hAnsi="Times New Roman"/>
              </w:rPr>
              <w:t>3类</w:t>
            </w:r>
          </w:p>
        </w:tc>
        <w:tc>
          <w:tcPr>
            <w:tcW w:w="2454" w:type="dxa"/>
            <w:vAlign w:val="center"/>
          </w:tcPr>
          <w:p>
            <w:pPr>
              <w:jc w:val="center"/>
              <w:rPr>
                <w:rFonts w:ascii="Times New Roman" w:hAnsi="Times New Roman"/>
              </w:rPr>
            </w:pPr>
            <w:r>
              <w:rPr>
                <w:rFonts w:ascii="Times New Roman" w:hAnsi="Times New Roman"/>
              </w:rPr>
              <w:t>65</w:t>
            </w:r>
          </w:p>
        </w:tc>
        <w:tc>
          <w:tcPr>
            <w:tcW w:w="2454" w:type="dxa"/>
            <w:vAlign w:val="center"/>
          </w:tcPr>
          <w:p>
            <w:pPr>
              <w:jc w:val="center"/>
              <w:rPr>
                <w:rFonts w:ascii="Times New Roman" w:hAnsi="Times New Roman"/>
              </w:rPr>
            </w:pPr>
            <w:r>
              <w:rPr>
                <w:rFonts w:ascii="Times New Roman" w:hAnsi="Times New Roman"/>
              </w:rPr>
              <w:t>55</w:t>
            </w:r>
          </w:p>
        </w:tc>
        <w:tc>
          <w:tcPr>
            <w:tcW w:w="2258" w:type="dxa"/>
            <w:vMerge w:val="continue"/>
            <w:vAlign w:val="center"/>
          </w:tcPr>
          <w:p>
            <w:pPr>
              <w:jc w:val="center"/>
              <w:rPr>
                <w:rFonts w:ascii="Times New Roman" w:hAnsi="Times New Roman"/>
              </w:rPr>
            </w:pPr>
          </w:p>
        </w:tc>
      </w:tr>
    </w:tbl>
    <w:p>
      <w:pPr>
        <w:spacing w:beforeLines="50"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5、土壤环境</w:t>
      </w:r>
    </w:p>
    <w:p>
      <w:pPr>
        <w:pStyle w:val="54"/>
        <w:ind w:firstLine="480"/>
        <w:rPr>
          <w:color w:val="000000"/>
        </w:rPr>
      </w:pPr>
      <w:r>
        <w:rPr>
          <w:rFonts w:hint="eastAsia"/>
          <w:color w:val="000000"/>
        </w:rPr>
        <w:t>本项目所在地土壤环境按照《土壤环境质量建设用地土壤污染风险管控标准》（GB36600-2018）中第二类用地的筛选值及管制值，详见下表。</w:t>
      </w:r>
    </w:p>
    <w:p>
      <w:pPr>
        <w:pStyle w:val="54"/>
        <w:spacing w:line="240" w:lineRule="auto"/>
        <w:ind w:firstLine="0" w:firstLineChars="0"/>
        <w:jc w:val="center"/>
        <w:rPr>
          <w:b/>
          <w:bCs/>
          <w:color w:val="000000"/>
        </w:rPr>
      </w:pPr>
    </w:p>
    <w:p>
      <w:pPr>
        <w:pStyle w:val="54"/>
        <w:spacing w:line="240" w:lineRule="auto"/>
        <w:ind w:firstLine="0" w:firstLineChars="0"/>
        <w:jc w:val="center"/>
        <w:rPr>
          <w:rFonts w:ascii="Times New Roman" w:hAnsi="Times New Roman"/>
          <w:b/>
          <w:bCs/>
          <w:color w:val="000000"/>
        </w:rPr>
      </w:pPr>
      <w:r>
        <w:rPr>
          <w:rFonts w:ascii="Times New Roman" w:hAnsi="Times New Roman"/>
          <w:b/>
          <w:bCs/>
          <w:color w:val="000000"/>
        </w:rPr>
        <w:t>表2-6 土壤环境质量标准</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800"/>
        <w:gridCol w:w="1859"/>
        <w:gridCol w:w="2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Merge w:val="restart"/>
            <w:vAlign w:val="center"/>
          </w:tcPr>
          <w:p>
            <w:pPr>
              <w:widowControl/>
              <w:snapToGrid w:val="0"/>
              <w:jc w:val="center"/>
              <w:rPr>
                <w:rFonts w:ascii="Times New Roman" w:hAnsi="Times New Roman"/>
                <w:color w:val="000000"/>
              </w:rPr>
            </w:pPr>
            <w:r>
              <w:rPr>
                <w:rFonts w:ascii="Times New Roman" w:hAnsi="Times New Roman"/>
                <w:color w:val="000000"/>
              </w:rPr>
              <w:t>污染物项目</w:t>
            </w:r>
          </w:p>
        </w:tc>
        <w:tc>
          <w:tcPr>
            <w:tcW w:w="3659" w:type="dxa"/>
            <w:gridSpan w:val="2"/>
            <w:vAlign w:val="center"/>
          </w:tcPr>
          <w:p>
            <w:pPr>
              <w:widowControl/>
              <w:snapToGrid w:val="0"/>
              <w:jc w:val="center"/>
              <w:rPr>
                <w:rFonts w:ascii="Times New Roman" w:hAnsi="Times New Roman"/>
                <w:color w:val="000000"/>
              </w:rPr>
            </w:pPr>
            <w:r>
              <w:rPr>
                <w:rFonts w:ascii="Times New Roman" w:hAnsi="Times New Roman"/>
                <w:color w:val="000000"/>
              </w:rPr>
              <w:t>标准值（mg/kg）</w:t>
            </w:r>
          </w:p>
        </w:tc>
        <w:tc>
          <w:tcPr>
            <w:tcW w:w="2835" w:type="dxa"/>
            <w:vAlign w:val="center"/>
          </w:tcPr>
          <w:p>
            <w:pPr>
              <w:widowControl/>
              <w:snapToGrid w:val="0"/>
              <w:jc w:val="center"/>
              <w:rPr>
                <w:rFonts w:ascii="Times New Roman" w:hAnsi="Times New Roman"/>
                <w:color w:val="000000"/>
              </w:rPr>
            </w:pPr>
            <w:r>
              <w:rPr>
                <w:rFonts w:ascii="Times New Roman" w:hAnsi="Times New Roman"/>
                <w:color w:val="000000"/>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Merge w:val="continue"/>
            <w:vAlign w:val="center"/>
          </w:tcPr>
          <w:p>
            <w:pPr>
              <w:widowControl/>
              <w:snapToGrid w:val="0"/>
              <w:jc w:val="center"/>
              <w:rPr>
                <w:rFonts w:ascii="Times New Roman" w:hAnsi="Times New Roman"/>
                <w:color w:val="000000"/>
              </w:rPr>
            </w:pPr>
          </w:p>
        </w:tc>
        <w:tc>
          <w:tcPr>
            <w:tcW w:w="1800" w:type="dxa"/>
            <w:vAlign w:val="center"/>
          </w:tcPr>
          <w:p>
            <w:pPr>
              <w:widowControl/>
              <w:snapToGrid w:val="0"/>
              <w:jc w:val="center"/>
              <w:rPr>
                <w:rFonts w:ascii="Times New Roman" w:hAnsi="Times New Roman"/>
                <w:color w:val="000000"/>
              </w:rPr>
            </w:pPr>
            <w:r>
              <w:rPr>
                <w:rFonts w:ascii="Times New Roman" w:hAnsi="Times New Roman"/>
                <w:color w:val="000000"/>
              </w:rPr>
              <w:t>筛选值</w:t>
            </w:r>
          </w:p>
        </w:tc>
        <w:tc>
          <w:tcPr>
            <w:tcW w:w="1859" w:type="dxa"/>
            <w:vAlign w:val="center"/>
          </w:tcPr>
          <w:p>
            <w:pPr>
              <w:widowControl/>
              <w:snapToGrid w:val="0"/>
              <w:jc w:val="center"/>
              <w:rPr>
                <w:rFonts w:ascii="Times New Roman" w:hAnsi="Times New Roman"/>
                <w:color w:val="000000"/>
              </w:rPr>
            </w:pPr>
            <w:r>
              <w:rPr>
                <w:rFonts w:ascii="Times New Roman" w:hAnsi="Times New Roman"/>
                <w:color w:val="000000"/>
              </w:rPr>
              <w:t>管制值</w:t>
            </w:r>
          </w:p>
        </w:tc>
        <w:tc>
          <w:tcPr>
            <w:tcW w:w="2835" w:type="dxa"/>
            <w:vMerge w:val="restart"/>
            <w:vAlign w:val="center"/>
          </w:tcPr>
          <w:p>
            <w:pPr>
              <w:widowControl/>
              <w:snapToGrid w:val="0"/>
              <w:jc w:val="center"/>
              <w:rPr>
                <w:rFonts w:ascii="Times New Roman" w:hAnsi="Times New Roman"/>
                <w:color w:val="000000"/>
              </w:rPr>
            </w:pPr>
            <w:r>
              <w:rPr>
                <w:rFonts w:ascii="Times New Roman" w:hAnsi="Times New Roman"/>
                <w:color w:val="000000"/>
              </w:rPr>
              <w:t>《土壤环境质量建设用地土壤污染风险管控标准》（GB36600-2018）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pPr>
              <w:widowControl/>
              <w:snapToGrid w:val="0"/>
              <w:jc w:val="center"/>
              <w:rPr>
                <w:rFonts w:ascii="Times New Roman" w:hAnsi="Times New Roman"/>
                <w:color w:val="000000"/>
              </w:rPr>
            </w:pPr>
            <w:r>
              <w:rPr>
                <w:rFonts w:ascii="Times New Roman" w:hAnsi="Times New Roman"/>
                <w:color w:val="000000"/>
              </w:rPr>
              <w:t>镉</w:t>
            </w:r>
          </w:p>
        </w:tc>
        <w:tc>
          <w:tcPr>
            <w:tcW w:w="1800" w:type="dxa"/>
            <w:vAlign w:val="center"/>
          </w:tcPr>
          <w:p>
            <w:pPr>
              <w:snapToGrid w:val="0"/>
              <w:jc w:val="center"/>
              <w:rPr>
                <w:rFonts w:ascii="Times New Roman" w:hAnsi="Times New Roman"/>
                <w:color w:val="000000"/>
              </w:rPr>
            </w:pPr>
            <w:r>
              <w:rPr>
                <w:rFonts w:ascii="Times New Roman" w:hAnsi="Times New Roman"/>
                <w:color w:val="000000"/>
              </w:rPr>
              <w:t>65</w:t>
            </w:r>
          </w:p>
        </w:tc>
        <w:tc>
          <w:tcPr>
            <w:tcW w:w="1859" w:type="dxa"/>
            <w:vAlign w:val="center"/>
          </w:tcPr>
          <w:p>
            <w:pPr>
              <w:snapToGrid w:val="0"/>
              <w:jc w:val="center"/>
              <w:rPr>
                <w:rFonts w:ascii="Times New Roman" w:hAnsi="Times New Roman"/>
                <w:color w:val="000000"/>
              </w:rPr>
            </w:pPr>
            <w:r>
              <w:rPr>
                <w:rFonts w:ascii="Times New Roman" w:hAnsi="Times New Roman"/>
                <w:color w:val="000000"/>
              </w:rPr>
              <w:t>172</w:t>
            </w:r>
          </w:p>
        </w:tc>
        <w:tc>
          <w:tcPr>
            <w:tcW w:w="2835" w:type="dxa"/>
            <w:vMerge w:val="continue"/>
            <w:vAlign w:val="center"/>
          </w:tcPr>
          <w:p>
            <w:pPr>
              <w:widowControl/>
              <w:snapToGrid w:val="0"/>
              <w:jc w:val="center"/>
              <w:rPr>
                <w:rFonts w:ascii="Times New Roman" w:hAnsi="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pPr>
              <w:widowControl/>
              <w:snapToGrid w:val="0"/>
              <w:jc w:val="center"/>
              <w:rPr>
                <w:rFonts w:ascii="Times New Roman" w:hAnsi="Times New Roman"/>
                <w:color w:val="000000"/>
              </w:rPr>
            </w:pPr>
            <w:r>
              <w:rPr>
                <w:rFonts w:ascii="Times New Roman" w:hAnsi="Times New Roman"/>
                <w:color w:val="000000"/>
              </w:rPr>
              <w:t>铅</w:t>
            </w:r>
          </w:p>
        </w:tc>
        <w:tc>
          <w:tcPr>
            <w:tcW w:w="1800" w:type="dxa"/>
            <w:vAlign w:val="center"/>
          </w:tcPr>
          <w:p>
            <w:pPr>
              <w:snapToGrid w:val="0"/>
              <w:jc w:val="center"/>
              <w:rPr>
                <w:rFonts w:ascii="Times New Roman" w:hAnsi="Times New Roman"/>
                <w:color w:val="000000"/>
              </w:rPr>
            </w:pPr>
            <w:r>
              <w:rPr>
                <w:rFonts w:ascii="Times New Roman" w:hAnsi="Times New Roman"/>
                <w:color w:val="000000"/>
              </w:rPr>
              <w:t>800</w:t>
            </w:r>
          </w:p>
        </w:tc>
        <w:tc>
          <w:tcPr>
            <w:tcW w:w="1859" w:type="dxa"/>
            <w:vAlign w:val="center"/>
          </w:tcPr>
          <w:p>
            <w:pPr>
              <w:snapToGrid w:val="0"/>
              <w:jc w:val="center"/>
              <w:rPr>
                <w:rFonts w:ascii="Times New Roman" w:hAnsi="Times New Roman"/>
                <w:color w:val="000000"/>
              </w:rPr>
            </w:pPr>
            <w:r>
              <w:rPr>
                <w:rFonts w:ascii="Times New Roman" w:hAnsi="Times New Roman"/>
                <w:color w:val="000000"/>
              </w:rPr>
              <w:t>2500</w:t>
            </w:r>
          </w:p>
        </w:tc>
        <w:tc>
          <w:tcPr>
            <w:tcW w:w="2835" w:type="dxa"/>
            <w:vMerge w:val="continue"/>
            <w:vAlign w:val="center"/>
          </w:tcPr>
          <w:p>
            <w:pPr>
              <w:widowControl/>
              <w:snapToGrid w:val="0"/>
              <w:jc w:val="center"/>
              <w:rPr>
                <w:rFonts w:ascii="Times New Roman" w:hAnsi="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pPr>
              <w:widowControl/>
              <w:snapToGrid w:val="0"/>
              <w:jc w:val="center"/>
              <w:rPr>
                <w:rFonts w:ascii="Times New Roman" w:hAnsi="Times New Roman"/>
                <w:color w:val="000000"/>
              </w:rPr>
            </w:pPr>
            <w:r>
              <w:rPr>
                <w:rFonts w:ascii="Times New Roman" w:hAnsi="Times New Roman"/>
                <w:color w:val="000000"/>
              </w:rPr>
              <w:t>汞</w:t>
            </w:r>
          </w:p>
        </w:tc>
        <w:tc>
          <w:tcPr>
            <w:tcW w:w="1800" w:type="dxa"/>
            <w:vAlign w:val="center"/>
          </w:tcPr>
          <w:p>
            <w:pPr>
              <w:snapToGrid w:val="0"/>
              <w:jc w:val="center"/>
              <w:rPr>
                <w:rFonts w:ascii="Times New Roman" w:hAnsi="Times New Roman"/>
                <w:color w:val="000000"/>
              </w:rPr>
            </w:pPr>
            <w:r>
              <w:rPr>
                <w:rFonts w:ascii="Times New Roman" w:hAnsi="Times New Roman"/>
                <w:color w:val="000000"/>
              </w:rPr>
              <w:t>38</w:t>
            </w:r>
          </w:p>
        </w:tc>
        <w:tc>
          <w:tcPr>
            <w:tcW w:w="1859" w:type="dxa"/>
            <w:vAlign w:val="center"/>
          </w:tcPr>
          <w:p>
            <w:pPr>
              <w:snapToGrid w:val="0"/>
              <w:jc w:val="center"/>
              <w:rPr>
                <w:rFonts w:ascii="Times New Roman" w:hAnsi="Times New Roman"/>
                <w:color w:val="000000"/>
              </w:rPr>
            </w:pPr>
            <w:r>
              <w:rPr>
                <w:rFonts w:ascii="Times New Roman" w:hAnsi="Times New Roman"/>
                <w:color w:val="000000"/>
              </w:rPr>
              <w:t>82</w:t>
            </w:r>
          </w:p>
        </w:tc>
        <w:tc>
          <w:tcPr>
            <w:tcW w:w="2835" w:type="dxa"/>
            <w:vMerge w:val="continue"/>
            <w:vAlign w:val="center"/>
          </w:tcPr>
          <w:p>
            <w:pPr>
              <w:widowControl/>
              <w:snapToGrid w:val="0"/>
              <w:jc w:val="center"/>
              <w:rPr>
                <w:rFonts w:ascii="Times New Roman" w:hAnsi="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pPr>
              <w:widowControl/>
              <w:snapToGrid w:val="0"/>
              <w:jc w:val="center"/>
              <w:rPr>
                <w:rFonts w:ascii="Times New Roman" w:hAnsi="Times New Roman"/>
                <w:color w:val="000000"/>
              </w:rPr>
            </w:pPr>
            <w:r>
              <w:rPr>
                <w:rFonts w:ascii="Times New Roman" w:hAnsi="Times New Roman"/>
                <w:color w:val="000000"/>
              </w:rPr>
              <w:t>砷</w:t>
            </w:r>
          </w:p>
        </w:tc>
        <w:tc>
          <w:tcPr>
            <w:tcW w:w="1800" w:type="dxa"/>
            <w:vAlign w:val="center"/>
          </w:tcPr>
          <w:p>
            <w:pPr>
              <w:snapToGrid w:val="0"/>
              <w:jc w:val="center"/>
              <w:rPr>
                <w:rFonts w:ascii="Times New Roman" w:hAnsi="Times New Roman"/>
                <w:color w:val="000000"/>
              </w:rPr>
            </w:pPr>
            <w:r>
              <w:rPr>
                <w:rFonts w:ascii="Times New Roman" w:hAnsi="Times New Roman"/>
                <w:color w:val="000000"/>
              </w:rPr>
              <w:t>60</w:t>
            </w:r>
          </w:p>
        </w:tc>
        <w:tc>
          <w:tcPr>
            <w:tcW w:w="1859" w:type="dxa"/>
            <w:vAlign w:val="center"/>
          </w:tcPr>
          <w:p>
            <w:pPr>
              <w:snapToGrid w:val="0"/>
              <w:jc w:val="center"/>
              <w:rPr>
                <w:rFonts w:ascii="Times New Roman" w:hAnsi="Times New Roman"/>
                <w:color w:val="000000"/>
              </w:rPr>
            </w:pPr>
            <w:r>
              <w:rPr>
                <w:rFonts w:ascii="Times New Roman" w:hAnsi="Times New Roman"/>
                <w:color w:val="000000"/>
              </w:rPr>
              <w:t>140</w:t>
            </w:r>
          </w:p>
        </w:tc>
        <w:tc>
          <w:tcPr>
            <w:tcW w:w="2835" w:type="dxa"/>
            <w:vMerge w:val="continue"/>
            <w:vAlign w:val="center"/>
          </w:tcPr>
          <w:p>
            <w:pPr>
              <w:widowControl/>
              <w:snapToGrid w:val="0"/>
              <w:jc w:val="center"/>
              <w:rPr>
                <w:rFonts w:ascii="Times New Roman" w:hAnsi="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pPr>
              <w:widowControl/>
              <w:snapToGrid w:val="0"/>
              <w:jc w:val="center"/>
              <w:rPr>
                <w:rFonts w:ascii="Times New Roman" w:hAnsi="Times New Roman"/>
                <w:color w:val="000000"/>
              </w:rPr>
            </w:pPr>
            <w:r>
              <w:rPr>
                <w:rFonts w:ascii="Times New Roman" w:hAnsi="Times New Roman"/>
                <w:color w:val="000000"/>
              </w:rPr>
              <w:t>铜</w:t>
            </w:r>
          </w:p>
        </w:tc>
        <w:tc>
          <w:tcPr>
            <w:tcW w:w="1800" w:type="dxa"/>
            <w:vAlign w:val="center"/>
          </w:tcPr>
          <w:p>
            <w:pPr>
              <w:snapToGrid w:val="0"/>
              <w:jc w:val="center"/>
              <w:rPr>
                <w:rFonts w:ascii="Times New Roman" w:hAnsi="Times New Roman"/>
                <w:color w:val="000000"/>
              </w:rPr>
            </w:pPr>
            <w:r>
              <w:rPr>
                <w:rFonts w:ascii="Times New Roman" w:hAnsi="Times New Roman"/>
                <w:color w:val="000000"/>
              </w:rPr>
              <w:t>18000</w:t>
            </w:r>
          </w:p>
        </w:tc>
        <w:tc>
          <w:tcPr>
            <w:tcW w:w="1859" w:type="dxa"/>
            <w:vAlign w:val="center"/>
          </w:tcPr>
          <w:p>
            <w:pPr>
              <w:snapToGrid w:val="0"/>
              <w:jc w:val="center"/>
              <w:rPr>
                <w:rFonts w:ascii="Times New Roman" w:hAnsi="Times New Roman"/>
                <w:color w:val="000000"/>
              </w:rPr>
            </w:pPr>
            <w:r>
              <w:rPr>
                <w:rFonts w:ascii="Times New Roman" w:hAnsi="Times New Roman"/>
                <w:color w:val="000000"/>
              </w:rPr>
              <w:t>36000</w:t>
            </w:r>
          </w:p>
        </w:tc>
        <w:tc>
          <w:tcPr>
            <w:tcW w:w="2835" w:type="dxa"/>
            <w:vMerge w:val="continue"/>
            <w:vAlign w:val="center"/>
          </w:tcPr>
          <w:p>
            <w:pPr>
              <w:widowControl/>
              <w:snapToGrid w:val="0"/>
              <w:jc w:val="center"/>
              <w:rPr>
                <w:rFonts w:ascii="Times New Roman" w:hAnsi="Times New Roman"/>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0" w:type="dxa"/>
            <w:vAlign w:val="center"/>
          </w:tcPr>
          <w:p>
            <w:pPr>
              <w:widowControl/>
              <w:snapToGrid w:val="0"/>
              <w:jc w:val="center"/>
              <w:rPr>
                <w:rFonts w:ascii="Times New Roman" w:hAnsi="Times New Roman"/>
                <w:color w:val="000000"/>
              </w:rPr>
            </w:pPr>
            <w:r>
              <w:rPr>
                <w:rFonts w:ascii="Times New Roman" w:hAnsi="Times New Roman"/>
                <w:color w:val="000000"/>
              </w:rPr>
              <w:t>镍</w:t>
            </w:r>
          </w:p>
        </w:tc>
        <w:tc>
          <w:tcPr>
            <w:tcW w:w="1800" w:type="dxa"/>
            <w:vAlign w:val="center"/>
          </w:tcPr>
          <w:p>
            <w:pPr>
              <w:snapToGrid w:val="0"/>
              <w:jc w:val="center"/>
              <w:rPr>
                <w:rFonts w:ascii="Times New Roman" w:hAnsi="Times New Roman"/>
                <w:color w:val="000000"/>
              </w:rPr>
            </w:pPr>
            <w:r>
              <w:rPr>
                <w:rFonts w:ascii="Times New Roman" w:hAnsi="Times New Roman"/>
                <w:color w:val="000000"/>
              </w:rPr>
              <w:t>900</w:t>
            </w:r>
          </w:p>
        </w:tc>
        <w:tc>
          <w:tcPr>
            <w:tcW w:w="1859" w:type="dxa"/>
            <w:vAlign w:val="center"/>
          </w:tcPr>
          <w:p>
            <w:pPr>
              <w:snapToGrid w:val="0"/>
              <w:jc w:val="center"/>
              <w:rPr>
                <w:rFonts w:ascii="Times New Roman" w:hAnsi="Times New Roman"/>
                <w:color w:val="000000"/>
              </w:rPr>
            </w:pPr>
            <w:r>
              <w:rPr>
                <w:rFonts w:ascii="Times New Roman" w:hAnsi="Times New Roman"/>
                <w:color w:val="000000"/>
              </w:rPr>
              <w:t>2000</w:t>
            </w:r>
          </w:p>
        </w:tc>
        <w:tc>
          <w:tcPr>
            <w:tcW w:w="2835" w:type="dxa"/>
            <w:vMerge w:val="continue"/>
            <w:vAlign w:val="center"/>
          </w:tcPr>
          <w:p>
            <w:pPr>
              <w:widowControl/>
              <w:snapToGrid w:val="0"/>
              <w:jc w:val="center"/>
              <w:rPr>
                <w:rFonts w:ascii="Times New Roman" w:hAnsi="Times New Roman"/>
                <w:color w:val="000000"/>
              </w:rPr>
            </w:pPr>
          </w:p>
        </w:tc>
      </w:tr>
    </w:tbl>
    <w:p>
      <w:pPr>
        <w:spacing w:beforeLines="50" w:line="360" w:lineRule="auto"/>
        <w:ind w:firstLine="488"/>
        <w:jc w:val="left"/>
        <w:rPr>
          <w:rFonts w:ascii="Times New Roman" w:hAnsi="Times New Roman"/>
          <w:sz w:val="24"/>
          <w:szCs w:val="24"/>
        </w:rPr>
      </w:pPr>
      <w:r>
        <w:rPr>
          <w:rFonts w:hint="eastAsia" w:ascii="Times New Roman" w:hAnsi="Times New Roman"/>
          <w:sz w:val="24"/>
          <w:szCs w:val="24"/>
        </w:rPr>
        <w:t>2.2.2.2污染物排放标准</w:t>
      </w:r>
    </w:p>
    <w:p>
      <w:pPr>
        <w:ind w:firstLine="486"/>
        <w:jc w:val="left"/>
        <w:rPr>
          <w:rFonts w:ascii="Times New Roman" w:hAnsi="Times New Roman"/>
          <w:sz w:val="24"/>
          <w:szCs w:val="24"/>
        </w:rPr>
      </w:pPr>
      <w:r>
        <w:rPr>
          <w:rFonts w:hint="eastAsia" w:ascii="Times New Roman" w:hAnsi="Times New Roman"/>
          <w:sz w:val="24"/>
          <w:szCs w:val="24"/>
        </w:rPr>
        <w:t>1、废气</w:t>
      </w:r>
    </w:p>
    <w:p>
      <w:pPr>
        <w:spacing w:line="360" w:lineRule="auto"/>
        <w:ind w:firstLine="480" w:firstLineChars="200"/>
        <w:outlineLvl w:val="0"/>
        <w:rPr>
          <w:rFonts w:ascii="Times New Roman" w:hAnsi="Times New Roman"/>
          <w:sz w:val="24"/>
          <w:szCs w:val="24"/>
        </w:rPr>
      </w:pPr>
      <w:r>
        <w:rPr>
          <w:rFonts w:hint="eastAsia" w:ascii="Times New Roman" w:hAnsi="Times New Roman"/>
          <w:sz w:val="24"/>
          <w:szCs w:val="24"/>
        </w:rPr>
        <w:t>（1）尾矿库堆场扬尘</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尾渣</w:t>
      </w:r>
      <w:r>
        <w:rPr>
          <w:rFonts w:ascii="Times New Roman" w:hAnsi="Times New Roman"/>
          <w:sz w:val="24"/>
          <w:szCs w:val="24"/>
        </w:rPr>
        <w:t>堆存过程产生的扬尘以无组织形式排放，场界处执行《铁矿采选工业污染物排放标准》（GB28661-2012）中的无组织</w:t>
      </w:r>
      <w:r>
        <w:rPr>
          <w:rFonts w:hint="eastAsia" w:ascii="Times New Roman" w:hAnsi="Times New Roman"/>
          <w:sz w:val="24"/>
          <w:szCs w:val="24"/>
        </w:rPr>
        <w:t>排放</w:t>
      </w:r>
      <w:r>
        <w:rPr>
          <w:rFonts w:ascii="Times New Roman" w:hAnsi="Times New Roman"/>
          <w:sz w:val="24"/>
          <w:szCs w:val="24"/>
        </w:rPr>
        <w:t>浓度限值要求</w:t>
      </w:r>
      <w:r>
        <w:rPr>
          <w:rFonts w:hint="eastAsia" w:ascii="Times New Roman" w:hAnsi="Times New Roman"/>
          <w:sz w:val="24"/>
          <w:szCs w:val="24"/>
        </w:rPr>
        <w:t>，</w:t>
      </w:r>
      <w:r>
        <w:rPr>
          <w:rFonts w:ascii="Times New Roman" w:hAnsi="Times New Roman"/>
          <w:sz w:val="24"/>
          <w:szCs w:val="24"/>
        </w:rPr>
        <w:t>见</w:t>
      </w:r>
      <w:r>
        <w:rPr>
          <w:rFonts w:hint="eastAsia" w:ascii="Times New Roman" w:hAnsi="Times New Roman"/>
          <w:sz w:val="24"/>
          <w:szCs w:val="24"/>
        </w:rPr>
        <w:t>下表</w:t>
      </w:r>
      <w:r>
        <w:rPr>
          <w:rFonts w:ascii="Times New Roman" w:hAnsi="Times New Roman"/>
          <w:sz w:val="24"/>
          <w:szCs w:val="24"/>
        </w:rPr>
        <w:t>。</w:t>
      </w:r>
    </w:p>
    <w:p>
      <w:pPr>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2-</w:t>
      </w:r>
      <w:r>
        <w:rPr>
          <w:rFonts w:ascii="Times New Roman" w:hAnsi="Times New Roman"/>
          <w:b/>
          <w:sz w:val="24"/>
          <w:szCs w:val="24"/>
        </w:rPr>
        <w:t>7</w:t>
      </w:r>
      <w:r>
        <w:rPr>
          <w:rFonts w:hint="eastAsia" w:ascii="Times New Roman" w:hAnsi="Times New Roman"/>
          <w:b/>
          <w:sz w:val="24"/>
          <w:szCs w:val="24"/>
        </w:rPr>
        <w:t xml:space="preserve"> 铁矿采选工业污染物排放标准 </w:t>
      </w:r>
      <w:r>
        <w:rPr>
          <w:rFonts w:ascii="Times New Roman" w:hAnsi="Times New Roman"/>
          <w:b/>
          <w:sz w:val="24"/>
          <w:szCs w:val="24"/>
        </w:rPr>
        <w:t xml:space="preserve">   </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
      <w:tblGrid>
        <w:gridCol w:w="2940"/>
        <w:gridCol w:w="960"/>
        <w:gridCol w:w="2145"/>
        <w:gridCol w:w="2235"/>
      </w:tblGrid>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cantSplit/>
          <w:trHeight w:val="433" w:hRule="atLeast"/>
          <w:jc w:val="center"/>
        </w:trPr>
        <w:tc>
          <w:tcPr>
            <w:tcW w:w="2940" w:type="dxa"/>
            <w:vAlign w:val="center"/>
          </w:tcPr>
          <w:p>
            <w:pPr>
              <w:pStyle w:val="56"/>
              <w:rPr>
                <w:color w:val="000000"/>
              </w:rPr>
            </w:pPr>
            <w:r>
              <w:rPr>
                <w:color w:val="000000"/>
              </w:rPr>
              <w:t>污染源</w:t>
            </w:r>
          </w:p>
        </w:tc>
        <w:tc>
          <w:tcPr>
            <w:tcW w:w="960" w:type="dxa"/>
            <w:vAlign w:val="center"/>
          </w:tcPr>
          <w:p>
            <w:pPr>
              <w:pStyle w:val="56"/>
              <w:rPr>
                <w:color w:val="000000"/>
              </w:rPr>
            </w:pPr>
            <w:r>
              <w:rPr>
                <w:color w:val="000000"/>
              </w:rPr>
              <w:t>污染物</w:t>
            </w:r>
          </w:p>
        </w:tc>
        <w:tc>
          <w:tcPr>
            <w:tcW w:w="2145" w:type="dxa"/>
            <w:tcBorders>
              <w:right w:val="single" w:color="auto" w:sz="4" w:space="0"/>
            </w:tcBorders>
            <w:vAlign w:val="center"/>
          </w:tcPr>
          <w:p>
            <w:pPr>
              <w:pStyle w:val="56"/>
              <w:rPr>
                <w:color w:val="000000"/>
              </w:rPr>
            </w:pPr>
            <w:r>
              <w:rPr>
                <w:color w:val="000000"/>
              </w:rPr>
              <w:t>无组织</w:t>
            </w:r>
            <w:r>
              <w:rPr>
                <w:rFonts w:hint="eastAsia"/>
                <w:color w:val="000000"/>
              </w:rPr>
              <w:t>排放浓度限值</w:t>
            </w:r>
            <w:r>
              <w:rPr>
                <w:color w:val="000000"/>
              </w:rPr>
              <w:t>（mg/m</w:t>
            </w:r>
            <w:r>
              <w:rPr>
                <w:color w:val="000000"/>
                <w:vertAlign w:val="superscript"/>
              </w:rPr>
              <w:t>3</w:t>
            </w:r>
            <w:r>
              <w:rPr>
                <w:color w:val="000000"/>
              </w:rPr>
              <w:t>）</w:t>
            </w:r>
          </w:p>
        </w:tc>
        <w:tc>
          <w:tcPr>
            <w:tcW w:w="2235" w:type="dxa"/>
            <w:tcBorders>
              <w:left w:val="single" w:color="auto" w:sz="4" w:space="0"/>
            </w:tcBorders>
            <w:vAlign w:val="center"/>
          </w:tcPr>
          <w:p>
            <w:pPr>
              <w:pStyle w:val="56"/>
              <w:rPr>
                <w:color w:val="000000"/>
              </w:rPr>
            </w:pPr>
            <w:r>
              <w:rPr>
                <w:rFonts w:hint="eastAsia"/>
                <w:color w:val="000000"/>
              </w:rPr>
              <w:t>污染物排放监控位置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108" w:type="dxa"/>
            <w:bottom w:w="0" w:type="dxa"/>
            <w:right w:w="108" w:type="dxa"/>
          </w:tblCellMar>
        </w:tblPrEx>
        <w:trPr>
          <w:cantSplit/>
          <w:trHeight w:val="407" w:hRule="atLeast"/>
          <w:jc w:val="center"/>
        </w:trPr>
        <w:tc>
          <w:tcPr>
            <w:tcW w:w="2940" w:type="dxa"/>
            <w:vAlign w:val="center"/>
          </w:tcPr>
          <w:p>
            <w:pPr>
              <w:pStyle w:val="56"/>
              <w:rPr>
                <w:color w:val="000000"/>
              </w:rPr>
            </w:pPr>
            <w:r>
              <w:rPr>
                <w:color w:val="000000"/>
              </w:rPr>
              <w:t>尾矿库</w:t>
            </w:r>
          </w:p>
        </w:tc>
        <w:tc>
          <w:tcPr>
            <w:tcW w:w="960" w:type="dxa"/>
            <w:vAlign w:val="center"/>
          </w:tcPr>
          <w:p>
            <w:pPr>
              <w:pStyle w:val="56"/>
              <w:rPr>
                <w:color w:val="000000"/>
              </w:rPr>
            </w:pPr>
            <w:r>
              <w:rPr>
                <w:color w:val="000000"/>
              </w:rPr>
              <w:t>颗粒物</w:t>
            </w:r>
          </w:p>
        </w:tc>
        <w:tc>
          <w:tcPr>
            <w:tcW w:w="2145" w:type="dxa"/>
            <w:tcBorders>
              <w:right w:val="single" w:color="auto" w:sz="4" w:space="0"/>
            </w:tcBorders>
            <w:vAlign w:val="center"/>
          </w:tcPr>
          <w:p>
            <w:pPr>
              <w:pStyle w:val="56"/>
              <w:rPr>
                <w:color w:val="000000"/>
              </w:rPr>
            </w:pPr>
            <w:r>
              <w:rPr>
                <w:color w:val="000000"/>
              </w:rPr>
              <w:t>1.0</w:t>
            </w:r>
          </w:p>
        </w:tc>
        <w:tc>
          <w:tcPr>
            <w:tcW w:w="2235" w:type="dxa"/>
            <w:tcBorders>
              <w:left w:val="single" w:color="auto" w:sz="4" w:space="0"/>
            </w:tcBorders>
            <w:vAlign w:val="center"/>
          </w:tcPr>
          <w:p>
            <w:pPr>
              <w:pStyle w:val="56"/>
              <w:rPr>
                <w:color w:val="000000"/>
              </w:rPr>
            </w:pPr>
            <w:r>
              <w:rPr>
                <w:rFonts w:hint="eastAsia"/>
                <w:color w:val="000000"/>
              </w:rPr>
              <w:t>场界</w:t>
            </w:r>
          </w:p>
        </w:tc>
      </w:tr>
    </w:tbl>
    <w:p>
      <w:pPr>
        <w:spacing w:beforeLines="50" w:line="360" w:lineRule="auto"/>
        <w:ind w:firstLine="480" w:firstLineChars="200"/>
        <w:rPr>
          <w:rFonts w:ascii="Times New Roman" w:hAnsi="Times New Roman"/>
          <w:sz w:val="24"/>
          <w:szCs w:val="24"/>
        </w:rPr>
      </w:pPr>
      <w:r>
        <w:rPr>
          <w:rFonts w:ascii="Times New Roman" w:hAnsi="Times New Roman"/>
          <w:sz w:val="24"/>
          <w:szCs w:val="24"/>
        </w:rPr>
        <w:t>2、废水</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w:t>
      </w:r>
      <w:r>
        <w:rPr>
          <w:rFonts w:hint="eastAsia" w:ascii="Times New Roman" w:hAnsi="Times New Roman"/>
          <w:color w:val="000000"/>
          <w:sz w:val="24"/>
          <w:szCs w:val="24"/>
        </w:rPr>
        <w:t>次堆存的尾矿经压滤后采用干排方式，压滤产生的废水作为选厂生产用水全部循环利用，不外排、不进入尾矿库</w:t>
      </w:r>
      <w:r>
        <w:rPr>
          <w:rFonts w:ascii="Times New Roman" w:hAnsi="Times New Roman"/>
          <w:color w:val="000000"/>
          <w:sz w:val="24"/>
          <w:szCs w:val="24"/>
        </w:rPr>
        <w:t>；</w:t>
      </w:r>
      <w:r>
        <w:rPr>
          <w:rFonts w:hint="eastAsia" w:ascii="Times New Roman" w:hAnsi="Times New Roman"/>
          <w:color w:val="000000"/>
          <w:sz w:val="24"/>
          <w:szCs w:val="24"/>
        </w:rPr>
        <w:t>汛期产生的淋溶水经拟建沉淀池沉淀后回用于压滤车间沉淀池内，不外排。</w:t>
      </w:r>
      <w:r>
        <w:rPr>
          <w:rFonts w:ascii="Times New Roman" w:hAnsi="Times New Roman"/>
          <w:color w:val="000000"/>
          <w:sz w:val="24"/>
          <w:szCs w:val="24"/>
        </w:rPr>
        <w:t>本次不新增职工人数，</w:t>
      </w:r>
      <w:r>
        <w:rPr>
          <w:rFonts w:hint="eastAsia" w:ascii="Times New Roman" w:hAnsi="Times New Roman"/>
          <w:color w:val="000000"/>
          <w:sz w:val="24"/>
          <w:szCs w:val="24"/>
        </w:rPr>
        <w:t>因此无生活废水产生。本项目废水均不外排。因此无需执行废水排放标准。</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3、噪声</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本项目建成后为独立的工业企业，周围2km范围内无居民、学校等敏感点。因此厂界噪声执行</w:t>
      </w:r>
      <w:r>
        <w:rPr>
          <w:rFonts w:ascii="Times New Roman" w:hAnsi="Times New Roman"/>
          <w:sz w:val="24"/>
          <w:szCs w:val="24"/>
        </w:rPr>
        <w:t>《工业企业厂界环境噪声排放标准》（GB12348</w:t>
      </w:r>
      <w:r>
        <w:rPr>
          <w:rFonts w:hint="eastAsia" w:ascii="Times New Roman" w:hAnsi="Times New Roman"/>
          <w:sz w:val="24"/>
          <w:szCs w:val="24"/>
        </w:rPr>
        <w:t>-</w:t>
      </w:r>
      <w:r>
        <w:rPr>
          <w:rFonts w:ascii="Times New Roman" w:hAnsi="Times New Roman"/>
          <w:sz w:val="24"/>
          <w:szCs w:val="24"/>
        </w:rPr>
        <w:t>2008）中的</w:t>
      </w:r>
      <w:r>
        <w:rPr>
          <w:rFonts w:hint="eastAsia" w:ascii="Times New Roman" w:hAnsi="Times New Roman"/>
          <w:sz w:val="24"/>
          <w:szCs w:val="24"/>
        </w:rPr>
        <w:t>3</w:t>
      </w:r>
      <w:r>
        <w:rPr>
          <w:rFonts w:ascii="Times New Roman" w:hAnsi="Times New Roman"/>
          <w:sz w:val="24"/>
          <w:szCs w:val="24"/>
        </w:rPr>
        <w:t>类标准</w:t>
      </w:r>
      <w:r>
        <w:rPr>
          <w:rFonts w:hint="eastAsia" w:ascii="Times New Roman" w:hAnsi="Times New Roman"/>
          <w:sz w:val="24"/>
          <w:szCs w:val="24"/>
        </w:rPr>
        <w:t>，</w:t>
      </w:r>
      <w:r>
        <w:rPr>
          <w:rFonts w:ascii="Times New Roman" w:hAnsi="Times New Roman"/>
          <w:sz w:val="24"/>
          <w:szCs w:val="24"/>
        </w:rPr>
        <w:t>见表</w:t>
      </w:r>
      <w:r>
        <w:rPr>
          <w:rFonts w:hint="eastAsia" w:ascii="Times New Roman" w:hAnsi="Times New Roman"/>
          <w:sz w:val="24"/>
          <w:szCs w:val="24"/>
        </w:rPr>
        <w:t>2-8</w:t>
      </w:r>
      <w:r>
        <w:rPr>
          <w:rFonts w:ascii="Times New Roman" w:hAnsi="Times New Roman"/>
          <w:sz w:val="24"/>
          <w:szCs w:val="24"/>
        </w:rPr>
        <w:t>；施工期噪声执行《建筑施工场界环境噪声排放标准》（GB12523-2011），见表</w:t>
      </w:r>
      <w:r>
        <w:rPr>
          <w:rFonts w:hint="eastAsia" w:ascii="Times New Roman" w:hAnsi="Times New Roman"/>
          <w:sz w:val="24"/>
          <w:szCs w:val="24"/>
        </w:rPr>
        <w:t>2-9</w:t>
      </w:r>
      <w:r>
        <w:rPr>
          <w:rFonts w:ascii="Times New Roman" w:hAnsi="Times New Roman"/>
          <w:sz w:val="24"/>
          <w:szCs w:val="24"/>
        </w:rPr>
        <w:t>。</w:t>
      </w:r>
    </w:p>
    <w:p>
      <w:pPr>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 xml:space="preserve">2-8 </w:t>
      </w:r>
      <w:r>
        <w:rPr>
          <w:rFonts w:ascii="Times New Roman" w:hAnsi="Times New Roman"/>
          <w:b/>
          <w:sz w:val="24"/>
          <w:szCs w:val="24"/>
        </w:rPr>
        <w:t>《工业企业厂界环境噪声排放标准》（GB12348</w:t>
      </w:r>
      <w:r>
        <w:rPr>
          <w:rFonts w:hint="eastAsia" w:ascii="Times New Roman" w:hAnsi="Times New Roman"/>
          <w:b/>
          <w:sz w:val="24"/>
          <w:szCs w:val="24"/>
        </w:rPr>
        <w:t>-</w:t>
      </w:r>
      <w:r>
        <w:rPr>
          <w:rFonts w:ascii="Times New Roman" w:hAnsi="Times New Roman"/>
          <w:b/>
          <w:sz w:val="24"/>
          <w:szCs w:val="24"/>
        </w:rPr>
        <w:t>2008）</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31"/>
        <w:gridCol w:w="2626"/>
        <w:gridCol w:w="23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331" w:type="dxa"/>
            <w:vMerge w:val="restart"/>
            <w:vAlign w:val="center"/>
          </w:tcPr>
          <w:p>
            <w:pPr>
              <w:pStyle w:val="56"/>
              <w:rPr>
                <w:color w:val="000000"/>
              </w:rPr>
            </w:pPr>
            <w:r>
              <w:rPr>
                <w:color w:val="000000"/>
              </w:rPr>
              <w:t>声环境功能区</w:t>
            </w:r>
          </w:p>
        </w:tc>
        <w:tc>
          <w:tcPr>
            <w:tcW w:w="5009" w:type="dxa"/>
            <w:gridSpan w:val="2"/>
            <w:tcBorders>
              <w:bottom w:val="single" w:color="auto" w:sz="2" w:space="0"/>
            </w:tcBorders>
            <w:vAlign w:val="center"/>
          </w:tcPr>
          <w:p>
            <w:pPr>
              <w:pStyle w:val="56"/>
              <w:rPr>
                <w:color w:val="000000"/>
              </w:rPr>
            </w:pPr>
            <w:r>
              <w:rPr>
                <w:color w:val="000000"/>
              </w:rPr>
              <w:t>噪声限值[dB(A)]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3331" w:type="dxa"/>
            <w:vMerge w:val="continue"/>
            <w:vAlign w:val="center"/>
          </w:tcPr>
          <w:p>
            <w:pPr>
              <w:pStyle w:val="56"/>
              <w:rPr>
                <w:color w:val="000000"/>
              </w:rPr>
            </w:pPr>
          </w:p>
        </w:tc>
        <w:tc>
          <w:tcPr>
            <w:tcW w:w="2626" w:type="dxa"/>
            <w:tcBorders>
              <w:top w:val="single" w:color="auto" w:sz="2" w:space="0"/>
            </w:tcBorders>
            <w:vAlign w:val="center"/>
          </w:tcPr>
          <w:p>
            <w:pPr>
              <w:pStyle w:val="56"/>
              <w:rPr>
                <w:color w:val="000000"/>
              </w:rPr>
            </w:pPr>
            <w:r>
              <w:rPr>
                <w:rFonts w:hint="eastAsia"/>
                <w:color w:val="000000"/>
              </w:rPr>
              <w:t>昼间</w:t>
            </w:r>
          </w:p>
        </w:tc>
        <w:tc>
          <w:tcPr>
            <w:tcW w:w="2383" w:type="dxa"/>
            <w:tcBorders>
              <w:top w:val="single" w:color="auto" w:sz="2" w:space="0"/>
            </w:tcBorders>
            <w:vAlign w:val="center"/>
          </w:tcPr>
          <w:p>
            <w:pPr>
              <w:pStyle w:val="56"/>
              <w:rPr>
                <w:color w:val="000000"/>
              </w:rPr>
            </w:pPr>
            <w:r>
              <w:rPr>
                <w:rFonts w:hint="eastAsia"/>
                <w:color w:val="000000"/>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3331" w:type="dxa"/>
            <w:vAlign w:val="center"/>
          </w:tcPr>
          <w:p>
            <w:pPr>
              <w:pStyle w:val="56"/>
              <w:rPr>
                <w:color w:val="000000"/>
              </w:rPr>
            </w:pPr>
            <w:r>
              <w:rPr>
                <w:rFonts w:hint="eastAsia"/>
                <w:color w:val="000000"/>
              </w:rPr>
              <w:t>3类</w:t>
            </w:r>
          </w:p>
        </w:tc>
        <w:tc>
          <w:tcPr>
            <w:tcW w:w="2626" w:type="dxa"/>
            <w:vAlign w:val="center"/>
          </w:tcPr>
          <w:p>
            <w:pPr>
              <w:pStyle w:val="56"/>
              <w:rPr>
                <w:color w:val="000000"/>
              </w:rPr>
            </w:pPr>
            <w:r>
              <w:rPr>
                <w:rFonts w:hint="eastAsia"/>
                <w:color w:val="000000"/>
              </w:rPr>
              <w:t>65</w:t>
            </w:r>
          </w:p>
        </w:tc>
        <w:tc>
          <w:tcPr>
            <w:tcW w:w="2383" w:type="dxa"/>
            <w:vAlign w:val="center"/>
          </w:tcPr>
          <w:p>
            <w:pPr>
              <w:pStyle w:val="56"/>
              <w:rPr>
                <w:color w:val="000000"/>
              </w:rPr>
            </w:pPr>
            <w:r>
              <w:rPr>
                <w:rFonts w:hint="eastAsia"/>
                <w:color w:val="000000"/>
              </w:rPr>
              <w:t>55</w:t>
            </w:r>
          </w:p>
        </w:tc>
      </w:tr>
    </w:tbl>
    <w:p>
      <w:pPr>
        <w:spacing w:beforeLines="50"/>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 xml:space="preserve">2-9 </w:t>
      </w:r>
      <w:r>
        <w:rPr>
          <w:rFonts w:ascii="Times New Roman" w:hAnsi="Times New Roman"/>
          <w:b/>
          <w:sz w:val="24"/>
          <w:szCs w:val="24"/>
        </w:rPr>
        <w:t>《建筑施工场界环境噪声排放标准》（GB12523-2011）</w:t>
      </w:r>
      <w:r>
        <w:rPr>
          <w:rFonts w:hint="eastAsia" w:ascii="Times New Roman" w:hAnsi="Times New Roman"/>
          <w:bCs/>
          <w:sz w:val="24"/>
          <w:szCs w:val="24"/>
        </w:rPr>
        <w:t xml:space="preserve"> 单位：</w:t>
      </w:r>
      <w:r>
        <w:rPr>
          <w:rFonts w:ascii="Times New Roman" w:hAnsi="Times New Roman"/>
          <w:bCs/>
          <w:sz w:val="24"/>
          <w:szCs w:val="24"/>
        </w:rPr>
        <w:t>dB(A)</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3611"/>
        <w:gridCol w:w="3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537" w:type="dxa"/>
            <w:vMerge w:val="restart"/>
            <w:vAlign w:val="center"/>
          </w:tcPr>
          <w:p>
            <w:pPr>
              <w:pStyle w:val="56"/>
              <w:rPr>
                <w:color w:val="000000"/>
              </w:rPr>
            </w:pPr>
            <w:r>
              <w:rPr>
                <w:color w:val="000000"/>
              </w:rPr>
              <w:t>施工阶段</w:t>
            </w:r>
          </w:p>
        </w:tc>
        <w:tc>
          <w:tcPr>
            <w:tcW w:w="3611" w:type="dxa"/>
            <w:tcBorders>
              <w:bottom w:val="single" w:color="auto" w:sz="2" w:space="0"/>
            </w:tcBorders>
          </w:tcPr>
          <w:p>
            <w:pPr>
              <w:pStyle w:val="56"/>
              <w:rPr>
                <w:color w:val="000000"/>
              </w:rPr>
            </w:pPr>
            <w:r>
              <w:rPr>
                <w:color w:val="000000"/>
              </w:rPr>
              <w:t>昼间</w:t>
            </w:r>
          </w:p>
        </w:tc>
        <w:tc>
          <w:tcPr>
            <w:tcW w:w="3172" w:type="dxa"/>
            <w:tcBorders>
              <w:bottom w:val="single" w:color="auto" w:sz="2" w:space="0"/>
            </w:tcBorders>
            <w:vAlign w:val="center"/>
          </w:tcPr>
          <w:p>
            <w:pPr>
              <w:pStyle w:val="56"/>
              <w:rPr>
                <w:color w:val="000000"/>
              </w:rPr>
            </w:pPr>
            <w:r>
              <w:rPr>
                <w:color w:val="000000"/>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537" w:type="dxa"/>
            <w:vMerge w:val="continue"/>
            <w:vAlign w:val="center"/>
          </w:tcPr>
          <w:p>
            <w:pPr>
              <w:pStyle w:val="56"/>
              <w:rPr>
                <w:color w:val="000000"/>
              </w:rPr>
            </w:pPr>
          </w:p>
        </w:tc>
        <w:tc>
          <w:tcPr>
            <w:tcW w:w="3611" w:type="dxa"/>
            <w:tcBorders>
              <w:top w:val="single" w:color="auto" w:sz="2" w:space="0"/>
            </w:tcBorders>
            <w:vAlign w:val="center"/>
          </w:tcPr>
          <w:p>
            <w:pPr>
              <w:pStyle w:val="56"/>
              <w:rPr>
                <w:color w:val="000000"/>
              </w:rPr>
            </w:pPr>
            <w:r>
              <w:rPr>
                <w:color w:val="000000"/>
              </w:rPr>
              <w:t>70</w:t>
            </w:r>
          </w:p>
        </w:tc>
        <w:tc>
          <w:tcPr>
            <w:tcW w:w="3172" w:type="dxa"/>
            <w:tcBorders>
              <w:top w:val="single" w:color="auto" w:sz="2" w:space="0"/>
            </w:tcBorders>
            <w:vAlign w:val="center"/>
          </w:tcPr>
          <w:p>
            <w:pPr>
              <w:pStyle w:val="56"/>
              <w:rPr>
                <w:color w:val="000000"/>
              </w:rPr>
            </w:pPr>
            <w:r>
              <w:rPr>
                <w:color w:val="000000"/>
              </w:rPr>
              <w:t>55</w:t>
            </w:r>
          </w:p>
        </w:tc>
      </w:tr>
    </w:tbl>
    <w:p>
      <w:pPr>
        <w:pStyle w:val="9"/>
        <w:adjustRightInd/>
        <w:spacing w:beforeLines="50"/>
        <w:ind w:firstLine="480" w:firstLineChars="200"/>
        <w:textAlignment w:val="auto"/>
        <w:rPr>
          <w:color w:val="000000"/>
          <w:sz w:val="24"/>
          <w:szCs w:val="24"/>
        </w:rPr>
      </w:pPr>
      <w:r>
        <w:rPr>
          <w:color w:val="000000"/>
          <w:sz w:val="24"/>
          <w:szCs w:val="24"/>
        </w:rPr>
        <w:t>（4）固体废物</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szCs w:val="24"/>
        </w:rPr>
        <w:t>根据《</w:t>
      </w:r>
      <w:r>
        <w:rPr>
          <w:rFonts w:ascii="Times New Roman" w:hAnsi="Times New Roman"/>
          <w:color w:val="000000"/>
          <w:sz w:val="24"/>
        </w:rPr>
        <w:t>危险废物鉴别标准浸出毒性鉴别</w:t>
      </w:r>
      <w:r>
        <w:rPr>
          <w:rFonts w:ascii="Times New Roman" w:hAnsi="Times New Roman"/>
          <w:color w:val="000000"/>
          <w:sz w:val="24"/>
          <w:szCs w:val="24"/>
        </w:rPr>
        <w:t>》（GB5085.3-2007）对本项目尾矿渣进行鉴别，本项目尾矿渣不属于危险废物，其标准值见表2-1</w:t>
      </w:r>
      <w:r>
        <w:rPr>
          <w:rFonts w:hint="eastAsia" w:ascii="Times New Roman" w:hAnsi="Times New Roman"/>
          <w:color w:val="000000"/>
          <w:sz w:val="24"/>
          <w:szCs w:val="24"/>
        </w:rPr>
        <w:t>0</w:t>
      </w:r>
      <w:r>
        <w:rPr>
          <w:rFonts w:ascii="Times New Roman" w:hAnsi="Times New Roman"/>
          <w:color w:val="000000"/>
          <w:sz w:val="24"/>
          <w:szCs w:val="24"/>
        </w:rPr>
        <w:t>。尾矿渣堆存按照《一般工业固体废物贮存、处置场污染控制标准》（GB18599-2001）（2013修改版）</w:t>
      </w:r>
      <w:r>
        <w:rPr>
          <w:rFonts w:ascii="Times New Roman" w:hAnsi="Times New Roman"/>
          <w:color w:val="000000"/>
          <w:sz w:val="24"/>
        </w:rPr>
        <w:t>Ⅰ类固体废物的规定处理/处置，详见表2-1</w:t>
      </w:r>
      <w:r>
        <w:rPr>
          <w:rFonts w:hint="eastAsia" w:ascii="Times New Roman" w:hAnsi="Times New Roman"/>
          <w:color w:val="000000"/>
          <w:sz w:val="24"/>
        </w:rPr>
        <w:t>1</w:t>
      </w:r>
      <w:r>
        <w:rPr>
          <w:rFonts w:ascii="Times New Roman" w:hAnsi="Times New Roman"/>
          <w:color w:val="000000"/>
          <w:sz w:val="24"/>
        </w:rPr>
        <w:t>。</w:t>
      </w:r>
    </w:p>
    <w:p>
      <w:pPr>
        <w:pStyle w:val="76"/>
        <w:jc w:val="center"/>
        <w:rPr>
          <w:b/>
          <w:color w:val="000000"/>
          <w:sz w:val="24"/>
        </w:rPr>
      </w:pPr>
      <w:r>
        <w:rPr>
          <w:b/>
          <w:color w:val="000000"/>
          <w:sz w:val="24"/>
        </w:rPr>
        <w:t>表</w:t>
      </w:r>
      <w:r>
        <w:rPr>
          <w:rFonts w:hint="eastAsia"/>
          <w:b/>
          <w:color w:val="000000"/>
          <w:sz w:val="24"/>
        </w:rPr>
        <w:t xml:space="preserve">2-10 </w:t>
      </w:r>
      <w:r>
        <w:rPr>
          <w:b/>
          <w:color w:val="000000"/>
          <w:sz w:val="24"/>
        </w:rPr>
        <w:t>危险废物鉴别标准浸出毒性鉴别标准值</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4"/>
        <w:gridCol w:w="3868"/>
        <w:gridCol w:w="38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序号</w:t>
            </w:r>
          </w:p>
        </w:tc>
        <w:tc>
          <w:tcPr>
            <w:tcW w:w="3868" w:type="dxa"/>
            <w:vAlign w:val="center"/>
          </w:tcPr>
          <w:p>
            <w:pPr>
              <w:pStyle w:val="56"/>
              <w:spacing w:line="240" w:lineRule="exact"/>
              <w:rPr>
                <w:szCs w:val="21"/>
              </w:rPr>
            </w:pPr>
            <w:r>
              <w:rPr>
                <w:szCs w:val="21"/>
              </w:rPr>
              <w:t>项   目</w:t>
            </w:r>
          </w:p>
        </w:tc>
        <w:tc>
          <w:tcPr>
            <w:tcW w:w="3868" w:type="dxa"/>
            <w:vAlign w:val="center"/>
          </w:tcPr>
          <w:p>
            <w:pPr>
              <w:pStyle w:val="56"/>
              <w:spacing w:line="240" w:lineRule="exact"/>
              <w:rPr>
                <w:szCs w:val="21"/>
              </w:rPr>
            </w:pPr>
            <w:r>
              <w:rPr>
                <w:szCs w:val="21"/>
              </w:rPr>
              <w:t>浸出液最高允许浓度mg/l(标准)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1</w:t>
            </w:r>
          </w:p>
        </w:tc>
        <w:tc>
          <w:tcPr>
            <w:tcW w:w="3868" w:type="dxa"/>
            <w:vAlign w:val="center"/>
          </w:tcPr>
          <w:p>
            <w:pPr>
              <w:pStyle w:val="56"/>
              <w:spacing w:line="240" w:lineRule="exact"/>
              <w:rPr>
                <w:szCs w:val="21"/>
              </w:rPr>
            </w:pPr>
            <w:r>
              <w:rPr>
                <w:szCs w:val="21"/>
              </w:rPr>
              <w:t>烷基汞</w:t>
            </w:r>
          </w:p>
        </w:tc>
        <w:tc>
          <w:tcPr>
            <w:tcW w:w="3868" w:type="dxa"/>
            <w:vAlign w:val="center"/>
          </w:tcPr>
          <w:p>
            <w:pPr>
              <w:pStyle w:val="56"/>
              <w:spacing w:line="240" w:lineRule="exact"/>
              <w:rPr>
                <w:szCs w:val="21"/>
              </w:rPr>
            </w:pPr>
            <w:r>
              <w:rPr>
                <w:szCs w:val="21"/>
              </w:rPr>
              <w:t>不得检出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2</w:t>
            </w:r>
          </w:p>
        </w:tc>
        <w:tc>
          <w:tcPr>
            <w:tcW w:w="3868" w:type="dxa"/>
            <w:vAlign w:val="center"/>
          </w:tcPr>
          <w:p>
            <w:pPr>
              <w:pStyle w:val="56"/>
              <w:spacing w:line="240" w:lineRule="exact"/>
              <w:rPr>
                <w:szCs w:val="21"/>
              </w:rPr>
            </w:pPr>
            <w:r>
              <w:rPr>
                <w:szCs w:val="21"/>
              </w:rPr>
              <w:t>汞 (以总汞计)</w:t>
            </w:r>
          </w:p>
        </w:tc>
        <w:tc>
          <w:tcPr>
            <w:tcW w:w="3868" w:type="dxa"/>
            <w:vAlign w:val="center"/>
          </w:tcPr>
          <w:p>
            <w:pPr>
              <w:pStyle w:val="56"/>
              <w:spacing w:line="240" w:lineRule="exact"/>
              <w:rPr>
                <w:szCs w:val="21"/>
              </w:rPr>
            </w:pPr>
            <w:r>
              <w:rPr>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3</w:t>
            </w:r>
          </w:p>
        </w:tc>
        <w:tc>
          <w:tcPr>
            <w:tcW w:w="3868" w:type="dxa"/>
            <w:vAlign w:val="center"/>
          </w:tcPr>
          <w:p>
            <w:pPr>
              <w:pStyle w:val="56"/>
              <w:spacing w:line="240" w:lineRule="exact"/>
              <w:rPr>
                <w:szCs w:val="21"/>
              </w:rPr>
            </w:pPr>
            <w:r>
              <w:rPr>
                <w:szCs w:val="21"/>
              </w:rPr>
              <w:t>铅(以总铅计)</w:t>
            </w:r>
          </w:p>
        </w:tc>
        <w:tc>
          <w:tcPr>
            <w:tcW w:w="3868" w:type="dxa"/>
            <w:vAlign w:val="center"/>
          </w:tcPr>
          <w:p>
            <w:pPr>
              <w:pStyle w:val="56"/>
              <w:spacing w:line="240" w:lineRule="exact"/>
              <w:rPr>
                <w:kern w:val="2"/>
                <w:szCs w:val="21"/>
              </w:rPr>
            </w:pPr>
            <w:r>
              <w:rPr>
                <w:kern w:val="2"/>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4</w:t>
            </w:r>
          </w:p>
        </w:tc>
        <w:tc>
          <w:tcPr>
            <w:tcW w:w="3868" w:type="dxa"/>
            <w:vAlign w:val="center"/>
          </w:tcPr>
          <w:p>
            <w:pPr>
              <w:pStyle w:val="56"/>
              <w:spacing w:line="240" w:lineRule="exact"/>
              <w:rPr>
                <w:szCs w:val="21"/>
              </w:rPr>
            </w:pPr>
            <w:r>
              <w:rPr>
                <w:szCs w:val="21"/>
              </w:rPr>
              <w:t>镉(以总镉计)</w:t>
            </w:r>
          </w:p>
        </w:tc>
        <w:tc>
          <w:tcPr>
            <w:tcW w:w="3868" w:type="dxa"/>
            <w:vAlign w:val="center"/>
          </w:tcPr>
          <w:p>
            <w:pPr>
              <w:pStyle w:val="56"/>
              <w:spacing w:line="240" w:lineRule="exact"/>
              <w:rPr>
                <w:kern w:val="2"/>
                <w:szCs w:val="21"/>
              </w:rPr>
            </w:pPr>
            <w:r>
              <w:rPr>
                <w:kern w:val="2"/>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i/>
                <w:iCs/>
                <w:szCs w:val="21"/>
              </w:rPr>
            </w:pPr>
            <w:r>
              <w:rPr>
                <w:szCs w:val="21"/>
              </w:rPr>
              <w:t>5</w:t>
            </w:r>
          </w:p>
        </w:tc>
        <w:tc>
          <w:tcPr>
            <w:tcW w:w="3868" w:type="dxa"/>
            <w:vAlign w:val="center"/>
          </w:tcPr>
          <w:p>
            <w:pPr>
              <w:pStyle w:val="56"/>
              <w:spacing w:line="240" w:lineRule="exact"/>
              <w:rPr>
                <w:szCs w:val="21"/>
              </w:rPr>
            </w:pPr>
            <w:r>
              <w:rPr>
                <w:szCs w:val="21"/>
              </w:rPr>
              <w:t>总铬</w:t>
            </w:r>
          </w:p>
        </w:tc>
        <w:tc>
          <w:tcPr>
            <w:tcW w:w="3868" w:type="dxa"/>
            <w:vAlign w:val="center"/>
          </w:tcPr>
          <w:p>
            <w:pPr>
              <w:pStyle w:val="56"/>
              <w:spacing w:line="240" w:lineRule="exact"/>
              <w:rPr>
                <w:kern w:val="2"/>
                <w:szCs w:val="21"/>
              </w:rPr>
            </w:pPr>
            <w:r>
              <w:rPr>
                <w:kern w:val="2"/>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6</w:t>
            </w:r>
          </w:p>
        </w:tc>
        <w:tc>
          <w:tcPr>
            <w:tcW w:w="3868" w:type="dxa"/>
            <w:vAlign w:val="center"/>
          </w:tcPr>
          <w:p>
            <w:pPr>
              <w:pStyle w:val="56"/>
              <w:spacing w:line="240" w:lineRule="exact"/>
              <w:rPr>
                <w:szCs w:val="21"/>
              </w:rPr>
            </w:pPr>
            <w:r>
              <w:rPr>
                <w:szCs w:val="21"/>
              </w:rPr>
              <w:t>六价铬</w:t>
            </w:r>
          </w:p>
        </w:tc>
        <w:tc>
          <w:tcPr>
            <w:tcW w:w="3868" w:type="dxa"/>
            <w:vAlign w:val="center"/>
          </w:tcPr>
          <w:p>
            <w:pPr>
              <w:pStyle w:val="56"/>
              <w:spacing w:line="240" w:lineRule="exact"/>
              <w:rPr>
                <w:kern w:val="2"/>
                <w:szCs w:val="21"/>
              </w:rPr>
            </w:pPr>
            <w:r>
              <w:rPr>
                <w:kern w:val="2"/>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7</w:t>
            </w:r>
          </w:p>
        </w:tc>
        <w:tc>
          <w:tcPr>
            <w:tcW w:w="3868" w:type="dxa"/>
            <w:vAlign w:val="center"/>
          </w:tcPr>
          <w:p>
            <w:pPr>
              <w:pStyle w:val="56"/>
              <w:spacing w:line="240" w:lineRule="exact"/>
              <w:rPr>
                <w:szCs w:val="21"/>
              </w:rPr>
            </w:pPr>
            <w:r>
              <w:rPr>
                <w:szCs w:val="21"/>
              </w:rPr>
              <w:t>铜及其化合物(以总铜计)</w:t>
            </w:r>
          </w:p>
        </w:tc>
        <w:tc>
          <w:tcPr>
            <w:tcW w:w="3868" w:type="dxa"/>
            <w:vAlign w:val="center"/>
          </w:tcPr>
          <w:p>
            <w:pPr>
              <w:pStyle w:val="56"/>
              <w:spacing w:line="240" w:lineRule="exact"/>
              <w:rPr>
                <w:kern w:val="2"/>
                <w:szCs w:val="21"/>
              </w:rPr>
            </w:pPr>
            <w:r>
              <w:rPr>
                <w:kern w:val="2"/>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8</w:t>
            </w:r>
          </w:p>
        </w:tc>
        <w:tc>
          <w:tcPr>
            <w:tcW w:w="3868" w:type="dxa"/>
            <w:vAlign w:val="center"/>
          </w:tcPr>
          <w:p>
            <w:pPr>
              <w:pStyle w:val="56"/>
              <w:spacing w:line="240" w:lineRule="exact"/>
              <w:rPr>
                <w:szCs w:val="21"/>
              </w:rPr>
            </w:pPr>
            <w:r>
              <w:rPr>
                <w:szCs w:val="21"/>
              </w:rPr>
              <w:t>锌及其化合物(以总锌计)</w:t>
            </w:r>
          </w:p>
        </w:tc>
        <w:tc>
          <w:tcPr>
            <w:tcW w:w="3868" w:type="dxa"/>
            <w:vAlign w:val="center"/>
          </w:tcPr>
          <w:p>
            <w:pPr>
              <w:pStyle w:val="56"/>
              <w:spacing w:line="240" w:lineRule="exact"/>
              <w:rPr>
                <w:kern w:val="2"/>
                <w:szCs w:val="21"/>
              </w:rPr>
            </w:pPr>
            <w:r>
              <w:rPr>
                <w:kern w:val="2"/>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9</w:t>
            </w:r>
          </w:p>
        </w:tc>
        <w:tc>
          <w:tcPr>
            <w:tcW w:w="3868" w:type="dxa"/>
            <w:vAlign w:val="center"/>
          </w:tcPr>
          <w:p>
            <w:pPr>
              <w:pStyle w:val="56"/>
              <w:spacing w:line="240" w:lineRule="exact"/>
              <w:rPr>
                <w:szCs w:val="21"/>
              </w:rPr>
            </w:pPr>
            <w:r>
              <w:rPr>
                <w:szCs w:val="21"/>
              </w:rPr>
              <w:t>铍 (以总铍计)</w:t>
            </w:r>
          </w:p>
        </w:tc>
        <w:tc>
          <w:tcPr>
            <w:tcW w:w="3868" w:type="dxa"/>
            <w:vAlign w:val="center"/>
          </w:tcPr>
          <w:p>
            <w:pPr>
              <w:pStyle w:val="56"/>
              <w:spacing w:line="240" w:lineRule="exact"/>
              <w:rPr>
                <w:szCs w:val="21"/>
              </w:rPr>
            </w:pPr>
            <w:r>
              <w:rPr>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10</w:t>
            </w:r>
          </w:p>
        </w:tc>
        <w:tc>
          <w:tcPr>
            <w:tcW w:w="3868" w:type="dxa"/>
            <w:vAlign w:val="center"/>
          </w:tcPr>
          <w:p>
            <w:pPr>
              <w:pStyle w:val="56"/>
              <w:spacing w:line="240" w:lineRule="exact"/>
              <w:rPr>
                <w:szCs w:val="21"/>
              </w:rPr>
            </w:pPr>
            <w:r>
              <w:rPr>
                <w:szCs w:val="21"/>
              </w:rPr>
              <w:t>钡 (以总钡计)</w:t>
            </w:r>
          </w:p>
        </w:tc>
        <w:tc>
          <w:tcPr>
            <w:tcW w:w="3868" w:type="dxa"/>
            <w:vAlign w:val="center"/>
          </w:tcPr>
          <w:p>
            <w:pPr>
              <w:pStyle w:val="56"/>
              <w:spacing w:line="240" w:lineRule="exact"/>
              <w:rPr>
                <w:szCs w:val="21"/>
              </w:rPr>
            </w:pPr>
            <w:r>
              <w:rPr>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11</w:t>
            </w:r>
          </w:p>
        </w:tc>
        <w:tc>
          <w:tcPr>
            <w:tcW w:w="3868" w:type="dxa"/>
            <w:vAlign w:val="center"/>
          </w:tcPr>
          <w:p>
            <w:pPr>
              <w:pStyle w:val="56"/>
              <w:spacing w:line="240" w:lineRule="exact"/>
              <w:rPr>
                <w:szCs w:val="21"/>
              </w:rPr>
            </w:pPr>
            <w:r>
              <w:rPr>
                <w:szCs w:val="21"/>
              </w:rPr>
              <w:t>镍 (以总镍计)</w:t>
            </w:r>
          </w:p>
        </w:tc>
        <w:tc>
          <w:tcPr>
            <w:tcW w:w="3868" w:type="dxa"/>
            <w:vAlign w:val="center"/>
          </w:tcPr>
          <w:p>
            <w:pPr>
              <w:pStyle w:val="56"/>
              <w:spacing w:line="240" w:lineRule="exact"/>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12</w:t>
            </w:r>
          </w:p>
        </w:tc>
        <w:tc>
          <w:tcPr>
            <w:tcW w:w="3868" w:type="dxa"/>
            <w:vAlign w:val="center"/>
          </w:tcPr>
          <w:p>
            <w:pPr>
              <w:pStyle w:val="56"/>
              <w:spacing w:line="240" w:lineRule="exact"/>
              <w:rPr>
                <w:szCs w:val="21"/>
              </w:rPr>
            </w:pPr>
            <w:r>
              <w:rPr>
                <w:szCs w:val="21"/>
              </w:rPr>
              <w:t>砷 (以总砷计)</w:t>
            </w:r>
          </w:p>
        </w:tc>
        <w:tc>
          <w:tcPr>
            <w:tcW w:w="3868" w:type="dxa"/>
            <w:vAlign w:val="center"/>
          </w:tcPr>
          <w:p>
            <w:pPr>
              <w:pStyle w:val="56"/>
              <w:spacing w:line="240" w:lineRule="exact"/>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13</w:t>
            </w:r>
          </w:p>
        </w:tc>
        <w:tc>
          <w:tcPr>
            <w:tcW w:w="3868" w:type="dxa"/>
            <w:vAlign w:val="center"/>
          </w:tcPr>
          <w:p>
            <w:pPr>
              <w:pStyle w:val="56"/>
              <w:spacing w:line="240" w:lineRule="exact"/>
              <w:rPr>
                <w:szCs w:val="21"/>
              </w:rPr>
            </w:pPr>
            <w:r>
              <w:rPr>
                <w:szCs w:val="21"/>
              </w:rPr>
              <w:t>无机氟化物(不包括氟化钙)</w:t>
            </w:r>
          </w:p>
        </w:tc>
        <w:tc>
          <w:tcPr>
            <w:tcW w:w="3868" w:type="dxa"/>
            <w:vAlign w:val="center"/>
          </w:tcPr>
          <w:p>
            <w:pPr>
              <w:pStyle w:val="56"/>
              <w:spacing w:line="240" w:lineRule="exact"/>
              <w:rPr>
                <w:szCs w:val="21"/>
              </w:rPr>
            </w:pPr>
            <w:r>
              <w:rPr>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14</w:t>
            </w:r>
          </w:p>
        </w:tc>
        <w:tc>
          <w:tcPr>
            <w:tcW w:w="3868" w:type="dxa"/>
            <w:vAlign w:val="center"/>
          </w:tcPr>
          <w:p>
            <w:pPr>
              <w:pStyle w:val="56"/>
              <w:spacing w:line="240" w:lineRule="exact"/>
              <w:rPr>
                <w:szCs w:val="21"/>
              </w:rPr>
            </w:pPr>
            <w:r>
              <w:rPr>
                <w:szCs w:val="21"/>
              </w:rPr>
              <w:t>氰化物(以CN</w:t>
            </w:r>
            <w:r>
              <w:rPr>
                <w:szCs w:val="21"/>
                <w:vertAlign w:val="superscript"/>
              </w:rPr>
              <w:t>-</w:t>
            </w:r>
            <w:r>
              <w:rPr>
                <w:szCs w:val="21"/>
              </w:rPr>
              <w:t>计)</w:t>
            </w:r>
          </w:p>
        </w:tc>
        <w:tc>
          <w:tcPr>
            <w:tcW w:w="3868" w:type="dxa"/>
            <w:vAlign w:val="center"/>
          </w:tcPr>
          <w:p>
            <w:pPr>
              <w:pStyle w:val="56"/>
              <w:spacing w:line="240" w:lineRule="exact"/>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15</w:t>
            </w:r>
          </w:p>
        </w:tc>
        <w:tc>
          <w:tcPr>
            <w:tcW w:w="3868" w:type="dxa"/>
            <w:vAlign w:val="center"/>
          </w:tcPr>
          <w:p>
            <w:pPr>
              <w:pStyle w:val="56"/>
              <w:spacing w:line="240" w:lineRule="exact"/>
              <w:rPr>
                <w:szCs w:val="21"/>
              </w:rPr>
            </w:pPr>
            <w:r>
              <w:rPr>
                <w:szCs w:val="21"/>
              </w:rPr>
              <w:t>总银</w:t>
            </w:r>
          </w:p>
        </w:tc>
        <w:tc>
          <w:tcPr>
            <w:tcW w:w="3868" w:type="dxa"/>
            <w:vAlign w:val="center"/>
          </w:tcPr>
          <w:p>
            <w:pPr>
              <w:pStyle w:val="56"/>
              <w:spacing w:line="240" w:lineRule="exact"/>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84" w:type="dxa"/>
            <w:vAlign w:val="center"/>
          </w:tcPr>
          <w:p>
            <w:pPr>
              <w:pStyle w:val="56"/>
              <w:spacing w:line="240" w:lineRule="exact"/>
              <w:rPr>
                <w:szCs w:val="21"/>
              </w:rPr>
            </w:pPr>
            <w:r>
              <w:rPr>
                <w:szCs w:val="21"/>
              </w:rPr>
              <w:t>16</w:t>
            </w:r>
          </w:p>
        </w:tc>
        <w:tc>
          <w:tcPr>
            <w:tcW w:w="3868" w:type="dxa"/>
            <w:vAlign w:val="center"/>
          </w:tcPr>
          <w:p>
            <w:pPr>
              <w:pStyle w:val="56"/>
              <w:spacing w:line="240" w:lineRule="exact"/>
              <w:rPr>
                <w:szCs w:val="21"/>
              </w:rPr>
            </w:pPr>
            <w:r>
              <w:rPr>
                <w:szCs w:val="21"/>
              </w:rPr>
              <w:t>硒（以总硒计）</w:t>
            </w:r>
          </w:p>
        </w:tc>
        <w:tc>
          <w:tcPr>
            <w:tcW w:w="3868" w:type="dxa"/>
            <w:vAlign w:val="center"/>
          </w:tcPr>
          <w:p>
            <w:pPr>
              <w:pStyle w:val="56"/>
              <w:spacing w:line="240" w:lineRule="exact"/>
              <w:rPr>
                <w:szCs w:val="21"/>
              </w:rPr>
            </w:pPr>
            <w:r>
              <w:rPr>
                <w:szCs w:val="21"/>
              </w:rPr>
              <w:t>1</w:t>
            </w:r>
          </w:p>
        </w:tc>
      </w:tr>
    </w:tbl>
    <w:p>
      <w:pPr>
        <w:pStyle w:val="76"/>
        <w:ind w:firstLine="0"/>
        <w:rPr>
          <w:b/>
          <w:color w:val="000000"/>
          <w:sz w:val="24"/>
        </w:rPr>
      </w:pPr>
    </w:p>
    <w:p>
      <w:pPr>
        <w:pStyle w:val="76"/>
        <w:jc w:val="center"/>
        <w:rPr>
          <w:b/>
          <w:color w:val="000000"/>
          <w:sz w:val="24"/>
        </w:rPr>
      </w:pPr>
    </w:p>
    <w:p>
      <w:pPr>
        <w:pStyle w:val="76"/>
        <w:jc w:val="center"/>
        <w:rPr>
          <w:b/>
          <w:color w:val="000000"/>
          <w:sz w:val="24"/>
        </w:rPr>
      </w:pPr>
      <w:r>
        <w:rPr>
          <w:b/>
          <w:color w:val="000000"/>
          <w:sz w:val="24"/>
        </w:rPr>
        <w:t>表</w:t>
      </w:r>
      <w:r>
        <w:rPr>
          <w:rFonts w:hint="eastAsia"/>
          <w:b/>
          <w:color w:val="000000"/>
          <w:sz w:val="24"/>
        </w:rPr>
        <w:t xml:space="preserve">2-11 </w:t>
      </w:r>
      <w:r>
        <w:rPr>
          <w:b/>
          <w:color w:val="000000"/>
          <w:sz w:val="24"/>
        </w:rPr>
        <w:t>一般工业固体废物贮存、处置场污染控制标准（2013修改版）</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2959"/>
        <w:gridCol w:w="3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64" w:type="dxa"/>
            <w:tcBorders>
              <w:bottom w:val="single" w:color="auto" w:sz="4" w:space="0"/>
            </w:tcBorders>
          </w:tcPr>
          <w:p>
            <w:pPr>
              <w:pStyle w:val="76"/>
              <w:rPr>
                <w:color w:val="000000"/>
              </w:rPr>
            </w:pPr>
          </w:p>
        </w:tc>
        <w:tc>
          <w:tcPr>
            <w:tcW w:w="2959" w:type="dxa"/>
            <w:tcBorders>
              <w:bottom w:val="single" w:color="auto" w:sz="4" w:space="0"/>
            </w:tcBorders>
            <w:vAlign w:val="center"/>
          </w:tcPr>
          <w:p>
            <w:pPr>
              <w:pStyle w:val="76"/>
              <w:jc w:val="center"/>
              <w:rPr>
                <w:color w:val="000000"/>
              </w:rPr>
            </w:pPr>
            <w:r>
              <w:rPr>
                <w:color w:val="000000"/>
              </w:rPr>
              <w:t>场址选择环境保护要求</w:t>
            </w:r>
          </w:p>
        </w:tc>
        <w:tc>
          <w:tcPr>
            <w:tcW w:w="3899" w:type="dxa"/>
            <w:tcBorders>
              <w:bottom w:val="single" w:color="auto" w:sz="4" w:space="0"/>
            </w:tcBorders>
            <w:vAlign w:val="center"/>
          </w:tcPr>
          <w:p>
            <w:pPr>
              <w:pStyle w:val="76"/>
              <w:jc w:val="center"/>
              <w:rPr>
                <w:color w:val="000000"/>
              </w:rPr>
            </w:pPr>
            <w:r>
              <w:rPr>
                <w:color w:val="000000"/>
              </w:rPr>
              <w:t xml:space="preserve">贮存、处置场设计环保要求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8" w:hRule="atLeast"/>
          <w:jc w:val="center"/>
        </w:trPr>
        <w:tc>
          <w:tcPr>
            <w:tcW w:w="1664" w:type="dxa"/>
            <w:tcBorders>
              <w:top w:val="single" w:color="auto" w:sz="4" w:space="0"/>
            </w:tcBorders>
            <w:vAlign w:val="center"/>
          </w:tcPr>
          <w:p>
            <w:pPr>
              <w:pStyle w:val="76"/>
              <w:jc w:val="center"/>
              <w:rPr>
                <w:color w:val="000000"/>
              </w:rPr>
            </w:pPr>
            <w:r>
              <w:rPr>
                <w:rFonts w:ascii="宋体"/>
                <w:color w:val="000000"/>
              </w:rPr>
              <w:t>Ⅰ</w:t>
            </w:r>
            <w:r>
              <w:rPr>
                <w:color w:val="000000"/>
              </w:rPr>
              <w:t>类场和</w:t>
            </w:r>
            <w:r>
              <w:rPr>
                <w:rFonts w:ascii="宋体"/>
                <w:color w:val="000000"/>
              </w:rPr>
              <w:t>Ⅱ</w:t>
            </w:r>
            <w:r>
              <w:rPr>
                <w:color w:val="000000"/>
              </w:rPr>
              <w:t>类场</w:t>
            </w:r>
          </w:p>
          <w:p>
            <w:pPr>
              <w:pStyle w:val="76"/>
              <w:jc w:val="center"/>
              <w:rPr>
                <w:color w:val="000000"/>
              </w:rPr>
            </w:pPr>
            <w:r>
              <w:rPr>
                <w:color w:val="000000"/>
              </w:rPr>
              <w:t>的共同要求</w:t>
            </w:r>
          </w:p>
        </w:tc>
        <w:tc>
          <w:tcPr>
            <w:tcW w:w="2959" w:type="dxa"/>
            <w:tcBorders>
              <w:top w:val="single" w:color="auto" w:sz="4" w:space="0"/>
            </w:tcBorders>
          </w:tcPr>
          <w:p>
            <w:pPr>
              <w:pStyle w:val="76"/>
              <w:rPr>
                <w:color w:val="000000"/>
              </w:rPr>
            </w:pPr>
            <w:r>
              <w:rPr>
                <w:color w:val="000000"/>
              </w:rPr>
              <w:t>1、符合当地城乡规划建设总体规划要求。</w:t>
            </w:r>
          </w:p>
          <w:p>
            <w:pPr>
              <w:pStyle w:val="76"/>
              <w:rPr>
                <w:color w:val="000000"/>
              </w:rPr>
            </w:pPr>
            <w:r>
              <w:rPr>
                <w:color w:val="000000"/>
              </w:rPr>
              <w:t>2、在工业区和居民集中区主导风向的下风向。</w:t>
            </w:r>
          </w:p>
          <w:p>
            <w:pPr>
              <w:pStyle w:val="76"/>
              <w:rPr>
                <w:color w:val="000000"/>
              </w:rPr>
            </w:pPr>
            <w:r>
              <w:rPr>
                <w:color w:val="000000"/>
              </w:rPr>
              <w:t>3、满足承载力要求的地基上。</w:t>
            </w:r>
          </w:p>
          <w:p>
            <w:pPr>
              <w:pStyle w:val="76"/>
              <w:rPr>
                <w:color w:val="000000"/>
              </w:rPr>
            </w:pPr>
            <w:r>
              <w:rPr>
                <w:color w:val="000000"/>
              </w:rPr>
              <w:t>4、应避开断层、断层破碎带、溶洞区以及天然滑坡和泥石流影响区。</w:t>
            </w:r>
          </w:p>
          <w:p>
            <w:pPr>
              <w:pStyle w:val="76"/>
              <w:rPr>
                <w:color w:val="000000"/>
              </w:rPr>
            </w:pPr>
            <w:r>
              <w:rPr>
                <w:color w:val="000000"/>
              </w:rPr>
              <w:t>5、禁止选在江河、湖泊、水库最高水位线以下的滩地和泛洪区。</w:t>
            </w:r>
          </w:p>
          <w:p>
            <w:pPr>
              <w:pStyle w:val="76"/>
              <w:rPr>
                <w:color w:val="000000"/>
              </w:rPr>
            </w:pPr>
            <w:r>
              <w:rPr>
                <w:color w:val="000000"/>
              </w:rPr>
              <w:t>6、禁止选在自然保护区、风景名胜区和其他需要特别保护的地区。</w:t>
            </w:r>
          </w:p>
        </w:tc>
        <w:tc>
          <w:tcPr>
            <w:tcW w:w="3899" w:type="dxa"/>
            <w:tcBorders>
              <w:top w:val="single" w:color="auto" w:sz="4" w:space="0"/>
            </w:tcBorders>
          </w:tcPr>
          <w:p>
            <w:pPr>
              <w:pStyle w:val="76"/>
              <w:rPr>
                <w:color w:val="000000"/>
              </w:rPr>
            </w:pPr>
            <w:r>
              <w:rPr>
                <w:color w:val="000000"/>
              </w:rPr>
              <w:t>1建设类型必须与将要堆放的一般工业固体废弃物的类别相一致。</w:t>
            </w:r>
          </w:p>
          <w:p>
            <w:pPr>
              <w:pStyle w:val="76"/>
              <w:rPr>
                <w:color w:val="000000"/>
              </w:rPr>
            </w:pPr>
            <w:r>
              <w:rPr>
                <w:color w:val="000000"/>
              </w:rPr>
              <w:t>2、环评中应设置贮存/处置场专题评价。</w:t>
            </w:r>
          </w:p>
          <w:p>
            <w:pPr>
              <w:pStyle w:val="76"/>
              <w:rPr>
                <w:color w:val="000000"/>
              </w:rPr>
            </w:pPr>
            <w:r>
              <w:rPr>
                <w:color w:val="000000"/>
              </w:rPr>
              <w:t>3、贮存/处置场应采取粉尘污染的措施。</w:t>
            </w:r>
          </w:p>
          <w:p>
            <w:pPr>
              <w:pStyle w:val="76"/>
              <w:rPr>
                <w:color w:val="000000"/>
              </w:rPr>
            </w:pPr>
            <w:r>
              <w:rPr>
                <w:color w:val="000000"/>
              </w:rPr>
              <w:t>4、避免渗滤液量增加和滑坡，周遍应设置导流渠。</w:t>
            </w:r>
          </w:p>
          <w:p>
            <w:pPr>
              <w:pStyle w:val="76"/>
              <w:rPr>
                <w:color w:val="000000"/>
              </w:rPr>
            </w:pPr>
            <w:r>
              <w:rPr>
                <w:color w:val="000000"/>
              </w:rPr>
              <w:t>5、应设计渗滤液集排水设施。</w:t>
            </w:r>
          </w:p>
          <w:p>
            <w:pPr>
              <w:pStyle w:val="76"/>
              <w:rPr>
                <w:color w:val="000000"/>
              </w:rPr>
            </w:pPr>
            <w:r>
              <w:rPr>
                <w:color w:val="000000"/>
              </w:rPr>
              <w:t>6、为防止固体废弃物渗滤液的流失，应构筑堤、坝、挡土墙等设施。</w:t>
            </w:r>
          </w:p>
          <w:p>
            <w:pPr>
              <w:pStyle w:val="76"/>
              <w:rPr>
                <w:color w:val="000000"/>
              </w:rPr>
            </w:pPr>
            <w:r>
              <w:rPr>
                <w:color w:val="000000"/>
              </w:rPr>
              <w:t>7、必要时应采取措施防止地基下沉，尤其是防止不均匀或局部下沉。</w:t>
            </w:r>
          </w:p>
          <w:p>
            <w:pPr>
              <w:pStyle w:val="76"/>
              <w:rPr>
                <w:color w:val="000000"/>
              </w:rPr>
            </w:pPr>
            <w:r>
              <w:rPr>
                <w:color w:val="000000"/>
              </w:rPr>
              <w:t>8、按照GB15562.2设置环保图形标志。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3" w:hRule="atLeast"/>
          <w:jc w:val="center"/>
        </w:trPr>
        <w:tc>
          <w:tcPr>
            <w:tcW w:w="1664" w:type="dxa"/>
            <w:vAlign w:val="center"/>
          </w:tcPr>
          <w:p>
            <w:pPr>
              <w:pStyle w:val="76"/>
              <w:jc w:val="center"/>
              <w:rPr>
                <w:color w:val="000000"/>
              </w:rPr>
            </w:pPr>
            <w:r>
              <w:rPr>
                <w:rFonts w:ascii="宋体"/>
                <w:color w:val="000000"/>
              </w:rPr>
              <w:t>Ⅱ</w:t>
            </w:r>
            <w:r>
              <w:rPr>
                <w:color w:val="000000"/>
              </w:rPr>
              <w:t>类场的</w:t>
            </w:r>
          </w:p>
          <w:p>
            <w:pPr>
              <w:pStyle w:val="76"/>
              <w:jc w:val="center"/>
              <w:rPr>
                <w:color w:val="000000"/>
              </w:rPr>
            </w:pPr>
            <w:r>
              <w:rPr>
                <w:color w:val="000000"/>
              </w:rPr>
              <w:t>其他要求</w:t>
            </w:r>
          </w:p>
        </w:tc>
        <w:tc>
          <w:tcPr>
            <w:tcW w:w="2959" w:type="dxa"/>
          </w:tcPr>
          <w:p>
            <w:pPr>
              <w:pStyle w:val="76"/>
              <w:numPr>
                <w:ilvl w:val="0"/>
                <w:numId w:val="1"/>
              </w:numPr>
              <w:tabs>
                <w:tab w:val="left" w:pos="-3095"/>
                <w:tab w:val="clear" w:pos="360"/>
              </w:tabs>
              <w:ind w:left="25" w:hanging="25"/>
              <w:rPr>
                <w:color w:val="000000"/>
              </w:rPr>
            </w:pPr>
            <w:r>
              <w:rPr>
                <w:color w:val="000000"/>
              </w:rPr>
              <w:t>应避开地下水主要补给区和饮用水源含水层。</w:t>
            </w:r>
          </w:p>
          <w:p>
            <w:pPr>
              <w:pStyle w:val="76"/>
              <w:rPr>
                <w:color w:val="000000"/>
              </w:rPr>
            </w:pPr>
            <w:r>
              <w:rPr>
                <w:color w:val="000000"/>
              </w:rPr>
              <w:t>2、应选在防渗性能好的地基上。天然基础层地表距地下水位的距离不得小于1.5m。</w:t>
            </w:r>
          </w:p>
        </w:tc>
        <w:tc>
          <w:tcPr>
            <w:tcW w:w="3899" w:type="dxa"/>
          </w:tcPr>
          <w:p>
            <w:pPr>
              <w:pStyle w:val="76"/>
              <w:rPr>
                <w:color w:val="000000"/>
              </w:rPr>
            </w:pPr>
            <w:r>
              <w:rPr>
                <w:color w:val="000000"/>
              </w:rPr>
              <w:t>1、当天然基础层的防渗系数大于1.0×10</w:t>
            </w:r>
            <w:r>
              <w:rPr>
                <w:color w:val="000000"/>
                <w:vertAlign w:val="superscript"/>
              </w:rPr>
              <w:t>－7</w:t>
            </w:r>
            <w:r>
              <w:rPr>
                <w:color w:val="000000"/>
              </w:rPr>
              <w:t>cm/s时，应采用天然或人工材料构筑防渗层，防渗层的厚度应相当于渗透系数1.0×10</w:t>
            </w:r>
            <w:r>
              <w:rPr>
                <w:color w:val="000000"/>
                <w:vertAlign w:val="superscript"/>
              </w:rPr>
              <w:t>－7</w:t>
            </w:r>
            <w:r>
              <w:rPr>
                <w:color w:val="000000"/>
              </w:rPr>
              <w:t>cm/s和厚度1.5m的粘土层的防渗性能。</w:t>
            </w:r>
          </w:p>
          <w:p>
            <w:pPr>
              <w:pStyle w:val="76"/>
              <w:rPr>
                <w:color w:val="000000"/>
              </w:rPr>
            </w:pPr>
            <w:r>
              <w:rPr>
                <w:color w:val="000000"/>
              </w:rPr>
              <w:t>2、必要时应设计渗滤液处理设施，对渗滤液进行处理。</w:t>
            </w:r>
          </w:p>
          <w:p>
            <w:pPr>
              <w:pStyle w:val="76"/>
              <w:rPr>
                <w:color w:val="000000"/>
              </w:rPr>
            </w:pPr>
            <w:r>
              <w:rPr>
                <w:color w:val="000000"/>
              </w:rPr>
              <w:t>3、贮存/处置周遍至少应设置三口地下水水质监测井。一口沿地下水流向设在上游；第二口设在下游；第三口设在最可能出现扩散影响的部位。</w:t>
            </w:r>
          </w:p>
        </w:tc>
      </w:tr>
    </w:tbl>
    <w:p>
      <w:pPr>
        <w:pStyle w:val="4"/>
        <w:rPr>
          <w:rFonts w:ascii="Times New Roman" w:hAnsi="Times New Roman" w:eastAsia="宋体"/>
        </w:rPr>
      </w:pPr>
      <w:bookmarkStart w:id="72" w:name="_Toc12191"/>
      <w:bookmarkStart w:id="73" w:name="_Toc14739"/>
      <w:bookmarkStart w:id="74" w:name="_Toc742"/>
      <w:r>
        <w:rPr>
          <w:rFonts w:ascii="Times New Roman" w:hAnsi="Times New Roman" w:eastAsia="宋体"/>
        </w:rPr>
        <w:t>2.3评价工作等级和评价范围</w:t>
      </w:r>
      <w:bookmarkEnd w:id="72"/>
      <w:bookmarkEnd w:id="73"/>
      <w:bookmarkEnd w:id="74"/>
    </w:p>
    <w:p>
      <w:pPr>
        <w:spacing w:line="360" w:lineRule="auto"/>
        <w:ind w:firstLine="480" w:firstLineChars="200"/>
        <w:rPr>
          <w:rFonts w:ascii="Times New Roman" w:hAnsi="Times New Roman"/>
          <w:sz w:val="24"/>
          <w:szCs w:val="24"/>
        </w:rPr>
      </w:pPr>
      <w:r>
        <w:rPr>
          <w:rFonts w:ascii="Times New Roman" w:hAnsi="Times New Roman"/>
          <w:sz w:val="24"/>
          <w:szCs w:val="24"/>
        </w:rPr>
        <w:t>依据“环境影响评价导则”中评价级别判定方法，确定各环境要素的评价级别及评价范围，本项目大气、噪声、风险评价范围详见附图4，地下水评价范围详见附图5，生态评价范围详见附图11。</w:t>
      </w:r>
    </w:p>
    <w:p>
      <w:pPr>
        <w:pStyle w:val="5"/>
        <w:spacing w:before="0" w:after="0" w:line="360" w:lineRule="auto"/>
        <w:rPr>
          <w:sz w:val="24"/>
        </w:rPr>
      </w:pPr>
      <w:bookmarkStart w:id="75" w:name="_Toc1488"/>
      <w:bookmarkStart w:id="76" w:name="_Toc32135"/>
      <w:bookmarkStart w:id="77" w:name="_Toc27699"/>
      <w:r>
        <w:rPr>
          <w:sz w:val="24"/>
          <w:szCs w:val="24"/>
        </w:rPr>
        <w:t>2.3.1环境空气</w:t>
      </w:r>
      <w:bookmarkEnd w:id="75"/>
      <w:bookmarkEnd w:id="76"/>
      <w:bookmarkEnd w:id="77"/>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根据HJ2.2-2018《环境影响评价技术导则（大气环境）》规定，选择推荐模式中的估算模式（AERSCREEN）对项目的大气环境评价工作进行</w:t>
      </w:r>
      <w:r>
        <w:rPr>
          <w:rFonts w:hint="eastAsia" w:ascii="Times New Roman" w:hAnsi="Times New Roman"/>
          <w:sz w:val="24"/>
        </w:rPr>
        <w:t>等级判定</w:t>
      </w:r>
      <w:r>
        <w:rPr>
          <w:rFonts w:ascii="Times New Roman" w:hAnsi="Times New Roman"/>
          <w:sz w:val="24"/>
        </w:rPr>
        <w:t>。结合项目的初步工程分析结果，选择正常排放情况下的主要污染物及排放参数，采用估算模式计算各污染物的P</w:t>
      </w:r>
      <w:r>
        <w:rPr>
          <w:rFonts w:ascii="Times New Roman" w:hAnsi="Times New Roman"/>
          <w:sz w:val="24"/>
          <w:vertAlign w:val="subscript"/>
        </w:rPr>
        <w:t>max</w:t>
      </w:r>
      <w:r>
        <w:rPr>
          <w:rFonts w:ascii="Times New Roman" w:hAnsi="Times New Roman"/>
          <w:sz w:val="24"/>
        </w:rPr>
        <w:t>（最大地面浓度占标率）和D</w:t>
      </w:r>
      <w:r>
        <w:rPr>
          <w:rFonts w:ascii="Times New Roman" w:hAnsi="Times New Roman"/>
          <w:sz w:val="24"/>
          <w:vertAlign w:val="subscript"/>
        </w:rPr>
        <w:t>10%</w:t>
      </w:r>
      <w:r>
        <w:rPr>
          <w:rFonts w:ascii="Times New Roman" w:hAnsi="Times New Roman"/>
          <w:sz w:val="24"/>
        </w:rPr>
        <w:t>(第i种污染物的地面浓度达标准限值10%时所对应的最远距离），其中P</w:t>
      </w:r>
      <w:r>
        <w:rPr>
          <w:rFonts w:ascii="Times New Roman" w:hAnsi="Times New Roman"/>
          <w:sz w:val="24"/>
          <w:vertAlign w:val="subscript"/>
        </w:rPr>
        <w:t>max</w:t>
      </w:r>
      <w:r>
        <w:rPr>
          <w:rFonts w:ascii="Times New Roman" w:hAnsi="Times New Roman"/>
          <w:sz w:val="24"/>
        </w:rPr>
        <w:t>（又可表示为P</w:t>
      </w:r>
      <w:r>
        <w:rPr>
          <w:rFonts w:ascii="Times New Roman" w:hAnsi="Times New Roman"/>
          <w:sz w:val="24"/>
          <w:vertAlign w:val="subscript"/>
        </w:rPr>
        <w:t>i</w:t>
      </w:r>
      <w:r>
        <w:rPr>
          <w:rFonts w:ascii="Times New Roman" w:hAnsi="Times New Roman"/>
          <w:sz w:val="24"/>
        </w:rPr>
        <w:t>）定义为：</w:t>
      </w:r>
    </w:p>
    <w:p>
      <w:pPr>
        <w:spacing w:line="360" w:lineRule="auto"/>
        <w:ind w:firstLine="3600" w:firstLineChars="1500"/>
        <w:rPr>
          <w:rFonts w:ascii="Times New Roman" w:hAnsi="Times New Roman"/>
          <w:sz w:val="24"/>
        </w:rPr>
      </w:pPr>
      <w:r>
        <w:rPr>
          <w:rFonts w:ascii="Times New Roman" w:hAnsi="Times New Roman"/>
          <w:snapToGrid w:val="0"/>
          <w:position w:val="-30"/>
          <w:sz w:val="24"/>
        </w:rPr>
        <w:object>
          <v:shape id="_x0000_i1025" o:spt="75" type="#_x0000_t75" style="height:36.7pt;width:86.95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p>
    <w:p>
      <w:pPr>
        <w:adjustRightInd w:val="0"/>
        <w:snapToGrid w:val="0"/>
        <w:spacing w:line="360" w:lineRule="auto"/>
        <w:ind w:firstLine="480"/>
        <w:rPr>
          <w:rFonts w:ascii="Times New Roman" w:hAnsi="Times New Roman"/>
          <w:sz w:val="24"/>
        </w:rPr>
      </w:pPr>
      <w:r>
        <w:rPr>
          <w:rFonts w:ascii="Times New Roman" w:hAnsi="Times New Roman"/>
          <w:sz w:val="24"/>
        </w:rPr>
        <w:t>式中：</w:t>
      </w:r>
    </w:p>
    <w:p>
      <w:pPr>
        <w:adjustRightInd w:val="0"/>
        <w:snapToGrid w:val="0"/>
        <w:spacing w:line="360" w:lineRule="auto"/>
        <w:ind w:firstLine="480" w:firstLineChars="200"/>
        <w:outlineLvl w:val="0"/>
        <w:rPr>
          <w:rFonts w:ascii="Times New Roman" w:hAnsi="Times New Roman"/>
          <w:sz w:val="24"/>
        </w:rPr>
      </w:pPr>
      <w:r>
        <w:rPr>
          <w:rFonts w:ascii="Times New Roman" w:hAnsi="Times New Roman"/>
          <w:sz w:val="24"/>
        </w:rPr>
        <w:t>P</w:t>
      </w:r>
      <w:r>
        <w:rPr>
          <w:rFonts w:ascii="Times New Roman" w:hAnsi="Times New Roman"/>
          <w:sz w:val="24"/>
          <w:vertAlign w:val="subscript"/>
        </w:rPr>
        <w:t>i</w:t>
      </w:r>
      <w:r>
        <w:rPr>
          <w:rFonts w:ascii="Times New Roman" w:hAnsi="Times New Roman"/>
          <w:sz w:val="24"/>
        </w:rPr>
        <w:t>——第i个污染物的最大地面浓度占标率，%；</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C</w:t>
      </w:r>
      <w:r>
        <w:rPr>
          <w:rFonts w:ascii="Times New Roman" w:hAnsi="Times New Roman"/>
          <w:sz w:val="24"/>
          <w:vertAlign w:val="subscript"/>
        </w:rPr>
        <w:t>i</w:t>
      </w:r>
      <w:r>
        <w:rPr>
          <w:rFonts w:ascii="Times New Roman" w:hAnsi="Times New Roman"/>
          <w:sz w:val="24"/>
        </w:rPr>
        <w:t>——采用估算模式计算出的第i个污染物的最大</w:t>
      </w:r>
      <w:r>
        <w:rPr>
          <w:rFonts w:hint="eastAsia" w:ascii="Times New Roman" w:hAnsi="Times New Roman"/>
          <w:sz w:val="24"/>
        </w:rPr>
        <w:t>1h</w:t>
      </w:r>
      <w:r>
        <w:rPr>
          <w:rFonts w:ascii="Times New Roman" w:hAnsi="Times New Roman"/>
          <w:sz w:val="24"/>
        </w:rPr>
        <w:t>地面</w:t>
      </w:r>
      <w:r>
        <w:rPr>
          <w:rFonts w:hint="eastAsia" w:ascii="Times New Roman" w:hAnsi="Times New Roman"/>
          <w:sz w:val="24"/>
        </w:rPr>
        <w:t>空气质量</w:t>
      </w:r>
      <w:r>
        <w:rPr>
          <w:rFonts w:ascii="Times New Roman" w:hAnsi="Times New Roman"/>
          <w:sz w:val="24"/>
        </w:rPr>
        <w:t>浓度，mg/m</w:t>
      </w:r>
      <w:r>
        <w:rPr>
          <w:rFonts w:ascii="Times New Roman" w:hAnsi="Times New Roman"/>
          <w:sz w:val="24"/>
          <w:vertAlign w:val="superscript"/>
        </w:rPr>
        <w:t>3</w:t>
      </w:r>
      <w:r>
        <w:rPr>
          <w:rFonts w:ascii="Times New Roman" w:hAnsi="Times New Roman"/>
          <w:sz w:val="24"/>
        </w:rPr>
        <w:t>；</w:t>
      </w:r>
    </w:p>
    <w:p>
      <w:pPr>
        <w:adjustRightInd w:val="0"/>
        <w:snapToGrid w:val="0"/>
        <w:spacing w:line="360" w:lineRule="auto"/>
        <w:ind w:firstLine="480" w:firstLineChars="200"/>
        <w:outlineLvl w:val="0"/>
        <w:rPr>
          <w:rFonts w:ascii="Times New Roman" w:hAnsi="Times New Roman"/>
          <w:sz w:val="24"/>
        </w:rPr>
      </w:pPr>
      <w:r>
        <w:rPr>
          <w:rFonts w:ascii="Times New Roman" w:hAnsi="Times New Roman"/>
          <w:sz w:val="24"/>
        </w:rPr>
        <w:t>C</w:t>
      </w:r>
      <w:r>
        <w:rPr>
          <w:rFonts w:ascii="Times New Roman" w:hAnsi="Times New Roman"/>
          <w:sz w:val="24"/>
          <w:vertAlign w:val="subscript"/>
        </w:rPr>
        <w:t>oi</w:t>
      </w:r>
      <w:r>
        <w:rPr>
          <w:rFonts w:ascii="Times New Roman" w:hAnsi="Times New Roman"/>
          <w:sz w:val="24"/>
        </w:rPr>
        <w:t>——第i个污染物的环境空气质量</w:t>
      </w:r>
      <w:r>
        <w:rPr>
          <w:rFonts w:hint="eastAsia" w:ascii="Times New Roman" w:hAnsi="Times New Roman"/>
          <w:sz w:val="24"/>
        </w:rPr>
        <w:t>浓度</w:t>
      </w:r>
      <w:r>
        <w:rPr>
          <w:rFonts w:ascii="Times New Roman" w:hAnsi="Times New Roman"/>
          <w:sz w:val="24"/>
        </w:rPr>
        <w:t>标准，mg/m</w:t>
      </w:r>
      <w:r>
        <w:rPr>
          <w:rFonts w:ascii="Times New Roman" w:hAnsi="Times New Roman"/>
          <w:sz w:val="24"/>
          <w:vertAlign w:val="superscript"/>
        </w:rPr>
        <w:t>3</w:t>
      </w:r>
      <w:r>
        <w:rPr>
          <w:rFonts w:ascii="Times New Roman" w:hAnsi="Times New Roman"/>
          <w:sz w:val="24"/>
        </w:rPr>
        <w:t>；</w:t>
      </w:r>
    </w:p>
    <w:p>
      <w:pPr>
        <w:adjustRightInd w:val="0"/>
        <w:snapToGrid w:val="0"/>
        <w:spacing w:line="360" w:lineRule="auto"/>
        <w:ind w:firstLine="480"/>
        <w:rPr>
          <w:rFonts w:ascii="Times New Roman" w:hAnsi="Times New Roman"/>
          <w:sz w:val="24"/>
        </w:rPr>
      </w:pPr>
      <w:r>
        <w:rPr>
          <w:rFonts w:ascii="Times New Roman" w:hAnsi="Times New Roman"/>
          <w:sz w:val="24"/>
        </w:rPr>
        <w:t>然后按评价工作分级判据进行分级，详见</w:t>
      </w:r>
      <w:r>
        <w:rPr>
          <w:rFonts w:hint="eastAsia" w:ascii="Times New Roman" w:hAnsi="Times New Roman"/>
          <w:sz w:val="24"/>
        </w:rPr>
        <w:t>下表</w:t>
      </w:r>
      <w:r>
        <w:rPr>
          <w:rFonts w:ascii="Times New Roman" w:hAnsi="Times New Roman"/>
          <w:sz w:val="24"/>
        </w:rPr>
        <w:t>。</w:t>
      </w:r>
    </w:p>
    <w:p>
      <w:pPr>
        <w:pStyle w:val="76"/>
        <w:jc w:val="center"/>
        <w:rPr>
          <w:b/>
          <w:color w:val="000000"/>
          <w:sz w:val="24"/>
        </w:rPr>
      </w:pPr>
      <w:r>
        <w:rPr>
          <w:b/>
          <w:color w:val="000000"/>
          <w:sz w:val="24"/>
        </w:rPr>
        <w:t>表2-</w:t>
      </w:r>
      <w:r>
        <w:rPr>
          <w:rFonts w:hint="eastAsia"/>
          <w:b/>
          <w:color w:val="000000"/>
          <w:sz w:val="24"/>
        </w:rPr>
        <w:t>12</w:t>
      </w:r>
      <w:r>
        <w:rPr>
          <w:b/>
          <w:color w:val="000000"/>
          <w:sz w:val="24"/>
        </w:rPr>
        <w:t xml:space="preserve"> 大气评价工作等级判据</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6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167" w:type="dxa"/>
            <w:tcBorders>
              <w:top w:val="single" w:color="auto" w:sz="12" w:space="0"/>
              <w:lef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评价工作等级</w:t>
            </w:r>
          </w:p>
        </w:tc>
        <w:tc>
          <w:tcPr>
            <w:tcW w:w="6393" w:type="dxa"/>
            <w:tcBorders>
              <w:top w:val="single" w:color="auto" w:sz="12" w:space="0"/>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167" w:type="dxa"/>
            <w:tcBorders>
              <w:lef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一级</w:t>
            </w:r>
          </w:p>
        </w:tc>
        <w:tc>
          <w:tcPr>
            <w:tcW w:w="6393" w:type="dxa"/>
            <w:tcBorders>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P</w:t>
            </w:r>
            <w:r>
              <w:rPr>
                <w:rFonts w:ascii="Times New Roman" w:hAnsi="Times New Roman"/>
                <w:kern w:val="0"/>
                <w:szCs w:val="21"/>
                <w:vertAlign w:val="subscript"/>
              </w:rPr>
              <w:t>max</w:t>
            </w:r>
            <w:r>
              <w:rPr>
                <w:rFonts w:hint="eastAsia" w:ascii="Times New Roman" w:hAnsi="Times New Roman"/>
                <w:kern w:val="0"/>
                <w:szCs w:val="21"/>
              </w:rPr>
              <w:t>≥10</w:t>
            </w:r>
            <w:r>
              <w:rPr>
                <w:rFonts w:ascii="Times New Roman" w:hAnsi="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167" w:type="dxa"/>
            <w:tcBorders>
              <w:lef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二级</w:t>
            </w:r>
          </w:p>
        </w:tc>
        <w:tc>
          <w:tcPr>
            <w:tcW w:w="6393" w:type="dxa"/>
            <w:tcBorders>
              <w:right w:val="nil"/>
            </w:tcBorders>
            <w:vAlign w:val="center"/>
          </w:tcPr>
          <w:p>
            <w:pPr>
              <w:autoSpaceDE w:val="0"/>
              <w:autoSpaceDN w:val="0"/>
              <w:adjustRightInd w:val="0"/>
              <w:jc w:val="center"/>
              <w:rPr>
                <w:rFonts w:ascii="Times New Roman" w:hAnsi="Times New Roman"/>
                <w:kern w:val="0"/>
                <w:szCs w:val="21"/>
              </w:rPr>
            </w:pPr>
            <w:r>
              <w:rPr>
                <w:rFonts w:hint="eastAsia" w:ascii="Times New Roman" w:hAnsi="Times New Roman"/>
                <w:kern w:val="0"/>
                <w:szCs w:val="21"/>
              </w:rPr>
              <w:t>1%≤</w:t>
            </w:r>
            <w:r>
              <w:rPr>
                <w:rFonts w:ascii="Times New Roman" w:hAnsi="Times New Roman"/>
                <w:kern w:val="0"/>
                <w:szCs w:val="21"/>
              </w:rPr>
              <w:t>P</w:t>
            </w:r>
            <w:r>
              <w:rPr>
                <w:rFonts w:ascii="Times New Roman" w:hAnsi="Times New Roman"/>
                <w:kern w:val="0"/>
                <w:szCs w:val="21"/>
                <w:vertAlign w:val="subscript"/>
              </w:rPr>
              <w:t>max</w:t>
            </w:r>
            <w:r>
              <w:rPr>
                <w:rFonts w:ascii="Times New Roman" w:hAnsi="Times New Roman"/>
                <w:kern w:val="0"/>
                <w:szCs w:val="21"/>
              </w:rPr>
              <w:t>＜</w:t>
            </w:r>
            <w:r>
              <w:rPr>
                <w:rFonts w:hint="eastAsia" w:ascii="Times New Roman" w:hAnsi="Times New Roman"/>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67" w:type="dxa"/>
            <w:tcBorders>
              <w:left w:val="nil"/>
              <w:bottom w:val="single" w:color="auto" w:sz="12" w:space="0"/>
            </w:tcBorders>
            <w:vAlign w:val="center"/>
          </w:tcPr>
          <w:p>
            <w:pPr>
              <w:jc w:val="center"/>
              <w:rPr>
                <w:rFonts w:ascii="Times New Roman" w:hAnsi="Times New Roman"/>
                <w:kern w:val="0"/>
                <w:szCs w:val="21"/>
              </w:rPr>
            </w:pPr>
            <w:r>
              <w:rPr>
                <w:rFonts w:ascii="Times New Roman" w:hAnsi="Times New Roman"/>
                <w:kern w:val="0"/>
                <w:szCs w:val="21"/>
              </w:rPr>
              <w:t>三级</w:t>
            </w:r>
          </w:p>
        </w:tc>
        <w:tc>
          <w:tcPr>
            <w:tcW w:w="6393" w:type="dxa"/>
            <w:tcBorders>
              <w:bottom w:val="single" w:color="auto" w:sz="12" w:space="0"/>
              <w:right w:val="nil"/>
            </w:tcBorders>
            <w:vAlign w:val="center"/>
          </w:tcPr>
          <w:p>
            <w:pPr>
              <w:jc w:val="center"/>
              <w:rPr>
                <w:rFonts w:ascii="Times New Roman" w:hAnsi="Times New Roman"/>
                <w:kern w:val="0"/>
                <w:szCs w:val="21"/>
              </w:rPr>
            </w:pPr>
            <w:r>
              <w:rPr>
                <w:rFonts w:ascii="Times New Roman" w:hAnsi="Times New Roman"/>
                <w:kern w:val="0"/>
                <w:szCs w:val="21"/>
              </w:rPr>
              <w:t>P</w:t>
            </w:r>
            <w:r>
              <w:rPr>
                <w:rFonts w:ascii="Times New Roman" w:hAnsi="Times New Roman"/>
                <w:kern w:val="0"/>
                <w:szCs w:val="21"/>
                <w:vertAlign w:val="subscript"/>
              </w:rPr>
              <w:t>max</w:t>
            </w:r>
            <w:r>
              <w:rPr>
                <w:rFonts w:ascii="Times New Roman" w:hAnsi="Times New Roman"/>
                <w:kern w:val="0"/>
                <w:szCs w:val="21"/>
              </w:rPr>
              <w:t>＜</w:t>
            </w:r>
            <w:r>
              <w:rPr>
                <w:rFonts w:hint="eastAsia" w:ascii="Times New Roman" w:hAnsi="Times New Roman"/>
                <w:kern w:val="0"/>
                <w:szCs w:val="21"/>
              </w:rPr>
              <w:t>1%</w:t>
            </w:r>
          </w:p>
        </w:tc>
      </w:tr>
    </w:tbl>
    <w:p>
      <w:pPr>
        <w:spacing w:line="360" w:lineRule="auto"/>
        <w:ind w:firstLine="480" w:firstLineChars="200"/>
        <w:rPr>
          <w:rFonts w:ascii="Times New Roman" w:hAnsi="Times New Roman"/>
          <w:sz w:val="24"/>
          <w:szCs w:val="24"/>
        </w:rPr>
      </w:pPr>
      <w:r>
        <w:rPr>
          <w:rFonts w:ascii="Times New Roman" w:hAnsi="Times New Roman"/>
          <w:snapToGrid w:val="0"/>
          <w:sz w:val="24"/>
        </w:rPr>
        <w:t>根据导则推荐估算模式，计算本项目大气污染物C</w:t>
      </w:r>
      <w:r>
        <w:rPr>
          <w:rFonts w:ascii="Times New Roman" w:hAnsi="Times New Roman"/>
          <w:snapToGrid w:val="0"/>
          <w:sz w:val="24"/>
          <w:vertAlign w:val="subscript"/>
        </w:rPr>
        <w:t>i</w:t>
      </w:r>
      <w:r>
        <w:rPr>
          <w:rFonts w:ascii="Times New Roman" w:hAnsi="Times New Roman"/>
          <w:snapToGrid w:val="0"/>
          <w:sz w:val="24"/>
        </w:rPr>
        <w:t>、P</w:t>
      </w:r>
      <w:r>
        <w:rPr>
          <w:rFonts w:ascii="Times New Roman" w:hAnsi="Times New Roman"/>
          <w:snapToGrid w:val="0"/>
          <w:sz w:val="24"/>
          <w:vertAlign w:val="subscript"/>
        </w:rPr>
        <w:t>i</w:t>
      </w:r>
      <w:r>
        <w:rPr>
          <w:rFonts w:ascii="Times New Roman" w:hAnsi="Times New Roman"/>
          <w:snapToGrid w:val="0"/>
          <w:sz w:val="24"/>
        </w:rPr>
        <w:t>、或D</w:t>
      </w:r>
      <w:r>
        <w:rPr>
          <w:rFonts w:ascii="Times New Roman" w:hAnsi="Times New Roman"/>
          <w:snapToGrid w:val="0"/>
          <w:sz w:val="24"/>
          <w:vertAlign w:val="subscript"/>
        </w:rPr>
        <w:t>10%</w:t>
      </w:r>
      <w:r>
        <w:rPr>
          <w:rFonts w:ascii="Times New Roman" w:hAnsi="Times New Roman"/>
          <w:snapToGrid w:val="0"/>
          <w:sz w:val="24"/>
        </w:rPr>
        <w:t>值详见</w:t>
      </w:r>
      <w:r>
        <w:rPr>
          <w:rFonts w:hint="eastAsia" w:ascii="Times New Roman" w:hAnsi="Times New Roman"/>
          <w:snapToGrid w:val="0"/>
          <w:sz w:val="24"/>
        </w:rPr>
        <w:t>下表</w:t>
      </w:r>
      <w:r>
        <w:rPr>
          <w:rFonts w:ascii="Times New Roman" w:hAnsi="Times New Roman"/>
          <w:snapToGrid w:val="0"/>
          <w:sz w:val="24"/>
        </w:rPr>
        <w:t>。</w:t>
      </w:r>
    </w:p>
    <w:p>
      <w:pPr>
        <w:pStyle w:val="76"/>
        <w:jc w:val="center"/>
        <w:rPr>
          <w:b/>
          <w:color w:val="000000"/>
          <w:sz w:val="24"/>
        </w:rPr>
      </w:pPr>
      <w:r>
        <w:rPr>
          <w:b/>
          <w:color w:val="000000"/>
          <w:sz w:val="24"/>
        </w:rPr>
        <w:t>表2-1</w:t>
      </w:r>
      <w:r>
        <w:rPr>
          <w:rFonts w:hint="eastAsia"/>
          <w:b/>
          <w:color w:val="000000"/>
          <w:sz w:val="24"/>
        </w:rPr>
        <w:t>3</w:t>
      </w:r>
      <w:r>
        <w:rPr>
          <w:b/>
          <w:color w:val="000000"/>
          <w:sz w:val="24"/>
        </w:rPr>
        <w:t xml:space="preserve"> 本项目大气污染物最大地面浓度占标率</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07"/>
        <w:gridCol w:w="2047"/>
        <w:gridCol w:w="2049"/>
        <w:gridCol w:w="23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2307" w:type="dxa"/>
          </w:tcPr>
          <w:p>
            <w:pPr>
              <w:jc w:val="center"/>
              <w:rPr>
                <w:rFonts w:ascii="Times New Roman" w:hAnsi="Times New Roman"/>
                <w:color w:val="000000"/>
                <w:szCs w:val="21"/>
              </w:rPr>
            </w:pPr>
            <w:r>
              <w:rPr>
                <w:rFonts w:ascii="Times New Roman" w:hAnsi="Times New Roman"/>
                <w:color w:val="000000"/>
                <w:szCs w:val="21"/>
              </w:rPr>
              <w:t>污染源</w:t>
            </w:r>
          </w:p>
        </w:tc>
        <w:tc>
          <w:tcPr>
            <w:tcW w:w="2047" w:type="dxa"/>
          </w:tcPr>
          <w:p>
            <w:pPr>
              <w:jc w:val="center"/>
              <w:rPr>
                <w:rFonts w:ascii="Times New Roman" w:hAnsi="Times New Roman"/>
                <w:color w:val="000000"/>
                <w:szCs w:val="21"/>
              </w:rPr>
            </w:pPr>
            <w:r>
              <w:rPr>
                <w:rFonts w:ascii="Times New Roman" w:hAnsi="Times New Roman"/>
                <w:color w:val="000000"/>
                <w:szCs w:val="21"/>
              </w:rPr>
              <w:t>污染物</w:t>
            </w:r>
          </w:p>
        </w:tc>
        <w:tc>
          <w:tcPr>
            <w:tcW w:w="2049" w:type="dxa"/>
          </w:tcPr>
          <w:p>
            <w:pPr>
              <w:jc w:val="center"/>
              <w:rPr>
                <w:rFonts w:ascii="Times New Roman" w:hAnsi="Times New Roman"/>
                <w:color w:val="000000"/>
                <w:szCs w:val="21"/>
              </w:rPr>
            </w:pPr>
            <w:r>
              <w:rPr>
                <w:rFonts w:ascii="Times New Roman" w:hAnsi="Times New Roman"/>
                <w:color w:val="000000"/>
                <w:szCs w:val="21"/>
              </w:rPr>
              <w:t>浓度占标率（%）</w:t>
            </w:r>
          </w:p>
        </w:tc>
        <w:tc>
          <w:tcPr>
            <w:tcW w:w="2397" w:type="dxa"/>
          </w:tcPr>
          <w:p>
            <w:pPr>
              <w:jc w:val="center"/>
              <w:rPr>
                <w:rFonts w:ascii="Times New Roman" w:hAnsi="Times New Roman"/>
                <w:color w:val="000000"/>
                <w:szCs w:val="21"/>
              </w:rPr>
            </w:pPr>
            <w:r>
              <w:rPr>
                <w:rFonts w:ascii="Times New Roman" w:hAnsi="Times New Roman"/>
                <w:color w:val="000000"/>
                <w:szCs w:val="21"/>
              </w:rPr>
              <w:t>Pi</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2307" w:type="dxa"/>
            <w:vAlign w:val="center"/>
          </w:tcPr>
          <w:p>
            <w:pPr>
              <w:jc w:val="center"/>
              <w:rPr>
                <w:rFonts w:ascii="Times New Roman" w:hAnsi="Times New Roman"/>
                <w:color w:val="000000"/>
              </w:rPr>
            </w:pPr>
            <w:r>
              <w:rPr>
                <w:rFonts w:hint="eastAsia" w:ascii="Times New Roman" w:hAnsi="Times New Roman"/>
                <w:color w:val="000000"/>
              </w:rPr>
              <w:t>厂区内无组织粉尘</w:t>
            </w:r>
          </w:p>
        </w:tc>
        <w:tc>
          <w:tcPr>
            <w:tcW w:w="2047" w:type="dxa"/>
            <w:vAlign w:val="center"/>
          </w:tcPr>
          <w:p>
            <w:pPr>
              <w:jc w:val="center"/>
              <w:rPr>
                <w:rFonts w:ascii="Times New Roman" w:hAnsi="Times New Roman"/>
                <w:b/>
                <w:color w:val="000000"/>
              </w:rPr>
            </w:pPr>
            <w:r>
              <w:rPr>
                <w:rFonts w:ascii="Times New Roman" w:hAnsi="Times New Roman"/>
                <w:color w:val="000000"/>
              </w:rPr>
              <w:t>TSP</w:t>
            </w:r>
          </w:p>
        </w:tc>
        <w:tc>
          <w:tcPr>
            <w:tcW w:w="2049" w:type="dxa"/>
          </w:tcPr>
          <w:p>
            <w:pPr>
              <w:jc w:val="center"/>
              <w:rPr>
                <w:rFonts w:ascii="Times New Roman" w:hAnsi="Times New Roman"/>
                <w:color w:val="000000"/>
              </w:rPr>
            </w:pPr>
            <w:r>
              <w:rPr>
                <w:rFonts w:hint="eastAsia" w:ascii="Times New Roman" w:hAnsi="Times New Roman"/>
                <w:color w:val="000000"/>
              </w:rPr>
              <w:t>0.2</w:t>
            </w:r>
          </w:p>
        </w:tc>
        <w:tc>
          <w:tcPr>
            <w:tcW w:w="2397" w:type="dxa"/>
          </w:tcPr>
          <w:p>
            <w:pPr>
              <w:jc w:val="center"/>
              <w:rPr>
                <w:rFonts w:ascii="Times New Roman" w:hAnsi="Times New Roman"/>
                <w:color w:val="000000"/>
              </w:rPr>
            </w:pPr>
            <w:r>
              <w:rPr>
                <w:rFonts w:ascii="Times New Roman" w:hAnsi="Times New Roman"/>
                <w:color w:val="000000"/>
              </w:rPr>
              <w:t>＜1%</w:t>
            </w:r>
          </w:p>
        </w:tc>
      </w:tr>
    </w:tbl>
    <w:p>
      <w:pPr>
        <w:spacing w:beforeLines="50" w:line="360" w:lineRule="auto"/>
        <w:ind w:firstLine="480" w:firstLineChars="200"/>
        <w:rPr>
          <w:rFonts w:ascii="Times New Roman" w:hAnsi="Times New Roman"/>
          <w:snapToGrid w:val="0"/>
          <w:color w:val="000000"/>
          <w:sz w:val="24"/>
        </w:rPr>
      </w:pPr>
      <w:r>
        <w:rPr>
          <w:rFonts w:ascii="Times New Roman" w:hAnsi="Times New Roman"/>
          <w:snapToGrid w:val="0"/>
          <w:color w:val="000000"/>
          <w:sz w:val="24"/>
        </w:rPr>
        <w:t>由</w:t>
      </w:r>
      <w:r>
        <w:rPr>
          <w:rFonts w:hint="eastAsia" w:ascii="Times New Roman" w:hAnsi="Times New Roman"/>
          <w:snapToGrid w:val="0"/>
          <w:color w:val="000000"/>
          <w:sz w:val="24"/>
        </w:rPr>
        <w:t>上表</w:t>
      </w:r>
      <w:r>
        <w:rPr>
          <w:rFonts w:ascii="Times New Roman" w:hAnsi="Times New Roman"/>
          <w:snapToGrid w:val="0"/>
          <w:color w:val="000000"/>
          <w:sz w:val="24"/>
        </w:rPr>
        <w:t>可知，</w:t>
      </w:r>
      <w:r>
        <w:rPr>
          <w:rFonts w:hint="eastAsia" w:ascii="Times New Roman" w:hAnsi="Times New Roman"/>
          <w:snapToGrid w:val="0"/>
          <w:color w:val="000000"/>
          <w:sz w:val="24"/>
        </w:rPr>
        <w:t>本项目建成后废气主要污染源为厂界无组织粉尘，主要包括尾矿库扬尘及胶带运输粉尘，根据大气估算模式预测结果可以得出，正常排放情况下，尾矿库扬尘的</w:t>
      </w:r>
      <w:r>
        <w:rPr>
          <w:rFonts w:ascii="Times New Roman" w:hAnsi="Times New Roman"/>
          <w:snapToGrid w:val="0"/>
          <w:color w:val="000000"/>
          <w:sz w:val="24"/>
        </w:rPr>
        <w:t>最大地面浓度占标率为P</w:t>
      </w:r>
      <w:r>
        <w:rPr>
          <w:rFonts w:ascii="Times New Roman" w:hAnsi="Times New Roman"/>
          <w:snapToGrid w:val="0"/>
          <w:color w:val="000000"/>
          <w:sz w:val="24"/>
          <w:vertAlign w:val="subscript"/>
        </w:rPr>
        <w:t>TSP</w:t>
      </w:r>
      <w:r>
        <w:rPr>
          <w:rFonts w:hint="eastAsia" w:ascii="Times New Roman" w:hAnsi="Times New Roman"/>
          <w:snapToGrid w:val="0"/>
          <w:color w:val="000000"/>
          <w:sz w:val="24"/>
        </w:rPr>
        <w:t>=0.2</w:t>
      </w:r>
      <w:r>
        <w:rPr>
          <w:rFonts w:ascii="Times New Roman" w:hAnsi="Times New Roman"/>
          <w:snapToGrid w:val="0"/>
          <w:color w:val="000000"/>
          <w:sz w:val="24"/>
        </w:rPr>
        <w:t>＜</w:t>
      </w:r>
      <w:r>
        <w:rPr>
          <w:rFonts w:hint="eastAsia" w:ascii="Times New Roman" w:hAnsi="Times New Roman"/>
          <w:snapToGrid w:val="0"/>
          <w:color w:val="000000"/>
          <w:sz w:val="24"/>
        </w:rPr>
        <w:t>1</w:t>
      </w:r>
      <w:r>
        <w:rPr>
          <w:rFonts w:ascii="Times New Roman" w:hAnsi="Times New Roman"/>
          <w:snapToGrid w:val="0"/>
          <w:color w:val="000000"/>
          <w:sz w:val="24"/>
        </w:rPr>
        <w:t>%，</w:t>
      </w:r>
      <w:r>
        <w:rPr>
          <w:rFonts w:hint="eastAsia" w:ascii="Times New Roman" w:hAnsi="Times New Roman"/>
          <w:snapToGrid w:val="0"/>
          <w:color w:val="000000"/>
          <w:sz w:val="24"/>
        </w:rPr>
        <w:t>根据大气评价工作等级划分依据，</w:t>
      </w:r>
      <w:r>
        <w:rPr>
          <w:rFonts w:ascii="Times New Roman" w:hAnsi="Times New Roman"/>
          <w:snapToGrid w:val="0"/>
          <w:color w:val="000000"/>
          <w:sz w:val="24"/>
        </w:rPr>
        <w:t>确定本次大气评价工作等级为三级。</w:t>
      </w:r>
    </w:p>
    <w:p>
      <w:pPr>
        <w:spacing w:line="360" w:lineRule="auto"/>
        <w:ind w:firstLine="480" w:firstLineChars="200"/>
        <w:rPr>
          <w:rFonts w:ascii="Times New Roman" w:hAnsi="Times New Roman"/>
          <w:snapToGrid w:val="0"/>
          <w:sz w:val="24"/>
        </w:rPr>
      </w:pPr>
      <w:r>
        <w:rPr>
          <w:rFonts w:hint="eastAsia" w:ascii="Times New Roman" w:hAnsi="Times New Roman"/>
          <w:snapToGrid w:val="0"/>
          <w:sz w:val="24"/>
        </w:rPr>
        <w:t>3、评价范围</w:t>
      </w:r>
    </w:p>
    <w:p>
      <w:pPr>
        <w:spacing w:line="360" w:lineRule="auto"/>
        <w:ind w:firstLine="480" w:firstLineChars="200"/>
        <w:rPr>
          <w:rFonts w:ascii="Times New Roman" w:hAnsi="Times New Roman"/>
          <w:sz w:val="24"/>
        </w:rPr>
      </w:pPr>
      <w:r>
        <w:rPr>
          <w:rFonts w:ascii="Times New Roman" w:hAnsi="Times New Roman"/>
          <w:sz w:val="24"/>
        </w:rPr>
        <w:t>本项目环境空气</w:t>
      </w:r>
      <w:r>
        <w:rPr>
          <w:rFonts w:hint="eastAsia" w:ascii="Times New Roman" w:hAnsi="Times New Roman"/>
          <w:sz w:val="24"/>
        </w:rPr>
        <w:t>无需设置环境空气评价范围</w:t>
      </w:r>
      <w:r>
        <w:rPr>
          <w:rFonts w:ascii="Times New Roman" w:hAnsi="Times New Roman"/>
          <w:sz w:val="24"/>
        </w:rPr>
        <w:t>。</w:t>
      </w:r>
    </w:p>
    <w:p>
      <w:pPr>
        <w:pStyle w:val="5"/>
        <w:spacing w:before="0" w:after="0" w:line="360" w:lineRule="auto"/>
        <w:rPr>
          <w:sz w:val="24"/>
          <w:szCs w:val="24"/>
        </w:rPr>
      </w:pPr>
      <w:bookmarkStart w:id="78" w:name="_Toc14528"/>
      <w:bookmarkStart w:id="79" w:name="_Toc10764"/>
      <w:bookmarkStart w:id="80" w:name="_Toc20306"/>
      <w:r>
        <w:rPr>
          <w:rFonts w:hint="eastAsia"/>
          <w:sz w:val="24"/>
          <w:szCs w:val="24"/>
        </w:rPr>
        <w:t>2.3.2地表水</w:t>
      </w:r>
      <w:bookmarkEnd w:id="78"/>
      <w:bookmarkEnd w:id="79"/>
      <w:bookmarkEnd w:id="80"/>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1、评价等级</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根据HJ/T2.3-93《环境影响评价技术导则 地面水环境》规定，地表水评价工作等级的划分是由建设项目的污水排放量、污水水质的复杂程度、受纳水体的规模及对它的水质要求而确定的。本项目的地表水评价级别判据见</w:t>
      </w:r>
      <w:r>
        <w:rPr>
          <w:rFonts w:hint="eastAsia" w:ascii="Times New Roman" w:hAnsi="Times New Roman"/>
          <w:sz w:val="24"/>
        </w:rPr>
        <w:t>下表</w:t>
      </w:r>
      <w:r>
        <w:rPr>
          <w:rFonts w:ascii="Times New Roman" w:hAnsi="Times New Roman"/>
          <w:sz w:val="24"/>
        </w:rPr>
        <w:t>。</w:t>
      </w:r>
    </w:p>
    <w:p>
      <w:pPr>
        <w:pStyle w:val="76"/>
        <w:spacing w:beforeLines="50"/>
        <w:jc w:val="center"/>
        <w:rPr>
          <w:b/>
          <w:color w:val="000000"/>
          <w:sz w:val="24"/>
        </w:rPr>
      </w:pPr>
      <w:r>
        <w:rPr>
          <w:b/>
          <w:color w:val="000000"/>
          <w:sz w:val="24"/>
        </w:rPr>
        <w:t>表2-</w:t>
      </w:r>
      <w:r>
        <w:rPr>
          <w:rFonts w:hint="eastAsia"/>
          <w:b/>
          <w:color w:val="000000"/>
          <w:sz w:val="24"/>
        </w:rPr>
        <w:t>14</w:t>
      </w:r>
      <w:r>
        <w:rPr>
          <w:b/>
          <w:color w:val="000000"/>
          <w:sz w:val="24"/>
        </w:rPr>
        <w:t xml:space="preserve"> 地表水评价级别判据</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3012"/>
        <w:gridCol w:w="1800"/>
        <w:gridCol w:w="1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16" w:type="dxa"/>
            <w:gridSpan w:val="2"/>
            <w:vAlign w:val="center"/>
          </w:tcPr>
          <w:p>
            <w:pPr>
              <w:adjustRightInd w:val="0"/>
              <w:snapToGrid w:val="0"/>
              <w:jc w:val="center"/>
              <w:rPr>
                <w:rFonts w:ascii="Times New Roman" w:hAnsi="Times New Roman"/>
                <w:szCs w:val="21"/>
              </w:rPr>
            </w:pPr>
            <w:r>
              <w:rPr>
                <w:rFonts w:ascii="Times New Roman" w:hAnsi="Times New Roman"/>
                <w:szCs w:val="21"/>
              </w:rPr>
              <w:t>废水排放情况</w:t>
            </w:r>
          </w:p>
        </w:tc>
        <w:tc>
          <w:tcPr>
            <w:tcW w:w="3706" w:type="dxa"/>
            <w:gridSpan w:val="2"/>
            <w:vAlign w:val="center"/>
          </w:tcPr>
          <w:p>
            <w:pPr>
              <w:adjustRightInd w:val="0"/>
              <w:snapToGrid w:val="0"/>
              <w:jc w:val="center"/>
              <w:rPr>
                <w:rFonts w:ascii="Times New Roman" w:hAnsi="Times New Roman"/>
                <w:szCs w:val="21"/>
              </w:rPr>
            </w:pPr>
            <w:r>
              <w:rPr>
                <w:rFonts w:ascii="Times New Roman" w:hAnsi="Times New Roman"/>
                <w:szCs w:val="21"/>
              </w:rPr>
              <w:t>受纳水体情况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pPr>
              <w:adjustRightInd w:val="0"/>
              <w:snapToGrid w:val="0"/>
              <w:jc w:val="center"/>
              <w:rPr>
                <w:rFonts w:ascii="Times New Roman" w:hAnsi="Times New Roman"/>
                <w:szCs w:val="21"/>
              </w:rPr>
            </w:pPr>
            <w:r>
              <w:rPr>
                <w:rFonts w:ascii="Times New Roman" w:hAnsi="Times New Roman"/>
                <w:szCs w:val="21"/>
              </w:rPr>
              <w:t>废水排放量</w:t>
            </w:r>
          </w:p>
        </w:tc>
        <w:tc>
          <w:tcPr>
            <w:tcW w:w="3012" w:type="dxa"/>
            <w:vAlign w:val="center"/>
          </w:tcPr>
          <w:p>
            <w:pPr>
              <w:adjustRightInd w:val="0"/>
              <w:snapToGrid w:val="0"/>
              <w:jc w:val="center"/>
              <w:rPr>
                <w:rFonts w:ascii="Times New Roman" w:hAnsi="Times New Roman"/>
                <w:szCs w:val="21"/>
              </w:rPr>
            </w:pPr>
            <w:r>
              <w:rPr>
                <w:rFonts w:hint="eastAsia" w:ascii="Times New Roman" w:hAnsi="Times New Roman"/>
                <w:szCs w:val="21"/>
              </w:rPr>
              <w:t>0</w:t>
            </w:r>
            <w:r>
              <w:rPr>
                <w:rFonts w:ascii="Times New Roman" w:hAnsi="Times New Roman"/>
                <w:szCs w:val="21"/>
              </w:rPr>
              <w:t>t/d</w:t>
            </w:r>
          </w:p>
        </w:tc>
        <w:tc>
          <w:tcPr>
            <w:tcW w:w="1800" w:type="dxa"/>
            <w:vAlign w:val="center"/>
          </w:tcPr>
          <w:p>
            <w:pPr>
              <w:adjustRightInd w:val="0"/>
              <w:snapToGrid w:val="0"/>
              <w:jc w:val="center"/>
              <w:rPr>
                <w:rFonts w:ascii="Times New Roman" w:hAnsi="Times New Roman"/>
                <w:szCs w:val="21"/>
              </w:rPr>
            </w:pPr>
            <w:r>
              <w:rPr>
                <w:rFonts w:ascii="Times New Roman" w:hAnsi="Times New Roman"/>
                <w:szCs w:val="21"/>
              </w:rPr>
              <w:t>水体名称</w:t>
            </w:r>
          </w:p>
        </w:tc>
        <w:tc>
          <w:tcPr>
            <w:tcW w:w="1906" w:type="dxa"/>
            <w:vAlign w:val="center"/>
          </w:tcPr>
          <w:p>
            <w:pPr>
              <w:adjustRightInd w:val="0"/>
              <w:snapToGrid w:val="0"/>
              <w:jc w:val="center"/>
              <w:rPr>
                <w:rFonts w:ascii="Times New Roman" w:hAnsi="Times New Roman"/>
                <w:szCs w:val="21"/>
              </w:rPr>
            </w:pPr>
            <w:r>
              <w:rPr>
                <w:rFonts w:hint="eastAsia" w:ascii="Times New Roman" w:hAnsi="Times New Roman"/>
                <w:szCs w:val="21"/>
              </w:rPr>
              <w:t>西南岔河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pPr>
              <w:adjustRightInd w:val="0"/>
              <w:snapToGrid w:val="0"/>
              <w:jc w:val="center"/>
              <w:rPr>
                <w:rFonts w:ascii="Times New Roman" w:hAnsi="Times New Roman"/>
                <w:szCs w:val="21"/>
              </w:rPr>
            </w:pPr>
            <w:r>
              <w:rPr>
                <w:rFonts w:ascii="Times New Roman" w:hAnsi="Times New Roman"/>
                <w:szCs w:val="21"/>
              </w:rPr>
              <w:t>主要污染物</w:t>
            </w:r>
          </w:p>
        </w:tc>
        <w:tc>
          <w:tcPr>
            <w:tcW w:w="3012" w:type="dxa"/>
            <w:vAlign w:val="center"/>
          </w:tcPr>
          <w:p>
            <w:pPr>
              <w:adjustRightInd w:val="0"/>
              <w:snapToGrid w:val="0"/>
              <w:jc w:val="center"/>
              <w:rPr>
                <w:rFonts w:ascii="Times New Roman" w:hAnsi="Times New Roman"/>
                <w:szCs w:val="21"/>
              </w:rPr>
            </w:pPr>
            <w:r>
              <w:rPr>
                <w:rFonts w:ascii="Times New Roman" w:hAnsi="Times New Roman"/>
                <w:szCs w:val="21"/>
              </w:rPr>
              <w:t>SS</w:t>
            </w:r>
          </w:p>
        </w:tc>
        <w:tc>
          <w:tcPr>
            <w:tcW w:w="1800" w:type="dxa"/>
            <w:vAlign w:val="center"/>
          </w:tcPr>
          <w:p>
            <w:pPr>
              <w:adjustRightInd w:val="0"/>
              <w:snapToGrid w:val="0"/>
              <w:jc w:val="center"/>
              <w:rPr>
                <w:rFonts w:ascii="Times New Roman" w:hAnsi="Times New Roman"/>
                <w:szCs w:val="21"/>
              </w:rPr>
            </w:pPr>
            <w:r>
              <w:rPr>
                <w:rFonts w:ascii="Times New Roman" w:hAnsi="Times New Roman"/>
                <w:szCs w:val="21"/>
              </w:rPr>
              <w:t>平均流量</w:t>
            </w:r>
          </w:p>
        </w:tc>
        <w:tc>
          <w:tcPr>
            <w:tcW w:w="1906" w:type="dxa"/>
            <w:vAlign w:val="center"/>
          </w:tcPr>
          <w:p>
            <w:pPr>
              <w:adjustRightInd w:val="0"/>
              <w:snapToGrid w:val="0"/>
              <w:jc w:val="center"/>
              <w:rPr>
                <w:rFonts w:ascii="Times New Roman" w:hAnsi="Times New Roman"/>
                <w:szCs w:val="21"/>
              </w:rPr>
            </w:pPr>
            <w:r>
              <w:rPr>
                <w:rFonts w:hint="eastAsia" w:ascii="Times New Roman" w:hAnsi="Times New Roman"/>
                <w:szCs w:val="21"/>
              </w:rPr>
              <w:t>0</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pPr>
              <w:adjustRightInd w:val="0"/>
              <w:snapToGrid w:val="0"/>
              <w:jc w:val="center"/>
              <w:rPr>
                <w:rFonts w:ascii="Times New Roman" w:hAnsi="Times New Roman"/>
                <w:szCs w:val="21"/>
              </w:rPr>
            </w:pPr>
            <w:r>
              <w:rPr>
                <w:rFonts w:ascii="Times New Roman" w:hAnsi="Times New Roman"/>
                <w:szCs w:val="21"/>
              </w:rPr>
              <w:t>污染物类型</w:t>
            </w:r>
          </w:p>
        </w:tc>
        <w:tc>
          <w:tcPr>
            <w:tcW w:w="3012" w:type="dxa"/>
            <w:vAlign w:val="center"/>
          </w:tcPr>
          <w:p>
            <w:pPr>
              <w:adjustRightInd w:val="0"/>
              <w:snapToGrid w:val="0"/>
              <w:jc w:val="center"/>
              <w:rPr>
                <w:rFonts w:ascii="Times New Roman" w:hAnsi="Times New Roman"/>
                <w:szCs w:val="21"/>
              </w:rPr>
            </w:pPr>
            <w:r>
              <w:rPr>
                <w:rFonts w:ascii="Times New Roman" w:hAnsi="Times New Roman"/>
                <w:szCs w:val="21"/>
              </w:rPr>
              <w:t>非持久性污染物</w:t>
            </w:r>
          </w:p>
        </w:tc>
        <w:tc>
          <w:tcPr>
            <w:tcW w:w="1800" w:type="dxa"/>
            <w:vAlign w:val="center"/>
          </w:tcPr>
          <w:p>
            <w:pPr>
              <w:adjustRightInd w:val="0"/>
              <w:snapToGrid w:val="0"/>
              <w:jc w:val="center"/>
              <w:rPr>
                <w:rFonts w:ascii="Times New Roman" w:hAnsi="Times New Roman"/>
                <w:szCs w:val="21"/>
              </w:rPr>
            </w:pPr>
            <w:r>
              <w:rPr>
                <w:rFonts w:ascii="Times New Roman" w:hAnsi="Times New Roman"/>
                <w:szCs w:val="21"/>
              </w:rPr>
              <w:t>水体规模</w:t>
            </w:r>
          </w:p>
        </w:tc>
        <w:tc>
          <w:tcPr>
            <w:tcW w:w="1906" w:type="dxa"/>
            <w:vAlign w:val="center"/>
          </w:tcPr>
          <w:p>
            <w:pPr>
              <w:adjustRightInd w:val="0"/>
              <w:snapToGrid w:val="0"/>
              <w:jc w:val="center"/>
              <w:rPr>
                <w:rFonts w:ascii="Times New Roman" w:hAnsi="Times New Roman"/>
                <w:szCs w:val="21"/>
              </w:rPr>
            </w:pPr>
            <w:r>
              <w:rPr>
                <w:rFonts w:hint="eastAsia" w:ascii="Times New Roman" w:hAnsi="Times New Roman"/>
                <w:szCs w:val="21"/>
              </w:rPr>
              <w:t>小</w:t>
            </w:r>
            <w:r>
              <w:rPr>
                <w:rFonts w:ascii="Times New Roman" w:hAnsi="Times New Roman"/>
                <w:szCs w:val="21"/>
              </w:rPr>
              <w:t>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804" w:type="dxa"/>
            <w:vAlign w:val="center"/>
          </w:tcPr>
          <w:p>
            <w:pPr>
              <w:adjustRightInd w:val="0"/>
              <w:snapToGrid w:val="0"/>
              <w:jc w:val="center"/>
              <w:rPr>
                <w:rFonts w:ascii="Times New Roman" w:hAnsi="Times New Roman"/>
                <w:szCs w:val="21"/>
              </w:rPr>
            </w:pPr>
            <w:r>
              <w:rPr>
                <w:rFonts w:ascii="Times New Roman" w:hAnsi="Times New Roman"/>
                <w:szCs w:val="21"/>
              </w:rPr>
              <w:t>污染物复杂程度</w:t>
            </w:r>
          </w:p>
        </w:tc>
        <w:tc>
          <w:tcPr>
            <w:tcW w:w="3012" w:type="dxa"/>
            <w:vAlign w:val="center"/>
          </w:tcPr>
          <w:p>
            <w:pPr>
              <w:pStyle w:val="75"/>
              <w:snapToGrid w:val="0"/>
              <w:spacing w:line="240" w:lineRule="auto"/>
              <w:textAlignment w:val="auto"/>
              <w:rPr>
                <w:rFonts w:ascii="Times New Roman" w:hAnsi="Times New Roman" w:eastAsia="宋体"/>
                <w:kern w:val="2"/>
                <w:szCs w:val="21"/>
              </w:rPr>
            </w:pPr>
            <w:r>
              <w:rPr>
                <w:rFonts w:ascii="Times New Roman" w:hAnsi="Times New Roman" w:eastAsia="宋体"/>
                <w:kern w:val="2"/>
                <w:szCs w:val="21"/>
              </w:rPr>
              <w:t>简单</w:t>
            </w:r>
          </w:p>
        </w:tc>
        <w:tc>
          <w:tcPr>
            <w:tcW w:w="1800" w:type="dxa"/>
            <w:vAlign w:val="center"/>
          </w:tcPr>
          <w:p>
            <w:pPr>
              <w:adjustRightInd w:val="0"/>
              <w:snapToGrid w:val="0"/>
              <w:jc w:val="center"/>
              <w:rPr>
                <w:rFonts w:ascii="Times New Roman" w:hAnsi="Times New Roman"/>
                <w:szCs w:val="21"/>
              </w:rPr>
            </w:pPr>
            <w:r>
              <w:rPr>
                <w:rFonts w:ascii="Times New Roman" w:hAnsi="Times New Roman"/>
                <w:szCs w:val="21"/>
              </w:rPr>
              <w:t>河流特征</w:t>
            </w:r>
          </w:p>
        </w:tc>
        <w:tc>
          <w:tcPr>
            <w:tcW w:w="1906" w:type="dxa"/>
            <w:vAlign w:val="center"/>
          </w:tcPr>
          <w:p>
            <w:pPr>
              <w:adjustRightInd w:val="0"/>
              <w:snapToGrid w:val="0"/>
              <w:jc w:val="center"/>
              <w:rPr>
                <w:rFonts w:ascii="Times New Roman" w:hAnsi="Times New Roman"/>
                <w:szCs w:val="21"/>
              </w:rPr>
            </w:pPr>
            <w:r>
              <w:rPr>
                <w:rFonts w:ascii="Times New Roman" w:hAnsi="Times New Roman"/>
                <w:szCs w:val="21"/>
              </w:rPr>
              <w:t>平直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4" w:type="dxa"/>
            <w:vAlign w:val="center"/>
          </w:tcPr>
          <w:p>
            <w:pPr>
              <w:adjustRightInd w:val="0"/>
              <w:snapToGrid w:val="0"/>
              <w:jc w:val="center"/>
              <w:rPr>
                <w:rFonts w:ascii="Times New Roman" w:hAnsi="Times New Roman"/>
                <w:szCs w:val="21"/>
              </w:rPr>
            </w:pPr>
            <w:r>
              <w:rPr>
                <w:rFonts w:ascii="Times New Roman" w:hAnsi="Times New Roman"/>
                <w:szCs w:val="21"/>
              </w:rPr>
              <w:t>排放口位置</w:t>
            </w:r>
          </w:p>
        </w:tc>
        <w:tc>
          <w:tcPr>
            <w:tcW w:w="3012" w:type="dxa"/>
            <w:vAlign w:val="center"/>
          </w:tcPr>
          <w:p>
            <w:pPr>
              <w:adjustRightInd w:val="0"/>
              <w:snapToGrid w:val="0"/>
              <w:jc w:val="center"/>
              <w:rPr>
                <w:rFonts w:ascii="Times New Roman" w:hAnsi="Times New Roman"/>
                <w:szCs w:val="21"/>
              </w:rPr>
            </w:pPr>
            <w:r>
              <w:rPr>
                <w:rFonts w:ascii="Times New Roman" w:hAnsi="Times New Roman"/>
                <w:szCs w:val="21"/>
              </w:rPr>
              <w:t>——</w:t>
            </w:r>
          </w:p>
        </w:tc>
        <w:tc>
          <w:tcPr>
            <w:tcW w:w="1800" w:type="dxa"/>
            <w:vAlign w:val="center"/>
          </w:tcPr>
          <w:p>
            <w:pPr>
              <w:adjustRightInd w:val="0"/>
              <w:snapToGrid w:val="0"/>
              <w:jc w:val="center"/>
              <w:rPr>
                <w:rFonts w:ascii="Times New Roman" w:hAnsi="Times New Roman"/>
                <w:szCs w:val="21"/>
              </w:rPr>
            </w:pPr>
            <w:r>
              <w:rPr>
                <w:rFonts w:ascii="Times New Roman" w:hAnsi="Times New Roman"/>
                <w:szCs w:val="21"/>
              </w:rPr>
              <w:t>水质标准</w:t>
            </w:r>
          </w:p>
        </w:tc>
        <w:tc>
          <w:tcPr>
            <w:tcW w:w="1906" w:type="dxa"/>
            <w:vAlign w:val="center"/>
          </w:tcPr>
          <w:p>
            <w:pPr>
              <w:adjustRightInd w:val="0"/>
              <w:snapToGrid w:val="0"/>
              <w:jc w:val="center"/>
              <w:rPr>
                <w:rFonts w:ascii="Times New Roman" w:hAnsi="Times New Roman"/>
                <w:szCs w:val="21"/>
              </w:rPr>
            </w:pPr>
            <w:r>
              <w:rPr>
                <w:rFonts w:ascii="Times New Roman" w:hAnsi="Times New Roman"/>
                <w:szCs w:val="21"/>
              </w:rPr>
              <w:t>Ⅲ类</w:t>
            </w:r>
          </w:p>
        </w:tc>
      </w:tr>
    </w:tbl>
    <w:p>
      <w:pPr>
        <w:adjustRightInd w:val="0"/>
        <w:snapToGrid w:val="0"/>
        <w:spacing w:beforeLines="5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由于本项目废水</w:t>
      </w:r>
      <w:r>
        <w:rPr>
          <w:rFonts w:hint="eastAsia" w:ascii="Times New Roman" w:hAnsi="Times New Roman"/>
          <w:color w:val="000000"/>
          <w:sz w:val="24"/>
          <w:szCs w:val="24"/>
        </w:rPr>
        <w:t>不外排</w:t>
      </w:r>
      <w:r>
        <w:rPr>
          <w:rFonts w:ascii="Times New Roman" w:hAnsi="Times New Roman"/>
          <w:color w:val="000000"/>
          <w:sz w:val="24"/>
          <w:szCs w:val="24"/>
        </w:rPr>
        <w:t>，根据环评《导则》HJ/T2.3-93定级原则，确定本项目地表水评价工作等级为三级。</w:t>
      </w:r>
    </w:p>
    <w:p>
      <w:pPr>
        <w:pStyle w:val="44"/>
        <w:outlineLvl w:val="0"/>
        <w:rPr>
          <w:rFonts w:ascii="Times New Roman" w:hAnsi="Times New Roman"/>
        </w:rPr>
      </w:pPr>
      <w:r>
        <w:rPr>
          <w:rFonts w:hint="eastAsia" w:ascii="Times New Roman" w:hAnsi="Times New Roman"/>
        </w:rPr>
        <w:t>2、评价范围</w:t>
      </w:r>
    </w:p>
    <w:p>
      <w:pPr>
        <w:spacing w:line="360" w:lineRule="auto"/>
        <w:ind w:firstLine="480" w:firstLineChars="200"/>
        <w:rPr>
          <w:rFonts w:ascii="Times New Roman" w:hAnsi="Times New Roman"/>
          <w:sz w:val="24"/>
        </w:rPr>
      </w:pPr>
      <w:r>
        <w:rPr>
          <w:rFonts w:ascii="Times New Roman" w:hAnsi="Times New Roman"/>
          <w:sz w:val="24"/>
        </w:rPr>
        <w:t>评价范围为</w:t>
      </w:r>
      <w:r>
        <w:rPr>
          <w:rFonts w:hint="eastAsia" w:ascii="Times New Roman" w:hAnsi="Times New Roman"/>
          <w:sz w:val="24"/>
        </w:rPr>
        <w:t>本项目所在位置对应断面的</w:t>
      </w:r>
      <w:r>
        <w:rPr>
          <w:rFonts w:ascii="Times New Roman" w:hAnsi="Times New Roman"/>
          <w:sz w:val="24"/>
        </w:rPr>
        <w:t>上游500m至</w:t>
      </w:r>
      <w:r>
        <w:rPr>
          <w:rFonts w:hint="eastAsia" w:ascii="Times New Roman" w:hAnsi="Times New Roman"/>
          <w:sz w:val="24"/>
        </w:rPr>
        <w:t>西南岔河下游1500m</w:t>
      </w:r>
      <w:r>
        <w:rPr>
          <w:rFonts w:ascii="Times New Roman" w:hAnsi="Times New Roman"/>
          <w:sz w:val="24"/>
        </w:rPr>
        <w:t>，全长约</w:t>
      </w:r>
      <w:r>
        <w:rPr>
          <w:rFonts w:hint="eastAsia" w:ascii="Times New Roman" w:hAnsi="Times New Roman"/>
          <w:sz w:val="24"/>
        </w:rPr>
        <w:t>2</w:t>
      </w:r>
      <w:r>
        <w:rPr>
          <w:rFonts w:ascii="Times New Roman" w:hAnsi="Times New Roman"/>
          <w:sz w:val="24"/>
        </w:rPr>
        <w:t>km河段。</w:t>
      </w:r>
    </w:p>
    <w:p>
      <w:pPr>
        <w:pStyle w:val="5"/>
        <w:spacing w:before="0" w:after="0" w:line="360" w:lineRule="auto"/>
        <w:rPr>
          <w:color w:val="000000"/>
          <w:sz w:val="24"/>
          <w:szCs w:val="24"/>
        </w:rPr>
      </w:pPr>
      <w:bookmarkStart w:id="81" w:name="_Toc7181"/>
      <w:bookmarkStart w:id="82" w:name="_Toc9427"/>
      <w:bookmarkStart w:id="83" w:name="_Toc1240"/>
      <w:r>
        <w:rPr>
          <w:rFonts w:hint="eastAsia"/>
          <w:color w:val="000000"/>
          <w:sz w:val="24"/>
          <w:szCs w:val="24"/>
        </w:rPr>
        <w:t>2.3.3地下水</w:t>
      </w:r>
      <w:bookmarkEnd w:id="81"/>
      <w:bookmarkEnd w:id="82"/>
      <w:bookmarkEnd w:id="83"/>
    </w:p>
    <w:p>
      <w:pPr>
        <w:spacing w:line="360" w:lineRule="auto"/>
        <w:ind w:firstLine="480" w:firstLineChars="200"/>
        <w:rPr>
          <w:rFonts w:ascii="Times New Roman" w:hAnsi="Times New Roman"/>
          <w:sz w:val="24"/>
        </w:rPr>
      </w:pPr>
      <w:r>
        <w:rPr>
          <w:rFonts w:hint="eastAsia" w:ascii="Times New Roman" w:hAnsi="Times New Roman"/>
          <w:sz w:val="24"/>
        </w:rPr>
        <w:t>1、评价等级</w:t>
      </w:r>
    </w:p>
    <w:p>
      <w:pPr>
        <w:spacing w:beforeLines="50" w:line="360" w:lineRule="auto"/>
        <w:ind w:firstLine="480" w:firstLineChars="200"/>
        <w:rPr>
          <w:rFonts w:ascii="Times New Roman" w:hAnsi="Times New Roman"/>
          <w:sz w:val="24"/>
        </w:rPr>
      </w:pPr>
      <w:r>
        <w:rPr>
          <w:rFonts w:ascii="Times New Roman" w:hAnsi="Times New Roman"/>
          <w:sz w:val="24"/>
        </w:rPr>
        <w:t>根据《环境影响评价技术导则 地下水环境》（HJ610-2016）中附录A</w:t>
      </w:r>
      <w:r>
        <w:rPr>
          <w:rFonts w:hint="eastAsia" w:ascii="Times New Roman" w:hAnsi="Times New Roman"/>
          <w:sz w:val="24"/>
        </w:rPr>
        <w:t>中地下水环境影响评价行业分类表（摘录）见下表。</w:t>
      </w:r>
    </w:p>
    <w:p>
      <w:pPr>
        <w:jc w:val="center"/>
        <w:rPr>
          <w:rFonts w:ascii="Times New Roman" w:hAnsi="Times New Roman"/>
          <w:b/>
          <w:sz w:val="24"/>
        </w:rPr>
      </w:pPr>
      <w:r>
        <w:rPr>
          <w:rFonts w:ascii="Times New Roman" w:hAnsi="Times New Roman"/>
          <w:b/>
          <w:sz w:val="24"/>
        </w:rPr>
        <w:t>表2-</w:t>
      </w:r>
      <w:r>
        <w:rPr>
          <w:rFonts w:hint="eastAsia" w:ascii="Times New Roman" w:hAnsi="Times New Roman"/>
          <w:b/>
          <w:sz w:val="24"/>
        </w:rPr>
        <w:t>15</w:t>
      </w:r>
      <w:r>
        <w:rPr>
          <w:rFonts w:ascii="Times New Roman" w:hAnsi="Times New Roman"/>
          <w:b/>
          <w:sz w:val="24"/>
        </w:rPr>
        <w:t xml:space="preserve">  环境影响评价行业分类表（摘录）</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135"/>
        <w:gridCol w:w="1134"/>
        <w:gridCol w:w="2285"/>
        <w:gridCol w:w="1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660" w:type="dxa"/>
            <w:vMerge w:val="restart"/>
            <w:vAlign w:val="center"/>
          </w:tcPr>
          <w:p>
            <w:pPr>
              <w:jc w:val="center"/>
            </w:pPr>
            <w:r>
              <w:rPr>
                <w:sz w:val="24"/>
              </w:rPr>
              <mc:AlternateContent>
                <mc:Choice Requires="wps">
                  <w:drawing>
                    <wp:anchor distT="0" distB="0" distL="114300" distR="114300" simplePos="0" relativeHeight="251719680" behindDoc="0" locked="0" layoutInCell="1" allowOverlap="1">
                      <wp:simplePos x="0" y="0"/>
                      <wp:positionH relativeFrom="column">
                        <wp:posOffset>-61595</wp:posOffset>
                      </wp:positionH>
                      <wp:positionV relativeFrom="paragraph">
                        <wp:posOffset>2540</wp:posOffset>
                      </wp:positionV>
                      <wp:extent cx="1691005" cy="471170"/>
                      <wp:effectExtent l="1270" t="4445" r="3175" b="19685"/>
                      <wp:wrapNone/>
                      <wp:docPr id="228" name="直线 1565"/>
                      <wp:cNvGraphicFramePr/>
                      <a:graphic xmlns:a="http://schemas.openxmlformats.org/drawingml/2006/main">
                        <a:graphicData uri="http://schemas.microsoft.com/office/word/2010/wordprocessingShape">
                          <wps:wsp>
                            <wps:cNvSpPr/>
                            <wps:spPr>
                              <a:xfrm>
                                <a:off x="0" y="0"/>
                                <a:ext cx="1691005" cy="4711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65" o:spid="_x0000_s1026" o:spt="20" style="position:absolute;left:0pt;margin-left:-4.85pt;margin-top:0.2pt;height:37.1pt;width:133.15pt;z-index:251719680;mso-width-relative:page;mso-height-relative:page;" filled="f" stroked="t" coordsize="21600,21600" o:gfxdata="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xzE01QAAAAYBAAAPAAAAAAAAAAEAIAAAACIAAABkcnMvZG93bnJldi54bWxQSwECFAAUAAAA&#10;CACHTuJAdC9Y/vEBAADlAwAADgAAAAAAAAABACAAAAAkAQAAZHJzL2Uyb0RvYy54bWxQSwUGAAAA&#10;AAYABgBZAQAAhwUAAAAA&#10;">
                      <v:fill on="f" focussize="0,0"/>
                      <v:stroke color="#000000" joinstyle="round"/>
                      <v:imagedata o:title=""/>
                      <o:lock v:ext="edit" aspectratio="f"/>
                    </v:line>
                  </w:pict>
                </mc:Fallback>
              </mc:AlternateContent>
            </w:r>
            <w:r>
              <w:rPr>
                <w:rFonts w:hint="eastAsia"/>
              </w:rPr>
              <w:t xml:space="preserve">              环评类别</w:t>
            </w:r>
          </w:p>
          <w:p>
            <w:pPr>
              <w:pStyle w:val="2"/>
            </w:pPr>
            <w:r>
              <w:rPr>
                <w:rFonts w:hint="eastAsia" w:ascii="Times New Roman" w:hAnsi="Times New Roman"/>
                <w:szCs w:val="21"/>
              </w:rPr>
              <w:t>行业类别</w:t>
            </w:r>
          </w:p>
        </w:tc>
        <w:tc>
          <w:tcPr>
            <w:tcW w:w="1135" w:type="dxa"/>
            <w:vMerge w:val="restart"/>
            <w:vAlign w:val="center"/>
          </w:tcPr>
          <w:p>
            <w:pPr>
              <w:jc w:val="center"/>
              <w:rPr>
                <w:rFonts w:ascii="Times New Roman" w:hAnsi="Times New Roman"/>
                <w:szCs w:val="21"/>
              </w:rPr>
            </w:pPr>
            <w:r>
              <w:rPr>
                <w:rFonts w:ascii="Times New Roman" w:hAnsi="Times New Roman"/>
                <w:szCs w:val="21"/>
              </w:rPr>
              <w:t>报告书</w:t>
            </w:r>
          </w:p>
        </w:tc>
        <w:tc>
          <w:tcPr>
            <w:tcW w:w="1134" w:type="dxa"/>
            <w:vMerge w:val="restart"/>
            <w:vAlign w:val="center"/>
          </w:tcPr>
          <w:p>
            <w:pPr>
              <w:jc w:val="center"/>
              <w:rPr>
                <w:rFonts w:ascii="Times New Roman" w:hAnsi="Times New Roman"/>
                <w:szCs w:val="21"/>
              </w:rPr>
            </w:pPr>
            <w:r>
              <w:rPr>
                <w:rFonts w:ascii="Times New Roman" w:hAnsi="Times New Roman"/>
                <w:szCs w:val="21"/>
              </w:rPr>
              <w:t>报告表</w:t>
            </w:r>
          </w:p>
        </w:tc>
        <w:tc>
          <w:tcPr>
            <w:tcW w:w="3791" w:type="dxa"/>
            <w:gridSpan w:val="2"/>
            <w:vAlign w:val="center"/>
          </w:tcPr>
          <w:p>
            <w:pPr>
              <w:jc w:val="center"/>
              <w:rPr>
                <w:rFonts w:ascii="Times New Roman" w:hAnsi="Times New Roman"/>
                <w:szCs w:val="21"/>
              </w:rPr>
            </w:pPr>
            <w:r>
              <w:rPr>
                <w:rFonts w:hint="eastAsia" w:ascii="Times New Roman" w:hAnsi="Times New Roman"/>
                <w:szCs w:val="21"/>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660" w:type="dxa"/>
            <w:vMerge w:val="continue"/>
            <w:vAlign w:val="center"/>
          </w:tcPr>
          <w:p>
            <w:pPr>
              <w:pStyle w:val="2"/>
              <w:rPr>
                <w:rFonts w:ascii="Times New Roman" w:hAnsi="Times New Roman"/>
                <w:szCs w:val="21"/>
              </w:rPr>
            </w:pPr>
          </w:p>
        </w:tc>
        <w:tc>
          <w:tcPr>
            <w:tcW w:w="1135" w:type="dxa"/>
            <w:vMerge w:val="continue"/>
            <w:vAlign w:val="center"/>
          </w:tcPr>
          <w:p>
            <w:pPr>
              <w:jc w:val="center"/>
              <w:rPr>
                <w:rFonts w:ascii="Times New Roman" w:hAnsi="Times New Roman"/>
                <w:szCs w:val="21"/>
              </w:rPr>
            </w:pPr>
          </w:p>
        </w:tc>
        <w:tc>
          <w:tcPr>
            <w:tcW w:w="1134" w:type="dxa"/>
            <w:vMerge w:val="continue"/>
            <w:vAlign w:val="center"/>
          </w:tcPr>
          <w:p>
            <w:pPr>
              <w:jc w:val="center"/>
              <w:rPr>
                <w:rFonts w:ascii="Times New Roman" w:hAnsi="Times New Roman"/>
                <w:szCs w:val="21"/>
              </w:rPr>
            </w:pPr>
          </w:p>
        </w:tc>
        <w:tc>
          <w:tcPr>
            <w:tcW w:w="2285" w:type="dxa"/>
            <w:vAlign w:val="center"/>
          </w:tcPr>
          <w:p>
            <w:pPr>
              <w:jc w:val="center"/>
              <w:rPr>
                <w:rFonts w:ascii="Times New Roman" w:hAnsi="Times New Roman"/>
                <w:szCs w:val="21"/>
              </w:rPr>
            </w:pPr>
            <w:r>
              <w:rPr>
                <w:rFonts w:ascii="Times New Roman" w:hAnsi="Times New Roman"/>
                <w:szCs w:val="21"/>
              </w:rPr>
              <w:t>报告书</w:t>
            </w:r>
          </w:p>
        </w:tc>
        <w:tc>
          <w:tcPr>
            <w:tcW w:w="1506" w:type="dxa"/>
            <w:vAlign w:val="center"/>
          </w:tcPr>
          <w:p>
            <w:pPr>
              <w:jc w:val="center"/>
              <w:rPr>
                <w:rFonts w:ascii="Times New Roman" w:hAnsi="Times New Roman"/>
                <w:szCs w:val="21"/>
              </w:rPr>
            </w:pPr>
            <w:r>
              <w:rPr>
                <w:rFonts w:ascii="Times New Roman" w:hAnsi="Times New Roman"/>
                <w:szCs w:val="21"/>
              </w:rPr>
              <w:t>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jc w:val="center"/>
              <w:rPr>
                <w:rFonts w:ascii="Times New Roman" w:hAnsi="Times New Roman"/>
                <w:szCs w:val="21"/>
              </w:rPr>
            </w:pPr>
            <w:r>
              <w:rPr>
                <w:rFonts w:ascii="Times New Roman" w:hAnsi="Times New Roman"/>
                <w:szCs w:val="21"/>
              </w:rPr>
              <w:t>G：黑色金属</w:t>
            </w:r>
          </w:p>
        </w:tc>
        <w:tc>
          <w:tcPr>
            <w:tcW w:w="6060" w:type="dxa"/>
            <w:gridSpan w:val="4"/>
            <w:vAlign w:val="center"/>
          </w:tcPr>
          <w:p>
            <w:pPr>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rPr>
                <w:rFonts w:ascii="Times New Roman" w:hAnsi="Times New Roman"/>
                <w:szCs w:val="21"/>
              </w:rPr>
            </w:pPr>
            <w:r>
              <w:rPr>
                <w:rFonts w:hint="eastAsia" w:ascii="Times New Roman" w:hAnsi="Times New Roman"/>
                <w:szCs w:val="21"/>
              </w:rPr>
              <w:t>42</w:t>
            </w:r>
            <w:r>
              <w:rPr>
                <w:rFonts w:ascii="Times New Roman" w:hAnsi="Times New Roman"/>
                <w:szCs w:val="21"/>
              </w:rPr>
              <w:t>、采选（含单独尾矿库）</w:t>
            </w:r>
          </w:p>
        </w:tc>
        <w:tc>
          <w:tcPr>
            <w:tcW w:w="1135" w:type="dxa"/>
            <w:vAlign w:val="center"/>
          </w:tcPr>
          <w:p>
            <w:pPr>
              <w:jc w:val="center"/>
              <w:rPr>
                <w:rFonts w:ascii="Times New Roman" w:hAnsi="Times New Roman"/>
                <w:szCs w:val="21"/>
              </w:rPr>
            </w:pPr>
            <w:r>
              <w:rPr>
                <w:rFonts w:ascii="Times New Roman" w:hAnsi="Times New Roman"/>
                <w:szCs w:val="21"/>
              </w:rPr>
              <w:t>全部</w:t>
            </w:r>
          </w:p>
        </w:tc>
        <w:tc>
          <w:tcPr>
            <w:tcW w:w="1134" w:type="dxa"/>
            <w:vAlign w:val="center"/>
          </w:tcPr>
          <w:p>
            <w:pPr>
              <w:jc w:val="center"/>
              <w:rPr>
                <w:rFonts w:ascii="Times New Roman" w:hAnsi="Times New Roman"/>
                <w:szCs w:val="21"/>
              </w:rPr>
            </w:pPr>
            <w:r>
              <w:rPr>
                <w:rFonts w:ascii="Times New Roman" w:hAnsi="Times New Roman"/>
                <w:szCs w:val="21"/>
              </w:rPr>
              <w:t>-</w:t>
            </w:r>
          </w:p>
        </w:tc>
        <w:tc>
          <w:tcPr>
            <w:tcW w:w="2285" w:type="dxa"/>
            <w:vAlign w:val="center"/>
          </w:tcPr>
          <w:p>
            <w:pPr>
              <w:rPr>
                <w:rFonts w:ascii="Times New Roman" w:hAnsi="Times New Roman"/>
              </w:rPr>
            </w:pPr>
            <w:r>
              <w:rPr>
                <w:rFonts w:ascii="Times New Roman" w:hAnsi="Times New Roman"/>
              </w:rPr>
              <w:t>排土场、尾矿库I类</w:t>
            </w:r>
          </w:p>
          <w:p>
            <w:pPr>
              <w:pStyle w:val="2"/>
            </w:pPr>
            <w:r>
              <w:rPr>
                <w:rFonts w:ascii="Times New Roman" w:hAnsi="Times New Roman"/>
                <w:szCs w:val="21"/>
              </w:rPr>
              <w:t>选矿厂Ⅱ类，其余Ⅳ类</w:t>
            </w:r>
          </w:p>
        </w:tc>
        <w:tc>
          <w:tcPr>
            <w:tcW w:w="1506" w:type="dxa"/>
            <w:vAlign w:val="center"/>
          </w:tcPr>
          <w:p>
            <w:pPr>
              <w:jc w:val="center"/>
              <w:rPr>
                <w:rFonts w:ascii="Times New Roman" w:hAnsi="Times New Roman"/>
                <w:szCs w:val="21"/>
              </w:rPr>
            </w:pPr>
          </w:p>
        </w:tc>
      </w:tr>
    </w:tbl>
    <w:p>
      <w:pPr>
        <w:spacing w:beforeLines="50" w:line="360" w:lineRule="auto"/>
        <w:ind w:firstLine="480" w:firstLineChars="200"/>
        <w:rPr>
          <w:rFonts w:ascii="Times New Roman" w:hAnsi="Times New Roman"/>
          <w:sz w:val="24"/>
        </w:rPr>
      </w:pPr>
      <w:r>
        <w:rPr>
          <w:rFonts w:hint="eastAsia" w:ascii="Times New Roman" w:hAnsi="Times New Roman"/>
          <w:sz w:val="24"/>
        </w:rPr>
        <w:t>根据本项目工程组成，本项目包括选矿厂及尾矿库，</w:t>
      </w:r>
      <w:r>
        <w:rPr>
          <w:rFonts w:ascii="Times New Roman" w:hAnsi="Times New Roman"/>
          <w:sz w:val="24"/>
        </w:rPr>
        <w:t>地下水环境影响评价项目</w:t>
      </w:r>
      <w:r>
        <w:rPr>
          <w:rFonts w:hint="eastAsia" w:ascii="Times New Roman" w:hAnsi="Times New Roman"/>
          <w:sz w:val="24"/>
        </w:rPr>
        <w:t>中尾矿库</w:t>
      </w:r>
      <w:r>
        <w:rPr>
          <w:rFonts w:ascii="Times New Roman" w:hAnsi="Times New Roman"/>
          <w:sz w:val="24"/>
        </w:rPr>
        <w:t>Ⅰ类</w:t>
      </w:r>
      <w:r>
        <w:rPr>
          <w:rFonts w:hint="eastAsia" w:ascii="Times New Roman" w:hAnsi="Times New Roman"/>
          <w:sz w:val="24"/>
        </w:rPr>
        <w:t>，选矿厂</w:t>
      </w:r>
      <w:r>
        <w:rPr>
          <w:rFonts w:hint="eastAsia" w:ascii="宋体" w:hAnsi="宋体" w:cs="宋体"/>
          <w:sz w:val="24"/>
        </w:rPr>
        <w:t>Ⅱ</w:t>
      </w:r>
      <w:r>
        <w:rPr>
          <w:rFonts w:hint="eastAsia" w:ascii="Times New Roman" w:hAnsi="Times New Roman"/>
          <w:sz w:val="24"/>
        </w:rPr>
        <w:t>类</w:t>
      </w:r>
      <w:r>
        <w:rPr>
          <w:rFonts w:ascii="Times New Roman" w:hAnsi="Times New Roman"/>
          <w:sz w:val="24"/>
        </w:rPr>
        <w:t>。</w:t>
      </w:r>
    </w:p>
    <w:p>
      <w:pPr>
        <w:adjustRightInd w:val="0"/>
        <w:snapToGrid w:val="0"/>
        <w:spacing w:line="360" w:lineRule="auto"/>
        <w:ind w:firstLine="480" w:firstLineChars="200"/>
        <w:rPr>
          <w:rFonts w:ascii="Times New Roman" w:hAnsi="Times New Roman"/>
          <w:sz w:val="24"/>
          <w:szCs w:val="21"/>
        </w:rPr>
      </w:pPr>
      <w:r>
        <w:rPr>
          <w:rFonts w:ascii="Times New Roman" w:hAnsi="Times New Roman"/>
          <w:sz w:val="24"/>
          <w:szCs w:val="21"/>
        </w:rPr>
        <w:t>根据《环境影响评价技术导则-地下水环境》（HJ610-2016）中6.2.1.2中关于地下水环境敏感度划分原则如下：</w:t>
      </w:r>
    </w:p>
    <w:p>
      <w:pPr>
        <w:adjustRightInd w:val="0"/>
        <w:snapToGrid w:val="0"/>
        <w:spacing w:beforeLines="50"/>
        <w:jc w:val="center"/>
        <w:rPr>
          <w:rFonts w:ascii="Times New Roman" w:hAnsi="Times New Roman"/>
          <w:b/>
          <w:sz w:val="24"/>
          <w:szCs w:val="21"/>
        </w:rPr>
      </w:pPr>
      <w:r>
        <w:rPr>
          <w:rFonts w:ascii="Times New Roman" w:hAnsi="Times New Roman"/>
          <w:b/>
          <w:sz w:val="24"/>
          <w:szCs w:val="21"/>
        </w:rPr>
        <w:t>表2-</w:t>
      </w:r>
      <w:r>
        <w:rPr>
          <w:rFonts w:hint="eastAsia" w:ascii="Times New Roman" w:hAnsi="Times New Roman"/>
          <w:b/>
          <w:sz w:val="24"/>
          <w:szCs w:val="21"/>
        </w:rPr>
        <w:t>16</w:t>
      </w:r>
      <w:r>
        <w:rPr>
          <w:rFonts w:ascii="Times New Roman" w:hAnsi="Times New Roman"/>
          <w:b/>
          <w:sz w:val="24"/>
          <w:szCs w:val="21"/>
        </w:rPr>
        <w:t xml:space="preserve"> 地下水环境敏感程度分级表</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8"/>
        <w:gridCol w:w="75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58" w:type="dxa"/>
            <w:vAlign w:val="center"/>
          </w:tcPr>
          <w:p>
            <w:pPr>
              <w:adjustRightInd w:val="0"/>
              <w:snapToGrid w:val="0"/>
              <w:jc w:val="center"/>
              <w:rPr>
                <w:rFonts w:ascii="Times New Roman" w:hAnsi="Times New Roman"/>
                <w:szCs w:val="21"/>
              </w:rPr>
            </w:pPr>
            <w:r>
              <w:rPr>
                <w:rFonts w:ascii="Times New Roman" w:hAnsi="Times New Roman"/>
                <w:szCs w:val="21"/>
              </w:rPr>
              <w:t>敏感程度</w:t>
            </w:r>
          </w:p>
        </w:tc>
        <w:tc>
          <w:tcPr>
            <w:tcW w:w="7506" w:type="dxa"/>
            <w:vAlign w:val="center"/>
          </w:tcPr>
          <w:p>
            <w:pPr>
              <w:adjustRightInd w:val="0"/>
              <w:snapToGrid w:val="0"/>
              <w:jc w:val="center"/>
              <w:rPr>
                <w:rFonts w:ascii="Times New Roman" w:hAnsi="Times New Roman"/>
                <w:szCs w:val="21"/>
              </w:rPr>
            </w:pPr>
            <w:r>
              <w:rPr>
                <w:rFonts w:ascii="Times New Roman" w:hAnsi="Times New Roman"/>
                <w:szCs w:val="21"/>
              </w:rPr>
              <w:t>地下水环境敏感特征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58" w:type="dxa"/>
            <w:vAlign w:val="center"/>
          </w:tcPr>
          <w:p>
            <w:pPr>
              <w:adjustRightInd w:val="0"/>
              <w:snapToGrid w:val="0"/>
              <w:jc w:val="center"/>
              <w:rPr>
                <w:rFonts w:ascii="Times New Roman" w:hAnsi="Times New Roman"/>
                <w:szCs w:val="21"/>
              </w:rPr>
            </w:pPr>
            <w:r>
              <w:rPr>
                <w:rFonts w:ascii="Times New Roman" w:hAnsi="Times New Roman"/>
                <w:szCs w:val="21"/>
              </w:rPr>
              <w:t>敏感</w:t>
            </w:r>
          </w:p>
        </w:tc>
        <w:tc>
          <w:tcPr>
            <w:tcW w:w="7506" w:type="dxa"/>
            <w:vAlign w:val="center"/>
          </w:tcPr>
          <w:p>
            <w:pPr>
              <w:adjustRightInd w:val="0"/>
              <w:snapToGrid w:val="0"/>
              <w:jc w:val="left"/>
              <w:rPr>
                <w:rFonts w:ascii="Times New Roman" w:hAnsi="Times New Roman"/>
                <w:szCs w:val="21"/>
              </w:rPr>
            </w:pPr>
            <w:r>
              <w:rPr>
                <w:rFonts w:ascii="Times New Roman" w:hAnsi="Times New Roman"/>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58" w:type="dxa"/>
            <w:vAlign w:val="center"/>
          </w:tcPr>
          <w:p>
            <w:pPr>
              <w:adjustRightInd w:val="0"/>
              <w:snapToGrid w:val="0"/>
              <w:jc w:val="center"/>
              <w:rPr>
                <w:rFonts w:ascii="Times New Roman" w:hAnsi="Times New Roman"/>
                <w:szCs w:val="21"/>
              </w:rPr>
            </w:pPr>
            <w:r>
              <w:rPr>
                <w:rFonts w:ascii="Times New Roman" w:hAnsi="Times New Roman"/>
                <w:szCs w:val="21"/>
              </w:rPr>
              <w:t>较敏感</w:t>
            </w:r>
          </w:p>
        </w:tc>
        <w:tc>
          <w:tcPr>
            <w:tcW w:w="7506" w:type="dxa"/>
            <w:vAlign w:val="center"/>
          </w:tcPr>
          <w:p>
            <w:pPr>
              <w:adjustRightInd w:val="0"/>
              <w:snapToGrid w:val="0"/>
              <w:jc w:val="left"/>
              <w:rPr>
                <w:rFonts w:ascii="Times New Roman" w:hAnsi="Times New Roman"/>
                <w:szCs w:val="21"/>
              </w:rPr>
            </w:pPr>
            <w:r>
              <w:rPr>
                <w:rFonts w:ascii="Times New Roman" w:hAnsi="Times New Roman"/>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58" w:type="dxa"/>
            <w:vAlign w:val="center"/>
          </w:tcPr>
          <w:p>
            <w:pPr>
              <w:adjustRightInd w:val="0"/>
              <w:snapToGrid w:val="0"/>
              <w:jc w:val="center"/>
              <w:rPr>
                <w:rFonts w:ascii="Times New Roman" w:hAnsi="Times New Roman"/>
                <w:szCs w:val="21"/>
              </w:rPr>
            </w:pPr>
            <w:r>
              <w:rPr>
                <w:rFonts w:ascii="Times New Roman" w:hAnsi="Times New Roman"/>
                <w:szCs w:val="21"/>
              </w:rPr>
              <w:t>不敏感</w:t>
            </w:r>
          </w:p>
        </w:tc>
        <w:tc>
          <w:tcPr>
            <w:tcW w:w="7506" w:type="dxa"/>
            <w:vAlign w:val="center"/>
          </w:tcPr>
          <w:p>
            <w:pPr>
              <w:adjustRightInd w:val="0"/>
              <w:snapToGrid w:val="0"/>
              <w:jc w:val="left"/>
              <w:rPr>
                <w:rFonts w:ascii="Times New Roman" w:hAnsi="Times New Roman"/>
                <w:szCs w:val="21"/>
              </w:rPr>
            </w:pPr>
            <w:r>
              <w:rPr>
                <w:rFonts w:ascii="Times New Roman" w:hAnsi="Times New Roman"/>
                <w:szCs w:val="21"/>
              </w:rPr>
              <w:t>上述地区之外的其它地区。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664" w:type="dxa"/>
            <w:gridSpan w:val="2"/>
            <w:vAlign w:val="center"/>
          </w:tcPr>
          <w:p>
            <w:pPr>
              <w:adjustRightInd w:val="0"/>
              <w:snapToGrid w:val="0"/>
              <w:jc w:val="left"/>
              <w:rPr>
                <w:rFonts w:ascii="Times New Roman" w:hAnsi="Times New Roman"/>
                <w:szCs w:val="21"/>
              </w:rPr>
            </w:pPr>
            <w:r>
              <w:rPr>
                <w:rFonts w:ascii="Times New Roman" w:hAnsi="Times New Roman"/>
                <w:szCs w:val="21"/>
              </w:rPr>
              <w:t>注：a“环境敏感区”是指《建设项目环境影响评价分类管理名录》中所界定的涉及地下水的环境敏感区。</w:t>
            </w:r>
          </w:p>
        </w:tc>
      </w:tr>
    </w:tbl>
    <w:p>
      <w:pPr>
        <w:adjustRightInd w:val="0"/>
        <w:snapToGrid w:val="0"/>
        <w:spacing w:beforeLines="50" w:line="360" w:lineRule="auto"/>
        <w:ind w:firstLine="480" w:firstLineChars="200"/>
        <w:rPr>
          <w:rFonts w:ascii="Times New Roman" w:hAnsi="Times New Roman"/>
          <w:sz w:val="24"/>
          <w:szCs w:val="21"/>
        </w:rPr>
      </w:pPr>
      <w:r>
        <w:rPr>
          <w:rFonts w:hint="eastAsia" w:ascii="Times New Roman" w:hAnsi="Times New Roman"/>
          <w:sz w:val="24"/>
          <w:szCs w:val="21"/>
        </w:rPr>
        <w:t>通过对本项目所在地进行实地调查，本项目距离村屯等环境敏感点较远（2km内无村屯），企业供水方式为自打水井（地下水）供水。</w:t>
      </w:r>
      <w:r>
        <w:rPr>
          <w:rFonts w:ascii="Times New Roman" w:hAnsi="Times New Roman"/>
          <w:sz w:val="24"/>
          <w:szCs w:val="21"/>
        </w:rPr>
        <w:t>根据《环境影响评价》（第38卷 第4期 2016.07）中地下水导则详解中关于分散式水源地环境敏感程度划分依据进行判别</w:t>
      </w:r>
      <w:r>
        <w:rPr>
          <w:rFonts w:hint="eastAsia" w:ascii="Times New Roman" w:hAnsi="Times New Roman"/>
          <w:sz w:val="24"/>
          <w:szCs w:val="21"/>
        </w:rPr>
        <w:t>：“</w:t>
      </w:r>
      <w:r>
        <w:rPr>
          <w:rFonts w:ascii="Times New Roman" w:hAnsi="Times New Roman"/>
          <w:sz w:val="24"/>
          <w:szCs w:val="21"/>
        </w:rPr>
        <w:t>建设项目所在地周围</w:t>
      </w:r>
      <w:r>
        <w:rPr>
          <w:rFonts w:hint="eastAsia" w:ascii="Times New Roman" w:hAnsi="Times New Roman"/>
          <w:sz w:val="24"/>
          <w:szCs w:val="21"/>
        </w:rPr>
        <w:t>分散式</w:t>
      </w:r>
      <w:r>
        <w:rPr>
          <w:rFonts w:ascii="Times New Roman" w:hAnsi="Times New Roman"/>
          <w:sz w:val="24"/>
          <w:szCs w:val="21"/>
        </w:rPr>
        <w:t>饮用水水源井50m范围内为一级保护区，污染物迁移3000天所形成的范围为较敏感区</w:t>
      </w:r>
      <w:r>
        <w:rPr>
          <w:rFonts w:hint="eastAsia" w:ascii="Times New Roman" w:hAnsi="Times New Roman"/>
          <w:sz w:val="24"/>
          <w:szCs w:val="21"/>
        </w:rPr>
        <w:t>”。</w:t>
      </w:r>
      <w:r>
        <w:rPr>
          <w:rFonts w:ascii="Times New Roman" w:hAnsi="Times New Roman"/>
          <w:sz w:val="24"/>
          <w:szCs w:val="21"/>
        </w:rPr>
        <w:t>将该处的相关水文地质参数及3000天的迁移天数代入公式 L=α×K×I×T/ne中确定：其中α取1.5，K取2m/d，I取0.02，T取3000，ne取0.3。将相关参数代入上式中求得下游迁移距离L约为600m，故可认为以</w:t>
      </w:r>
      <w:r>
        <w:rPr>
          <w:rFonts w:hint="eastAsia" w:ascii="Times New Roman" w:hAnsi="Times New Roman"/>
          <w:sz w:val="24"/>
          <w:szCs w:val="21"/>
        </w:rPr>
        <w:t>尾矿库</w:t>
      </w:r>
      <w:r>
        <w:rPr>
          <w:rFonts w:ascii="Times New Roman" w:hAnsi="Times New Roman"/>
          <w:sz w:val="24"/>
          <w:szCs w:val="21"/>
        </w:rPr>
        <w:t>为起点下游600m范围内为环境较敏感区。</w:t>
      </w:r>
      <w:r>
        <w:rPr>
          <w:rFonts w:hint="eastAsia" w:ascii="Times New Roman" w:hAnsi="Times New Roman"/>
          <w:sz w:val="24"/>
          <w:szCs w:val="21"/>
        </w:rPr>
        <w:t>本项目周围</w:t>
      </w:r>
      <w:r>
        <w:rPr>
          <w:rFonts w:ascii="Times New Roman" w:hAnsi="Times New Roman"/>
          <w:sz w:val="24"/>
          <w:szCs w:val="21"/>
        </w:rPr>
        <w:t>600</w:t>
      </w:r>
      <w:r>
        <w:rPr>
          <w:rFonts w:hint="eastAsia" w:ascii="Times New Roman" w:hAnsi="Times New Roman"/>
          <w:sz w:val="24"/>
          <w:szCs w:val="21"/>
        </w:rPr>
        <w:t>m内无村屯，故可判定本项目地下水环境敏感程度为不敏感。</w:t>
      </w:r>
    </w:p>
    <w:p>
      <w:pPr>
        <w:spacing w:line="360" w:lineRule="auto"/>
        <w:ind w:firstLine="480" w:firstLineChars="200"/>
        <w:rPr>
          <w:rFonts w:ascii="Times New Roman" w:hAnsi="Times New Roman"/>
          <w:sz w:val="24"/>
        </w:rPr>
      </w:pPr>
      <w:r>
        <w:rPr>
          <w:rFonts w:ascii="Times New Roman" w:hAnsi="Times New Roman"/>
          <w:sz w:val="24"/>
        </w:rPr>
        <w:t>根据《环境影响评价技术导则 地下水环境》（HJ610-2016），评价工作等级的划分应根据建设项目行业分类和地下水敏感程度分级进行判定，建设项目地下水环境影响评价工作等级划分见下表。</w:t>
      </w:r>
    </w:p>
    <w:p>
      <w:pPr>
        <w:pStyle w:val="76"/>
        <w:jc w:val="center"/>
        <w:rPr>
          <w:b/>
          <w:sz w:val="24"/>
        </w:rPr>
      </w:pPr>
      <w:r>
        <w:rPr>
          <w:b/>
          <w:sz w:val="24"/>
        </w:rPr>
        <w:t>表2-17 评价工作等级分级表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2174"/>
        <w:gridCol w:w="2175"/>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176" w:type="dxa"/>
            <w:tcBorders>
              <w:top w:val="single" w:color="auto" w:sz="12" w:space="0"/>
              <w:left w:val="nil"/>
              <w:tl2br w:val="single" w:color="auto" w:sz="4" w:space="0"/>
            </w:tcBorders>
            <w:vAlign w:val="center"/>
          </w:tcPr>
          <w:p>
            <w:pPr>
              <w:autoSpaceDE w:val="0"/>
              <w:autoSpaceDN w:val="0"/>
              <w:adjustRightInd w:val="0"/>
              <w:jc w:val="right"/>
              <w:rPr>
                <w:rFonts w:ascii="Times New Roman" w:hAnsi="Times New Roman"/>
                <w:kern w:val="0"/>
                <w:szCs w:val="21"/>
              </w:rPr>
            </w:pPr>
            <w:r>
              <w:rPr>
                <w:rFonts w:ascii="Times New Roman" w:hAnsi="Times New Roman"/>
                <w:kern w:val="0"/>
                <w:szCs w:val="21"/>
              </w:rPr>
              <w:t>项目类别</w:t>
            </w:r>
          </w:p>
          <w:p>
            <w:pPr>
              <w:autoSpaceDE w:val="0"/>
              <w:autoSpaceDN w:val="0"/>
              <w:adjustRightInd w:val="0"/>
              <w:jc w:val="left"/>
              <w:rPr>
                <w:rFonts w:ascii="Times New Roman" w:hAnsi="Times New Roman"/>
                <w:kern w:val="0"/>
                <w:szCs w:val="21"/>
              </w:rPr>
            </w:pPr>
            <w:r>
              <w:rPr>
                <w:rFonts w:ascii="Times New Roman" w:hAnsi="Times New Roman"/>
                <w:kern w:val="0"/>
                <w:szCs w:val="21"/>
              </w:rPr>
              <w:t>环境敏感程度</w:t>
            </w:r>
          </w:p>
        </w:tc>
        <w:tc>
          <w:tcPr>
            <w:tcW w:w="2174" w:type="dxa"/>
            <w:tcBorders>
              <w:top w:val="single" w:color="auto" w:sz="12" w:space="0"/>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Ⅰ类项目</w:t>
            </w:r>
          </w:p>
        </w:tc>
        <w:tc>
          <w:tcPr>
            <w:tcW w:w="2175" w:type="dxa"/>
            <w:tcBorders>
              <w:top w:val="single" w:color="auto" w:sz="12" w:space="0"/>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Ⅱ类项目</w:t>
            </w:r>
          </w:p>
        </w:tc>
        <w:tc>
          <w:tcPr>
            <w:tcW w:w="2175" w:type="dxa"/>
            <w:tcBorders>
              <w:top w:val="single" w:color="auto" w:sz="12" w:space="0"/>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176" w:type="dxa"/>
            <w:tcBorders>
              <w:lef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敏感</w:t>
            </w:r>
          </w:p>
        </w:tc>
        <w:tc>
          <w:tcPr>
            <w:tcW w:w="2174" w:type="dxa"/>
            <w:tcBorders>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一</w:t>
            </w:r>
          </w:p>
        </w:tc>
        <w:tc>
          <w:tcPr>
            <w:tcW w:w="2175" w:type="dxa"/>
            <w:tcBorders>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一</w:t>
            </w:r>
          </w:p>
        </w:tc>
        <w:tc>
          <w:tcPr>
            <w:tcW w:w="2175" w:type="dxa"/>
            <w:tcBorders>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176" w:type="dxa"/>
            <w:tcBorders>
              <w:lef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较敏感</w:t>
            </w:r>
          </w:p>
        </w:tc>
        <w:tc>
          <w:tcPr>
            <w:tcW w:w="2174" w:type="dxa"/>
            <w:tcBorders>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一</w:t>
            </w:r>
          </w:p>
        </w:tc>
        <w:tc>
          <w:tcPr>
            <w:tcW w:w="2175" w:type="dxa"/>
            <w:tcBorders>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二</w:t>
            </w:r>
          </w:p>
        </w:tc>
        <w:tc>
          <w:tcPr>
            <w:tcW w:w="2175" w:type="dxa"/>
            <w:tcBorders>
              <w:right w:val="nil"/>
            </w:tcBorders>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76" w:type="dxa"/>
            <w:tcBorders>
              <w:left w:val="nil"/>
              <w:bottom w:val="single" w:color="auto" w:sz="12" w:space="0"/>
            </w:tcBorders>
            <w:vAlign w:val="center"/>
          </w:tcPr>
          <w:p>
            <w:pPr>
              <w:jc w:val="center"/>
              <w:rPr>
                <w:rFonts w:ascii="Times New Roman" w:hAnsi="Times New Roman"/>
                <w:kern w:val="0"/>
                <w:szCs w:val="21"/>
              </w:rPr>
            </w:pPr>
            <w:r>
              <w:rPr>
                <w:rFonts w:ascii="Times New Roman" w:hAnsi="Times New Roman"/>
                <w:kern w:val="0"/>
                <w:szCs w:val="21"/>
              </w:rPr>
              <w:t>不敏感</w:t>
            </w:r>
          </w:p>
        </w:tc>
        <w:tc>
          <w:tcPr>
            <w:tcW w:w="2174" w:type="dxa"/>
            <w:tcBorders>
              <w:bottom w:val="single" w:color="auto" w:sz="12" w:space="0"/>
              <w:right w:val="nil"/>
            </w:tcBorders>
            <w:vAlign w:val="center"/>
          </w:tcPr>
          <w:p>
            <w:pPr>
              <w:jc w:val="center"/>
              <w:rPr>
                <w:rFonts w:ascii="Times New Roman" w:hAnsi="Times New Roman"/>
                <w:kern w:val="0"/>
                <w:szCs w:val="21"/>
              </w:rPr>
            </w:pPr>
            <w:r>
              <w:rPr>
                <w:rFonts w:ascii="Times New Roman" w:hAnsi="Times New Roman"/>
                <w:kern w:val="0"/>
                <w:szCs w:val="21"/>
              </w:rPr>
              <w:t>二</w:t>
            </w:r>
          </w:p>
        </w:tc>
        <w:tc>
          <w:tcPr>
            <w:tcW w:w="2175" w:type="dxa"/>
            <w:tcBorders>
              <w:bottom w:val="single" w:color="auto" w:sz="12" w:space="0"/>
              <w:right w:val="nil"/>
            </w:tcBorders>
            <w:vAlign w:val="center"/>
          </w:tcPr>
          <w:p>
            <w:pPr>
              <w:jc w:val="center"/>
              <w:rPr>
                <w:rFonts w:ascii="Times New Roman" w:hAnsi="Times New Roman"/>
                <w:kern w:val="0"/>
                <w:szCs w:val="21"/>
              </w:rPr>
            </w:pPr>
            <w:r>
              <w:rPr>
                <w:rFonts w:ascii="Times New Roman" w:hAnsi="Times New Roman"/>
                <w:kern w:val="0"/>
                <w:szCs w:val="21"/>
              </w:rPr>
              <w:t>三</w:t>
            </w:r>
          </w:p>
        </w:tc>
        <w:tc>
          <w:tcPr>
            <w:tcW w:w="2175" w:type="dxa"/>
            <w:tcBorders>
              <w:bottom w:val="single" w:color="auto" w:sz="12" w:space="0"/>
              <w:right w:val="nil"/>
            </w:tcBorders>
            <w:vAlign w:val="center"/>
          </w:tcPr>
          <w:p>
            <w:pPr>
              <w:jc w:val="center"/>
              <w:rPr>
                <w:rFonts w:ascii="Times New Roman" w:hAnsi="Times New Roman"/>
                <w:kern w:val="0"/>
                <w:szCs w:val="21"/>
              </w:rPr>
            </w:pPr>
            <w:r>
              <w:rPr>
                <w:rFonts w:ascii="Times New Roman" w:hAnsi="Times New Roman"/>
                <w:kern w:val="0"/>
                <w:szCs w:val="21"/>
              </w:rPr>
              <w:t>三</w:t>
            </w:r>
          </w:p>
        </w:tc>
      </w:tr>
    </w:tbl>
    <w:p>
      <w:pPr>
        <w:adjustRightInd w:val="0"/>
        <w:snapToGrid w:val="0"/>
        <w:spacing w:beforeLines="50" w:line="360" w:lineRule="auto"/>
        <w:ind w:firstLine="480" w:firstLineChars="200"/>
        <w:rPr>
          <w:rFonts w:ascii="Times New Roman" w:hAnsi="Times New Roman"/>
          <w:sz w:val="24"/>
          <w:szCs w:val="21"/>
        </w:rPr>
      </w:pPr>
      <w:r>
        <w:rPr>
          <w:rFonts w:ascii="Times New Roman" w:hAnsi="Times New Roman"/>
          <w:sz w:val="24"/>
          <w:szCs w:val="21"/>
        </w:rPr>
        <w:t>根据以上判定，本项目尾矿库属于I类项目且地下水的环境敏感度为不敏感；选矿厂属于Ⅱ类项目且地下水的环境敏感度为不敏感。通过上表的等级划分依据、故确定本项目为二级评价。</w:t>
      </w:r>
    </w:p>
    <w:p>
      <w:pPr>
        <w:spacing w:line="360" w:lineRule="auto"/>
        <w:ind w:firstLine="480" w:firstLineChars="200"/>
        <w:outlineLvl w:val="0"/>
        <w:rPr>
          <w:rFonts w:ascii="Times New Roman" w:hAnsi="Times New Roman"/>
          <w:sz w:val="24"/>
        </w:rPr>
      </w:pPr>
      <w:r>
        <w:rPr>
          <w:rFonts w:ascii="Times New Roman" w:hAnsi="Times New Roman"/>
          <w:sz w:val="24"/>
        </w:rPr>
        <w:t>2、评价范围</w:t>
      </w:r>
    </w:p>
    <w:p>
      <w:pPr>
        <w:adjustRightInd w:val="0"/>
        <w:snapToGrid w:val="0"/>
        <w:spacing w:beforeLines="50" w:line="360" w:lineRule="auto"/>
        <w:ind w:firstLine="480" w:firstLineChars="200"/>
        <w:rPr>
          <w:rFonts w:ascii="Times New Roman" w:hAnsi="Times New Roman"/>
          <w:sz w:val="24"/>
          <w:szCs w:val="21"/>
        </w:rPr>
      </w:pPr>
      <w:r>
        <w:rPr>
          <w:rFonts w:ascii="Times New Roman" w:hAnsi="Times New Roman"/>
          <w:sz w:val="24"/>
          <w:szCs w:val="21"/>
        </w:rPr>
        <w:t>根据《环境影响评价技术导则-地下水环境》（HJ610-2016）的规定，地下水评价范围可以采用公式计算法、查表法和自定义法，本次环评采用公式计算法并结合项目所在区域地下水流向、区域水文地质特征及现状调查与评价内容，给出项目地下水评价范围，经核算，地下水评价范围总面积7.5km</w:t>
      </w:r>
      <w:r>
        <w:rPr>
          <w:rFonts w:ascii="Times New Roman" w:hAnsi="Times New Roman"/>
          <w:sz w:val="24"/>
          <w:szCs w:val="21"/>
          <w:vertAlign w:val="superscript"/>
        </w:rPr>
        <w:t>2</w:t>
      </w:r>
      <w:r>
        <w:rPr>
          <w:rFonts w:ascii="Times New Roman" w:hAnsi="Times New Roman"/>
          <w:sz w:val="24"/>
          <w:szCs w:val="21"/>
        </w:rPr>
        <w:t>。</w:t>
      </w:r>
    </w:p>
    <w:p>
      <w:pPr>
        <w:pStyle w:val="5"/>
        <w:spacing w:before="0" w:after="0" w:line="360" w:lineRule="auto"/>
        <w:rPr>
          <w:sz w:val="24"/>
          <w:szCs w:val="24"/>
        </w:rPr>
      </w:pPr>
      <w:bookmarkStart w:id="84" w:name="_Toc21479"/>
      <w:bookmarkStart w:id="85" w:name="_Toc32079"/>
      <w:bookmarkStart w:id="86" w:name="_Toc8582"/>
      <w:r>
        <w:rPr>
          <w:sz w:val="24"/>
          <w:szCs w:val="24"/>
        </w:rPr>
        <w:t>2.3.4噪声</w:t>
      </w:r>
      <w:bookmarkEnd w:id="84"/>
      <w:bookmarkEnd w:id="85"/>
      <w:bookmarkEnd w:id="86"/>
    </w:p>
    <w:p>
      <w:pPr>
        <w:adjustRightInd w:val="0"/>
        <w:snapToGrid w:val="0"/>
        <w:spacing w:beforeLines="50" w:line="360" w:lineRule="auto"/>
        <w:ind w:firstLine="480" w:firstLineChars="200"/>
        <w:rPr>
          <w:rFonts w:ascii="Times New Roman" w:hAnsi="Times New Roman"/>
          <w:sz w:val="24"/>
        </w:rPr>
      </w:pPr>
      <w:r>
        <w:rPr>
          <w:rFonts w:ascii="Times New Roman" w:hAnsi="Times New Roman"/>
          <w:sz w:val="24"/>
        </w:rPr>
        <w:t>1、评价等级</w:t>
      </w:r>
    </w:p>
    <w:p>
      <w:pPr>
        <w:adjustRightInd w:val="0"/>
        <w:snapToGrid w:val="0"/>
        <w:spacing w:line="360" w:lineRule="auto"/>
        <w:ind w:firstLine="480"/>
        <w:rPr>
          <w:rFonts w:ascii="Times New Roman" w:hAnsi="Times New Roman"/>
          <w:color w:val="000000"/>
          <w:sz w:val="24"/>
        </w:rPr>
      </w:pPr>
      <w:r>
        <w:rPr>
          <w:rFonts w:ascii="Times New Roman" w:hAnsi="Times New Roman"/>
          <w:color w:val="000000"/>
          <w:sz w:val="24"/>
        </w:rPr>
        <w:t>根据HJ2.4-2009《环境影响评价技术导则 声环境》规定，声环境评价工作等级的划分是由建设项目所在区域的声环境功能区类别、建设项目建设前后所在区域的声环境质量变化程度、受建设项目影响的人口数量而确定的，声环境评价级别判据详见下表。</w:t>
      </w:r>
    </w:p>
    <w:p>
      <w:pPr>
        <w:adjustRightInd w:val="0"/>
        <w:snapToGrid w:val="0"/>
        <w:jc w:val="center"/>
        <w:rPr>
          <w:rFonts w:ascii="Times New Roman" w:hAnsi="Times New Roman"/>
          <w:b/>
          <w:color w:val="000000"/>
          <w:sz w:val="24"/>
        </w:rPr>
      </w:pPr>
      <w:r>
        <w:rPr>
          <w:rFonts w:ascii="Times New Roman" w:hAnsi="Times New Roman"/>
          <w:b/>
          <w:color w:val="000000"/>
          <w:sz w:val="24"/>
        </w:rPr>
        <w:t>表2-18 声环境评价工作等级判据</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71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Align w:val="center"/>
          </w:tcPr>
          <w:p>
            <w:pPr>
              <w:jc w:val="center"/>
              <w:rPr>
                <w:rFonts w:ascii="Times New Roman" w:hAnsi="Times New Roman"/>
                <w:bCs/>
                <w:color w:val="000000"/>
                <w:szCs w:val="21"/>
              </w:rPr>
            </w:pPr>
            <w:r>
              <w:rPr>
                <w:rFonts w:ascii="Times New Roman" w:hAnsi="Times New Roman"/>
                <w:bCs/>
                <w:color w:val="000000"/>
                <w:szCs w:val="21"/>
              </w:rPr>
              <w:t>评价工作等级</w:t>
            </w:r>
          </w:p>
        </w:tc>
        <w:tc>
          <w:tcPr>
            <w:tcW w:w="7158" w:type="dxa"/>
            <w:vAlign w:val="center"/>
          </w:tcPr>
          <w:p>
            <w:pPr>
              <w:jc w:val="center"/>
              <w:rPr>
                <w:rFonts w:ascii="Times New Roman" w:hAnsi="Times New Roman"/>
                <w:bCs/>
                <w:color w:val="000000"/>
                <w:szCs w:val="21"/>
              </w:rPr>
            </w:pPr>
            <w:r>
              <w:rPr>
                <w:rFonts w:ascii="Times New Roman" w:hAnsi="Times New Roman"/>
                <w:bCs/>
                <w:color w:val="000000"/>
                <w:szCs w:val="21"/>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Align w:val="center"/>
          </w:tcPr>
          <w:p>
            <w:pPr>
              <w:ind w:right="210"/>
              <w:jc w:val="center"/>
              <w:rPr>
                <w:rFonts w:ascii="Times New Roman" w:hAnsi="Times New Roman"/>
                <w:bCs/>
                <w:color w:val="000000"/>
                <w:szCs w:val="21"/>
              </w:rPr>
            </w:pPr>
            <w:r>
              <w:rPr>
                <w:rFonts w:ascii="Times New Roman" w:hAnsi="Times New Roman"/>
                <w:bCs/>
                <w:color w:val="000000"/>
                <w:szCs w:val="21"/>
              </w:rPr>
              <w:t>一级</w:t>
            </w:r>
          </w:p>
        </w:tc>
        <w:tc>
          <w:tcPr>
            <w:tcW w:w="7158" w:type="dxa"/>
            <w:vAlign w:val="center"/>
          </w:tcPr>
          <w:p>
            <w:pPr>
              <w:ind w:right="210"/>
              <w:rPr>
                <w:rFonts w:ascii="Times New Roman" w:hAnsi="Times New Roman"/>
                <w:color w:val="000000"/>
                <w:szCs w:val="21"/>
              </w:rPr>
            </w:pPr>
            <w:r>
              <w:rPr>
                <w:rFonts w:ascii="Times New Roman" w:hAnsi="Times New Roman"/>
                <w:bCs/>
                <w:color w:val="000000"/>
                <w:szCs w:val="21"/>
              </w:rPr>
              <w:t>评价范围内有适用于GB3096规定的0类声环境功能区域，以及对噪声有特别限制要求的保护区等敏感目标，或建设项目建设前后评价范围内敏感目标噪声级增高量达5</w:t>
            </w:r>
            <w:r>
              <w:rPr>
                <w:rFonts w:ascii="Times New Roman" w:hAnsi="Times New Roman"/>
                <w:color w:val="000000"/>
                <w:szCs w:val="21"/>
              </w:rPr>
              <w:t>dB(A)以上（不含5dB(A)），或受影响人口数量显著增多。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Align w:val="center"/>
          </w:tcPr>
          <w:p>
            <w:pPr>
              <w:ind w:right="210"/>
              <w:jc w:val="center"/>
              <w:rPr>
                <w:rFonts w:ascii="Times New Roman" w:hAnsi="Times New Roman"/>
                <w:bCs/>
                <w:color w:val="000000"/>
                <w:szCs w:val="21"/>
              </w:rPr>
            </w:pPr>
            <w:r>
              <w:rPr>
                <w:rFonts w:ascii="Times New Roman" w:hAnsi="Times New Roman"/>
                <w:bCs/>
                <w:color w:val="000000"/>
                <w:szCs w:val="21"/>
              </w:rPr>
              <w:t>二级</w:t>
            </w:r>
          </w:p>
        </w:tc>
        <w:tc>
          <w:tcPr>
            <w:tcW w:w="7158" w:type="dxa"/>
            <w:vAlign w:val="center"/>
          </w:tcPr>
          <w:p>
            <w:pPr>
              <w:ind w:right="210"/>
              <w:rPr>
                <w:rFonts w:ascii="Times New Roman" w:hAnsi="Times New Roman"/>
                <w:bCs/>
                <w:color w:val="000000"/>
                <w:szCs w:val="21"/>
              </w:rPr>
            </w:pPr>
            <w:r>
              <w:rPr>
                <w:rFonts w:ascii="Times New Roman" w:hAnsi="Times New Roman"/>
                <w:bCs/>
                <w:color w:val="000000"/>
                <w:szCs w:val="21"/>
              </w:rPr>
              <w:t>建设项目所处的声环境功能区为GB3096规定的1类、2类区，或建设项目建设前后评价范围内敏感目标噪声级增高量达3</w:t>
            </w:r>
            <w:r>
              <w:rPr>
                <w:rFonts w:ascii="Times New Roman" w:hAnsi="Times New Roman"/>
                <w:color w:val="000000"/>
                <w:szCs w:val="21"/>
              </w:rPr>
              <w:t>dB(A)-5dB(A)（含5dB(A)），或受噪声影响人口数量增加较多。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vAlign w:val="center"/>
          </w:tcPr>
          <w:p>
            <w:pPr>
              <w:ind w:right="210"/>
              <w:jc w:val="center"/>
              <w:rPr>
                <w:rFonts w:ascii="Times New Roman" w:hAnsi="Times New Roman"/>
                <w:bCs/>
                <w:color w:val="000000"/>
                <w:szCs w:val="21"/>
              </w:rPr>
            </w:pPr>
            <w:r>
              <w:rPr>
                <w:rFonts w:ascii="Times New Roman" w:hAnsi="Times New Roman"/>
                <w:bCs/>
                <w:color w:val="000000"/>
                <w:szCs w:val="21"/>
              </w:rPr>
              <w:t>三级</w:t>
            </w:r>
          </w:p>
        </w:tc>
        <w:tc>
          <w:tcPr>
            <w:tcW w:w="7158" w:type="dxa"/>
            <w:vAlign w:val="center"/>
          </w:tcPr>
          <w:p>
            <w:pPr>
              <w:ind w:right="210"/>
              <w:rPr>
                <w:rFonts w:ascii="Times New Roman" w:hAnsi="Times New Roman"/>
                <w:bCs/>
                <w:color w:val="000000"/>
                <w:szCs w:val="21"/>
              </w:rPr>
            </w:pPr>
            <w:r>
              <w:rPr>
                <w:rFonts w:ascii="Times New Roman" w:hAnsi="Times New Roman"/>
                <w:bCs/>
                <w:color w:val="000000"/>
                <w:szCs w:val="21"/>
              </w:rPr>
              <w:t>建设项目所处的声环境功能区为GB3096规定的3类、4类地区，或建设项目建设前后评价范围内敏感目标噪声级增高量在3</w:t>
            </w:r>
            <w:r>
              <w:rPr>
                <w:rFonts w:ascii="Times New Roman" w:hAnsi="Times New Roman"/>
                <w:color w:val="000000"/>
                <w:szCs w:val="21"/>
              </w:rPr>
              <w:t>dB(A)以下时（不含3dB(A)），且受影响人口数量变化不大。</w:t>
            </w:r>
          </w:p>
        </w:tc>
      </w:tr>
    </w:tbl>
    <w:p>
      <w:pPr>
        <w:spacing w:beforeLines="50" w:line="360" w:lineRule="auto"/>
        <w:ind w:firstLine="480" w:firstLineChars="200"/>
        <w:rPr>
          <w:rFonts w:ascii="Times New Roman" w:hAnsi="Times New Roman"/>
          <w:sz w:val="24"/>
        </w:rPr>
      </w:pPr>
      <w:r>
        <w:rPr>
          <w:rFonts w:ascii="Times New Roman" w:hAnsi="Times New Roman"/>
          <w:sz w:val="24"/>
        </w:rPr>
        <w:t>本项目</w:t>
      </w:r>
      <w:r>
        <w:rPr>
          <w:rFonts w:hint="eastAsia" w:ascii="Times New Roman" w:hAnsi="Times New Roman"/>
          <w:sz w:val="24"/>
        </w:rPr>
        <w:t>所在区域周边声环境属于</w:t>
      </w:r>
      <w:r>
        <w:rPr>
          <w:rFonts w:ascii="Times New Roman" w:hAnsi="Times New Roman"/>
          <w:sz w:val="24"/>
        </w:rPr>
        <w:t>《声环境质量标准》（GB3096-2008）中规定的</w:t>
      </w:r>
      <w:r>
        <w:rPr>
          <w:rFonts w:hint="eastAsia" w:ascii="Times New Roman" w:hAnsi="Times New Roman"/>
          <w:sz w:val="24"/>
        </w:rPr>
        <w:t>3</w:t>
      </w:r>
      <w:r>
        <w:rPr>
          <w:rFonts w:ascii="Times New Roman" w:hAnsi="Times New Roman"/>
          <w:sz w:val="24"/>
        </w:rPr>
        <w:t>类区，</w:t>
      </w:r>
      <w:r>
        <w:rPr>
          <w:rFonts w:ascii="Times New Roman" w:hAnsi="Times New Roman"/>
          <w:bCs/>
          <w:sz w:val="24"/>
        </w:rPr>
        <w:t>建设前后评价范围内近期敏感目标噪声级增高量小于3dB</w:t>
      </w:r>
      <w:r>
        <w:rPr>
          <w:rFonts w:ascii="Times New Roman" w:hAnsi="Times New Roman"/>
          <w:sz w:val="24"/>
        </w:rPr>
        <w:t>（A），并且受影响的人口数量变化不大。故根据《环境影响评价导则 声环境》（HJ2.4-2009）中规定，确定本次噪声评价工作等级为</w:t>
      </w:r>
      <w:r>
        <w:rPr>
          <w:rFonts w:hint="eastAsia" w:ascii="Times New Roman" w:hAnsi="Times New Roman"/>
          <w:sz w:val="24"/>
        </w:rPr>
        <w:t>三级</w:t>
      </w:r>
      <w:r>
        <w:rPr>
          <w:rFonts w:ascii="Times New Roman" w:hAnsi="Times New Roman"/>
          <w:sz w:val="24"/>
        </w:rPr>
        <w:t>。</w:t>
      </w:r>
    </w:p>
    <w:p>
      <w:pPr>
        <w:spacing w:line="360" w:lineRule="auto"/>
        <w:ind w:firstLine="480" w:firstLineChars="200"/>
        <w:outlineLvl w:val="0"/>
        <w:rPr>
          <w:rFonts w:ascii="Times New Roman" w:hAnsi="Times New Roman"/>
          <w:sz w:val="24"/>
        </w:rPr>
      </w:pPr>
      <w:r>
        <w:rPr>
          <w:rFonts w:hint="eastAsia" w:ascii="Times New Roman" w:hAnsi="Times New Roman"/>
          <w:sz w:val="24"/>
        </w:rPr>
        <w:t>2、评价范围</w:t>
      </w:r>
    </w:p>
    <w:p>
      <w:pPr>
        <w:spacing w:line="360" w:lineRule="auto"/>
        <w:ind w:firstLine="480" w:firstLineChars="200"/>
        <w:rPr>
          <w:rFonts w:ascii="Times New Roman" w:hAnsi="Times New Roman"/>
          <w:sz w:val="24"/>
          <w:szCs w:val="24"/>
        </w:rPr>
      </w:pPr>
      <w:r>
        <w:rPr>
          <w:rFonts w:ascii="Times New Roman" w:hAnsi="Times New Roman"/>
          <w:sz w:val="24"/>
          <w:szCs w:val="24"/>
        </w:rPr>
        <w:t>声环境评价等级为</w:t>
      </w:r>
      <w:r>
        <w:rPr>
          <w:rFonts w:hint="eastAsia" w:ascii="Times New Roman" w:hAnsi="Times New Roman"/>
          <w:sz w:val="24"/>
          <w:szCs w:val="24"/>
        </w:rPr>
        <w:t>三级</w:t>
      </w:r>
      <w:r>
        <w:rPr>
          <w:rFonts w:ascii="Times New Roman" w:hAnsi="Times New Roman"/>
          <w:sz w:val="24"/>
          <w:szCs w:val="24"/>
        </w:rPr>
        <w:t>，</w:t>
      </w:r>
      <w:r>
        <w:rPr>
          <w:rFonts w:hint="eastAsia" w:ascii="Times New Roman" w:hAnsi="Times New Roman"/>
          <w:sz w:val="24"/>
          <w:szCs w:val="24"/>
        </w:rPr>
        <w:t>由于本项目周围200m范围内无居民故</w:t>
      </w:r>
      <w:r>
        <w:rPr>
          <w:rFonts w:ascii="Times New Roman" w:hAnsi="Times New Roman"/>
          <w:sz w:val="24"/>
          <w:szCs w:val="24"/>
        </w:rPr>
        <w:t>评价范围为</w:t>
      </w:r>
      <w:r>
        <w:rPr>
          <w:rFonts w:hint="eastAsia" w:ascii="Times New Roman" w:hAnsi="Times New Roman"/>
          <w:sz w:val="24"/>
          <w:szCs w:val="24"/>
        </w:rPr>
        <w:t>本项目所在区域</w:t>
      </w:r>
      <w:r>
        <w:rPr>
          <w:rFonts w:ascii="Times New Roman" w:hAnsi="Times New Roman"/>
          <w:sz w:val="24"/>
          <w:szCs w:val="24"/>
        </w:rPr>
        <w:t>厂界外</w:t>
      </w:r>
      <w:r>
        <w:rPr>
          <w:rFonts w:hint="eastAsia" w:ascii="Times New Roman" w:hAnsi="Times New Roman"/>
          <w:sz w:val="24"/>
          <w:szCs w:val="24"/>
        </w:rPr>
        <w:t>1</w:t>
      </w:r>
      <w:r>
        <w:rPr>
          <w:rFonts w:ascii="Times New Roman" w:hAnsi="Times New Roman"/>
          <w:sz w:val="24"/>
          <w:szCs w:val="24"/>
        </w:rPr>
        <w:t>m。</w:t>
      </w:r>
    </w:p>
    <w:p>
      <w:pPr>
        <w:pStyle w:val="5"/>
        <w:spacing w:before="0" w:after="0" w:line="360" w:lineRule="auto"/>
        <w:rPr>
          <w:color w:val="000000"/>
          <w:sz w:val="24"/>
          <w:szCs w:val="24"/>
        </w:rPr>
      </w:pPr>
      <w:bookmarkStart w:id="87" w:name="_Toc29523"/>
      <w:bookmarkStart w:id="88" w:name="_Toc6637"/>
      <w:bookmarkStart w:id="89" w:name="_Toc31110"/>
      <w:r>
        <w:rPr>
          <w:rFonts w:hint="eastAsia"/>
          <w:color w:val="000000"/>
          <w:sz w:val="24"/>
          <w:szCs w:val="24"/>
        </w:rPr>
        <w:t>2.3.5生态环境</w:t>
      </w:r>
      <w:bookmarkEnd w:id="87"/>
      <w:bookmarkEnd w:id="88"/>
      <w:bookmarkEnd w:id="89"/>
    </w:p>
    <w:p>
      <w:pPr>
        <w:spacing w:line="360" w:lineRule="auto"/>
        <w:ind w:firstLine="470"/>
        <w:rPr>
          <w:rFonts w:ascii="Times New Roman" w:hAnsi="Times New Roman"/>
          <w:bCs/>
          <w:color w:val="000000"/>
          <w:sz w:val="24"/>
          <w:szCs w:val="24"/>
        </w:rPr>
      </w:pPr>
      <w:r>
        <w:rPr>
          <w:rFonts w:hint="eastAsia" w:ascii="Times New Roman" w:hAnsi="Times New Roman"/>
          <w:bCs/>
          <w:color w:val="000000"/>
          <w:sz w:val="24"/>
          <w:szCs w:val="24"/>
        </w:rPr>
        <w:t>1、评价等级</w:t>
      </w:r>
    </w:p>
    <w:p>
      <w:pPr>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本项目扩建后总占地面积为0.076km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（合计76000m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w:t>
      </w:r>
      <w:r>
        <w:rPr>
          <w:rFonts w:ascii="Times New Roman" w:hAnsi="Times New Roman"/>
          <w:color w:val="000000"/>
          <w:sz w:val="24"/>
          <w:szCs w:val="24"/>
        </w:rPr>
        <w:t>，</w:t>
      </w:r>
      <w:r>
        <w:rPr>
          <w:rFonts w:ascii="Times New Roman" w:hAnsi="Times New Roman"/>
          <w:bCs/>
          <w:color w:val="000000"/>
          <w:sz w:val="24"/>
          <w:szCs w:val="24"/>
        </w:rPr>
        <w:t>占地性质为</w:t>
      </w:r>
      <w:r>
        <w:rPr>
          <w:rFonts w:hint="eastAsia" w:ascii="Times New Roman" w:hAnsi="Times New Roman"/>
          <w:bCs/>
          <w:color w:val="000000"/>
          <w:sz w:val="24"/>
          <w:szCs w:val="24"/>
        </w:rPr>
        <w:t>建设</w:t>
      </w:r>
      <w:r>
        <w:rPr>
          <w:rFonts w:ascii="Times New Roman" w:hAnsi="Times New Roman"/>
          <w:bCs/>
          <w:color w:val="000000"/>
          <w:sz w:val="24"/>
          <w:szCs w:val="24"/>
        </w:rPr>
        <w:t>用地，</w:t>
      </w:r>
      <w:r>
        <w:rPr>
          <w:rFonts w:hint="eastAsia" w:ascii="Times New Roman" w:hAnsi="Times New Roman"/>
          <w:bCs/>
          <w:color w:val="000000"/>
          <w:sz w:val="24"/>
          <w:szCs w:val="24"/>
        </w:rPr>
        <w:t>本次扩建项目新增林地4000m</w:t>
      </w:r>
      <w:r>
        <w:rPr>
          <w:rFonts w:hint="eastAsia" w:ascii="Times New Roman" w:hAnsi="Times New Roman"/>
          <w:bCs/>
          <w:color w:val="000000"/>
          <w:sz w:val="24"/>
          <w:szCs w:val="24"/>
          <w:vertAlign w:val="superscript"/>
        </w:rPr>
        <w:t>2</w:t>
      </w:r>
      <w:r>
        <w:rPr>
          <w:rFonts w:ascii="Times New Roman" w:hAnsi="Times New Roman"/>
          <w:bCs/>
          <w:color w:val="000000"/>
          <w:sz w:val="24"/>
          <w:szCs w:val="24"/>
        </w:rPr>
        <w:t>，改变土地利用类型。</w:t>
      </w:r>
      <w:r>
        <w:rPr>
          <w:rFonts w:ascii="Times New Roman" w:hAnsi="Times New Roman"/>
          <w:color w:val="000000"/>
          <w:sz w:val="24"/>
          <w:szCs w:val="24"/>
        </w:rPr>
        <w:t>本项目所在区域不属于《环境影响评价技术导则·生态影响》所指的特殊生态敏感区（自然保护区、世界文化和自然遗产地）和重要生态敏感区（风景名胜区、森林公园、地质公园、重要湿地、原始天然林、珍稀濒危野生动植物天然集中分布区、重要水生生物的自然产卵场及索饵场、越冬场和洄游通道、天然渔场），为生态敏感性一般区域。</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但根据《环境影响评价技术导则-生态影响》（HJ19-2011）中4.2.3在矿山开采可能导致矿区土地利用类型明显改变，或栏河闸坝建设可能明显改变水文情势等情况下，评价工作等级上调一级，</w:t>
      </w:r>
      <w:r>
        <w:rPr>
          <w:rFonts w:hint="eastAsia" w:ascii="Times New Roman" w:hAnsi="Times New Roman"/>
          <w:color w:val="000000"/>
          <w:sz w:val="24"/>
          <w:szCs w:val="24"/>
        </w:rPr>
        <w:t>本次扩建项目尾矿库新增占地面积较大</w:t>
      </w:r>
      <w:r>
        <w:rPr>
          <w:rFonts w:ascii="Times New Roman" w:hAnsi="Times New Roman"/>
          <w:color w:val="000000"/>
          <w:sz w:val="24"/>
          <w:szCs w:val="24"/>
        </w:rPr>
        <w:t>，矿山开采过程中会对土地利用类型发生改变，因此确定本项目生态环境影响评价等级确定为二级。</w:t>
      </w:r>
    </w:p>
    <w:p>
      <w:pPr>
        <w:widowControl/>
        <w:ind w:firstLine="200" w:firstLineChars="83"/>
        <w:jc w:val="center"/>
        <w:rPr>
          <w:rFonts w:ascii="Times New Roman" w:hAnsi="Times New Roman"/>
          <w:color w:val="000000"/>
          <w:kern w:val="0"/>
          <w:sz w:val="24"/>
          <w:szCs w:val="24"/>
        </w:rPr>
      </w:pPr>
      <w:r>
        <w:rPr>
          <w:rFonts w:ascii="Times New Roman" w:hAnsi="Times New Roman"/>
          <w:b/>
          <w:color w:val="000000"/>
          <w:kern w:val="0"/>
          <w:sz w:val="24"/>
          <w:szCs w:val="24"/>
        </w:rPr>
        <w:t>表2-</w:t>
      </w:r>
      <w:r>
        <w:rPr>
          <w:rFonts w:hint="eastAsia" w:ascii="Times New Roman" w:hAnsi="Times New Roman"/>
          <w:b/>
          <w:color w:val="000000"/>
          <w:kern w:val="0"/>
          <w:sz w:val="24"/>
          <w:szCs w:val="24"/>
        </w:rPr>
        <w:t>19</w:t>
      </w:r>
      <w:r>
        <w:rPr>
          <w:rFonts w:ascii="Times New Roman" w:hAnsi="Times New Roman"/>
          <w:b/>
          <w:color w:val="000000"/>
          <w:kern w:val="0"/>
          <w:sz w:val="24"/>
          <w:szCs w:val="24"/>
        </w:rPr>
        <w:t xml:space="preserve"> 生态环境影响评价工作等级划分表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80"/>
        <w:gridCol w:w="2180"/>
        <w:gridCol w:w="2180"/>
        <w:gridCol w:w="21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180" w:type="dxa"/>
            <w:vMerge w:val="restart"/>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影响区域生态敏感性</w:t>
            </w:r>
          </w:p>
        </w:tc>
        <w:tc>
          <w:tcPr>
            <w:tcW w:w="6540" w:type="dxa"/>
            <w:gridSpan w:val="3"/>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工程占地（水域）范围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180" w:type="dxa"/>
            <w:vMerge w:val="continue"/>
            <w:vAlign w:val="center"/>
          </w:tcPr>
          <w:p>
            <w:pPr>
              <w:adjustRightInd w:val="0"/>
              <w:snapToGrid w:val="0"/>
              <w:rPr>
                <w:rFonts w:ascii="Times New Roman" w:hAnsi="Times New Roman"/>
                <w:color w:val="000000"/>
                <w:szCs w:val="21"/>
              </w:rPr>
            </w:pPr>
          </w:p>
        </w:tc>
        <w:tc>
          <w:tcPr>
            <w:tcW w:w="2180" w:type="dxa"/>
            <w:vAlign w:val="center"/>
          </w:tcPr>
          <w:p>
            <w:pPr>
              <w:autoSpaceDE w:val="0"/>
              <w:autoSpaceDN w:val="0"/>
              <w:adjustRightInd w:val="0"/>
              <w:snapToGrid w:val="0"/>
              <w:jc w:val="center"/>
              <w:rPr>
                <w:rFonts w:ascii="Times New Roman" w:hAnsi="Times New Roman"/>
                <w:color w:val="000000"/>
                <w:kern w:val="0"/>
                <w:szCs w:val="21"/>
                <w:vertAlign w:val="superscript"/>
              </w:rPr>
            </w:pPr>
            <w:r>
              <w:rPr>
                <w:rFonts w:ascii="Times New Roman" w:hAnsi="Times New Roman"/>
                <w:color w:val="000000"/>
                <w:kern w:val="0"/>
                <w:szCs w:val="21"/>
              </w:rPr>
              <w:t>面积≥20km</w:t>
            </w:r>
            <w:r>
              <w:rPr>
                <w:rFonts w:ascii="Times New Roman" w:hAnsi="Times New Roman"/>
                <w:color w:val="000000"/>
                <w:kern w:val="0"/>
                <w:szCs w:val="21"/>
                <w:vertAlign w:val="superscript"/>
              </w:rPr>
              <w:t>2</w:t>
            </w:r>
          </w:p>
          <w:p>
            <w:pPr>
              <w:autoSpaceDE w:val="0"/>
              <w:autoSpaceDN w:val="0"/>
              <w:adjustRightInd w:val="0"/>
              <w:snapToGrid w:val="0"/>
              <w:jc w:val="center"/>
              <w:rPr>
                <w:rFonts w:ascii="Times New Roman" w:hAnsi="Times New Roman"/>
                <w:color w:val="000000"/>
                <w:kern w:val="0"/>
                <w:szCs w:val="21"/>
              </w:rPr>
            </w:pPr>
            <w:r>
              <w:rPr>
                <w:rFonts w:ascii="Times New Roman" w:hAnsi="Times New Roman"/>
                <w:color w:val="000000"/>
                <w:kern w:val="0"/>
                <w:szCs w:val="21"/>
              </w:rPr>
              <w:t>或长度≥100km</w:t>
            </w:r>
          </w:p>
        </w:tc>
        <w:tc>
          <w:tcPr>
            <w:tcW w:w="2180" w:type="dxa"/>
            <w:vAlign w:val="center"/>
          </w:tcPr>
          <w:p>
            <w:pPr>
              <w:autoSpaceDE w:val="0"/>
              <w:autoSpaceDN w:val="0"/>
              <w:adjustRightInd w:val="0"/>
              <w:snapToGrid w:val="0"/>
              <w:jc w:val="center"/>
              <w:rPr>
                <w:rFonts w:ascii="Times New Roman" w:hAnsi="Times New Roman"/>
                <w:color w:val="000000"/>
                <w:kern w:val="0"/>
                <w:szCs w:val="21"/>
              </w:rPr>
            </w:pPr>
            <w:r>
              <w:rPr>
                <w:rFonts w:ascii="Times New Roman" w:hAnsi="Times New Roman"/>
                <w:color w:val="000000"/>
                <w:kern w:val="0"/>
                <w:szCs w:val="21"/>
              </w:rPr>
              <w:t>面积2km</w:t>
            </w:r>
            <w:r>
              <w:rPr>
                <w:rFonts w:ascii="Times New Roman" w:hAnsi="Times New Roman"/>
                <w:color w:val="000000"/>
                <w:kern w:val="0"/>
                <w:szCs w:val="21"/>
                <w:vertAlign w:val="superscript"/>
              </w:rPr>
              <w:t>2</w:t>
            </w:r>
            <w:r>
              <w:rPr>
                <w:rFonts w:ascii="Times New Roman" w:hAnsi="Times New Roman"/>
                <w:color w:val="000000"/>
                <w:kern w:val="0"/>
                <w:szCs w:val="21"/>
              </w:rPr>
              <w:t>～20km</w:t>
            </w:r>
            <w:r>
              <w:rPr>
                <w:rFonts w:ascii="Times New Roman" w:hAnsi="Times New Roman"/>
                <w:color w:val="000000"/>
                <w:kern w:val="0"/>
                <w:szCs w:val="21"/>
                <w:vertAlign w:val="superscript"/>
              </w:rPr>
              <w:t>2</w:t>
            </w:r>
            <w:r>
              <w:rPr>
                <w:rFonts w:ascii="Times New Roman" w:hAnsi="Times New Roman"/>
                <w:color w:val="000000"/>
                <w:kern w:val="0"/>
                <w:szCs w:val="21"/>
              </w:rPr>
              <w:t>或长度50km～100km</w:t>
            </w:r>
          </w:p>
        </w:tc>
        <w:tc>
          <w:tcPr>
            <w:tcW w:w="2180" w:type="dxa"/>
            <w:vAlign w:val="center"/>
          </w:tcPr>
          <w:p>
            <w:pPr>
              <w:autoSpaceDE w:val="0"/>
              <w:autoSpaceDN w:val="0"/>
              <w:adjustRightInd w:val="0"/>
              <w:snapToGrid w:val="0"/>
              <w:jc w:val="center"/>
              <w:rPr>
                <w:rFonts w:ascii="Times New Roman" w:hAnsi="Times New Roman"/>
                <w:color w:val="000000"/>
                <w:kern w:val="0"/>
                <w:szCs w:val="21"/>
              </w:rPr>
            </w:pPr>
            <w:r>
              <w:rPr>
                <w:rFonts w:ascii="Times New Roman" w:hAnsi="Times New Roman"/>
                <w:color w:val="000000"/>
                <w:kern w:val="0"/>
                <w:szCs w:val="21"/>
              </w:rPr>
              <w:t>面积≤2.0km</w:t>
            </w:r>
            <w:r>
              <w:rPr>
                <w:rFonts w:ascii="Times New Roman" w:hAnsi="Times New Roman"/>
                <w:color w:val="000000"/>
                <w:kern w:val="0"/>
                <w:szCs w:val="21"/>
                <w:vertAlign w:val="superscript"/>
              </w:rPr>
              <w:t>2</w:t>
            </w:r>
          </w:p>
          <w:p>
            <w:pPr>
              <w:adjustRightInd w:val="0"/>
              <w:snapToGrid w:val="0"/>
              <w:jc w:val="center"/>
              <w:rPr>
                <w:rFonts w:ascii="Times New Roman" w:hAnsi="Times New Roman"/>
                <w:color w:val="000000"/>
                <w:szCs w:val="21"/>
              </w:rPr>
            </w:pPr>
            <w:r>
              <w:rPr>
                <w:rFonts w:ascii="Times New Roman" w:hAnsi="Times New Roman"/>
                <w:color w:val="000000"/>
                <w:kern w:val="0"/>
                <w:szCs w:val="21"/>
              </w:rPr>
              <w:t>或长度≤50km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特殊生态敏感区</w:t>
            </w:r>
          </w:p>
        </w:tc>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一级</w:t>
            </w:r>
          </w:p>
        </w:tc>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一级</w:t>
            </w:r>
          </w:p>
        </w:tc>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一级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重要生态敏感区</w:t>
            </w:r>
          </w:p>
        </w:tc>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一级</w:t>
            </w:r>
          </w:p>
        </w:tc>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二级</w:t>
            </w:r>
          </w:p>
        </w:tc>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一般区域</w:t>
            </w:r>
          </w:p>
        </w:tc>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二级</w:t>
            </w:r>
          </w:p>
        </w:tc>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三级</w:t>
            </w:r>
          </w:p>
        </w:tc>
        <w:tc>
          <w:tcPr>
            <w:tcW w:w="218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720" w:type="dxa"/>
            <w:gridSpan w:val="4"/>
            <w:vAlign w:val="center"/>
          </w:tcPr>
          <w:p>
            <w:pPr>
              <w:autoSpaceDE w:val="0"/>
              <w:autoSpaceDN w:val="0"/>
              <w:adjustRightInd w:val="0"/>
              <w:snapToGrid w:val="0"/>
              <w:jc w:val="left"/>
              <w:rPr>
                <w:rFonts w:ascii="Times New Roman" w:hAnsi="Times New Roman"/>
                <w:color w:val="000000"/>
                <w:kern w:val="0"/>
                <w:szCs w:val="21"/>
              </w:rPr>
            </w:pPr>
            <w:r>
              <w:rPr>
                <w:rFonts w:ascii="Times New Roman" w:hAnsi="Times New Roman"/>
                <w:color w:val="000000"/>
              </w:rPr>
              <w:t>在矿区开采可能导致矿区土地利用类型明显改变，或拦河闸坝建设可能明显改变水文情势等情况下，评价工作等级应上调一级。</w:t>
            </w:r>
          </w:p>
        </w:tc>
      </w:tr>
    </w:tbl>
    <w:p>
      <w:pPr>
        <w:tabs>
          <w:tab w:val="left" w:pos="614"/>
        </w:tabs>
        <w:spacing w:beforeLines="50"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2、评价范围</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根据</w:t>
      </w:r>
      <w:r>
        <w:rPr>
          <w:rFonts w:ascii="Times New Roman" w:hAnsi="Times New Roman"/>
          <w:color w:val="000000"/>
          <w:sz w:val="24"/>
        </w:rPr>
        <w:t>《环境影响评价技术导则-生态影响》（HJ19-2011）要求</w:t>
      </w:r>
      <w:r>
        <w:rPr>
          <w:rFonts w:ascii="Times New Roman" w:hAnsi="Times New Roman"/>
          <w:color w:val="000000"/>
          <w:sz w:val="24"/>
          <w:szCs w:val="24"/>
        </w:rPr>
        <w:t>，生态环境评价范围确定为本项目所在区域的范围外扩500m，评价范围面积约为1.81</w:t>
      </w:r>
      <w:r>
        <w:rPr>
          <w:rFonts w:ascii="Times New Roman" w:hAnsi="Times New Roman"/>
          <w:color w:val="000000"/>
          <w:sz w:val="24"/>
        </w:rPr>
        <w:t>km</w:t>
      </w:r>
      <w:r>
        <w:rPr>
          <w:rFonts w:ascii="Times New Roman" w:hAnsi="Times New Roman"/>
          <w:color w:val="000000"/>
          <w:sz w:val="24"/>
          <w:vertAlign w:val="superscript"/>
        </w:rPr>
        <w:t>2</w:t>
      </w:r>
      <w:r>
        <w:rPr>
          <w:rFonts w:ascii="Times New Roman" w:hAnsi="Times New Roman"/>
          <w:color w:val="000000"/>
          <w:sz w:val="24"/>
          <w:szCs w:val="24"/>
        </w:rPr>
        <w:t>。</w:t>
      </w:r>
    </w:p>
    <w:p>
      <w:pPr>
        <w:pStyle w:val="5"/>
        <w:spacing w:before="0" w:after="0" w:line="360" w:lineRule="auto"/>
        <w:rPr>
          <w:color w:val="000000"/>
          <w:sz w:val="24"/>
          <w:szCs w:val="24"/>
        </w:rPr>
      </w:pPr>
      <w:bookmarkStart w:id="90" w:name="_Toc5275"/>
      <w:bookmarkStart w:id="91" w:name="_Toc7367"/>
      <w:bookmarkStart w:id="92" w:name="_Toc4181"/>
      <w:r>
        <w:rPr>
          <w:rFonts w:hint="eastAsia"/>
          <w:color w:val="000000"/>
          <w:sz w:val="24"/>
          <w:szCs w:val="24"/>
        </w:rPr>
        <w:t>2.3.6环境风险</w:t>
      </w:r>
      <w:bookmarkEnd w:id="90"/>
      <w:bookmarkEnd w:id="91"/>
      <w:bookmarkEnd w:id="92"/>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1、评价等级</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本项目主要风险因子为尾矿库风险事故。</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（1）尾矿库环境风险等级划分指标体系</w:t>
      </w:r>
    </w:p>
    <w:p>
      <w:pPr>
        <w:spacing w:line="360" w:lineRule="auto"/>
        <w:ind w:firstLine="480" w:firstLineChars="200"/>
        <w:rPr>
          <w:rFonts w:ascii="Times New Roman" w:hAnsi="Times New Roman"/>
          <w:color w:val="000000"/>
          <w:sz w:val="24"/>
        </w:rPr>
      </w:pPr>
      <w:r>
        <w:rPr>
          <w:rFonts w:ascii="Times New Roman" w:hAnsi="Times New Roman"/>
          <w:color w:val="000000"/>
          <w:sz w:val="24"/>
        </w:rPr>
        <w:t>根据《尾矿库环境风险评估技术导则（试行）》（HJ740-2015），利用层次分析法，从尾矿库的环境危害性（H）、周边环境敏感性（S）、控制机制可靠性（R）三方面进行尾矿库环境风险等级划分。</w:t>
      </w:r>
    </w:p>
    <w:p>
      <w:pPr>
        <w:spacing w:line="360" w:lineRule="auto"/>
        <w:rPr>
          <w:rFonts w:ascii="Times New Roman" w:hAnsi="Times New Roman"/>
          <w:color w:val="000000"/>
          <w:sz w:val="24"/>
        </w:rPr>
      </w:pPr>
      <w:r>
        <w:rPr>
          <w:rFonts w:ascii="Times New Roman" w:hAnsi="Times New Roman"/>
          <w:color w:val="000000"/>
          <w:sz w:val="24"/>
        </w:rPr>
        <w:drawing>
          <wp:inline distT="0" distB="0" distL="0" distR="0">
            <wp:extent cx="5382895" cy="1130300"/>
            <wp:effectExtent l="19050" t="0" r="8255" b="0"/>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pic:cNvPicPr>
                      <a:picLocks noChangeAspect="1" noChangeArrowheads="1"/>
                    </pic:cNvPicPr>
                  </pic:nvPicPr>
                  <pic:blipFill>
                    <a:blip r:embed="rId10" cstate="print"/>
                    <a:srcRect/>
                    <a:stretch>
                      <a:fillRect/>
                    </a:stretch>
                  </pic:blipFill>
                  <pic:spPr>
                    <a:xfrm>
                      <a:off x="0" y="0"/>
                      <a:ext cx="5382895" cy="1130300"/>
                    </a:xfrm>
                    <a:prstGeom prst="rect">
                      <a:avLst/>
                    </a:prstGeom>
                    <a:noFill/>
                    <a:ln w="9525" cmpd="sng">
                      <a:noFill/>
                      <a:miter lim="800000"/>
                      <a:headEnd/>
                      <a:tailEnd/>
                    </a:ln>
                  </pic:spPr>
                </pic:pic>
              </a:graphicData>
            </a:graphic>
          </wp:inline>
        </w:drawing>
      </w:r>
    </w:p>
    <w:p>
      <w:pPr>
        <w:pStyle w:val="76"/>
        <w:jc w:val="center"/>
        <w:rPr>
          <w:b/>
          <w:color w:val="000000"/>
          <w:sz w:val="24"/>
        </w:rPr>
      </w:pPr>
      <w:r>
        <w:rPr>
          <w:b/>
          <w:color w:val="000000"/>
          <w:sz w:val="24"/>
        </w:rPr>
        <w:t>图2-1  尾矿库环境风险等级划分指标体系</w:t>
      </w:r>
    </w:p>
    <w:p>
      <w:pPr>
        <w:spacing w:line="360" w:lineRule="auto"/>
        <w:ind w:firstLine="480" w:firstLineChars="200"/>
        <w:outlineLvl w:val="0"/>
        <w:rPr>
          <w:rFonts w:ascii="Times New Roman" w:hAnsi="Times New Roman"/>
          <w:color w:val="000000"/>
          <w:sz w:val="24"/>
        </w:rPr>
      </w:pPr>
      <w:r>
        <w:rPr>
          <w:rFonts w:hint="eastAsia" w:ascii="Times New Roman" w:hAnsi="Times New Roman"/>
          <w:color w:val="000000"/>
          <w:sz w:val="24"/>
        </w:rPr>
        <w:t>（2）环境危害性（H）</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采用评分方法，对类型、性质和规模三方面指标进行评分（各指标评分方法详见附录B）与累加求和，评估尾矿库环境危害性（H）。</w:t>
      </w:r>
    </w:p>
    <w:p>
      <w:pPr>
        <w:jc w:val="center"/>
        <w:rPr>
          <w:rFonts w:ascii="Times New Roman" w:hAnsi="Times New Roman"/>
          <w:b/>
          <w:bCs/>
          <w:sz w:val="24"/>
          <w:szCs w:val="24"/>
        </w:rPr>
      </w:pPr>
      <w:r>
        <w:rPr>
          <w:rFonts w:ascii="Times New Roman" w:hAnsi="Times New Roman"/>
          <w:b/>
          <w:bCs/>
          <w:sz w:val="24"/>
          <w:szCs w:val="24"/>
        </w:rPr>
        <w:t>表2-2</w:t>
      </w:r>
      <w:r>
        <w:rPr>
          <w:rFonts w:hint="eastAsia" w:ascii="Times New Roman" w:hAnsi="Times New Roman"/>
          <w:b/>
          <w:bCs/>
          <w:sz w:val="24"/>
          <w:szCs w:val="24"/>
        </w:rPr>
        <w:t>0</w:t>
      </w:r>
      <w:r>
        <w:rPr>
          <w:rFonts w:ascii="Times New Roman" w:hAnsi="Times New Roman"/>
          <w:b/>
          <w:bCs/>
          <w:sz w:val="24"/>
          <w:szCs w:val="24"/>
        </w:rPr>
        <w:t xml:space="preserve"> 尾矿库环境危害性（H）等别划分指标体系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6"/>
        <w:gridCol w:w="1066"/>
        <w:gridCol w:w="1066"/>
        <w:gridCol w:w="1067"/>
        <w:gridCol w:w="1067"/>
        <w:gridCol w:w="1067"/>
        <w:gridCol w:w="1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序号</w:t>
            </w:r>
          </w:p>
        </w:tc>
        <w:tc>
          <w:tcPr>
            <w:tcW w:w="5332" w:type="dxa"/>
            <w:gridSpan w:val="5"/>
            <w:vAlign w:val="center"/>
          </w:tcPr>
          <w:p>
            <w:pPr>
              <w:jc w:val="center"/>
              <w:rPr>
                <w:rFonts w:ascii="Times New Roman" w:hAnsi="Times New Roman"/>
                <w:szCs w:val="21"/>
              </w:rPr>
            </w:pPr>
            <w:r>
              <w:rPr>
                <w:rFonts w:hint="eastAsia" w:ascii="Times New Roman" w:hAnsi="Times New Roman"/>
                <w:szCs w:val="21"/>
              </w:rPr>
              <w:t>指标项目</w:t>
            </w:r>
          </w:p>
        </w:tc>
        <w:tc>
          <w:tcPr>
            <w:tcW w:w="1067" w:type="dxa"/>
            <w:vAlign w:val="center"/>
          </w:tcPr>
          <w:p>
            <w:pPr>
              <w:jc w:val="center"/>
              <w:rPr>
                <w:rFonts w:ascii="Times New Roman" w:hAnsi="Times New Roman"/>
                <w:szCs w:val="21"/>
              </w:rPr>
            </w:pPr>
            <w:r>
              <w:rPr>
                <w:rFonts w:hint="eastAsia" w:ascii="Times New Roman" w:hAnsi="Times New Roman"/>
                <w:szCs w:val="21"/>
              </w:rPr>
              <w:t>指标分值</w:t>
            </w:r>
          </w:p>
        </w:tc>
        <w:tc>
          <w:tcPr>
            <w:tcW w:w="1067" w:type="dxa"/>
            <w:vAlign w:val="center"/>
          </w:tcPr>
          <w:p>
            <w:pPr>
              <w:jc w:val="center"/>
              <w:rPr>
                <w:rFonts w:ascii="Times New Roman" w:hAnsi="Times New Roman"/>
                <w:szCs w:val="21"/>
              </w:rPr>
            </w:pPr>
            <w:r>
              <w:rPr>
                <w:rFonts w:hint="eastAsia" w:ascii="Times New Roman" w:hAnsi="Times New Roman"/>
                <w:szCs w:val="21"/>
              </w:rPr>
              <w:t>本项目</w:t>
            </w:r>
          </w:p>
          <w:p>
            <w:pPr>
              <w:jc w:val="center"/>
              <w:rPr>
                <w:rFonts w:ascii="Times New Roman" w:hAnsi="Times New Roman"/>
                <w:szCs w:val="21"/>
              </w:rPr>
            </w:pPr>
            <w:r>
              <w:rPr>
                <w:rFonts w:hint="eastAsia" w:ascii="Times New Roman" w:hAnsi="Times New Roman"/>
                <w:szCs w:val="21"/>
              </w:rPr>
              <w:t>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1</w:t>
            </w:r>
          </w:p>
        </w:tc>
        <w:tc>
          <w:tcPr>
            <w:tcW w:w="1066" w:type="dxa"/>
            <w:vMerge w:val="restart"/>
            <w:vAlign w:val="center"/>
          </w:tcPr>
          <w:p>
            <w:pPr>
              <w:jc w:val="center"/>
              <w:rPr>
                <w:rFonts w:ascii="Times New Roman" w:hAnsi="Times New Roman"/>
                <w:szCs w:val="21"/>
              </w:rPr>
            </w:pPr>
          </w:p>
          <w:p>
            <w:pPr>
              <w:jc w:val="center"/>
              <w:rPr>
                <w:rFonts w:ascii="Times New Roman" w:hAnsi="Times New Roman"/>
                <w:szCs w:val="21"/>
              </w:rPr>
            </w:pPr>
            <w:r>
              <w:rPr>
                <w:rFonts w:hint="eastAsia" w:ascii="Times New Roman" w:hAnsi="Times New Roman"/>
                <w:szCs w:val="21"/>
              </w:rPr>
              <w:t>尾矿库环境危害性</w:t>
            </w:r>
          </w:p>
        </w:tc>
        <w:tc>
          <w:tcPr>
            <w:tcW w:w="1066" w:type="dxa"/>
            <w:vAlign w:val="center"/>
          </w:tcPr>
          <w:p>
            <w:pPr>
              <w:jc w:val="center"/>
              <w:rPr>
                <w:rFonts w:ascii="Times New Roman" w:hAnsi="Times New Roman"/>
                <w:szCs w:val="21"/>
              </w:rPr>
            </w:pPr>
            <w:r>
              <w:rPr>
                <w:rFonts w:hint="eastAsia" w:ascii="Times New Roman" w:hAnsi="Times New Roman"/>
                <w:szCs w:val="21"/>
              </w:rPr>
              <w:t>类型</w:t>
            </w:r>
          </w:p>
        </w:tc>
        <w:tc>
          <w:tcPr>
            <w:tcW w:w="3200" w:type="dxa"/>
            <w:gridSpan w:val="3"/>
            <w:vAlign w:val="center"/>
          </w:tcPr>
          <w:p>
            <w:pPr>
              <w:jc w:val="center"/>
              <w:rPr>
                <w:rFonts w:ascii="Times New Roman" w:hAnsi="Times New Roman"/>
                <w:szCs w:val="21"/>
              </w:rPr>
            </w:pPr>
            <w:r>
              <w:rPr>
                <w:rFonts w:hint="eastAsia" w:ascii="Times New Roman" w:hAnsi="Times New Roman"/>
                <w:szCs w:val="21"/>
              </w:rPr>
              <w:t>矿种类型/固体废物类型/尾矿（或尾矿水）成分类型</w:t>
            </w:r>
          </w:p>
        </w:tc>
        <w:tc>
          <w:tcPr>
            <w:tcW w:w="1067" w:type="dxa"/>
            <w:vAlign w:val="center"/>
          </w:tcPr>
          <w:p>
            <w:pPr>
              <w:jc w:val="center"/>
              <w:rPr>
                <w:rFonts w:ascii="Times New Roman" w:hAnsi="Times New Roman"/>
                <w:szCs w:val="21"/>
              </w:rPr>
            </w:pPr>
            <w:r>
              <w:rPr>
                <w:rFonts w:hint="eastAsia" w:ascii="Times New Roman" w:hAnsi="Times New Roman"/>
                <w:szCs w:val="21"/>
              </w:rPr>
              <w:t>48</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2</w:t>
            </w:r>
          </w:p>
        </w:tc>
        <w:tc>
          <w:tcPr>
            <w:tcW w:w="1066" w:type="dxa"/>
            <w:vMerge w:val="continue"/>
            <w:vAlign w:val="center"/>
          </w:tcPr>
          <w:p>
            <w:pPr>
              <w:jc w:val="center"/>
              <w:rPr>
                <w:rFonts w:ascii="Times New Roman" w:hAnsi="Times New Roman"/>
                <w:szCs w:val="21"/>
              </w:rPr>
            </w:pPr>
          </w:p>
        </w:tc>
        <w:tc>
          <w:tcPr>
            <w:tcW w:w="1066" w:type="dxa"/>
            <w:vMerge w:val="restart"/>
            <w:vAlign w:val="center"/>
          </w:tcPr>
          <w:p>
            <w:pPr>
              <w:jc w:val="center"/>
              <w:rPr>
                <w:rFonts w:ascii="Times New Roman" w:hAnsi="Times New Roman"/>
                <w:szCs w:val="21"/>
              </w:rPr>
            </w:pPr>
            <w:r>
              <w:rPr>
                <w:rFonts w:hint="eastAsia" w:ascii="Times New Roman" w:hAnsi="Times New Roman"/>
                <w:szCs w:val="21"/>
              </w:rPr>
              <w:t>性质</w:t>
            </w:r>
          </w:p>
        </w:tc>
        <w:tc>
          <w:tcPr>
            <w:tcW w:w="1066" w:type="dxa"/>
            <w:vMerge w:val="restart"/>
            <w:vAlign w:val="center"/>
          </w:tcPr>
          <w:p>
            <w:pPr>
              <w:jc w:val="center"/>
              <w:rPr>
                <w:rFonts w:ascii="Times New Roman" w:hAnsi="Times New Roman"/>
                <w:szCs w:val="21"/>
              </w:rPr>
            </w:pPr>
            <w:r>
              <w:rPr>
                <w:rFonts w:hint="eastAsia" w:ascii="Times New Roman" w:hAnsi="Times New Roman"/>
                <w:szCs w:val="21"/>
              </w:rPr>
              <w:t>特征污染物指标浓度情况</w:t>
            </w:r>
          </w:p>
        </w:tc>
        <w:tc>
          <w:tcPr>
            <w:tcW w:w="1067" w:type="dxa"/>
            <w:vMerge w:val="restart"/>
            <w:vAlign w:val="center"/>
          </w:tcPr>
          <w:p>
            <w:pPr>
              <w:jc w:val="center"/>
              <w:rPr>
                <w:rFonts w:ascii="Times New Roman" w:hAnsi="Times New Roman"/>
                <w:szCs w:val="21"/>
              </w:rPr>
            </w:pPr>
            <w:r>
              <w:rPr>
                <w:rFonts w:hint="eastAsia" w:ascii="Times New Roman" w:hAnsi="Times New Roman"/>
                <w:szCs w:val="21"/>
              </w:rPr>
              <w:t>浓度倍数情况</w:t>
            </w:r>
          </w:p>
        </w:tc>
        <w:tc>
          <w:tcPr>
            <w:tcW w:w="1067" w:type="dxa"/>
            <w:vAlign w:val="center"/>
          </w:tcPr>
          <w:p>
            <w:pPr>
              <w:jc w:val="center"/>
              <w:rPr>
                <w:rFonts w:ascii="Times New Roman" w:hAnsi="Times New Roman"/>
                <w:szCs w:val="21"/>
              </w:rPr>
            </w:pPr>
            <w:r>
              <w:rPr>
                <w:rFonts w:hint="eastAsia" w:ascii="Times New Roman" w:hAnsi="Times New Roman"/>
                <w:szCs w:val="21"/>
              </w:rPr>
              <w:t>pH值</w:t>
            </w:r>
          </w:p>
        </w:tc>
        <w:tc>
          <w:tcPr>
            <w:tcW w:w="1067" w:type="dxa"/>
            <w:vAlign w:val="center"/>
          </w:tcPr>
          <w:p>
            <w:pPr>
              <w:jc w:val="center"/>
              <w:rPr>
                <w:rFonts w:ascii="Times New Roman" w:hAnsi="Times New Roman"/>
                <w:szCs w:val="21"/>
              </w:rPr>
            </w:pPr>
            <w:r>
              <w:rPr>
                <w:rFonts w:hint="eastAsia" w:ascii="Times New Roman" w:hAnsi="Times New Roman"/>
                <w:szCs w:val="21"/>
              </w:rPr>
              <w:t>8</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3</w:t>
            </w:r>
          </w:p>
        </w:tc>
        <w:tc>
          <w:tcPr>
            <w:tcW w:w="1066" w:type="dxa"/>
            <w:vMerge w:val="continue"/>
            <w:vAlign w:val="center"/>
          </w:tcPr>
          <w:p>
            <w:pPr>
              <w:jc w:val="center"/>
              <w:rPr>
                <w:rFonts w:ascii="Times New Roman" w:hAnsi="Times New Roman"/>
                <w:szCs w:val="21"/>
              </w:rPr>
            </w:pPr>
          </w:p>
        </w:tc>
        <w:tc>
          <w:tcPr>
            <w:tcW w:w="1066" w:type="dxa"/>
            <w:vMerge w:val="continue"/>
            <w:vAlign w:val="center"/>
          </w:tcPr>
          <w:p>
            <w:pPr>
              <w:jc w:val="center"/>
              <w:rPr>
                <w:rFonts w:ascii="Times New Roman" w:hAnsi="Times New Roman"/>
                <w:szCs w:val="21"/>
              </w:rPr>
            </w:pPr>
          </w:p>
        </w:tc>
        <w:tc>
          <w:tcPr>
            <w:tcW w:w="1066" w:type="dxa"/>
            <w:vMerge w:val="continue"/>
            <w:vAlign w:val="center"/>
          </w:tcPr>
          <w:p>
            <w:pPr>
              <w:jc w:val="center"/>
              <w:rPr>
                <w:rFonts w:ascii="Times New Roman" w:hAnsi="Times New Roman"/>
                <w:szCs w:val="21"/>
              </w:rPr>
            </w:pPr>
          </w:p>
        </w:tc>
        <w:tc>
          <w:tcPr>
            <w:tcW w:w="1067" w:type="dxa"/>
            <w:vMerge w:val="continue"/>
            <w:vAlign w:val="center"/>
          </w:tcPr>
          <w:p>
            <w:pPr>
              <w:jc w:val="center"/>
              <w:rPr>
                <w:rFonts w:ascii="Times New Roman" w:hAnsi="Times New Roman"/>
                <w:szCs w:val="21"/>
              </w:rPr>
            </w:pPr>
          </w:p>
        </w:tc>
        <w:tc>
          <w:tcPr>
            <w:tcW w:w="1067" w:type="dxa"/>
            <w:vAlign w:val="center"/>
          </w:tcPr>
          <w:p>
            <w:pPr>
              <w:jc w:val="center"/>
              <w:rPr>
                <w:rFonts w:ascii="Times New Roman" w:hAnsi="Times New Roman"/>
                <w:szCs w:val="21"/>
              </w:rPr>
            </w:pPr>
            <w:r>
              <w:rPr>
                <w:rFonts w:hint="eastAsia" w:ascii="Times New Roman" w:hAnsi="Times New Roman"/>
                <w:szCs w:val="21"/>
              </w:rPr>
              <w:t>指标最高浓度倍数</w:t>
            </w:r>
          </w:p>
        </w:tc>
        <w:tc>
          <w:tcPr>
            <w:tcW w:w="1067" w:type="dxa"/>
            <w:vAlign w:val="center"/>
          </w:tcPr>
          <w:p>
            <w:pPr>
              <w:jc w:val="center"/>
              <w:rPr>
                <w:rFonts w:ascii="Times New Roman" w:hAnsi="Times New Roman"/>
                <w:szCs w:val="21"/>
              </w:rPr>
            </w:pPr>
            <w:r>
              <w:rPr>
                <w:rFonts w:hint="eastAsia" w:ascii="Times New Roman" w:hAnsi="Times New Roman"/>
                <w:szCs w:val="21"/>
              </w:rPr>
              <w:t>14</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4</w:t>
            </w:r>
          </w:p>
        </w:tc>
        <w:tc>
          <w:tcPr>
            <w:tcW w:w="1066" w:type="dxa"/>
            <w:vMerge w:val="continue"/>
            <w:vAlign w:val="center"/>
          </w:tcPr>
          <w:p>
            <w:pPr>
              <w:jc w:val="center"/>
              <w:rPr>
                <w:rFonts w:ascii="Times New Roman" w:hAnsi="Times New Roman"/>
                <w:szCs w:val="21"/>
              </w:rPr>
            </w:pPr>
          </w:p>
        </w:tc>
        <w:tc>
          <w:tcPr>
            <w:tcW w:w="1066" w:type="dxa"/>
            <w:vMerge w:val="continue"/>
            <w:vAlign w:val="center"/>
          </w:tcPr>
          <w:p>
            <w:pPr>
              <w:jc w:val="center"/>
              <w:rPr>
                <w:rFonts w:ascii="Times New Roman" w:hAnsi="Times New Roman"/>
                <w:szCs w:val="21"/>
              </w:rPr>
            </w:pPr>
          </w:p>
        </w:tc>
        <w:tc>
          <w:tcPr>
            <w:tcW w:w="1066" w:type="dxa"/>
            <w:vMerge w:val="continue"/>
            <w:vAlign w:val="center"/>
          </w:tcPr>
          <w:p>
            <w:pPr>
              <w:jc w:val="center"/>
              <w:rPr>
                <w:rFonts w:ascii="Times New Roman" w:hAnsi="Times New Roman"/>
                <w:szCs w:val="21"/>
              </w:rPr>
            </w:pPr>
          </w:p>
        </w:tc>
        <w:tc>
          <w:tcPr>
            <w:tcW w:w="2134" w:type="dxa"/>
            <w:gridSpan w:val="2"/>
            <w:vAlign w:val="center"/>
          </w:tcPr>
          <w:p>
            <w:pPr>
              <w:jc w:val="center"/>
              <w:rPr>
                <w:rFonts w:ascii="Times New Roman" w:hAnsi="Times New Roman"/>
                <w:szCs w:val="21"/>
              </w:rPr>
            </w:pPr>
            <w:r>
              <w:rPr>
                <w:rFonts w:hint="eastAsia" w:ascii="Times New Roman" w:hAnsi="Times New Roman"/>
                <w:szCs w:val="21"/>
              </w:rPr>
              <w:t>浓度倍数3倍及以上指标项数</w:t>
            </w:r>
          </w:p>
        </w:tc>
        <w:tc>
          <w:tcPr>
            <w:tcW w:w="1067" w:type="dxa"/>
            <w:vAlign w:val="center"/>
          </w:tcPr>
          <w:p>
            <w:pPr>
              <w:jc w:val="center"/>
              <w:rPr>
                <w:rFonts w:ascii="Times New Roman" w:hAnsi="Times New Roman"/>
                <w:szCs w:val="21"/>
              </w:rPr>
            </w:pPr>
            <w:r>
              <w:rPr>
                <w:rFonts w:hint="eastAsia" w:ascii="Times New Roman" w:hAnsi="Times New Roman"/>
                <w:szCs w:val="21"/>
              </w:rPr>
              <w:t>6</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5</w:t>
            </w:r>
          </w:p>
        </w:tc>
        <w:tc>
          <w:tcPr>
            <w:tcW w:w="1066" w:type="dxa"/>
            <w:vMerge w:val="continue"/>
            <w:vAlign w:val="center"/>
          </w:tcPr>
          <w:p>
            <w:pPr>
              <w:jc w:val="center"/>
              <w:rPr>
                <w:rFonts w:ascii="Times New Roman" w:hAnsi="Times New Roman"/>
                <w:szCs w:val="21"/>
              </w:rPr>
            </w:pPr>
          </w:p>
        </w:tc>
        <w:tc>
          <w:tcPr>
            <w:tcW w:w="1066" w:type="dxa"/>
            <w:vAlign w:val="center"/>
          </w:tcPr>
          <w:p>
            <w:pPr>
              <w:jc w:val="center"/>
              <w:rPr>
                <w:rFonts w:ascii="Times New Roman" w:hAnsi="Times New Roman"/>
                <w:szCs w:val="21"/>
              </w:rPr>
            </w:pPr>
            <w:r>
              <w:rPr>
                <w:rFonts w:hint="eastAsia" w:ascii="Times New Roman" w:hAnsi="Times New Roman"/>
                <w:szCs w:val="21"/>
              </w:rPr>
              <w:t>规模</w:t>
            </w:r>
          </w:p>
        </w:tc>
        <w:tc>
          <w:tcPr>
            <w:tcW w:w="3200" w:type="dxa"/>
            <w:gridSpan w:val="3"/>
            <w:vAlign w:val="center"/>
          </w:tcPr>
          <w:p>
            <w:pPr>
              <w:jc w:val="center"/>
              <w:rPr>
                <w:rFonts w:ascii="Times New Roman" w:hAnsi="Times New Roman"/>
                <w:szCs w:val="21"/>
              </w:rPr>
            </w:pPr>
            <w:r>
              <w:rPr>
                <w:rFonts w:hint="eastAsia" w:ascii="Times New Roman" w:hAnsi="Times New Roman"/>
                <w:szCs w:val="21"/>
              </w:rPr>
              <w:t>现状库容</w:t>
            </w:r>
          </w:p>
        </w:tc>
        <w:tc>
          <w:tcPr>
            <w:tcW w:w="1067" w:type="dxa"/>
            <w:vAlign w:val="center"/>
          </w:tcPr>
          <w:p>
            <w:pPr>
              <w:jc w:val="center"/>
              <w:rPr>
                <w:rFonts w:ascii="Times New Roman" w:hAnsi="Times New Roman"/>
                <w:szCs w:val="21"/>
              </w:rPr>
            </w:pPr>
            <w:r>
              <w:rPr>
                <w:rFonts w:hint="eastAsia" w:ascii="Times New Roman" w:hAnsi="Times New Roman"/>
                <w:szCs w:val="21"/>
              </w:rPr>
              <w:t>24</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5" w:type="dxa"/>
            <w:gridSpan w:val="7"/>
            <w:vAlign w:val="center"/>
          </w:tcPr>
          <w:p>
            <w:pPr>
              <w:jc w:val="center"/>
              <w:rPr>
                <w:rFonts w:ascii="Times New Roman" w:hAnsi="Times New Roman"/>
                <w:b/>
                <w:bCs/>
                <w:szCs w:val="21"/>
              </w:rPr>
            </w:pPr>
            <w:r>
              <w:rPr>
                <w:rFonts w:hint="eastAsia" w:ascii="Times New Roman" w:hAnsi="Times New Roman"/>
                <w:b/>
                <w:bCs/>
                <w:szCs w:val="21"/>
              </w:rPr>
              <w:t>本项目尾矿库环境危害性（H）</w:t>
            </w:r>
          </w:p>
        </w:tc>
        <w:tc>
          <w:tcPr>
            <w:tcW w:w="1067" w:type="dxa"/>
            <w:vAlign w:val="center"/>
          </w:tcPr>
          <w:p>
            <w:pPr>
              <w:jc w:val="center"/>
              <w:rPr>
                <w:rFonts w:ascii="Times New Roman" w:hAnsi="Times New Roman"/>
                <w:b/>
                <w:bCs/>
                <w:szCs w:val="21"/>
              </w:rPr>
            </w:pPr>
            <w:r>
              <w:rPr>
                <w:rFonts w:hint="eastAsia" w:ascii="Times New Roman" w:hAnsi="Times New Roman"/>
                <w:b/>
                <w:bCs/>
                <w:szCs w:val="21"/>
              </w:rPr>
              <w:t>0</w:t>
            </w:r>
          </w:p>
        </w:tc>
      </w:tr>
    </w:tbl>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依据尾矿库环境危害性等别划分表，将环境危害性（H）划分为H1、H2、H3三个等别。本项目尾矿库环境危害性等别为H3。</w:t>
      </w:r>
    </w:p>
    <w:p>
      <w:pPr>
        <w:ind w:firstLine="482" w:firstLineChars="200"/>
        <w:jc w:val="center"/>
        <w:rPr>
          <w:rFonts w:ascii="Times New Roman" w:hAnsi="Times New Roman"/>
          <w:b/>
          <w:bCs/>
          <w:color w:val="000000"/>
          <w:sz w:val="24"/>
        </w:rPr>
      </w:pPr>
      <w:r>
        <w:rPr>
          <w:rFonts w:hint="eastAsia" w:ascii="Times New Roman" w:hAnsi="Times New Roman"/>
          <w:b/>
          <w:bCs/>
          <w:color w:val="000000"/>
          <w:sz w:val="24"/>
        </w:rPr>
        <w:t>表2-21 尾矿库环境危害性（H）等别划分表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4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尾矿库环境危害性得分（D</w:t>
            </w:r>
            <w:r>
              <w:rPr>
                <w:rFonts w:hint="eastAsia" w:ascii="Times New Roman" w:hAnsi="Times New Roman"/>
                <w:color w:val="000000"/>
                <w:szCs w:val="21"/>
                <w:vertAlign w:val="subscript"/>
              </w:rPr>
              <w:t>H</w:t>
            </w:r>
            <w:r>
              <w:rPr>
                <w:rFonts w:hint="eastAsia" w:ascii="Times New Roman" w:hAnsi="Times New Roman"/>
                <w:color w:val="000000"/>
                <w:szCs w:val="21"/>
              </w:rPr>
              <w:t>）</w:t>
            </w:r>
          </w:p>
        </w:tc>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尾矿库环境危害性等别代码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vertAlign w:val="subscript"/>
              </w:rPr>
              <w:t>H</w:t>
            </w:r>
            <w:r>
              <w:rPr>
                <w:rFonts w:hint="eastAsia" w:ascii="Times New Roman" w:hAnsi="Times New Roman"/>
                <w:color w:val="000000"/>
                <w:szCs w:val="21"/>
              </w:rPr>
              <w:t>＞60</w:t>
            </w:r>
          </w:p>
        </w:tc>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H1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30＜D</w:t>
            </w:r>
            <w:r>
              <w:rPr>
                <w:rFonts w:hint="eastAsia" w:ascii="Times New Roman" w:hAnsi="Times New Roman"/>
                <w:color w:val="000000"/>
                <w:szCs w:val="21"/>
                <w:vertAlign w:val="subscript"/>
              </w:rPr>
              <w:t>H</w:t>
            </w:r>
            <w:r>
              <w:rPr>
                <w:rFonts w:hint="eastAsia" w:ascii="Times New Roman" w:hAnsi="Times New Roman"/>
                <w:color w:val="000000"/>
                <w:szCs w:val="21"/>
              </w:rPr>
              <w:t>≤60</w:t>
            </w:r>
          </w:p>
        </w:tc>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H2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290"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D</w:t>
            </w:r>
            <w:r>
              <w:rPr>
                <w:rFonts w:hint="eastAsia" w:ascii="Times New Roman" w:hAnsi="Times New Roman"/>
                <w:b/>
                <w:bCs/>
                <w:color w:val="000000"/>
                <w:szCs w:val="21"/>
                <w:vertAlign w:val="subscript"/>
              </w:rPr>
              <w:t>H</w:t>
            </w:r>
            <w:r>
              <w:rPr>
                <w:rFonts w:hint="eastAsia" w:ascii="Times New Roman" w:hAnsi="Times New Roman"/>
                <w:b/>
                <w:bCs/>
                <w:color w:val="000000"/>
                <w:szCs w:val="21"/>
              </w:rPr>
              <w:t>≤30</w:t>
            </w:r>
          </w:p>
        </w:tc>
        <w:tc>
          <w:tcPr>
            <w:tcW w:w="4290"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H3</w:t>
            </w:r>
          </w:p>
        </w:tc>
      </w:tr>
    </w:tbl>
    <w:p>
      <w:pPr>
        <w:spacing w:beforeLines="50" w:line="360" w:lineRule="auto"/>
        <w:ind w:firstLine="480" w:firstLineChars="200"/>
        <w:rPr>
          <w:rFonts w:ascii="Times New Roman" w:hAnsi="Times New Roman"/>
          <w:color w:val="000000"/>
          <w:sz w:val="24"/>
        </w:rPr>
      </w:pPr>
      <w:r>
        <w:rPr>
          <w:rFonts w:hint="eastAsia" w:ascii="Times New Roman" w:hAnsi="Times New Roman"/>
          <w:color w:val="000000"/>
          <w:sz w:val="24"/>
        </w:rPr>
        <w:t>（3）周边环境敏感性（S）</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采用评分方法，对尾矿库下游涉及的跨界情况、周边环境风险受体情况、周边环境功能类别情况三方面指标进行评分（各指标评分方法详见附录C）与累加求和，评估尾矿库周边环境敏感性（S）。</w:t>
      </w:r>
    </w:p>
    <w:p>
      <w:pPr>
        <w:ind w:firstLine="482" w:firstLineChars="200"/>
        <w:jc w:val="center"/>
        <w:rPr>
          <w:rFonts w:ascii="Times New Roman" w:hAnsi="Times New Roman"/>
          <w:b/>
          <w:bCs/>
          <w:color w:val="000000"/>
          <w:sz w:val="24"/>
        </w:rPr>
      </w:pPr>
      <w:r>
        <w:rPr>
          <w:rFonts w:hint="eastAsia" w:ascii="Times New Roman" w:hAnsi="Times New Roman"/>
          <w:b/>
          <w:bCs/>
          <w:color w:val="000000"/>
          <w:sz w:val="24"/>
        </w:rPr>
        <w:t>表2-22  尾矿库周边环境敏感性（S）等别划分指标体系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6"/>
        <w:gridCol w:w="1066"/>
        <w:gridCol w:w="1066"/>
        <w:gridCol w:w="1067"/>
        <w:gridCol w:w="1067"/>
        <w:gridCol w:w="1067"/>
        <w:gridCol w:w="1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序号</w:t>
            </w:r>
          </w:p>
        </w:tc>
        <w:tc>
          <w:tcPr>
            <w:tcW w:w="5332" w:type="dxa"/>
            <w:gridSpan w:val="5"/>
            <w:vAlign w:val="center"/>
          </w:tcPr>
          <w:p>
            <w:pPr>
              <w:jc w:val="center"/>
              <w:rPr>
                <w:rFonts w:ascii="Times New Roman" w:hAnsi="Times New Roman"/>
                <w:color w:val="000000"/>
                <w:szCs w:val="21"/>
              </w:rPr>
            </w:pPr>
            <w:r>
              <w:rPr>
                <w:rFonts w:hint="eastAsia" w:ascii="Times New Roman" w:hAnsi="Times New Roman"/>
                <w:color w:val="000000"/>
                <w:szCs w:val="21"/>
              </w:rPr>
              <w:t>指标项目</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指标分值</w:t>
            </w:r>
          </w:p>
        </w:tc>
        <w:tc>
          <w:tcPr>
            <w:tcW w:w="1067" w:type="dxa"/>
            <w:vAlign w:val="center"/>
          </w:tcPr>
          <w:p>
            <w:pPr>
              <w:jc w:val="center"/>
              <w:rPr>
                <w:rFonts w:ascii="Times New Roman" w:hAnsi="Times New Roman"/>
                <w:szCs w:val="21"/>
              </w:rPr>
            </w:pPr>
            <w:r>
              <w:rPr>
                <w:rFonts w:hint="eastAsia" w:ascii="Times New Roman" w:hAnsi="Times New Roman"/>
                <w:szCs w:val="21"/>
              </w:rPr>
              <w:t>本项目</w:t>
            </w:r>
          </w:p>
          <w:p>
            <w:pPr>
              <w:jc w:val="center"/>
              <w:rPr>
                <w:rFonts w:ascii="Times New Roman" w:hAnsi="Times New Roman"/>
                <w:color w:val="000000"/>
                <w:szCs w:val="21"/>
              </w:rPr>
            </w:pPr>
            <w:r>
              <w:rPr>
                <w:rFonts w:hint="eastAsia" w:ascii="Times New Roman" w:hAnsi="Times New Roman"/>
                <w:szCs w:val="21"/>
              </w:rPr>
              <w:t>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6" w:type="dxa"/>
            <w:vMerge w:val="restart"/>
            <w:vAlign w:val="center"/>
          </w:tcPr>
          <w:p>
            <w:pPr>
              <w:jc w:val="center"/>
              <w:rPr>
                <w:rFonts w:ascii="Times New Roman" w:hAnsi="Times New Roman"/>
                <w:color w:val="000000"/>
                <w:szCs w:val="21"/>
              </w:rPr>
            </w:pPr>
          </w:p>
          <w:p>
            <w:pPr>
              <w:jc w:val="center"/>
              <w:rPr>
                <w:rFonts w:ascii="Times New Roman" w:hAnsi="Times New Roman"/>
                <w:color w:val="000000"/>
                <w:szCs w:val="21"/>
              </w:rPr>
            </w:pPr>
            <w:r>
              <w:rPr>
                <w:rFonts w:hint="eastAsia" w:ascii="Times New Roman" w:hAnsi="Times New Roman"/>
                <w:color w:val="000000"/>
                <w:szCs w:val="21"/>
              </w:rPr>
              <w:t>尾矿库周边环境敏感性</w:t>
            </w:r>
          </w:p>
        </w:tc>
        <w:tc>
          <w:tcPr>
            <w:tcW w:w="1066"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下游涉及的跨界情况</w:t>
            </w:r>
          </w:p>
        </w:tc>
        <w:tc>
          <w:tcPr>
            <w:tcW w:w="3200"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涉及跨界类型</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18</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3200"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涉及跨界距离</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6</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6" w:type="dxa"/>
            <w:vMerge w:val="continue"/>
            <w:vAlign w:val="center"/>
          </w:tcPr>
          <w:p>
            <w:pPr>
              <w:jc w:val="center"/>
              <w:rPr>
                <w:rFonts w:ascii="Times New Roman" w:hAnsi="Times New Roman"/>
                <w:color w:val="000000"/>
                <w:szCs w:val="21"/>
              </w:rPr>
            </w:pPr>
          </w:p>
        </w:tc>
        <w:tc>
          <w:tcPr>
            <w:tcW w:w="4266" w:type="dxa"/>
            <w:gridSpan w:val="4"/>
            <w:vAlign w:val="center"/>
          </w:tcPr>
          <w:p>
            <w:pPr>
              <w:jc w:val="center"/>
              <w:rPr>
                <w:rFonts w:ascii="Times New Roman" w:hAnsi="Times New Roman"/>
                <w:color w:val="000000"/>
                <w:szCs w:val="21"/>
              </w:rPr>
            </w:pPr>
            <w:r>
              <w:rPr>
                <w:rFonts w:hint="eastAsia" w:ascii="Times New Roman" w:hAnsi="Times New Roman"/>
                <w:color w:val="000000"/>
                <w:szCs w:val="21"/>
              </w:rPr>
              <w:t>周边环境风险受体情况</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54</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4</w:t>
            </w:r>
          </w:p>
        </w:tc>
        <w:tc>
          <w:tcPr>
            <w:tcW w:w="1066" w:type="dxa"/>
            <w:vMerge w:val="continue"/>
            <w:vAlign w:val="center"/>
          </w:tcPr>
          <w:p>
            <w:pPr>
              <w:jc w:val="center"/>
              <w:rPr>
                <w:rFonts w:ascii="Times New Roman" w:hAnsi="Times New Roman"/>
                <w:color w:val="000000"/>
                <w:szCs w:val="21"/>
              </w:rPr>
            </w:pPr>
          </w:p>
        </w:tc>
        <w:tc>
          <w:tcPr>
            <w:tcW w:w="1066"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周边环境功能类别情况</w:t>
            </w:r>
          </w:p>
        </w:tc>
        <w:tc>
          <w:tcPr>
            <w:tcW w:w="1066"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水环境</w:t>
            </w:r>
          </w:p>
        </w:tc>
        <w:tc>
          <w:tcPr>
            <w:tcW w:w="1067"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下游水体</w:t>
            </w:r>
          </w:p>
        </w:tc>
        <w:tc>
          <w:tcPr>
            <w:tcW w:w="1067" w:type="dxa"/>
            <w:vAlign w:val="center"/>
          </w:tcPr>
          <w:p>
            <w:pPr>
              <w:rPr>
                <w:rFonts w:ascii="Times New Roman" w:hAnsi="Times New Roman"/>
                <w:color w:val="000000"/>
                <w:szCs w:val="21"/>
              </w:rPr>
            </w:pPr>
            <w:r>
              <w:rPr>
                <w:rFonts w:hint="eastAsia" w:ascii="宋体" w:hAnsi="宋体" w:cs="宋体"/>
                <w:color w:val="000000"/>
                <w:szCs w:val="21"/>
              </w:rPr>
              <w:t>Ο</w:t>
            </w:r>
            <w:r>
              <w:rPr>
                <w:rFonts w:hint="eastAsia" w:ascii="Times New Roman" w:hAnsi="Times New Roman"/>
                <w:color w:val="000000"/>
                <w:szCs w:val="21"/>
              </w:rPr>
              <w:t>地表水</w:t>
            </w:r>
          </w:p>
        </w:tc>
        <w:tc>
          <w:tcPr>
            <w:tcW w:w="1067"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9</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5</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67" w:type="dxa"/>
            <w:vMerge w:val="continue"/>
            <w:vAlign w:val="center"/>
          </w:tcPr>
          <w:p>
            <w:pPr>
              <w:jc w:val="center"/>
              <w:rPr>
                <w:rFonts w:ascii="Times New Roman" w:hAnsi="Times New Roman"/>
                <w:color w:val="000000"/>
                <w:szCs w:val="21"/>
              </w:rPr>
            </w:pPr>
          </w:p>
        </w:tc>
        <w:tc>
          <w:tcPr>
            <w:tcW w:w="1067" w:type="dxa"/>
            <w:vAlign w:val="center"/>
          </w:tcPr>
          <w:p>
            <w:pPr>
              <w:rPr>
                <w:rFonts w:ascii="Times New Roman" w:hAnsi="Times New Roman"/>
                <w:color w:val="000000"/>
                <w:szCs w:val="21"/>
              </w:rPr>
            </w:pPr>
            <w:r>
              <w:rPr>
                <w:rFonts w:hint="eastAsia" w:ascii="宋体" w:hAnsi="宋体" w:cs="宋体"/>
                <w:color w:val="000000"/>
                <w:szCs w:val="21"/>
              </w:rPr>
              <w:t>Ο</w:t>
            </w:r>
            <w:r>
              <w:rPr>
                <w:rFonts w:hint="eastAsia" w:ascii="Times New Roman" w:hAnsi="Times New Roman"/>
                <w:color w:val="000000"/>
                <w:szCs w:val="21"/>
              </w:rPr>
              <w:t>海水</w:t>
            </w:r>
          </w:p>
        </w:tc>
        <w:tc>
          <w:tcPr>
            <w:tcW w:w="1067" w:type="dxa"/>
            <w:vMerge w:val="continue"/>
            <w:vAlign w:val="center"/>
          </w:tcPr>
          <w:p>
            <w:pPr>
              <w:jc w:val="center"/>
              <w:rPr>
                <w:rFonts w:ascii="Times New Roman" w:hAnsi="Times New Roman"/>
                <w:color w:val="000000"/>
                <w:szCs w:val="21"/>
              </w:rPr>
            </w:pP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6</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2134"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地下水</w:t>
            </w:r>
          </w:p>
        </w:tc>
        <w:tc>
          <w:tcPr>
            <w:tcW w:w="1067" w:type="dxa"/>
            <w:vMerge w:val="continue"/>
            <w:vAlign w:val="center"/>
          </w:tcPr>
          <w:p>
            <w:pPr>
              <w:jc w:val="center"/>
              <w:rPr>
                <w:rFonts w:ascii="Times New Roman" w:hAnsi="Times New Roman"/>
                <w:color w:val="000000"/>
                <w:szCs w:val="21"/>
              </w:rPr>
            </w:pP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7</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3200"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土壤环境</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4</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8</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3200"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大气环境</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5" w:type="dxa"/>
            <w:gridSpan w:val="7"/>
            <w:vAlign w:val="center"/>
          </w:tcPr>
          <w:p>
            <w:pPr>
              <w:jc w:val="center"/>
              <w:rPr>
                <w:rFonts w:ascii="Times New Roman" w:hAnsi="Times New Roman"/>
                <w:b/>
                <w:bCs/>
                <w:color w:val="000000"/>
                <w:szCs w:val="21"/>
              </w:rPr>
            </w:pPr>
            <w:r>
              <w:rPr>
                <w:rFonts w:hint="eastAsia" w:ascii="Times New Roman" w:hAnsi="Times New Roman"/>
                <w:b/>
                <w:bCs/>
                <w:color w:val="000000"/>
                <w:szCs w:val="21"/>
              </w:rPr>
              <w:t>本项目尾矿库周围环境敏感性（S）</w:t>
            </w:r>
          </w:p>
        </w:tc>
        <w:tc>
          <w:tcPr>
            <w:tcW w:w="1067"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32.5</w:t>
            </w:r>
          </w:p>
        </w:tc>
      </w:tr>
    </w:tbl>
    <w:p>
      <w:pPr>
        <w:tabs>
          <w:tab w:val="left" w:pos="598"/>
        </w:tabs>
        <w:spacing w:line="360" w:lineRule="auto"/>
        <w:ind w:firstLine="482" w:firstLineChars="200"/>
        <w:jc w:val="left"/>
        <w:rPr>
          <w:rFonts w:ascii="Times New Roman" w:hAnsi="Times New Roman"/>
          <w:color w:val="000000"/>
          <w:sz w:val="24"/>
        </w:rPr>
      </w:pPr>
      <w:r>
        <w:rPr>
          <w:rFonts w:hint="eastAsia" w:ascii="Times New Roman" w:hAnsi="Times New Roman"/>
          <w:b/>
          <w:bCs/>
          <w:color w:val="000000"/>
          <w:sz w:val="24"/>
        </w:rPr>
        <w:tab/>
      </w:r>
      <w:r>
        <w:rPr>
          <w:rFonts w:hint="eastAsia" w:ascii="Times New Roman" w:hAnsi="Times New Roman"/>
          <w:color w:val="000000"/>
          <w:sz w:val="24"/>
        </w:rPr>
        <w:t>依据尾矿库周边环境敏感性等别划分表，将周边环境敏感性（S）划分为S1、S2、S3三个等别。本项目尾矿库周边环境敏感性等别为S2。</w:t>
      </w:r>
    </w:p>
    <w:p>
      <w:pPr>
        <w:tabs>
          <w:tab w:val="left" w:pos="598"/>
        </w:tabs>
        <w:spacing w:line="360" w:lineRule="auto"/>
        <w:ind w:firstLine="482" w:firstLineChars="200"/>
        <w:jc w:val="center"/>
        <w:rPr>
          <w:rFonts w:ascii="Times New Roman" w:hAnsi="Times New Roman"/>
          <w:b/>
          <w:bCs/>
          <w:color w:val="000000"/>
          <w:sz w:val="24"/>
        </w:rPr>
      </w:pPr>
      <w:r>
        <w:rPr>
          <w:rFonts w:hint="eastAsia" w:ascii="Times New Roman" w:hAnsi="Times New Roman"/>
          <w:b/>
          <w:bCs/>
          <w:color w:val="000000"/>
          <w:sz w:val="24"/>
        </w:rPr>
        <w:t>表2-23 尾矿库周边环境敏感性（S）等别划分表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1"/>
        <w:gridCol w:w="4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top w:val="single" w:color="auto" w:sz="12" w:space="0"/>
              <w:left w:val="nil"/>
            </w:tcBorders>
            <w:vAlign w:val="center"/>
          </w:tcPr>
          <w:p>
            <w:pPr>
              <w:jc w:val="center"/>
              <w:rPr>
                <w:rFonts w:ascii="Times New Roman" w:hAnsi="Times New Roman"/>
                <w:color w:val="000000"/>
                <w:szCs w:val="21"/>
              </w:rPr>
            </w:pPr>
            <w:r>
              <w:rPr>
                <w:rFonts w:hint="eastAsia" w:ascii="Times New Roman" w:hAnsi="Times New Roman"/>
                <w:color w:val="000000"/>
                <w:szCs w:val="21"/>
              </w:rPr>
              <w:t>尾矿库周边环境敏感性得分（D</w:t>
            </w:r>
            <w:r>
              <w:rPr>
                <w:rFonts w:hint="eastAsia" w:ascii="Times New Roman" w:hAnsi="Times New Roman"/>
                <w:color w:val="000000"/>
                <w:szCs w:val="21"/>
                <w:vertAlign w:val="subscript"/>
              </w:rPr>
              <w:t>S</w:t>
            </w:r>
            <w:r>
              <w:rPr>
                <w:rFonts w:hint="eastAsia" w:ascii="Times New Roman" w:hAnsi="Times New Roman"/>
                <w:color w:val="000000"/>
                <w:szCs w:val="21"/>
              </w:rPr>
              <w:t>）</w:t>
            </w:r>
          </w:p>
        </w:tc>
        <w:tc>
          <w:tcPr>
            <w:tcW w:w="4561" w:type="dxa"/>
            <w:tcBorders>
              <w:top w:val="single" w:color="auto" w:sz="12" w:space="0"/>
              <w:right w:val="nil"/>
            </w:tcBorders>
            <w:vAlign w:val="center"/>
          </w:tcPr>
          <w:p>
            <w:pPr>
              <w:jc w:val="center"/>
              <w:rPr>
                <w:rFonts w:ascii="Times New Roman" w:hAnsi="Times New Roman"/>
                <w:color w:val="000000"/>
                <w:szCs w:val="21"/>
              </w:rPr>
            </w:pPr>
            <w:r>
              <w:rPr>
                <w:rFonts w:hint="eastAsia" w:ascii="Times New Roman" w:hAnsi="Times New Roman"/>
                <w:color w:val="000000"/>
                <w:szCs w:val="21"/>
              </w:rPr>
              <w:t>尾矿库周边环境敏感性（S）等别代码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tcBorders>
            <w:vAlign w:val="center"/>
          </w:tcPr>
          <w:p>
            <w:pPr>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vertAlign w:val="subscript"/>
              </w:rPr>
              <w:t>S</w:t>
            </w:r>
            <w:r>
              <w:rPr>
                <w:rFonts w:hint="eastAsia" w:ascii="Times New Roman" w:hAnsi="Times New Roman"/>
                <w:color w:val="000000"/>
                <w:szCs w:val="21"/>
              </w:rPr>
              <w:t>＞60</w:t>
            </w:r>
          </w:p>
        </w:tc>
        <w:tc>
          <w:tcPr>
            <w:tcW w:w="4561" w:type="dxa"/>
            <w:tcBorders>
              <w:right w:val="nil"/>
            </w:tcBorders>
            <w:vAlign w:val="center"/>
          </w:tcPr>
          <w:p>
            <w:pPr>
              <w:jc w:val="center"/>
              <w:rPr>
                <w:rFonts w:ascii="Times New Roman" w:hAnsi="Times New Roman"/>
                <w:color w:val="000000"/>
                <w:szCs w:val="21"/>
              </w:rPr>
            </w:pPr>
            <w:r>
              <w:rPr>
                <w:rFonts w:hint="eastAsia" w:ascii="Times New Roman" w:hAnsi="Times New Roman"/>
                <w:color w:val="000000"/>
                <w:szCs w:val="21"/>
              </w:rPr>
              <w:t>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tcBorders>
            <w:vAlign w:val="center"/>
          </w:tcPr>
          <w:p>
            <w:pPr>
              <w:jc w:val="center"/>
              <w:rPr>
                <w:rFonts w:ascii="Times New Roman" w:hAnsi="Times New Roman"/>
                <w:b/>
                <w:bCs/>
                <w:color w:val="000000"/>
                <w:szCs w:val="21"/>
              </w:rPr>
            </w:pPr>
            <w:r>
              <w:rPr>
                <w:rFonts w:hint="eastAsia" w:ascii="Times New Roman" w:hAnsi="Times New Roman"/>
                <w:b/>
                <w:bCs/>
                <w:color w:val="000000"/>
                <w:szCs w:val="21"/>
              </w:rPr>
              <w:t>30＜D</w:t>
            </w:r>
            <w:r>
              <w:rPr>
                <w:rFonts w:hint="eastAsia" w:ascii="Times New Roman" w:hAnsi="Times New Roman"/>
                <w:b/>
                <w:bCs/>
                <w:color w:val="000000"/>
                <w:szCs w:val="21"/>
                <w:vertAlign w:val="subscript"/>
              </w:rPr>
              <w:t>S</w:t>
            </w:r>
            <w:r>
              <w:rPr>
                <w:rFonts w:hint="eastAsia" w:ascii="Times New Roman" w:hAnsi="Times New Roman"/>
                <w:b/>
                <w:bCs/>
                <w:color w:val="000000"/>
                <w:szCs w:val="21"/>
              </w:rPr>
              <w:t>≤60</w:t>
            </w:r>
          </w:p>
        </w:tc>
        <w:tc>
          <w:tcPr>
            <w:tcW w:w="4561" w:type="dxa"/>
            <w:tcBorders>
              <w:right w:val="nil"/>
            </w:tcBorders>
            <w:vAlign w:val="center"/>
          </w:tcPr>
          <w:p>
            <w:pPr>
              <w:jc w:val="center"/>
              <w:rPr>
                <w:rFonts w:ascii="Times New Roman" w:hAnsi="Times New Roman"/>
                <w:b/>
                <w:bCs/>
                <w:color w:val="000000"/>
                <w:szCs w:val="21"/>
              </w:rPr>
            </w:pPr>
            <w:r>
              <w:rPr>
                <w:rFonts w:hint="eastAsia" w:ascii="Times New Roman" w:hAnsi="Times New Roman"/>
                <w:b/>
                <w:bCs/>
                <w:color w:val="000000"/>
                <w:szCs w:val="21"/>
              </w:rPr>
              <w:t>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bottom w:val="single" w:color="auto" w:sz="12" w:space="0"/>
            </w:tcBorders>
            <w:vAlign w:val="center"/>
          </w:tcPr>
          <w:p>
            <w:pPr>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vertAlign w:val="subscript"/>
              </w:rPr>
              <w:t>S</w:t>
            </w:r>
            <w:r>
              <w:rPr>
                <w:rFonts w:hint="eastAsia" w:ascii="Times New Roman" w:hAnsi="Times New Roman"/>
                <w:color w:val="000000"/>
                <w:szCs w:val="21"/>
              </w:rPr>
              <w:t>≤30</w:t>
            </w:r>
          </w:p>
        </w:tc>
        <w:tc>
          <w:tcPr>
            <w:tcW w:w="4561" w:type="dxa"/>
            <w:tcBorders>
              <w:bottom w:val="single" w:color="auto" w:sz="12" w:space="0"/>
              <w:right w:val="nil"/>
            </w:tcBorders>
            <w:vAlign w:val="center"/>
          </w:tcPr>
          <w:p>
            <w:pPr>
              <w:jc w:val="center"/>
              <w:rPr>
                <w:rFonts w:ascii="Times New Roman" w:hAnsi="Times New Roman"/>
                <w:color w:val="000000"/>
                <w:szCs w:val="21"/>
              </w:rPr>
            </w:pPr>
            <w:r>
              <w:rPr>
                <w:rFonts w:hint="eastAsia" w:ascii="Times New Roman" w:hAnsi="Times New Roman"/>
                <w:color w:val="000000"/>
                <w:szCs w:val="21"/>
              </w:rPr>
              <w:t>S3</w:t>
            </w:r>
          </w:p>
        </w:tc>
      </w:tr>
    </w:tbl>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（4）控制机制可靠性（R）</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采用评分方法，对尾矿库的基本情况、自然条件情况、生产安全情况、环境保护情况和历史事件情况五方面指标进行评分（各指标评分方法详见附录D）与累加求和，评估尾矿库控制机制可靠性（R）。</w:t>
      </w:r>
    </w:p>
    <w:p>
      <w:pPr>
        <w:spacing w:line="360" w:lineRule="auto"/>
        <w:ind w:firstLine="482" w:firstLineChars="200"/>
        <w:jc w:val="center"/>
        <w:rPr>
          <w:rFonts w:ascii="Times New Roman" w:hAnsi="Times New Roman"/>
          <w:b/>
          <w:bCs/>
          <w:color w:val="000000"/>
          <w:sz w:val="24"/>
        </w:rPr>
      </w:pPr>
      <w:r>
        <w:rPr>
          <w:rFonts w:hint="eastAsia" w:ascii="Times New Roman" w:hAnsi="Times New Roman"/>
          <w:b/>
          <w:bCs/>
          <w:color w:val="000000"/>
          <w:sz w:val="24"/>
        </w:rPr>
        <w:t>表2-24 尾矿库控制机制可靠性（R）等别划分指标体系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6"/>
        <w:gridCol w:w="1066"/>
        <w:gridCol w:w="994"/>
        <w:gridCol w:w="105"/>
        <w:gridCol w:w="1034"/>
        <w:gridCol w:w="1067"/>
        <w:gridCol w:w="1067"/>
        <w:gridCol w:w="1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序号</w:t>
            </w:r>
          </w:p>
        </w:tc>
        <w:tc>
          <w:tcPr>
            <w:tcW w:w="5332" w:type="dxa"/>
            <w:gridSpan w:val="6"/>
            <w:vAlign w:val="center"/>
          </w:tcPr>
          <w:p>
            <w:pPr>
              <w:jc w:val="center"/>
              <w:rPr>
                <w:rFonts w:ascii="Times New Roman" w:hAnsi="Times New Roman"/>
                <w:color w:val="000000"/>
                <w:szCs w:val="21"/>
              </w:rPr>
            </w:pPr>
            <w:r>
              <w:rPr>
                <w:rFonts w:hint="eastAsia" w:ascii="Times New Roman" w:hAnsi="Times New Roman"/>
                <w:color w:val="000000"/>
                <w:szCs w:val="21"/>
              </w:rPr>
              <w:t>指标项目</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指标分值</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本项目</w:t>
            </w:r>
          </w:p>
          <w:p>
            <w:pPr>
              <w:jc w:val="center"/>
              <w:rPr>
                <w:rFonts w:ascii="Times New Roman" w:hAnsi="Times New Roman"/>
                <w:color w:val="000000"/>
                <w:szCs w:val="21"/>
              </w:rPr>
            </w:pPr>
            <w:r>
              <w:rPr>
                <w:rFonts w:hint="eastAsia" w:ascii="Times New Roman" w:hAnsi="Times New Roman"/>
                <w:color w:val="000000"/>
                <w:szCs w:val="21"/>
              </w:rPr>
              <w:t>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6"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尾矿库控制机制可靠性</w:t>
            </w:r>
          </w:p>
        </w:tc>
        <w:tc>
          <w:tcPr>
            <w:tcW w:w="1066"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基本情况</w:t>
            </w:r>
          </w:p>
        </w:tc>
        <w:tc>
          <w:tcPr>
            <w:tcW w:w="1099"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堆存</w:t>
            </w: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堆存种类</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continue"/>
            <w:vAlign w:val="center"/>
          </w:tcPr>
          <w:p>
            <w:pPr>
              <w:jc w:val="center"/>
              <w:rPr>
                <w:rFonts w:ascii="Times New Roman" w:hAnsi="Times New Roman"/>
                <w:color w:val="000000"/>
                <w:szCs w:val="21"/>
              </w:rPr>
            </w:pP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堆存方式</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continue"/>
            <w:vAlign w:val="center"/>
          </w:tcPr>
          <w:p>
            <w:pPr>
              <w:jc w:val="center"/>
              <w:rPr>
                <w:rFonts w:ascii="Times New Roman" w:hAnsi="Times New Roman"/>
                <w:color w:val="000000"/>
                <w:szCs w:val="21"/>
              </w:rPr>
            </w:pP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坝体透水情况</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4</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输送</w:t>
            </w: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输送方式</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5</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continue"/>
            <w:vAlign w:val="center"/>
          </w:tcPr>
          <w:p>
            <w:pPr>
              <w:jc w:val="center"/>
              <w:rPr>
                <w:rFonts w:ascii="Times New Roman" w:hAnsi="Times New Roman"/>
                <w:color w:val="000000"/>
                <w:szCs w:val="21"/>
              </w:rPr>
            </w:pP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输送量</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6</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continue"/>
            <w:vAlign w:val="center"/>
          </w:tcPr>
          <w:p>
            <w:pPr>
              <w:jc w:val="center"/>
              <w:rPr>
                <w:rFonts w:ascii="Times New Roman" w:hAnsi="Times New Roman"/>
                <w:color w:val="000000"/>
                <w:szCs w:val="21"/>
              </w:rPr>
            </w:pP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输送距离</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7</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回水</w:t>
            </w: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回水方式</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8</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continue"/>
            <w:vAlign w:val="center"/>
          </w:tcPr>
          <w:p>
            <w:pPr>
              <w:jc w:val="center"/>
              <w:rPr>
                <w:rFonts w:ascii="Times New Roman" w:hAnsi="Times New Roman"/>
                <w:color w:val="000000"/>
                <w:szCs w:val="21"/>
              </w:rPr>
            </w:pP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回水量</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9</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continue"/>
            <w:vAlign w:val="center"/>
          </w:tcPr>
          <w:p>
            <w:pPr>
              <w:jc w:val="center"/>
              <w:rPr>
                <w:rFonts w:ascii="Times New Roman" w:hAnsi="Times New Roman"/>
                <w:color w:val="000000"/>
                <w:szCs w:val="21"/>
              </w:rPr>
            </w:pP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回水距离</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10</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防洪</w:t>
            </w: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库外截洪设施</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11</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1099" w:type="dxa"/>
            <w:gridSpan w:val="2"/>
            <w:vMerge w:val="continue"/>
            <w:vAlign w:val="center"/>
          </w:tcPr>
          <w:p>
            <w:pPr>
              <w:jc w:val="center"/>
              <w:rPr>
                <w:rFonts w:ascii="Times New Roman" w:hAnsi="Times New Roman"/>
                <w:color w:val="000000"/>
                <w:szCs w:val="21"/>
              </w:rPr>
            </w:pPr>
          </w:p>
        </w:tc>
        <w:tc>
          <w:tcPr>
            <w:tcW w:w="210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库内排洪设施</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12</w:t>
            </w:r>
          </w:p>
        </w:tc>
        <w:tc>
          <w:tcPr>
            <w:tcW w:w="1066" w:type="dxa"/>
            <w:vMerge w:val="continue"/>
            <w:vAlign w:val="center"/>
          </w:tcPr>
          <w:p>
            <w:pPr>
              <w:jc w:val="center"/>
              <w:rPr>
                <w:rFonts w:ascii="Times New Roman" w:hAnsi="Times New Roman"/>
                <w:color w:val="000000"/>
                <w:szCs w:val="21"/>
              </w:rPr>
            </w:pP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自然条件情况</w:t>
            </w:r>
          </w:p>
        </w:tc>
        <w:tc>
          <w:tcPr>
            <w:tcW w:w="3200" w:type="dxa"/>
            <w:gridSpan w:val="4"/>
            <w:vAlign w:val="center"/>
          </w:tcPr>
          <w:p>
            <w:pPr>
              <w:jc w:val="center"/>
              <w:rPr>
                <w:rFonts w:ascii="Times New Roman" w:hAnsi="Times New Roman"/>
                <w:color w:val="000000"/>
                <w:szCs w:val="21"/>
              </w:rPr>
            </w:pPr>
            <w:r>
              <w:rPr>
                <w:rFonts w:hint="eastAsia" w:ascii="Times New Roman" w:hAnsi="Times New Roman"/>
                <w:color w:val="000000"/>
                <w:szCs w:val="21"/>
              </w:rPr>
              <w:t>是否处于按《地质灾害危险性评估技术要求（试行）》评定为“危害性中等”或“危害性大”的区域，或者处于地质灾害易灾区、岩溶（喀斯特）地貌区。</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9</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13</w:t>
            </w:r>
          </w:p>
        </w:tc>
        <w:tc>
          <w:tcPr>
            <w:tcW w:w="1066" w:type="dxa"/>
            <w:vMerge w:val="continue"/>
            <w:vAlign w:val="center"/>
          </w:tcPr>
          <w:p>
            <w:pPr>
              <w:jc w:val="center"/>
              <w:rPr>
                <w:rFonts w:ascii="Times New Roman" w:hAnsi="Times New Roman"/>
                <w:color w:val="000000"/>
                <w:szCs w:val="21"/>
              </w:rPr>
            </w:pP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生产安全情况</w:t>
            </w:r>
          </w:p>
        </w:tc>
        <w:tc>
          <w:tcPr>
            <w:tcW w:w="3200" w:type="dxa"/>
            <w:gridSpan w:val="4"/>
            <w:vAlign w:val="center"/>
          </w:tcPr>
          <w:p>
            <w:pPr>
              <w:jc w:val="center"/>
              <w:rPr>
                <w:rFonts w:ascii="Times New Roman" w:hAnsi="Times New Roman"/>
                <w:color w:val="000000"/>
                <w:szCs w:val="21"/>
              </w:rPr>
            </w:pPr>
            <w:r>
              <w:rPr>
                <w:rFonts w:hint="eastAsia" w:ascii="Times New Roman" w:hAnsi="Times New Roman"/>
                <w:color w:val="000000"/>
                <w:szCs w:val="21"/>
              </w:rPr>
              <w:t>尾矿库安全度等别</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14</w:t>
            </w:r>
          </w:p>
        </w:tc>
        <w:tc>
          <w:tcPr>
            <w:tcW w:w="1066" w:type="dxa"/>
            <w:vMerge w:val="continue"/>
            <w:vAlign w:val="center"/>
          </w:tcPr>
          <w:p>
            <w:pPr>
              <w:jc w:val="center"/>
              <w:rPr>
                <w:rFonts w:ascii="Times New Roman" w:hAnsi="Times New Roman"/>
                <w:color w:val="000000"/>
                <w:szCs w:val="21"/>
              </w:rPr>
            </w:pPr>
          </w:p>
        </w:tc>
        <w:tc>
          <w:tcPr>
            <w:tcW w:w="1066"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环境保护情况</w:t>
            </w:r>
          </w:p>
        </w:tc>
        <w:tc>
          <w:tcPr>
            <w:tcW w:w="994" w:type="dxa"/>
            <w:vAlign w:val="center"/>
          </w:tcPr>
          <w:p>
            <w:pPr>
              <w:jc w:val="center"/>
              <w:rPr>
                <w:rFonts w:ascii="Times New Roman" w:hAnsi="Times New Roman"/>
                <w:color w:val="000000"/>
                <w:szCs w:val="21"/>
              </w:rPr>
            </w:pPr>
            <w:r>
              <w:rPr>
                <w:rFonts w:hint="eastAsia" w:ascii="Times New Roman" w:hAnsi="Times New Roman"/>
                <w:color w:val="000000"/>
                <w:szCs w:val="21"/>
              </w:rPr>
              <w:t>环保审批</w:t>
            </w: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是否通过“三同时”验收</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8</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污染防治</w:t>
            </w: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水排放情况</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16</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防流失情况</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17</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防渗漏情况</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18</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防扬散情况</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19</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环境应急</w:t>
            </w:r>
          </w:p>
        </w:tc>
        <w:tc>
          <w:tcPr>
            <w:tcW w:w="1139"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环境应急设施</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事故应急池建设情况</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20</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1139" w:type="dxa"/>
            <w:gridSpan w:val="2"/>
            <w:vMerge w:val="continue"/>
            <w:vAlign w:val="center"/>
          </w:tcPr>
          <w:p>
            <w:pPr>
              <w:jc w:val="center"/>
              <w:rPr>
                <w:rFonts w:ascii="Times New Roman" w:hAnsi="Times New Roman"/>
                <w:color w:val="000000"/>
                <w:szCs w:val="21"/>
              </w:rPr>
            </w:pP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输送系统环境应急设施建设情况</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21</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1139" w:type="dxa"/>
            <w:gridSpan w:val="2"/>
            <w:vMerge w:val="continue"/>
            <w:vAlign w:val="center"/>
          </w:tcPr>
          <w:p>
            <w:pPr>
              <w:jc w:val="center"/>
              <w:rPr>
                <w:rFonts w:ascii="Times New Roman" w:hAnsi="Times New Roman"/>
                <w:color w:val="000000"/>
                <w:szCs w:val="21"/>
              </w:rPr>
            </w:pP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回水系统环境应急设施建设项目</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22</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环境应急预案</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6.5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23</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环境应急资源</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24</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1139"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环境监测预警与日常检查</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监测预警</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1139" w:type="dxa"/>
            <w:gridSpan w:val="2"/>
            <w:vMerge w:val="continue"/>
            <w:vAlign w:val="center"/>
          </w:tcPr>
          <w:p>
            <w:pPr>
              <w:jc w:val="center"/>
              <w:rPr>
                <w:rFonts w:ascii="Times New Roman" w:hAnsi="Times New Roman"/>
                <w:color w:val="000000"/>
                <w:szCs w:val="21"/>
              </w:rPr>
            </w:pP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日常检查</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26</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Align w:val="center"/>
          </w:tcPr>
          <w:p>
            <w:pPr>
              <w:jc w:val="center"/>
              <w:rPr>
                <w:rFonts w:ascii="Times New Roman" w:hAnsi="Times New Roman"/>
                <w:color w:val="000000"/>
                <w:szCs w:val="21"/>
              </w:rPr>
            </w:pPr>
          </w:p>
        </w:tc>
        <w:tc>
          <w:tcPr>
            <w:tcW w:w="1139"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环境安全隐患排查与治理</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环境安全隐患排查</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27</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Align w:val="center"/>
          </w:tcPr>
          <w:p>
            <w:pPr>
              <w:jc w:val="center"/>
              <w:rPr>
                <w:rFonts w:ascii="Times New Roman" w:hAnsi="Times New Roman"/>
                <w:color w:val="000000"/>
                <w:szCs w:val="21"/>
              </w:rPr>
            </w:pPr>
          </w:p>
        </w:tc>
        <w:tc>
          <w:tcPr>
            <w:tcW w:w="1139" w:type="dxa"/>
            <w:gridSpan w:val="2"/>
            <w:vMerge w:val="continue"/>
            <w:vAlign w:val="center"/>
          </w:tcPr>
          <w:p>
            <w:pPr>
              <w:jc w:val="center"/>
              <w:rPr>
                <w:rFonts w:ascii="Times New Roman" w:hAnsi="Times New Roman"/>
                <w:color w:val="000000"/>
                <w:szCs w:val="21"/>
              </w:rPr>
            </w:pP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环境安全隐患治理</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28</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Align w:val="center"/>
          </w:tcPr>
          <w:p>
            <w:pPr>
              <w:jc w:val="center"/>
              <w:rPr>
                <w:rFonts w:ascii="Times New Roman" w:hAnsi="Times New Roman"/>
                <w:color w:val="000000"/>
                <w:szCs w:val="21"/>
              </w:rPr>
            </w:pPr>
            <w:r>
              <w:rPr>
                <w:rFonts w:hint="eastAsia" w:ascii="Times New Roman" w:hAnsi="Times New Roman"/>
                <w:color w:val="000000"/>
                <w:szCs w:val="21"/>
              </w:rPr>
              <w:t>环境违法与环境纠纷情况</w:t>
            </w: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近三年来是否存在环境违法行为或与周边存在环境纠纷</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7</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29</w:t>
            </w:r>
          </w:p>
        </w:tc>
        <w:tc>
          <w:tcPr>
            <w:tcW w:w="1066" w:type="dxa"/>
            <w:vMerge w:val="continue"/>
            <w:vAlign w:val="center"/>
          </w:tcPr>
          <w:p>
            <w:pPr>
              <w:jc w:val="center"/>
              <w:rPr>
                <w:rFonts w:ascii="Times New Roman" w:hAnsi="Times New Roman"/>
                <w:color w:val="000000"/>
                <w:szCs w:val="21"/>
              </w:rPr>
            </w:pPr>
          </w:p>
        </w:tc>
        <w:tc>
          <w:tcPr>
            <w:tcW w:w="1066"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历史事件情况</w:t>
            </w:r>
          </w:p>
        </w:tc>
        <w:tc>
          <w:tcPr>
            <w:tcW w:w="994"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近三年来发生事故或事件情况（包括安全和环境方面）</w:t>
            </w: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事件等级</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8</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30</w:t>
            </w:r>
          </w:p>
        </w:tc>
        <w:tc>
          <w:tcPr>
            <w:tcW w:w="1066" w:type="dxa"/>
            <w:vMerge w:val="continue"/>
            <w:vAlign w:val="center"/>
          </w:tcPr>
          <w:p>
            <w:pPr>
              <w:jc w:val="center"/>
              <w:rPr>
                <w:rFonts w:ascii="Times New Roman" w:hAnsi="Times New Roman"/>
                <w:color w:val="000000"/>
                <w:szCs w:val="21"/>
              </w:rPr>
            </w:pPr>
          </w:p>
        </w:tc>
        <w:tc>
          <w:tcPr>
            <w:tcW w:w="1066" w:type="dxa"/>
            <w:vMerge w:val="continue"/>
            <w:vAlign w:val="center"/>
          </w:tcPr>
          <w:p>
            <w:pPr>
              <w:jc w:val="center"/>
              <w:rPr>
                <w:rFonts w:ascii="Times New Roman" w:hAnsi="Times New Roman"/>
                <w:color w:val="000000"/>
                <w:szCs w:val="21"/>
              </w:rPr>
            </w:pPr>
          </w:p>
        </w:tc>
        <w:tc>
          <w:tcPr>
            <w:tcW w:w="994" w:type="dxa"/>
            <w:vMerge w:val="continue"/>
            <w:vAlign w:val="center"/>
          </w:tcPr>
          <w:p>
            <w:pPr>
              <w:jc w:val="center"/>
              <w:rPr>
                <w:rFonts w:ascii="Times New Roman" w:hAnsi="Times New Roman"/>
                <w:color w:val="000000"/>
                <w:szCs w:val="21"/>
              </w:rPr>
            </w:pPr>
          </w:p>
        </w:tc>
        <w:tc>
          <w:tcPr>
            <w:tcW w:w="220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事件次数</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7"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5" w:type="dxa"/>
            <w:gridSpan w:val="8"/>
            <w:vAlign w:val="center"/>
          </w:tcPr>
          <w:p>
            <w:pPr>
              <w:jc w:val="center"/>
              <w:rPr>
                <w:rFonts w:ascii="Times New Roman" w:hAnsi="Times New Roman"/>
                <w:b/>
                <w:bCs/>
                <w:color w:val="000000"/>
                <w:szCs w:val="21"/>
              </w:rPr>
            </w:pPr>
            <w:r>
              <w:rPr>
                <w:rFonts w:hint="eastAsia" w:ascii="Times New Roman" w:hAnsi="Times New Roman"/>
                <w:b/>
                <w:bCs/>
                <w:color w:val="000000"/>
                <w:szCs w:val="21"/>
              </w:rPr>
              <w:t>本项目尾矿库控制机制可靠性（R）</w:t>
            </w:r>
          </w:p>
        </w:tc>
        <w:tc>
          <w:tcPr>
            <w:tcW w:w="1067"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36</w:t>
            </w:r>
          </w:p>
        </w:tc>
      </w:tr>
    </w:tbl>
    <w:p>
      <w:pPr>
        <w:spacing w:line="360" w:lineRule="auto"/>
        <w:ind w:firstLine="480" w:firstLineChars="200"/>
        <w:jc w:val="left"/>
        <w:rPr>
          <w:rFonts w:ascii="Times New Roman" w:hAnsi="Times New Roman"/>
          <w:sz w:val="24"/>
          <w:szCs w:val="24"/>
        </w:rPr>
      </w:pPr>
      <w:r>
        <w:rPr>
          <w:rFonts w:ascii="Times New Roman" w:hAnsi="Times New Roman"/>
          <w:sz w:val="24"/>
          <w:szCs w:val="24"/>
        </w:rPr>
        <w:t>依据尾矿库控制机制可靠性等别划分表，将控制机制可靠性（</w:t>
      </w:r>
      <w:r>
        <w:rPr>
          <w:rFonts w:ascii="Times New Roman" w:hAnsi="Times New Roman" w:eastAsia="TimesNewRomanPSMT"/>
          <w:sz w:val="24"/>
          <w:szCs w:val="24"/>
        </w:rPr>
        <w:t>R</w:t>
      </w:r>
      <w:r>
        <w:rPr>
          <w:rFonts w:ascii="Times New Roman" w:hAnsi="Times New Roman"/>
          <w:sz w:val="24"/>
          <w:szCs w:val="24"/>
        </w:rPr>
        <w:t>）划分为</w:t>
      </w:r>
      <w:r>
        <w:rPr>
          <w:rFonts w:ascii="Times New Roman" w:hAnsi="Times New Roman" w:eastAsia="TimesNewRomanPSMT"/>
          <w:sz w:val="24"/>
          <w:szCs w:val="24"/>
        </w:rPr>
        <w:t>R1</w:t>
      </w:r>
      <w:r>
        <w:rPr>
          <w:rFonts w:ascii="Times New Roman" w:hAnsi="Times New Roman"/>
          <w:sz w:val="24"/>
          <w:szCs w:val="24"/>
        </w:rPr>
        <w:t>、</w:t>
      </w:r>
      <w:r>
        <w:rPr>
          <w:rFonts w:ascii="Times New Roman" w:hAnsi="Times New Roman" w:eastAsia="TimesNewRomanPSMT"/>
          <w:sz w:val="24"/>
          <w:szCs w:val="24"/>
        </w:rPr>
        <w:t>R2</w:t>
      </w:r>
      <w:r>
        <w:rPr>
          <w:rFonts w:ascii="Times New Roman" w:hAnsi="Times New Roman"/>
          <w:sz w:val="24"/>
          <w:szCs w:val="24"/>
        </w:rPr>
        <w:t>、</w:t>
      </w:r>
      <w:r>
        <w:rPr>
          <w:rFonts w:ascii="Times New Roman" w:hAnsi="Times New Roman" w:eastAsia="TimesNewRomanPSMT"/>
          <w:sz w:val="24"/>
          <w:szCs w:val="24"/>
        </w:rPr>
        <w:t xml:space="preserve">R3 </w:t>
      </w:r>
      <w:r>
        <w:rPr>
          <w:rFonts w:ascii="Times New Roman" w:hAnsi="Times New Roman"/>
          <w:sz w:val="24"/>
          <w:szCs w:val="24"/>
        </w:rPr>
        <w:t>三个等别。本项目尾矿库控制机制可靠性等别为R2。</w:t>
      </w:r>
    </w:p>
    <w:p>
      <w:pPr>
        <w:spacing w:line="360" w:lineRule="auto"/>
        <w:ind w:firstLine="482" w:firstLineChars="200"/>
        <w:jc w:val="center"/>
        <w:rPr>
          <w:rFonts w:ascii="Times New Roman" w:hAnsi="Times New Roman"/>
          <w:b/>
          <w:bCs/>
          <w:sz w:val="24"/>
          <w:szCs w:val="24"/>
        </w:rPr>
      </w:pPr>
      <w:r>
        <w:rPr>
          <w:rFonts w:ascii="Times New Roman" w:hAnsi="Times New Roman"/>
          <w:b/>
          <w:bCs/>
          <w:sz w:val="24"/>
          <w:szCs w:val="24"/>
        </w:rPr>
        <w:t>表2-25 尾矿库控制机制可靠性（R）等别划分表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1"/>
        <w:gridCol w:w="4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top w:val="single" w:color="auto" w:sz="12" w:space="0"/>
              <w:left w:val="nil"/>
            </w:tcBorders>
            <w:vAlign w:val="center"/>
          </w:tcPr>
          <w:p>
            <w:pPr>
              <w:jc w:val="center"/>
              <w:rPr>
                <w:rFonts w:ascii="Times New Roman" w:hAnsi="Times New Roman"/>
                <w:color w:val="000000"/>
                <w:szCs w:val="21"/>
              </w:rPr>
            </w:pPr>
            <w:r>
              <w:rPr>
                <w:rFonts w:hint="eastAsia" w:ascii="Times New Roman" w:hAnsi="Times New Roman"/>
                <w:color w:val="000000"/>
                <w:szCs w:val="21"/>
              </w:rPr>
              <w:t>尾矿库控制机制可靠性（D</w:t>
            </w:r>
            <w:r>
              <w:rPr>
                <w:rFonts w:hint="eastAsia" w:ascii="Times New Roman" w:hAnsi="Times New Roman"/>
                <w:color w:val="000000"/>
                <w:szCs w:val="21"/>
                <w:vertAlign w:val="subscript"/>
              </w:rPr>
              <w:t>R</w:t>
            </w:r>
            <w:r>
              <w:rPr>
                <w:rFonts w:hint="eastAsia" w:ascii="Times New Roman" w:hAnsi="Times New Roman"/>
                <w:color w:val="000000"/>
                <w:szCs w:val="21"/>
              </w:rPr>
              <w:t>）</w:t>
            </w:r>
          </w:p>
        </w:tc>
        <w:tc>
          <w:tcPr>
            <w:tcW w:w="4561" w:type="dxa"/>
            <w:tcBorders>
              <w:top w:val="single" w:color="auto" w:sz="12" w:space="0"/>
              <w:right w:val="nil"/>
            </w:tcBorders>
            <w:vAlign w:val="center"/>
          </w:tcPr>
          <w:p>
            <w:pPr>
              <w:jc w:val="center"/>
              <w:rPr>
                <w:rFonts w:ascii="Times New Roman" w:hAnsi="Times New Roman"/>
                <w:color w:val="000000"/>
                <w:szCs w:val="21"/>
              </w:rPr>
            </w:pPr>
            <w:r>
              <w:rPr>
                <w:rFonts w:hint="eastAsia" w:ascii="Times New Roman" w:hAnsi="Times New Roman"/>
                <w:color w:val="000000"/>
                <w:szCs w:val="21"/>
              </w:rPr>
              <w:t>尾矿库控制机制可靠性（R）等别代码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tcBorders>
            <w:vAlign w:val="center"/>
          </w:tcPr>
          <w:p>
            <w:pPr>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vertAlign w:val="subscript"/>
              </w:rPr>
              <w:t>R</w:t>
            </w:r>
            <w:r>
              <w:rPr>
                <w:rFonts w:hint="eastAsia" w:ascii="Times New Roman" w:hAnsi="Times New Roman"/>
                <w:color w:val="000000"/>
                <w:szCs w:val="21"/>
              </w:rPr>
              <w:t>＞60</w:t>
            </w:r>
          </w:p>
        </w:tc>
        <w:tc>
          <w:tcPr>
            <w:tcW w:w="4561" w:type="dxa"/>
            <w:tcBorders>
              <w:right w:val="nil"/>
            </w:tcBorders>
            <w:vAlign w:val="center"/>
          </w:tcPr>
          <w:p>
            <w:pPr>
              <w:jc w:val="center"/>
              <w:rPr>
                <w:rFonts w:ascii="Times New Roman" w:hAnsi="Times New Roman"/>
                <w:color w:val="000000"/>
                <w:szCs w:val="21"/>
              </w:rPr>
            </w:pPr>
            <w:r>
              <w:rPr>
                <w:rFonts w:hint="eastAsia" w:ascii="Times New Roman" w:hAnsi="Times New Roman"/>
                <w:color w:val="000000"/>
                <w:szCs w:val="21"/>
              </w:rPr>
              <w:t>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tcBorders>
            <w:vAlign w:val="center"/>
          </w:tcPr>
          <w:p>
            <w:pPr>
              <w:jc w:val="center"/>
              <w:rPr>
                <w:rFonts w:ascii="Times New Roman" w:hAnsi="Times New Roman"/>
                <w:b/>
                <w:bCs/>
                <w:color w:val="000000"/>
                <w:szCs w:val="21"/>
              </w:rPr>
            </w:pPr>
            <w:r>
              <w:rPr>
                <w:rFonts w:hint="eastAsia" w:ascii="Times New Roman" w:hAnsi="Times New Roman"/>
                <w:b/>
                <w:bCs/>
                <w:color w:val="000000"/>
                <w:szCs w:val="21"/>
              </w:rPr>
              <w:t>30＜D</w:t>
            </w:r>
            <w:r>
              <w:rPr>
                <w:rFonts w:hint="eastAsia" w:ascii="Times New Roman" w:hAnsi="Times New Roman"/>
                <w:b/>
                <w:bCs/>
                <w:color w:val="000000"/>
                <w:szCs w:val="21"/>
                <w:vertAlign w:val="subscript"/>
              </w:rPr>
              <w:t>R</w:t>
            </w:r>
            <w:r>
              <w:rPr>
                <w:rFonts w:hint="eastAsia" w:ascii="Times New Roman" w:hAnsi="Times New Roman"/>
                <w:b/>
                <w:bCs/>
                <w:color w:val="000000"/>
                <w:szCs w:val="21"/>
              </w:rPr>
              <w:t>≤60</w:t>
            </w:r>
          </w:p>
        </w:tc>
        <w:tc>
          <w:tcPr>
            <w:tcW w:w="4561" w:type="dxa"/>
            <w:tcBorders>
              <w:right w:val="nil"/>
            </w:tcBorders>
            <w:vAlign w:val="center"/>
          </w:tcPr>
          <w:p>
            <w:pPr>
              <w:jc w:val="center"/>
              <w:rPr>
                <w:rFonts w:ascii="Times New Roman" w:hAnsi="Times New Roman"/>
                <w:b/>
                <w:bCs/>
                <w:color w:val="000000"/>
                <w:szCs w:val="21"/>
              </w:rPr>
            </w:pPr>
            <w:r>
              <w:rPr>
                <w:rFonts w:hint="eastAsia" w:ascii="Times New Roman" w:hAnsi="Times New Roman"/>
                <w:b/>
                <w:bCs/>
                <w:color w:val="000000"/>
                <w:szCs w:val="21"/>
              </w:rPr>
              <w:t>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bottom w:val="single" w:color="auto" w:sz="12" w:space="0"/>
            </w:tcBorders>
            <w:vAlign w:val="center"/>
          </w:tcPr>
          <w:p>
            <w:pPr>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vertAlign w:val="subscript"/>
              </w:rPr>
              <w:t>R</w:t>
            </w:r>
            <w:r>
              <w:rPr>
                <w:rFonts w:hint="eastAsia" w:ascii="Times New Roman" w:hAnsi="Times New Roman"/>
                <w:color w:val="000000"/>
                <w:szCs w:val="21"/>
              </w:rPr>
              <w:t>≤30</w:t>
            </w:r>
          </w:p>
        </w:tc>
        <w:tc>
          <w:tcPr>
            <w:tcW w:w="4561" w:type="dxa"/>
            <w:tcBorders>
              <w:bottom w:val="single" w:color="auto" w:sz="12" w:space="0"/>
              <w:right w:val="nil"/>
            </w:tcBorders>
            <w:vAlign w:val="center"/>
          </w:tcPr>
          <w:p>
            <w:pPr>
              <w:jc w:val="center"/>
              <w:rPr>
                <w:rFonts w:ascii="Times New Roman" w:hAnsi="Times New Roman"/>
                <w:color w:val="000000"/>
                <w:szCs w:val="21"/>
              </w:rPr>
            </w:pPr>
            <w:r>
              <w:rPr>
                <w:rFonts w:hint="eastAsia" w:ascii="Times New Roman" w:hAnsi="Times New Roman"/>
                <w:color w:val="000000"/>
                <w:szCs w:val="21"/>
              </w:rPr>
              <w:t>R3</w:t>
            </w:r>
          </w:p>
        </w:tc>
      </w:tr>
    </w:tbl>
    <w:p>
      <w:pPr>
        <w:tabs>
          <w:tab w:val="left" w:pos="328"/>
        </w:tabs>
        <w:spacing w:line="360" w:lineRule="auto"/>
        <w:ind w:firstLine="480" w:firstLineChars="200"/>
        <w:jc w:val="left"/>
        <w:rPr>
          <w:rFonts w:ascii="Times New Roman" w:hAnsi="Times New Roman"/>
          <w:sz w:val="24"/>
          <w:szCs w:val="24"/>
        </w:rPr>
      </w:pPr>
      <w:r>
        <w:rPr>
          <w:rFonts w:ascii="Times New Roman" w:hAnsi="Times New Roman"/>
          <w:sz w:val="24"/>
          <w:szCs w:val="24"/>
        </w:rPr>
        <w:t>(5)环境风险等级划分</w:t>
      </w:r>
    </w:p>
    <w:p>
      <w:pPr>
        <w:tabs>
          <w:tab w:val="left" w:pos="328"/>
        </w:tabs>
        <w:spacing w:line="360" w:lineRule="auto"/>
        <w:ind w:firstLine="480" w:firstLineChars="200"/>
        <w:jc w:val="left"/>
        <w:rPr>
          <w:rFonts w:ascii="Times New Roman" w:hAnsi="Times New Roman"/>
          <w:sz w:val="24"/>
          <w:szCs w:val="24"/>
        </w:rPr>
      </w:pPr>
      <w:r>
        <w:rPr>
          <w:rFonts w:ascii="Times New Roman" w:hAnsi="Times New Roman"/>
          <w:sz w:val="24"/>
          <w:szCs w:val="24"/>
        </w:rPr>
        <w:t>综合尾矿库环境危害性（H）、周边环境敏感性（S）、控制机制可靠性（R）三方面的等别，对照尾矿库环境风险等级划分矩阵，将尾矿库环境风险划分为重大、较大、一般三个等级。</w:t>
      </w:r>
    </w:p>
    <w:p>
      <w:pPr>
        <w:ind w:firstLine="482" w:firstLineChars="200"/>
        <w:jc w:val="center"/>
        <w:rPr>
          <w:rFonts w:ascii="Times New Roman" w:hAnsi="Times New Roman"/>
          <w:b/>
          <w:bCs/>
          <w:sz w:val="24"/>
          <w:szCs w:val="24"/>
        </w:rPr>
      </w:pPr>
      <w:r>
        <w:rPr>
          <w:rFonts w:ascii="Times New Roman" w:hAnsi="Times New Roman"/>
          <w:b/>
          <w:bCs/>
          <w:sz w:val="24"/>
          <w:szCs w:val="24"/>
        </w:rPr>
        <w:t>表2-26 尾矿库环境风险等级划分矩阵</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tabs>
                <w:tab w:val="left" w:pos="328"/>
              </w:tabs>
              <w:jc w:val="center"/>
              <w:rPr>
                <w:rFonts w:ascii="Times New Roman" w:hAnsi="Times New Roman"/>
                <w:szCs w:val="21"/>
              </w:rPr>
            </w:pPr>
            <w:r>
              <w:rPr>
                <w:rFonts w:ascii="Times New Roman" w:hAnsi="Times New Roman"/>
                <w:szCs w:val="21"/>
              </w:rPr>
              <w:t>序号</w:t>
            </w:r>
          </w:p>
        </w:tc>
        <w:tc>
          <w:tcPr>
            <w:tcW w:w="5113" w:type="dxa"/>
            <w:gridSpan w:val="3"/>
            <w:vAlign w:val="center"/>
          </w:tcPr>
          <w:p>
            <w:pPr>
              <w:tabs>
                <w:tab w:val="left" w:pos="328"/>
              </w:tabs>
              <w:jc w:val="center"/>
              <w:rPr>
                <w:rFonts w:ascii="Times New Roman" w:hAnsi="Times New Roman"/>
                <w:szCs w:val="21"/>
              </w:rPr>
            </w:pPr>
            <w:r>
              <w:rPr>
                <w:rFonts w:ascii="Times New Roman" w:hAnsi="Times New Roman"/>
                <w:szCs w:val="21"/>
              </w:rPr>
              <w:t>情形</w:t>
            </w:r>
          </w:p>
        </w:tc>
        <w:tc>
          <w:tcPr>
            <w:tcW w:w="1705" w:type="dxa"/>
            <w:vMerge w:val="restart"/>
            <w:vAlign w:val="center"/>
          </w:tcPr>
          <w:p>
            <w:pPr>
              <w:tabs>
                <w:tab w:val="left" w:pos="328"/>
              </w:tabs>
              <w:jc w:val="center"/>
              <w:rPr>
                <w:rFonts w:ascii="Times New Roman" w:hAnsi="Times New Roman"/>
                <w:szCs w:val="21"/>
              </w:rPr>
            </w:pPr>
            <w:r>
              <w:rPr>
                <w:rFonts w:ascii="Times New Roman" w:hAnsi="Times New Roman"/>
                <w:szCs w:val="21"/>
              </w:rPr>
              <w:t>环境风险等级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tabs>
                <w:tab w:val="left" w:pos="328"/>
              </w:tabs>
              <w:jc w:val="center"/>
              <w:rPr>
                <w:rFonts w:ascii="Times New Roman" w:hAnsi="Times New Roman"/>
                <w:szCs w:val="21"/>
              </w:rPr>
            </w:pPr>
          </w:p>
        </w:tc>
        <w:tc>
          <w:tcPr>
            <w:tcW w:w="1704" w:type="dxa"/>
            <w:vAlign w:val="center"/>
          </w:tcPr>
          <w:p>
            <w:pPr>
              <w:tabs>
                <w:tab w:val="left" w:pos="328"/>
              </w:tabs>
              <w:jc w:val="center"/>
              <w:rPr>
                <w:rFonts w:ascii="Times New Roman" w:hAnsi="Times New Roman"/>
                <w:szCs w:val="21"/>
              </w:rPr>
            </w:pPr>
            <w:r>
              <w:rPr>
                <w:rFonts w:ascii="Times New Roman" w:hAnsi="Times New Roman"/>
                <w:szCs w:val="21"/>
              </w:rPr>
              <w:t>环境危害性（H）</w:t>
            </w:r>
          </w:p>
        </w:tc>
        <w:tc>
          <w:tcPr>
            <w:tcW w:w="1704" w:type="dxa"/>
            <w:vAlign w:val="center"/>
          </w:tcPr>
          <w:p>
            <w:pPr>
              <w:tabs>
                <w:tab w:val="left" w:pos="328"/>
              </w:tabs>
              <w:jc w:val="center"/>
              <w:rPr>
                <w:rFonts w:ascii="Times New Roman" w:hAnsi="Times New Roman"/>
                <w:szCs w:val="21"/>
              </w:rPr>
            </w:pPr>
            <w:r>
              <w:rPr>
                <w:rFonts w:ascii="Times New Roman" w:hAnsi="Times New Roman"/>
                <w:szCs w:val="21"/>
              </w:rPr>
              <w:t>周边环境敏感性（S）</w:t>
            </w:r>
          </w:p>
        </w:tc>
        <w:tc>
          <w:tcPr>
            <w:tcW w:w="1705" w:type="dxa"/>
            <w:vAlign w:val="center"/>
          </w:tcPr>
          <w:p>
            <w:pPr>
              <w:tabs>
                <w:tab w:val="left" w:pos="328"/>
              </w:tabs>
              <w:jc w:val="center"/>
              <w:rPr>
                <w:rFonts w:ascii="Times New Roman" w:hAnsi="Times New Roman"/>
                <w:szCs w:val="21"/>
              </w:rPr>
            </w:pPr>
            <w:r>
              <w:rPr>
                <w:rFonts w:ascii="Times New Roman" w:hAnsi="Times New Roman"/>
                <w:szCs w:val="21"/>
              </w:rPr>
              <w:t>控制机制可靠性（R）</w:t>
            </w:r>
          </w:p>
        </w:tc>
        <w:tc>
          <w:tcPr>
            <w:tcW w:w="1705" w:type="dxa"/>
            <w:vMerge w:val="continue"/>
            <w:vAlign w:val="center"/>
          </w:tcPr>
          <w:p>
            <w:pPr>
              <w:tabs>
                <w:tab w:val="left" w:pos="328"/>
              </w:tabs>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1</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H1</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2</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3</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4</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5</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6</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7</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8</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9</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10</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H2</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11</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12</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13</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14</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15</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16</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17</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18</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19</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b/>
                <w:bCs/>
                <w:szCs w:val="21"/>
              </w:rPr>
              <w:t>H3</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20</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21</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22</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b/>
                <w:bCs/>
                <w:szCs w:val="21"/>
              </w:rPr>
              <w:t>S2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23</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b/>
                <w:bCs/>
                <w:szCs w:val="21"/>
              </w:rPr>
            </w:pPr>
            <w:r>
              <w:rPr>
                <w:rFonts w:hint="eastAsia" w:ascii="Times New Roman" w:hAnsi="Times New Roman"/>
                <w:b/>
                <w:bCs/>
                <w:szCs w:val="21"/>
              </w:rPr>
              <w:t>R2</w:t>
            </w:r>
          </w:p>
        </w:tc>
        <w:tc>
          <w:tcPr>
            <w:tcW w:w="1705" w:type="dxa"/>
            <w:vAlign w:val="center"/>
          </w:tcPr>
          <w:p>
            <w:pPr>
              <w:jc w:val="center"/>
              <w:rPr>
                <w:rFonts w:ascii="Times New Roman" w:hAnsi="Times New Roman"/>
                <w:b/>
                <w:bCs/>
                <w:szCs w:val="21"/>
              </w:rPr>
            </w:pPr>
            <w:r>
              <w:rPr>
                <w:rFonts w:hint="eastAsia" w:ascii="Times New Roman" w:hAnsi="Times New Roman"/>
                <w:b/>
                <w:bCs/>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24</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25</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26</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27</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bl>
    <w:p>
      <w:pPr>
        <w:spacing w:line="360" w:lineRule="auto"/>
        <w:ind w:firstLine="480" w:firstLineChars="200"/>
        <w:rPr>
          <w:rFonts w:ascii="Times New Roman" w:hAnsi="Times New Roman"/>
          <w:color w:val="000000"/>
          <w:sz w:val="24"/>
        </w:rPr>
      </w:pPr>
      <w:r>
        <w:rPr>
          <w:rFonts w:ascii="Times New Roman" w:hAnsi="Times New Roman"/>
          <w:color w:val="000000"/>
          <w:sz w:val="24"/>
        </w:rPr>
        <w:t>综上所述，本项目环境危害性为H3类，周边环境敏感性为S2类，控制机制可靠性为R2类，因此尾矿库环境风险等级可以表征为“一般（H3S2R2）”。</w:t>
      </w:r>
    </w:p>
    <w:p>
      <w:pPr>
        <w:spacing w:line="360" w:lineRule="auto"/>
        <w:ind w:firstLine="480" w:firstLineChars="200"/>
        <w:outlineLvl w:val="0"/>
        <w:rPr>
          <w:rFonts w:ascii="Times New Roman" w:hAnsi="Times New Roman"/>
          <w:color w:val="000000"/>
          <w:sz w:val="24"/>
          <w:szCs w:val="24"/>
        </w:rPr>
      </w:pPr>
      <w:r>
        <w:rPr>
          <w:rFonts w:ascii="Times New Roman" w:hAnsi="Times New Roman"/>
          <w:color w:val="000000"/>
          <w:sz w:val="24"/>
          <w:szCs w:val="24"/>
        </w:rPr>
        <w:t>2、评价范围</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本项目的风险评价范围是以风险源尾矿库为中心，3km为半径的圆形区域，评价范围面积为28.26km</w:t>
      </w:r>
      <w:r>
        <w:rPr>
          <w:rFonts w:ascii="Times New Roman" w:hAnsi="Times New Roman"/>
          <w:color w:val="000000"/>
          <w:sz w:val="24"/>
          <w:szCs w:val="24"/>
          <w:vertAlign w:val="superscript"/>
        </w:rPr>
        <w:t>2</w:t>
      </w:r>
      <w:r>
        <w:rPr>
          <w:rFonts w:ascii="Times New Roman" w:hAnsi="Times New Roman"/>
          <w:color w:val="000000"/>
          <w:sz w:val="24"/>
          <w:szCs w:val="24"/>
        </w:rPr>
        <w:t>。</w:t>
      </w:r>
    </w:p>
    <w:p>
      <w:pPr>
        <w:pStyle w:val="4"/>
        <w:rPr>
          <w:rFonts w:ascii="Times New Roman" w:hAnsi="Times New Roman" w:eastAsia="宋体"/>
        </w:rPr>
      </w:pPr>
      <w:bookmarkStart w:id="93" w:name="_Toc8240"/>
      <w:bookmarkStart w:id="94" w:name="_Toc4755"/>
      <w:bookmarkStart w:id="95" w:name="_Toc24582"/>
      <w:r>
        <w:rPr>
          <w:rFonts w:hint="eastAsia" w:ascii="Times New Roman" w:hAnsi="Times New Roman" w:eastAsia="宋体"/>
        </w:rPr>
        <w:t>2.4主体功能区划及环境功能区划</w:t>
      </w:r>
      <w:bookmarkEnd w:id="93"/>
      <w:bookmarkEnd w:id="94"/>
      <w:bookmarkEnd w:id="95"/>
    </w:p>
    <w:p>
      <w:pPr>
        <w:pStyle w:val="5"/>
        <w:spacing w:before="0" w:after="0" w:line="360" w:lineRule="auto"/>
        <w:rPr>
          <w:color w:val="000000"/>
          <w:sz w:val="24"/>
          <w:szCs w:val="24"/>
        </w:rPr>
      </w:pPr>
      <w:bookmarkStart w:id="96" w:name="_Toc4567"/>
      <w:bookmarkStart w:id="97" w:name="_Toc20776"/>
      <w:bookmarkStart w:id="98" w:name="_Toc16825"/>
      <w:r>
        <w:rPr>
          <w:rFonts w:hint="eastAsia"/>
          <w:color w:val="000000"/>
          <w:sz w:val="24"/>
          <w:szCs w:val="24"/>
        </w:rPr>
        <w:t>2.4.1主体功能区划</w:t>
      </w:r>
      <w:bookmarkEnd w:id="96"/>
      <w:bookmarkEnd w:id="97"/>
      <w:bookmarkEnd w:id="98"/>
    </w:p>
    <w:p>
      <w:pPr>
        <w:pStyle w:val="62"/>
        <w:ind w:firstLine="480" w:firstLineChars="200"/>
        <w:rPr>
          <w:rFonts w:ascii="Times New Roman" w:hAnsi="Times New Roman"/>
        </w:rPr>
      </w:pPr>
      <w:r>
        <w:rPr>
          <w:rFonts w:ascii="Times New Roman" w:hAnsi="Times New Roman"/>
        </w:rPr>
        <w:t>（1）根据《白山市矿产资源规划（2008-2015）》，为确保全市经济社会发展对矿产品的需求，鼓励开发利用优势矿产和重要矿产，逐渐形成具有白山市特色的矿业经济。本项目符合国家产政策及法律、法规及政策的规定，占地不属于白山市矿产开采规划分区的限制开采区及禁止开采区，属于允许开采的区域，已按照规划开采区块申请采矿权。综上，本项目符合《白山市矿产资源规划（2008-2015）》要求。</w:t>
      </w:r>
    </w:p>
    <w:p>
      <w:pPr>
        <w:spacing w:line="360" w:lineRule="auto"/>
        <w:ind w:firstLine="480" w:firstLineChars="200"/>
        <w:outlineLvl w:val="0"/>
        <w:rPr>
          <w:rFonts w:ascii="Times New Roman" w:hAnsi="Times New Roman"/>
          <w:sz w:val="24"/>
        </w:rPr>
      </w:pPr>
      <w:r>
        <w:rPr>
          <w:rFonts w:ascii="Times New Roman" w:hAnsi="Times New Roman"/>
          <w:sz w:val="24"/>
        </w:rPr>
        <w:t>（2）主体功能区划</w:t>
      </w:r>
    </w:p>
    <w:p>
      <w:pPr>
        <w:spacing w:line="360" w:lineRule="auto"/>
        <w:ind w:firstLine="480" w:firstLineChars="200"/>
        <w:rPr>
          <w:rFonts w:ascii="Times New Roman" w:hAnsi="Times New Roman"/>
          <w:sz w:val="24"/>
        </w:rPr>
      </w:pPr>
      <w:r>
        <w:rPr>
          <w:rFonts w:ascii="Times New Roman" w:hAnsi="Times New Roman"/>
          <w:sz w:val="24"/>
        </w:rPr>
        <w:t>根据《吉林省主体功能区划》，本项目所在区域白山市属于重点生态功能区，为限制开发区域，其发展方向和开发原则为：以保护和修复生态环境，提供生态产品为首要任务，因地制宜发展不影响主体功能定位的适宜产业，引导超载人口逐步有序转移。推进森林生态资源保护、森林资源培育，湿地保护，治理水土流失，维护或重建森林等生态系统。严格保护具有水源涵养功能的自然植被，调减森林采伐量，实施森林分 类经营，禁止无序开采、毁林开荒等行为。加强松花江、鸭绿江、图们江源头及上游地区的小流域治理和植树造林，减少面源污染。拓宽农民增收渠道，解决农民长远生计。转变传统畜牧生产方式，实行禁牧休牧，推行舍饲圈养，以草定畜，严格控制载畜量。加大退牧还草力度，恢复草原植被，严格保护沙区林草植被，禁止滥开垦、滥樵采、滥放牧，保护沙区湿地，禁止发展高耗水工业。对主要沙尘源区、沙尘暴频发区实行封禁管理。</w:t>
      </w:r>
    </w:p>
    <w:p>
      <w:pPr>
        <w:spacing w:line="360" w:lineRule="auto"/>
        <w:ind w:firstLine="480" w:firstLineChars="200"/>
        <w:rPr>
          <w:rFonts w:ascii="Times New Roman" w:hAnsi="Times New Roman"/>
          <w:sz w:val="24"/>
        </w:rPr>
      </w:pPr>
      <w:r>
        <w:rPr>
          <w:rFonts w:ascii="Times New Roman" w:hAnsi="Times New Roman"/>
          <w:sz w:val="24"/>
        </w:rPr>
        <w:t>坚持生态主导、保护优先，把保护与修复林区、草地、荒漠生态系统作为首要任务，严格控制森林资源采伐强度和过度放牧，逐步停止主伐，加强森林草地经营，强化森林草地 管护，提升森林草地质量。对各类开发活动进行严格管制，尽可能减少对自然生态系统的干扰</w:t>
      </w:r>
      <w:r>
        <w:rPr>
          <w:rFonts w:hint="eastAsia" w:ascii="Times New Roman" w:hAnsi="Times New Roman"/>
          <w:sz w:val="24"/>
        </w:rPr>
        <w:t xml:space="preserve"> </w:t>
      </w:r>
      <w:r>
        <w:rPr>
          <w:rFonts w:ascii="Times New Roman" w:hAnsi="Times New Roman"/>
          <w:sz w:val="24"/>
        </w:rPr>
        <w:t>，不得损害生态系统的稳定和完整性。开发矿产资源、水生生物资源、发展适宜产业和建设基础设施，都要控制在尽可能小的空间范围之内，控制新增公路、铁路建设规模，必须新建的，应事先规划好动物迁徙通道。在有 条件的地区之间，要通过水系、绿带等构建生态廊道，避免形成 “生态孤岛”。严格落实水土保持方案报告制度，有效控制生产建设中造成新的人为水土流失。实行更加严格的行业准入环境标准，严把项目准入关。在不损害生态系统功能的前提下，因地制宜地适度发展旅游、农林牧产品生产和加工、休闲农业等产业，积极发展服务业，根据 不同地区的情况，保持一定的经济增长速度和财政自给能力。加强县城和中心镇的道路、供排水、垃圾污水处理等基础设施建设。在条件适宜的地区，积极推广沼气、风能、太阳能、生物质能、地热能等清洁能源，努力解决农村特别是山区、草原地区农村的能源需求。在有条件的地区建设一批节能环保的生态型社区。引导一部分人口向城市化地区、区域内的县城和中心镇 转移，健全公共服务体系，改善教育、医疗、文化等设施条件，提高公共服务供给能力和水平。</w:t>
      </w:r>
    </w:p>
    <w:p>
      <w:pPr>
        <w:spacing w:line="360" w:lineRule="auto"/>
        <w:ind w:firstLine="480" w:firstLineChars="200"/>
        <w:rPr>
          <w:rFonts w:ascii="Times New Roman" w:hAnsi="Times New Roman"/>
          <w:b/>
          <w:color w:val="000000"/>
          <w:sz w:val="24"/>
        </w:rPr>
      </w:pPr>
      <w:r>
        <w:rPr>
          <w:rFonts w:ascii="Times New Roman" w:hAnsi="Times New Roman"/>
          <w:sz w:val="24"/>
        </w:rPr>
        <w:t>本项目位于白山市江源区</w:t>
      </w:r>
      <w:r>
        <w:rPr>
          <w:rFonts w:hint="eastAsia" w:ascii="Times New Roman" w:hAnsi="Times New Roman"/>
          <w:snapToGrid w:val="0"/>
          <w:kern w:val="0"/>
          <w:sz w:val="24"/>
        </w:rPr>
        <w:t>七岔村</w:t>
      </w:r>
      <w:r>
        <w:rPr>
          <w:rFonts w:ascii="Times New Roman" w:hAnsi="Times New Roman"/>
          <w:sz w:val="24"/>
        </w:rPr>
        <w:t>，项目占地为</w:t>
      </w:r>
      <w:r>
        <w:rPr>
          <w:rFonts w:hint="eastAsia" w:ascii="Times New Roman" w:hAnsi="Times New Roman"/>
          <w:sz w:val="24"/>
        </w:rPr>
        <w:t>建设</w:t>
      </w:r>
      <w:r>
        <w:rPr>
          <w:rFonts w:ascii="Times New Roman" w:hAnsi="Times New Roman"/>
          <w:sz w:val="24"/>
        </w:rPr>
        <w:t>用地，因此本项目不会对重点生态功能区的主体功能区划有影响</w:t>
      </w:r>
      <w:r>
        <w:rPr>
          <w:rFonts w:ascii="Times New Roman" w:hAnsi="Times New Roman"/>
          <w:color w:val="000000"/>
          <w:sz w:val="24"/>
        </w:rPr>
        <w:t>。</w:t>
      </w:r>
    </w:p>
    <w:p>
      <w:pPr>
        <w:pStyle w:val="5"/>
        <w:spacing w:before="0" w:after="0" w:line="360" w:lineRule="auto"/>
        <w:rPr>
          <w:sz w:val="24"/>
          <w:szCs w:val="24"/>
        </w:rPr>
      </w:pPr>
      <w:bookmarkStart w:id="99" w:name="_Toc6062"/>
      <w:bookmarkStart w:id="100" w:name="_Toc12887"/>
      <w:bookmarkStart w:id="101" w:name="_Toc13580"/>
      <w:r>
        <w:rPr>
          <w:rFonts w:hint="eastAsia"/>
          <w:sz w:val="24"/>
          <w:szCs w:val="24"/>
        </w:rPr>
        <w:t>2.4.2环境功能区划</w:t>
      </w:r>
      <w:bookmarkEnd w:id="99"/>
      <w:bookmarkEnd w:id="100"/>
      <w:bookmarkEnd w:id="101"/>
    </w:p>
    <w:p>
      <w:pPr>
        <w:spacing w:line="360" w:lineRule="auto"/>
        <w:ind w:firstLine="480" w:firstLineChars="200"/>
        <w:rPr>
          <w:rFonts w:ascii="Times New Roman" w:hAnsi="Times New Roman"/>
          <w:sz w:val="24"/>
          <w:szCs w:val="24"/>
        </w:rPr>
      </w:pPr>
      <w:r>
        <w:rPr>
          <w:rFonts w:ascii="Times New Roman" w:hAnsi="Times New Roman"/>
          <w:sz w:val="24"/>
          <w:szCs w:val="24"/>
        </w:rPr>
        <w:t>（1）环境空气</w:t>
      </w:r>
    </w:p>
    <w:p>
      <w:pPr>
        <w:spacing w:line="360" w:lineRule="auto"/>
        <w:ind w:firstLine="480" w:firstLineChars="200"/>
        <w:rPr>
          <w:rFonts w:ascii="Times New Roman" w:hAnsi="Times New Roman"/>
        </w:rPr>
      </w:pPr>
      <w:r>
        <w:rPr>
          <w:rFonts w:ascii="Times New Roman" w:hAnsi="Times New Roman"/>
          <w:sz w:val="24"/>
        </w:rPr>
        <w:t>本项目所在区域非自然保护区、风景名胜区和其他需要特殊保护的区域，项目位置地属山区，由于《环境空气质量标准》（GB3095-2012）中无明确规定，本次环评按照农村地区考虑，因此本项目</w:t>
      </w:r>
      <w:r>
        <w:rPr>
          <w:rFonts w:ascii="Times New Roman" w:hAnsi="Times New Roman"/>
          <w:sz w:val="24"/>
          <w:szCs w:val="24"/>
        </w:rPr>
        <w:t>所在区域属于二类环境空气质量功能区。</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（2）地表水</w:t>
      </w:r>
    </w:p>
    <w:p>
      <w:pPr>
        <w:spacing w:line="360" w:lineRule="auto"/>
        <w:ind w:firstLine="480" w:firstLineChars="200"/>
        <w:rPr>
          <w:rFonts w:ascii="Times New Roman" w:hAnsi="Times New Roman"/>
          <w:sz w:val="24"/>
          <w:szCs w:val="24"/>
        </w:rPr>
      </w:pPr>
      <w:r>
        <w:rPr>
          <w:rFonts w:ascii="Times New Roman" w:hAnsi="Times New Roman"/>
          <w:sz w:val="24"/>
          <w:szCs w:val="24"/>
        </w:rPr>
        <w:t>根据《吉林省地表水功能区》（DB22/388-2004），本项目评价</w:t>
      </w:r>
      <w:r>
        <w:rPr>
          <w:rFonts w:ascii="Times New Roman" w:hAnsi="Times New Roman"/>
          <w:color w:val="000000"/>
          <w:sz w:val="24"/>
          <w:szCs w:val="24"/>
        </w:rPr>
        <w:t>河段源头——三岔子镇为浑江江源县饮用水源区，</w:t>
      </w:r>
      <w:r>
        <w:rPr>
          <w:rFonts w:ascii="Times New Roman" w:hAnsi="Times New Roman"/>
          <w:sz w:val="24"/>
          <w:szCs w:val="24"/>
        </w:rPr>
        <w:t>水质目标为Ⅲ类。因此本项目所在区域地表水环境功能区划为Ⅲ类。</w:t>
      </w:r>
    </w:p>
    <w:p>
      <w:pPr>
        <w:spacing w:line="360" w:lineRule="auto"/>
        <w:ind w:firstLine="480" w:firstLineChars="200"/>
        <w:outlineLvl w:val="0"/>
        <w:rPr>
          <w:rFonts w:ascii="Times New Roman" w:hAnsi="Times New Roman"/>
          <w:color w:val="000000"/>
          <w:sz w:val="24"/>
          <w:szCs w:val="24"/>
        </w:rPr>
      </w:pPr>
      <w:r>
        <w:rPr>
          <w:rFonts w:ascii="Times New Roman" w:hAnsi="Times New Roman"/>
          <w:color w:val="000000"/>
          <w:sz w:val="24"/>
          <w:szCs w:val="24"/>
        </w:rPr>
        <w:t>（3）地下水</w:t>
      </w:r>
    </w:p>
    <w:p>
      <w:pPr>
        <w:spacing w:line="360" w:lineRule="auto"/>
        <w:ind w:firstLine="480" w:firstLineChars="200"/>
        <w:rPr>
          <w:rFonts w:ascii="Times New Roman" w:hAnsi="Times New Roman"/>
          <w:color w:val="000000"/>
          <w:sz w:val="24"/>
        </w:rPr>
      </w:pPr>
      <w:r>
        <w:rPr>
          <w:rFonts w:ascii="Times New Roman" w:hAnsi="Times New Roman"/>
          <w:color w:val="000000"/>
          <w:sz w:val="24"/>
          <w:szCs w:val="24"/>
        </w:rPr>
        <w:t>本项目所在区域地下水主要用于矿区生活用水及生产用水，</w:t>
      </w:r>
      <w:r>
        <w:rPr>
          <w:rFonts w:ascii="Times New Roman" w:hAnsi="Times New Roman"/>
          <w:color w:val="000000"/>
          <w:sz w:val="24"/>
        </w:rPr>
        <w:t>根据《地下水质量标准》（GB/T14848-2017）“地下水化学组分含量中等，适用于集中式生活饮用水水源及工业用水”为Ⅲ类地下水，本项目所在区域地下水环境功能区划为Ⅲ类。</w:t>
      </w:r>
    </w:p>
    <w:p>
      <w:pPr>
        <w:spacing w:line="360" w:lineRule="auto"/>
        <w:ind w:firstLine="480" w:firstLineChars="200"/>
        <w:outlineLvl w:val="0"/>
        <w:rPr>
          <w:rFonts w:ascii="Times New Roman" w:hAnsi="Times New Roman"/>
          <w:color w:val="000000"/>
          <w:sz w:val="24"/>
          <w:szCs w:val="24"/>
        </w:rPr>
      </w:pPr>
      <w:r>
        <w:rPr>
          <w:rFonts w:ascii="Times New Roman" w:hAnsi="Times New Roman"/>
          <w:color w:val="000000"/>
          <w:sz w:val="24"/>
          <w:szCs w:val="24"/>
        </w:rPr>
        <w:t>（4）声环境</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本项目所在地周边声环境为GB3096-2008《声环境质量标准》中的3类区。</w:t>
      </w:r>
      <w:r>
        <w:rPr>
          <w:rFonts w:ascii="Times New Roman" w:hAnsi="Times New Roman"/>
          <w:sz w:val="24"/>
        </w:rPr>
        <w:t>确定声环境为3类功能区。</w:t>
      </w:r>
    </w:p>
    <w:p>
      <w:pPr>
        <w:spacing w:line="360" w:lineRule="auto"/>
        <w:ind w:firstLine="480" w:firstLineChars="200"/>
        <w:outlineLvl w:val="0"/>
        <w:rPr>
          <w:rFonts w:ascii="Times New Roman" w:hAnsi="Times New Roman"/>
          <w:color w:val="000000"/>
          <w:sz w:val="24"/>
          <w:szCs w:val="24"/>
        </w:rPr>
      </w:pPr>
      <w:r>
        <w:rPr>
          <w:rFonts w:ascii="Times New Roman" w:hAnsi="Times New Roman"/>
          <w:color w:val="000000"/>
          <w:sz w:val="24"/>
          <w:szCs w:val="24"/>
        </w:rPr>
        <w:t>（5）土壤环境</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本项目所在地土壤环境按照《土壤环境质量建设用地土壤污染风险管控标准》（GB36600-2018）中第二类用地的筛选值及管制值。</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（6）生态环境功能区划</w:t>
      </w:r>
    </w:p>
    <w:p>
      <w:pPr>
        <w:spacing w:line="360" w:lineRule="auto"/>
        <w:ind w:firstLine="480" w:firstLineChars="200"/>
        <w:rPr>
          <w:rFonts w:ascii="Times New Roman" w:hAnsi="Times New Roman"/>
          <w:color w:val="000000"/>
          <w:sz w:val="24"/>
        </w:rPr>
      </w:pPr>
      <w:r>
        <w:rPr>
          <w:rFonts w:ascii="Times New Roman" w:hAnsi="Times New Roman"/>
          <w:color w:val="000000"/>
          <w:sz w:val="24"/>
        </w:rPr>
        <w:t>按《吉林省生态功能区划》，本项目属于“Ⅲ-3-3浑江中上游通化-白山城镇和工矿及林农生态区”。生态功能一级、二级、三级区划详见附图</w:t>
      </w:r>
      <w:r>
        <w:rPr>
          <w:rFonts w:hint="eastAsia" w:ascii="Times New Roman" w:hAnsi="Times New Roman"/>
          <w:color w:val="000000"/>
          <w:sz w:val="24"/>
        </w:rPr>
        <w:t>8</w:t>
      </w:r>
      <w:r>
        <w:rPr>
          <w:rFonts w:ascii="Times New Roman" w:hAnsi="Times New Roman"/>
          <w:color w:val="000000"/>
          <w:sz w:val="24"/>
        </w:rPr>
        <w:t>、</w:t>
      </w:r>
      <w:r>
        <w:rPr>
          <w:rFonts w:hint="eastAsia" w:ascii="Times New Roman" w:hAnsi="Times New Roman"/>
          <w:color w:val="000000"/>
          <w:sz w:val="24"/>
        </w:rPr>
        <w:t>9</w:t>
      </w:r>
      <w:r>
        <w:rPr>
          <w:rFonts w:ascii="Times New Roman" w:hAnsi="Times New Roman"/>
          <w:color w:val="000000"/>
          <w:sz w:val="24"/>
        </w:rPr>
        <w:t>、1</w:t>
      </w:r>
      <w:r>
        <w:rPr>
          <w:rFonts w:hint="eastAsia" w:ascii="Times New Roman" w:hAnsi="Times New Roman"/>
          <w:color w:val="000000"/>
          <w:sz w:val="24"/>
        </w:rPr>
        <w:t>0</w:t>
      </w:r>
      <w:r>
        <w:rPr>
          <w:rFonts w:ascii="Times New Roman" w:hAnsi="Times New Roman"/>
          <w:color w:val="000000"/>
          <w:sz w:val="24"/>
        </w:rPr>
        <w:t>。</w:t>
      </w:r>
    </w:p>
    <w:p>
      <w:pPr>
        <w:spacing w:line="360" w:lineRule="auto"/>
        <w:ind w:firstLine="480" w:firstLineChars="200"/>
        <w:rPr>
          <w:rFonts w:ascii="Times New Roman" w:hAnsi="Times New Roman"/>
          <w:sz w:val="24"/>
        </w:rPr>
      </w:pPr>
      <w:r>
        <w:rPr>
          <w:rFonts w:ascii="Times New Roman" w:hAnsi="Times New Roman"/>
          <w:sz w:val="24"/>
        </w:rPr>
        <w:t>本区森林生态系统不完整，没有原始林，均为天然次生林和人工林，多为阔叶杂木林；区域内无自然保护区和风景名胜区，亦无国家和吉林省确定的珍稀、濒危保护野生动植物物种，区域生态环境属一般区域。</w:t>
      </w:r>
    </w:p>
    <w:p>
      <w:pPr>
        <w:pStyle w:val="4"/>
        <w:rPr>
          <w:rFonts w:ascii="Times New Roman" w:hAnsi="Times New Roman" w:eastAsia="宋体"/>
          <w:color w:val="000000"/>
        </w:rPr>
      </w:pPr>
      <w:bookmarkStart w:id="102" w:name="_Toc19058"/>
      <w:bookmarkStart w:id="103" w:name="_Toc12665"/>
      <w:bookmarkStart w:id="104" w:name="_Toc9458"/>
      <w:r>
        <w:rPr>
          <w:rFonts w:hint="eastAsia" w:ascii="Times New Roman" w:hAnsi="Times New Roman" w:eastAsia="宋体"/>
          <w:color w:val="000000"/>
        </w:rPr>
        <w:t>2.5本项目周围环境特征</w:t>
      </w:r>
      <w:bookmarkEnd w:id="102"/>
      <w:bookmarkEnd w:id="103"/>
      <w:bookmarkEnd w:id="104"/>
    </w:p>
    <w:p>
      <w:pPr>
        <w:pStyle w:val="2"/>
        <w:spacing w:after="0" w:line="360" w:lineRule="auto"/>
        <w:ind w:firstLine="480" w:firstLineChars="200"/>
        <w:rPr>
          <w:rFonts w:ascii="Times New Roman" w:hAnsi="Times New Roman"/>
          <w:sz w:val="24"/>
          <w:szCs w:val="24"/>
        </w:rPr>
      </w:pPr>
      <w:r>
        <w:rPr>
          <w:rFonts w:ascii="Times New Roman" w:hAnsi="Times New Roman"/>
          <w:sz w:val="24"/>
          <w:szCs w:val="24"/>
        </w:rPr>
        <w:t>（1）建设地点及周围环境状况</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现有项目位于</w:t>
      </w:r>
      <w:r>
        <w:rPr>
          <w:rFonts w:ascii="Times New Roman" w:hAnsi="Times New Roman"/>
          <w:kern w:val="0"/>
          <w:sz w:val="24"/>
          <w:szCs w:val="24"/>
        </w:rPr>
        <w:t>白山市江源区七岔村</w:t>
      </w:r>
      <w:r>
        <w:rPr>
          <w:rFonts w:ascii="Times New Roman" w:hAnsi="Times New Roman"/>
          <w:sz w:val="24"/>
          <w:szCs w:val="24"/>
        </w:rPr>
        <w:t>现有厂区内。 本项目中心坐标为东经：126°26'21.6"，北纬：42°05'22.6"。本项目厂界东侧为林地；南侧10m为西南岔河自西向东流；西侧140m为林蛙养殖基地；北侧紧邻一条无名林间小路，127m为鹤大高速；西北侧566m隔鹤大高速为九道阳岔养鸡场。</w:t>
      </w:r>
    </w:p>
    <w:p>
      <w:pPr>
        <w:spacing w:line="360" w:lineRule="auto"/>
        <w:ind w:firstLine="480" w:firstLineChars="200"/>
        <w:jc w:val="left"/>
        <w:outlineLvl w:val="0"/>
        <w:rPr>
          <w:rFonts w:ascii="Times New Roman" w:hAnsi="Times New Roman"/>
          <w:sz w:val="24"/>
          <w:szCs w:val="24"/>
        </w:rPr>
      </w:pPr>
      <w:r>
        <w:rPr>
          <w:rFonts w:ascii="Times New Roman" w:hAnsi="Times New Roman"/>
          <w:sz w:val="24"/>
          <w:szCs w:val="24"/>
        </w:rPr>
        <w:t>（2）区域敏感性分析</w:t>
      </w:r>
    </w:p>
    <w:p>
      <w:pPr>
        <w:pStyle w:val="2"/>
        <w:spacing w:after="0" w:line="360" w:lineRule="auto"/>
        <w:ind w:firstLine="480" w:firstLineChars="200"/>
        <w:rPr>
          <w:rFonts w:ascii="Times New Roman" w:hAnsi="Times New Roman"/>
          <w:sz w:val="24"/>
          <w:szCs w:val="24"/>
        </w:rPr>
      </w:pPr>
      <w:r>
        <w:rPr>
          <w:rFonts w:ascii="Times New Roman" w:hAnsi="Times New Roman"/>
          <w:sz w:val="24"/>
          <w:szCs w:val="24"/>
        </w:rPr>
        <w:t>①人居环境敏感点分布</w:t>
      </w:r>
    </w:p>
    <w:p>
      <w:pPr>
        <w:pStyle w:val="2"/>
        <w:spacing w:line="360" w:lineRule="auto"/>
        <w:ind w:firstLine="480" w:firstLineChars="200"/>
        <w:rPr>
          <w:rFonts w:ascii="Times New Roman" w:hAnsi="Times New Roman"/>
          <w:sz w:val="24"/>
          <w:szCs w:val="24"/>
        </w:rPr>
      </w:pPr>
      <w:r>
        <w:rPr>
          <w:rFonts w:ascii="Times New Roman" w:hAnsi="Times New Roman"/>
          <w:sz w:val="24"/>
          <w:szCs w:val="24"/>
        </w:rPr>
        <w:t>经现场踏查发现，本项目</w:t>
      </w:r>
      <w:r>
        <w:rPr>
          <w:rFonts w:hint="eastAsia" w:ascii="Times New Roman" w:hAnsi="Times New Roman"/>
          <w:sz w:val="24"/>
          <w:szCs w:val="24"/>
        </w:rPr>
        <w:t>2</w:t>
      </w:r>
      <w:r>
        <w:rPr>
          <w:rFonts w:ascii="Times New Roman" w:hAnsi="Times New Roman"/>
          <w:sz w:val="24"/>
          <w:szCs w:val="24"/>
        </w:rPr>
        <w:t>km范围内无敏感点。项目施工期及生产运营期产生的粉尘、扬尘及噪声将会对人居环境产生一定影响，但相对距离较远，因此影响极为有限，因此本次环评认为，该项目人居环境不敏感。</w:t>
      </w:r>
    </w:p>
    <w:p>
      <w:pPr>
        <w:pStyle w:val="2"/>
        <w:spacing w:after="0" w:line="360" w:lineRule="auto"/>
        <w:ind w:firstLine="480" w:firstLineChars="200"/>
        <w:rPr>
          <w:rFonts w:ascii="Times New Roman" w:hAnsi="Times New Roman"/>
          <w:sz w:val="24"/>
          <w:szCs w:val="24"/>
        </w:rPr>
      </w:pPr>
      <w:r>
        <w:rPr>
          <w:rFonts w:ascii="Times New Roman" w:hAnsi="Times New Roman"/>
          <w:sz w:val="24"/>
          <w:szCs w:val="24"/>
        </w:rPr>
        <w:t>②水环境敏感性分析</w:t>
      </w:r>
    </w:p>
    <w:p>
      <w:pPr>
        <w:pStyle w:val="2"/>
        <w:spacing w:after="0" w:line="360" w:lineRule="auto"/>
        <w:ind w:firstLine="480" w:firstLineChars="200"/>
        <w:rPr>
          <w:rFonts w:ascii="Times New Roman" w:hAnsi="Times New Roman"/>
          <w:sz w:val="24"/>
          <w:szCs w:val="24"/>
        </w:rPr>
      </w:pPr>
      <w:r>
        <w:rPr>
          <w:rFonts w:ascii="Times New Roman" w:hAnsi="Times New Roman"/>
          <w:sz w:val="24"/>
          <w:szCs w:val="24"/>
        </w:rPr>
        <w:t>本项目所在区域地表水为南侧10m西南岔河，评价河段</w:t>
      </w:r>
      <w:r>
        <w:rPr>
          <w:rFonts w:ascii="Times New Roman" w:hAnsi="Times New Roman"/>
          <w:color w:val="000000"/>
          <w:sz w:val="24"/>
          <w:szCs w:val="24"/>
        </w:rPr>
        <w:t>位于“源头——三岔子镇”河段，</w:t>
      </w:r>
      <w:r>
        <w:rPr>
          <w:rFonts w:ascii="Times New Roman" w:hAnsi="Times New Roman"/>
          <w:sz w:val="24"/>
          <w:szCs w:val="24"/>
        </w:rPr>
        <w:t>水质目标为III类。采用GB3838-2002《地表水环境质量标准》中III类标准，由于本项目距离西北岔河较近，因此该项目水环境较敏感。</w:t>
      </w:r>
    </w:p>
    <w:p>
      <w:pPr>
        <w:pStyle w:val="2"/>
        <w:spacing w:after="0" w:line="360" w:lineRule="auto"/>
        <w:ind w:firstLine="480" w:firstLineChars="200"/>
        <w:rPr>
          <w:rFonts w:ascii="Times New Roman" w:hAnsi="Times New Roman"/>
          <w:sz w:val="24"/>
          <w:szCs w:val="24"/>
        </w:rPr>
      </w:pPr>
      <w:r>
        <w:rPr>
          <w:rFonts w:ascii="Times New Roman" w:hAnsi="Times New Roman"/>
          <w:sz w:val="24"/>
          <w:szCs w:val="24"/>
        </w:rPr>
        <w:t>本项目地下水主要用于矿区生活用水及生产工业用水，为Ⅲ类地下水，采用《地下水质量标准》（GB/T14848-2017）Ⅲ类标准，该项目</w:t>
      </w:r>
      <w:r>
        <w:rPr>
          <w:rFonts w:hint="eastAsia" w:ascii="Times New Roman" w:hAnsi="Times New Roman"/>
          <w:sz w:val="24"/>
          <w:szCs w:val="24"/>
        </w:rPr>
        <w:t>2km范围内无居民等</w:t>
      </w:r>
      <w:r>
        <w:rPr>
          <w:rFonts w:ascii="Times New Roman" w:hAnsi="Times New Roman"/>
          <w:sz w:val="24"/>
          <w:szCs w:val="24"/>
        </w:rPr>
        <w:t>饮用水源，由于距离较远，因此地下水环境不敏感。</w:t>
      </w:r>
    </w:p>
    <w:p>
      <w:pPr>
        <w:pStyle w:val="2"/>
        <w:spacing w:after="0" w:line="360" w:lineRule="auto"/>
        <w:ind w:firstLine="482" w:firstLineChars="200"/>
        <w:rPr>
          <w:rFonts w:ascii="Times New Roman" w:hAnsi="Times New Roman"/>
          <w:b/>
          <w:bCs/>
          <w:sz w:val="24"/>
        </w:rPr>
      </w:pPr>
      <w:r>
        <w:rPr>
          <w:rFonts w:hint="eastAsia" w:ascii="Times New Roman" w:hAnsi="Times New Roman"/>
          <w:b/>
          <w:bCs/>
          <w:sz w:val="24"/>
        </w:rPr>
        <w:t>本项目与西南岔河生活饮用水源保护区的位置关系：</w:t>
      </w:r>
    </w:p>
    <w:p>
      <w:pPr>
        <w:pStyle w:val="2"/>
        <w:spacing w:after="0" w:line="360" w:lineRule="auto"/>
        <w:ind w:firstLine="480" w:firstLineChars="200"/>
        <w:rPr>
          <w:rFonts w:ascii="Times New Roman" w:hAnsi="Times New Roman"/>
          <w:sz w:val="24"/>
        </w:rPr>
      </w:pPr>
      <w:r>
        <w:rPr>
          <w:rFonts w:hint="eastAsia" w:ascii="Times New Roman" w:hAnsi="Times New Roman"/>
          <w:sz w:val="24"/>
        </w:rPr>
        <w:t>经过调查本项目周边的水源保护区可知，本项目北侧距离西北岔河生活饮用水源保护区二级保护区5.6km，距离较远，不在生活饮用水源保护区范围之内，详见附图17。</w:t>
      </w:r>
    </w:p>
    <w:p>
      <w:pPr>
        <w:spacing w:line="360" w:lineRule="auto"/>
        <w:ind w:firstLine="480" w:firstLineChars="200"/>
        <w:rPr>
          <w:rFonts w:ascii="Times New Roman" w:hAnsi="Times New Roman"/>
          <w:sz w:val="24"/>
        </w:rPr>
      </w:pPr>
      <w:r>
        <w:rPr>
          <w:rFonts w:hint="eastAsia" w:ascii="Times New Roman" w:hAnsi="Times New Roman"/>
          <w:sz w:val="24"/>
        </w:rPr>
        <w:t>③</w:t>
      </w:r>
      <w:r>
        <w:rPr>
          <w:rFonts w:ascii="Times New Roman" w:hAnsi="Times New Roman"/>
          <w:sz w:val="24"/>
          <w:szCs w:val="21"/>
        </w:rPr>
        <w:t>生态敏感性分析</w:t>
      </w:r>
    </w:p>
    <w:p>
      <w:pPr>
        <w:spacing w:line="360" w:lineRule="auto"/>
        <w:ind w:firstLine="480" w:firstLineChars="200"/>
        <w:rPr>
          <w:rFonts w:ascii="Times New Roman" w:hAnsi="Times New Roman"/>
          <w:sz w:val="24"/>
        </w:rPr>
      </w:pPr>
      <w:r>
        <w:rPr>
          <w:rFonts w:ascii="Times New Roman" w:hAnsi="Times New Roman"/>
          <w:sz w:val="24"/>
          <w:szCs w:val="21"/>
        </w:rPr>
        <w:t>评价区生态系统主要由森林所构成。森林生态系统相对比较稳定，对自然和人为变化的抗干扰能力较强，属于生态环境比较稳定的地区。本项目</w:t>
      </w:r>
      <w:r>
        <w:rPr>
          <w:rFonts w:ascii="Times New Roman" w:hAnsi="Times New Roman"/>
          <w:sz w:val="24"/>
        </w:rPr>
        <w:t>不属于《环境影响评价技术导则生态影响》所指的特殊生态敏感区（自然保护区、世界文化和自然遗产地）和重要生态敏感区（风景名胜区、森林公园、地质公园、重要湿地、原始天然林、珍稀濒危野生动植物天然集中分布区、重要水生生物的自然产卵场及索饵场、越冬场和洄游通道、天然渔场），</w:t>
      </w:r>
      <w:r>
        <w:rPr>
          <w:rFonts w:ascii="Times New Roman" w:hAnsi="Times New Roman"/>
          <w:sz w:val="24"/>
          <w:szCs w:val="21"/>
        </w:rPr>
        <w:t>因此本次环评认为该项目生态敏感性属不敏感。</w:t>
      </w:r>
    </w:p>
    <w:p>
      <w:pPr>
        <w:spacing w:line="360" w:lineRule="auto"/>
        <w:ind w:firstLine="480" w:firstLineChars="200"/>
        <w:rPr>
          <w:rFonts w:ascii="Times New Roman" w:hAnsi="Times New Roman"/>
          <w:sz w:val="24"/>
        </w:rPr>
      </w:pPr>
      <w:r>
        <w:rPr>
          <w:rFonts w:ascii="Times New Roman" w:hAnsi="Times New Roman"/>
          <w:sz w:val="24"/>
        </w:rPr>
        <w:t>④工程地质条件敏感性分析</w:t>
      </w:r>
    </w:p>
    <w:p>
      <w:pPr>
        <w:spacing w:line="360" w:lineRule="auto"/>
        <w:ind w:firstLine="480" w:firstLineChars="200"/>
        <w:rPr>
          <w:rFonts w:ascii="Times New Roman" w:hAnsi="Times New Roman"/>
          <w:sz w:val="24"/>
        </w:rPr>
      </w:pPr>
      <w:r>
        <w:rPr>
          <w:rFonts w:ascii="Times New Roman" w:hAnsi="Times New Roman"/>
          <w:sz w:val="24"/>
        </w:rPr>
        <w:t>矿区地下水类型主要为基岩风化裂隙水，地形有利于自然排水，矿床内构造不发育，对采矿活动无影响。矿体、围岩工程地质岩组为坚硬岩层状结构。矿体及顶、底板围岩岩石坚硬且稳定性较强，构造条件简单，边坡、井巷稳定性好。</w:t>
      </w:r>
    </w:p>
    <w:p>
      <w:pPr>
        <w:spacing w:line="360" w:lineRule="auto"/>
        <w:ind w:firstLine="480" w:firstLineChars="200"/>
        <w:rPr>
          <w:rFonts w:ascii="Times New Roman" w:hAnsi="Times New Roman"/>
          <w:sz w:val="24"/>
        </w:rPr>
      </w:pPr>
      <w:r>
        <w:rPr>
          <w:rFonts w:ascii="Times New Roman" w:hAnsi="Times New Roman"/>
          <w:sz w:val="24"/>
        </w:rPr>
        <w:t>综上所述，矿床工程地质复杂程度属简单类型，故本项目矿山建设适宜性为适宜。</w:t>
      </w:r>
    </w:p>
    <w:p>
      <w:pPr>
        <w:pStyle w:val="4"/>
        <w:rPr>
          <w:rFonts w:ascii="Times New Roman" w:hAnsi="Times New Roman" w:eastAsia="宋体"/>
        </w:rPr>
      </w:pPr>
      <w:bookmarkStart w:id="105" w:name="_Toc10047"/>
      <w:bookmarkStart w:id="106" w:name="_Toc21264"/>
      <w:bookmarkStart w:id="107" w:name="_Toc19122"/>
      <w:r>
        <w:rPr>
          <w:rFonts w:hint="eastAsia" w:ascii="Times New Roman" w:hAnsi="Times New Roman" w:eastAsia="宋体"/>
        </w:rPr>
        <w:t>2.6主要环境保护目标及污染控制目标</w:t>
      </w:r>
      <w:bookmarkEnd w:id="105"/>
      <w:bookmarkEnd w:id="106"/>
      <w:bookmarkEnd w:id="107"/>
    </w:p>
    <w:p>
      <w:pPr>
        <w:pStyle w:val="5"/>
        <w:spacing w:before="0" w:after="0" w:line="360" w:lineRule="auto"/>
        <w:rPr>
          <w:sz w:val="24"/>
          <w:szCs w:val="24"/>
        </w:rPr>
      </w:pPr>
      <w:bookmarkStart w:id="108" w:name="_Toc11198"/>
      <w:bookmarkStart w:id="109" w:name="_Toc32534"/>
      <w:bookmarkStart w:id="110" w:name="_Toc31991"/>
      <w:r>
        <w:rPr>
          <w:rFonts w:hint="eastAsia"/>
          <w:sz w:val="24"/>
          <w:szCs w:val="24"/>
        </w:rPr>
        <w:t>2.6.1环境保护目标</w:t>
      </w:r>
      <w:bookmarkEnd w:id="108"/>
      <w:bookmarkEnd w:id="109"/>
      <w:bookmarkEnd w:id="110"/>
    </w:p>
    <w:p>
      <w:pPr>
        <w:spacing w:line="360" w:lineRule="auto"/>
        <w:ind w:firstLine="361"/>
        <w:rPr>
          <w:rFonts w:ascii="Times New Roman" w:hAnsi="Times New Roman"/>
          <w:sz w:val="24"/>
          <w:szCs w:val="24"/>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rPr>
          <w:rFonts w:ascii="Times New Roman" w:hAnsi="Times New Roman"/>
          <w:sz w:val="24"/>
          <w:szCs w:val="24"/>
        </w:rPr>
        <w:t>根据环境影响因素识别结果，</w:t>
      </w:r>
      <w:r>
        <w:rPr>
          <w:rFonts w:hint="eastAsia" w:ascii="Times New Roman" w:hAnsi="Times New Roman"/>
          <w:sz w:val="24"/>
          <w:szCs w:val="24"/>
        </w:rPr>
        <w:t>本</w:t>
      </w:r>
      <w:r>
        <w:rPr>
          <w:rFonts w:ascii="Times New Roman" w:hAnsi="Times New Roman"/>
          <w:sz w:val="24"/>
          <w:szCs w:val="24"/>
        </w:rPr>
        <w:t>项目环境保护目标详见</w:t>
      </w:r>
      <w:r>
        <w:rPr>
          <w:rFonts w:hint="eastAsia" w:ascii="Times New Roman" w:hAnsi="Times New Roman"/>
          <w:sz w:val="24"/>
          <w:szCs w:val="24"/>
        </w:rPr>
        <w:t>下表及附图4</w:t>
      </w:r>
      <w:r>
        <w:rPr>
          <w:rFonts w:ascii="Times New Roman" w:hAnsi="Times New Roman"/>
          <w:sz w:val="24"/>
          <w:szCs w:val="24"/>
        </w:rPr>
        <w:t>。</w:t>
      </w:r>
    </w:p>
    <w:p>
      <w:pPr>
        <w:pStyle w:val="76"/>
        <w:jc w:val="center"/>
        <w:rPr>
          <w:b/>
          <w:color w:val="000000"/>
          <w:sz w:val="24"/>
        </w:rPr>
      </w:pPr>
      <w:r>
        <w:rPr>
          <w:b/>
          <w:color w:val="000000"/>
          <w:sz w:val="24"/>
        </w:rPr>
        <w:t>表2-</w:t>
      </w:r>
      <w:r>
        <w:rPr>
          <w:rFonts w:hint="eastAsia"/>
          <w:b/>
          <w:color w:val="000000"/>
          <w:sz w:val="24"/>
        </w:rPr>
        <w:t>29</w:t>
      </w:r>
      <w:r>
        <w:rPr>
          <w:b/>
          <w:color w:val="000000"/>
          <w:sz w:val="24"/>
        </w:rPr>
        <w:t xml:space="preserve"> 环境保护目标一览表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015"/>
        <w:gridCol w:w="1224"/>
        <w:gridCol w:w="930"/>
        <w:gridCol w:w="1035"/>
        <w:gridCol w:w="1119"/>
        <w:gridCol w:w="1183"/>
        <w:gridCol w:w="1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dxa"/>
            <w:vMerge w:val="restart"/>
            <w:vAlign w:val="center"/>
          </w:tcPr>
          <w:p>
            <w:pPr>
              <w:adjustRightInd w:val="0"/>
              <w:snapToGrid w:val="0"/>
              <w:jc w:val="center"/>
              <w:rPr>
                <w:rFonts w:ascii="Times New Roman" w:hAnsi="Times New Roman"/>
                <w:bCs/>
                <w:iCs/>
                <w:szCs w:val="21"/>
              </w:rPr>
            </w:pPr>
            <w:r>
              <w:rPr>
                <w:rFonts w:ascii="Times New Roman" w:hAnsi="Times New Roman"/>
                <w:bCs/>
                <w:iCs/>
                <w:szCs w:val="21"/>
              </w:rPr>
              <w:t>序</w:t>
            </w:r>
          </w:p>
          <w:p>
            <w:pPr>
              <w:adjustRightInd w:val="0"/>
              <w:snapToGrid w:val="0"/>
              <w:jc w:val="center"/>
              <w:rPr>
                <w:rFonts w:ascii="Times New Roman" w:hAnsi="Times New Roman"/>
                <w:bCs/>
                <w:iCs/>
                <w:szCs w:val="21"/>
              </w:rPr>
            </w:pPr>
            <w:r>
              <w:rPr>
                <w:rFonts w:ascii="Times New Roman" w:hAnsi="Times New Roman"/>
                <w:bCs/>
                <w:iCs/>
                <w:szCs w:val="21"/>
              </w:rPr>
              <w:t>号</w:t>
            </w:r>
          </w:p>
        </w:tc>
        <w:tc>
          <w:tcPr>
            <w:tcW w:w="1015" w:type="dxa"/>
            <w:vMerge w:val="restart"/>
            <w:vAlign w:val="center"/>
          </w:tcPr>
          <w:p>
            <w:pPr>
              <w:adjustRightInd w:val="0"/>
              <w:snapToGrid w:val="0"/>
              <w:jc w:val="center"/>
              <w:rPr>
                <w:rFonts w:ascii="Times New Roman" w:hAnsi="Times New Roman"/>
                <w:bCs/>
                <w:iCs/>
                <w:szCs w:val="21"/>
              </w:rPr>
            </w:pPr>
            <w:r>
              <w:rPr>
                <w:rFonts w:ascii="Times New Roman" w:hAnsi="Times New Roman"/>
                <w:bCs/>
                <w:iCs/>
                <w:szCs w:val="21"/>
              </w:rPr>
              <w:t>环境要素</w:t>
            </w:r>
          </w:p>
        </w:tc>
        <w:tc>
          <w:tcPr>
            <w:tcW w:w="1224" w:type="dxa"/>
            <w:vMerge w:val="restart"/>
            <w:vAlign w:val="center"/>
          </w:tcPr>
          <w:p>
            <w:pPr>
              <w:adjustRightInd w:val="0"/>
              <w:snapToGrid w:val="0"/>
              <w:jc w:val="center"/>
              <w:rPr>
                <w:rFonts w:ascii="Times New Roman" w:hAnsi="Times New Roman"/>
                <w:bCs/>
                <w:iCs/>
                <w:szCs w:val="21"/>
              </w:rPr>
            </w:pPr>
            <w:r>
              <w:rPr>
                <w:rFonts w:ascii="Times New Roman" w:hAnsi="Times New Roman"/>
                <w:bCs/>
                <w:iCs/>
                <w:szCs w:val="21"/>
              </w:rPr>
              <w:t>保护对象</w:t>
            </w:r>
          </w:p>
        </w:tc>
        <w:tc>
          <w:tcPr>
            <w:tcW w:w="1965" w:type="dxa"/>
            <w:gridSpan w:val="2"/>
            <w:vAlign w:val="center"/>
          </w:tcPr>
          <w:p>
            <w:pPr>
              <w:adjustRightInd w:val="0"/>
              <w:snapToGrid w:val="0"/>
              <w:jc w:val="center"/>
              <w:rPr>
                <w:rFonts w:ascii="Times New Roman" w:hAnsi="Times New Roman"/>
                <w:bCs/>
                <w:iCs/>
                <w:szCs w:val="21"/>
              </w:rPr>
            </w:pPr>
            <w:r>
              <w:rPr>
                <w:rFonts w:ascii="Times New Roman" w:hAnsi="Times New Roman"/>
                <w:bCs/>
                <w:iCs/>
                <w:szCs w:val="21"/>
              </w:rPr>
              <w:t>保护内容</w:t>
            </w:r>
          </w:p>
        </w:tc>
        <w:tc>
          <w:tcPr>
            <w:tcW w:w="1119" w:type="dxa"/>
            <w:vMerge w:val="restart"/>
            <w:vAlign w:val="center"/>
          </w:tcPr>
          <w:p>
            <w:pPr>
              <w:adjustRightInd w:val="0"/>
              <w:snapToGrid w:val="0"/>
              <w:jc w:val="center"/>
              <w:rPr>
                <w:rFonts w:ascii="Times New Roman" w:hAnsi="Times New Roman"/>
                <w:bCs/>
                <w:iCs/>
                <w:szCs w:val="21"/>
              </w:rPr>
            </w:pPr>
            <w:r>
              <w:rPr>
                <w:rFonts w:ascii="Times New Roman" w:hAnsi="Times New Roman"/>
                <w:bCs/>
                <w:iCs/>
                <w:szCs w:val="21"/>
              </w:rPr>
              <w:t>相对厂址方位</w:t>
            </w:r>
          </w:p>
        </w:tc>
        <w:tc>
          <w:tcPr>
            <w:tcW w:w="1183" w:type="dxa"/>
            <w:vMerge w:val="restart"/>
            <w:vAlign w:val="center"/>
          </w:tcPr>
          <w:p>
            <w:pPr>
              <w:adjustRightInd w:val="0"/>
              <w:snapToGrid w:val="0"/>
              <w:jc w:val="center"/>
              <w:rPr>
                <w:rFonts w:ascii="Times New Roman" w:hAnsi="Times New Roman"/>
                <w:bCs/>
                <w:iCs/>
                <w:szCs w:val="21"/>
              </w:rPr>
            </w:pPr>
            <w:r>
              <w:rPr>
                <w:rFonts w:ascii="Times New Roman" w:hAnsi="Times New Roman"/>
                <w:bCs/>
                <w:iCs/>
                <w:szCs w:val="21"/>
              </w:rPr>
              <w:t>相对厂址距离(m)</w:t>
            </w:r>
          </w:p>
        </w:tc>
        <w:tc>
          <w:tcPr>
            <w:tcW w:w="1471" w:type="dxa"/>
            <w:vMerge w:val="restart"/>
            <w:vAlign w:val="center"/>
          </w:tcPr>
          <w:p>
            <w:pPr>
              <w:adjustRightInd w:val="0"/>
              <w:snapToGrid w:val="0"/>
              <w:jc w:val="center"/>
              <w:rPr>
                <w:rFonts w:ascii="Times New Roman" w:hAnsi="Times New Roman"/>
                <w:bCs/>
                <w:iCs/>
                <w:szCs w:val="21"/>
              </w:rPr>
            </w:pPr>
            <w:r>
              <w:rPr>
                <w:rFonts w:ascii="Times New Roman" w:hAnsi="Times New Roman"/>
                <w:bCs/>
                <w:iCs/>
                <w:szCs w:val="21"/>
              </w:rPr>
              <w:t>环境功能区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45" w:type="dxa"/>
            <w:vMerge w:val="continue"/>
            <w:vAlign w:val="center"/>
          </w:tcPr>
          <w:p>
            <w:pPr>
              <w:adjustRightInd w:val="0"/>
              <w:snapToGrid w:val="0"/>
              <w:jc w:val="center"/>
              <w:rPr>
                <w:rFonts w:ascii="Times New Roman" w:hAnsi="Times New Roman"/>
                <w:bCs/>
                <w:iCs/>
                <w:szCs w:val="21"/>
              </w:rPr>
            </w:pPr>
          </w:p>
        </w:tc>
        <w:tc>
          <w:tcPr>
            <w:tcW w:w="1015" w:type="dxa"/>
            <w:vMerge w:val="continue"/>
            <w:vAlign w:val="center"/>
          </w:tcPr>
          <w:p>
            <w:pPr>
              <w:adjustRightInd w:val="0"/>
              <w:snapToGrid w:val="0"/>
              <w:jc w:val="center"/>
              <w:rPr>
                <w:rFonts w:ascii="Times New Roman" w:hAnsi="Times New Roman"/>
                <w:bCs/>
                <w:iCs/>
                <w:szCs w:val="21"/>
              </w:rPr>
            </w:pPr>
          </w:p>
        </w:tc>
        <w:tc>
          <w:tcPr>
            <w:tcW w:w="1224" w:type="dxa"/>
            <w:vMerge w:val="continue"/>
            <w:vAlign w:val="center"/>
          </w:tcPr>
          <w:p>
            <w:pPr>
              <w:adjustRightInd w:val="0"/>
              <w:snapToGrid w:val="0"/>
              <w:jc w:val="center"/>
              <w:rPr>
                <w:rFonts w:ascii="Times New Roman" w:hAnsi="Times New Roman"/>
                <w:bCs/>
                <w:iCs/>
                <w:szCs w:val="21"/>
              </w:rPr>
            </w:pPr>
          </w:p>
        </w:tc>
        <w:tc>
          <w:tcPr>
            <w:tcW w:w="930" w:type="dxa"/>
            <w:vAlign w:val="center"/>
          </w:tcPr>
          <w:p>
            <w:pPr>
              <w:adjustRightInd w:val="0"/>
              <w:snapToGrid w:val="0"/>
              <w:jc w:val="center"/>
              <w:rPr>
                <w:rFonts w:ascii="Times New Roman" w:hAnsi="Times New Roman"/>
                <w:bCs/>
                <w:iCs/>
                <w:szCs w:val="21"/>
              </w:rPr>
            </w:pPr>
            <w:r>
              <w:rPr>
                <w:rFonts w:ascii="Times New Roman" w:hAnsi="Times New Roman"/>
                <w:bCs/>
                <w:iCs/>
                <w:szCs w:val="21"/>
              </w:rPr>
              <w:t>户数</w:t>
            </w:r>
          </w:p>
        </w:tc>
        <w:tc>
          <w:tcPr>
            <w:tcW w:w="1035" w:type="dxa"/>
            <w:vAlign w:val="center"/>
          </w:tcPr>
          <w:p>
            <w:pPr>
              <w:adjustRightInd w:val="0"/>
              <w:snapToGrid w:val="0"/>
              <w:jc w:val="center"/>
              <w:rPr>
                <w:rFonts w:ascii="Times New Roman" w:hAnsi="Times New Roman"/>
                <w:bCs/>
                <w:iCs/>
                <w:szCs w:val="21"/>
              </w:rPr>
            </w:pPr>
            <w:r>
              <w:rPr>
                <w:rFonts w:ascii="Times New Roman" w:hAnsi="Times New Roman"/>
                <w:bCs/>
                <w:iCs/>
                <w:szCs w:val="21"/>
              </w:rPr>
              <w:t>人口</w:t>
            </w:r>
          </w:p>
        </w:tc>
        <w:tc>
          <w:tcPr>
            <w:tcW w:w="1119" w:type="dxa"/>
            <w:vMerge w:val="continue"/>
            <w:vAlign w:val="center"/>
          </w:tcPr>
          <w:p>
            <w:pPr>
              <w:adjustRightInd w:val="0"/>
              <w:snapToGrid w:val="0"/>
              <w:jc w:val="center"/>
              <w:rPr>
                <w:rFonts w:ascii="Times New Roman" w:hAnsi="Times New Roman"/>
                <w:bCs/>
                <w:iCs/>
                <w:szCs w:val="21"/>
              </w:rPr>
            </w:pPr>
          </w:p>
        </w:tc>
        <w:tc>
          <w:tcPr>
            <w:tcW w:w="1183" w:type="dxa"/>
            <w:vMerge w:val="continue"/>
            <w:vAlign w:val="center"/>
          </w:tcPr>
          <w:p>
            <w:pPr>
              <w:adjustRightInd w:val="0"/>
              <w:snapToGrid w:val="0"/>
              <w:jc w:val="center"/>
              <w:rPr>
                <w:rFonts w:ascii="Times New Roman" w:hAnsi="Times New Roman"/>
                <w:bCs/>
                <w:iCs/>
                <w:szCs w:val="21"/>
              </w:rPr>
            </w:pPr>
          </w:p>
        </w:tc>
        <w:tc>
          <w:tcPr>
            <w:tcW w:w="1471" w:type="dxa"/>
            <w:vMerge w:val="continue"/>
            <w:vAlign w:val="center"/>
          </w:tcPr>
          <w:p>
            <w:pPr>
              <w:adjustRightInd w:val="0"/>
              <w:snapToGrid w:val="0"/>
              <w:jc w:val="center"/>
              <w:rPr>
                <w:rFonts w:ascii="Times New Roman" w:hAnsi="Times New Roman"/>
                <w:bCs/>
                <w:i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45" w:type="dxa"/>
            <w:vAlign w:val="center"/>
          </w:tcPr>
          <w:p>
            <w:pPr>
              <w:adjustRightInd w:val="0"/>
              <w:snapToGrid w:val="0"/>
              <w:jc w:val="center"/>
              <w:rPr>
                <w:rFonts w:ascii="Times New Roman" w:hAnsi="Times New Roman"/>
                <w:bCs/>
                <w:iCs/>
                <w:szCs w:val="21"/>
              </w:rPr>
            </w:pPr>
            <w:r>
              <w:rPr>
                <w:rFonts w:ascii="Times New Roman" w:hAnsi="Times New Roman"/>
                <w:bCs/>
                <w:iCs/>
                <w:szCs w:val="21"/>
              </w:rPr>
              <w:t>1</w:t>
            </w:r>
          </w:p>
        </w:tc>
        <w:tc>
          <w:tcPr>
            <w:tcW w:w="1015" w:type="dxa"/>
            <w:vAlign w:val="center"/>
          </w:tcPr>
          <w:p>
            <w:pPr>
              <w:adjustRightInd w:val="0"/>
              <w:snapToGrid w:val="0"/>
              <w:jc w:val="center"/>
              <w:rPr>
                <w:rFonts w:ascii="Times New Roman" w:hAnsi="Times New Roman"/>
                <w:bCs/>
                <w:iCs/>
                <w:szCs w:val="21"/>
              </w:rPr>
            </w:pPr>
            <w:r>
              <w:rPr>
                <w:rFonts w:ascii="Times New Roman" w:hAnsi="Times New Roman"/>
                <w:bCs/>
                <w:iCs/>
                <w:szCs w:val="21"/>
              </w:rPr>
              <w:t>声环境</w:t>
            </w:r>
          </w:p>
        </w:tc>
        <w:tc>
          <w:tcPr>
            <w:tcW w:w="1224" w:type="dxa"/>
            <w:vAlign w:val="center"/>
          </w:tcPr>
          <w:p>
            <w:pPr>
              <w:spacing w:beforeLines="10" w:afterLines="10"/>
              <w:jc w:val="center"/>
              <w:rPr>
                <w:rFonts w:ascii="Times New Roman" w:hAnsi="Times New Roman"/>
                <w:bCs/>
                <w:iCs/>
                <w:szCs w:val="21"/>
              </w:rPr>
            </w:pPr>
            <w:r>
              <w:rPr>
                <w:rFonts w:ascii="Times New Roman" w:hAnsi="Times New Roman"/>
                <w:bCs/>
                <w:iCs/>
                <w:szCs w:val="21"/>
              </w:rPr>
              <w:t>厂界外1m</w:t>
            </w:r>
          </w:p>
        </w:tc>
        <w:tc>
          <w:tcPr>
            <w:tcW w:w="930" w:type="dxa"/>
            <w:vAlign w:val="center"/>
          </w:tcPr>
          <w:p>
            <w:pPr>
              <w:spacing w:before="48" w:after="48"/>
              <w:jc w:val="center"/>
              <w:rPr>
                <w:rFonts w:ascii="Times New Roman" w:hAnsi="Times New Roman"/>
                <w:bCs/>
                <w:iCs/>
                <w:szCs w:val="21"/>
              </w:rPr>
            </w:pPr>
            <w:r>
              <w:rPr>
                <w:rFonts w:ascii="Times New Roman" w:hAnsi="Times New Roman"/>
                <w:bCs/>
                <w:iCs/>
                <w:szCs w:val="21"/>
              </w:rPr>
              <w:t>--</w:t>
            </w:r>
          </w:p>
        </w:tc>
        <w:tc>
          <w:tcPr>
            <w:tcW w:w="1035" w:type="dxa"/>
            <w:vAlign w:val="center"/>
          </w:tcPr>
          <w:p>
            <w:pPr>
              <w:spacing w:before="48" w:after="48"/>
              <w:jc w:val="center"/>
              <w:rPr>
                <w:rFonts w:ascii="Times New Roman" w:hAnsi="Times New Roman"/>
                <w:bCs/>
                <w:iCs/>
                <w:szCs w:val="21"/>
              </w:rPr>
            </w:pPr>
            <w:r>
              <w:rPr>
                <w:rFonts w:ascii="Times New Roman" w:hAnsi="Times New Roman"/>
                <w:bCs/>
                <w:iCs/>
                <w:szCs w:val="21"/>
              </w:rPr>
              <w:t>--</w:t>
            </w:r>
          </w:p>
        </w:tc>
        <w:tc>
          <w:tcPr>
            <w:tcW w:w="1119" w:type="dxa"/>
            <w:vAlign w:val="center"/>
          </w:tcPr>
          <w:p>
            <w:pPr>
              <w:spacing w:before="48" w:after="48"/>
              <w:jc w:val="center"/>
              <w:rPr>
                <w:rFonts w:ascii="Times New Roman" w:hAnsi="Times New Roman"/>
                <w:bCs/>
                <w:iCs/>
                <w:szCs w:val="21"/>
              </w:rPr>
            </w:pPr>
            <w:r>
              <w:rPr>
                <w:rFonts w:ascii="Times New Roman" w:hAnsi="Times New Roman"/>
                <w:bCs/>
                <w:iCs/>
                <w:szCs w:val="21"/>
              </w:rPr>
              <w:t>--</w:t>
            </w:r>
          </w:p>
        </w:tc>
        <w:tc>
          <w:tcPr>
            <w:tcW w:w="1183" w:type="dxa"/>
            <w:vAlign w:val="center"/>
          </w:tcPr>
          <w:p>
            <w:pPr>
              <w:spacing w:before="48" w:after="48"/>
              <w:jc w:val="center"/>
              <w:rPr>
                <w:rFonts w:ascii="Times New Roman" w:hAnsi="Times New Roman"/>
                <w:bCs/>
                <w:iCs/>
                <w:szCs w:val="21"/>
              </w:rPr>
            </w:pPr>
            <w:r>
              <w:rPr>
                <w:rFonts w:ascii="Times New Roman" w:hAnsi="Times New Roman"/>
                <w:bCs/>
                <w:iCs/>
                <w:szCs w:val="21"/>
              </w:rPr>
              <w:t>--</w:t>
            </w:r>
          </w:p>
        </w:tc>
        <w:tc>
          <w:tcPr>
            <w:tcW w:w="1471" w:type="dxa"/>
            <w:vAlign w:val="center"/>
          </w:tcPr>
          <w:p>
            <w:pPr>
              <w:adjustRightInd w:val="0"/>
              <w:snapToGrid w:val="0"/>
              <w:jc w:val="center"/>
              <w:rPr>
                <w:rFonts w:ascii="Times New Roman" w:hAnsi="Times New Roman"/>
                <w:bCs/>
                <w:iCs/>
                <w:szCs w:val="21"/>
              </w:rPr>
            </w:pPr>
            <w:r>
              <w:rPr>
                <w:rFonts w:ascii="Times New Roman" w:hAnsi="Times New Roman"/>
                <w:szCs w:val="21"/>
              </w:rPr>
              <w:t>声环境符合《声环境质量标准》（GB3096-2008）中1类区准要求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45" w:type="dxa"/>
            <w:vAlign w:val="center"/>
          </w:tcPr>
          <w:p>
            <w:pPr>
              <w:adjustRightInd w:val="0"/>
              <w:snapToGrid w:val="0"/>
              <w:jc w:val="center"/>
              <w:rPr>
                <w:rFonts w:ascii="Times New Roman" w:hAnsi="Times New Roman"/>
                <w:bCs/>
                <w:iCs/>
                <w:szCs w:val="21"/>
              </w:rPr>
            </w:pPr>
            <w:r>
              <w:rPr>
                <w:rFonts w:ascii="Times New Roman" w:hAnsi="Times New Roman"/>
                <w:bCs/>
                <w:iCs/>
                <w:szCs w:val="21"/>
              </w:rPr>
              <w:t>3</w:t>
            </w:r>
          </w:p>
        </w:tc>
        <w:tc>
          <w:tcPr>
            <w:tcW w:w="1015" w:type="dxa"/>
            <w:vAlign w:val="center"/>
          </w:tcPr>
          <w:p>
            <w:pPr>
              <w:adjustRightInd w:val="0"/>
              <w:snapToGrid w:val="0"/>
              <w:jc w:val="center"/>
              <w:rPr>
                <w:rFonts w:ascii="Times New Roman" w:hAnsi="Times New Roman"/>
                <w:bCs/>
                <w:iCs/>
                <w:szCs w:val="21"/>
              </w:rPr>
            </w:pPr>
            <w:r>
              <w:rPr>
                <w:rFonts w:ascii="Times New Roman" w:hAnsi="Times New Roman"/>
                <w:bCs/>
                <w:iCs/>
                <w:szCs w:val="21"/>
              </w:rPr>
              <w:t>地表水</w:t>
            </w:r>
          </w:p>
        </w:tc>
        <w:tc>
          <w:tcPr>
            <w:tcW w:w="1224" w:type="dxa"/>
            <w:vAlign w:val="center"/>
          </w:tcPr>
          <w:p>
            <w:pPr>
              <w:adjustRightInd w:val="0"/>
              <w:snapToGrid w:val="0"/>
              <w:rPr>
                <w:rFonts w:ascii="Times New Roman" w:hAnsi="Times New Roman"/>
                <w:bCs/>
                <w:iCs/>
                <w:szCs w:val="21"/>
              </w:rPr>
            </w:pPr>
            <w:r>
              <w:rPr>
                <w:rFonts w:ascii="Times New Roman" w:hAnsi="Times New Roman"/>
                <w:bCs/>
                <w:iCs/>
                <w:szCs w:val="21"/>
              </w:rPr>
              <w:t>西南岔河</w:t>
            </w:r>
          </w:p>
        </w:tc>
        <w:tc>
          <w:tcPr>
            <w:tcW w:w="930" w:type="dxa"/>
            <w:vAlign w:val="center"/>
          </w:tcPr>
          <w:p>
            <w:pPr>
              <w:spacing w:beforeLines="10" w:afterLines="10"/>
              <w:jc w:val="center"/>
              <w:rPr>
                <w:rFonts w:ascii="Times New Roman" w:hAnsi="Times New Roman"/>
                <w:bCs/>
                <w:iCs/>
                <w:szCs w:val="21"/>
              </w:rPr>
            </w:pPr>
            <w:r>
              <w:rPr>
                <w:rFonts w:ascii="Times New Roman" w:hAnsi="Times New Roman"/>
                <w:bCs/>
                <w:iCs/>
                <w:szCs w:val="21"/>
              </w:rPr>
              <w:t>--</w:t>
            </w:r>
          </w:p>
        </w:tc>
        <w:tc>
          <w:tcPr>
            <w:tcW w:w="1035" w:type="dxa"/>
            <w:vAlign w:val="center"/>
          </w:tcPr>
          <w:p>
            <w:pPr>
              <w:spacing w:beforeLines="10" w:afterLines="10"/>
              <w:jc w:val="center"/>
              <w:rPr>
                <w:rFonts w:ascii="Times New Roman" w:hAnsi="Times New Roman"/>
                <w:bCs/>
                <w:iCs/>
                <w:szCs w:val="21"/>
              </w:rPr>
            </w:pPr>
            <w:r>
              <w:rPr>
                <w:rFonts w:ascii="Times New Roman" w:hAnsi="Times New Roman"/>
                <w:bCs/>
                <w:iCs/>
                <w:szCs w:val="21"/>
              </w:rPr>
              <w:t>--</w:t>
            </w:r>
          </w:p>
        </w:tc>
        <w:tc>
          <w:tcPr>
            <w:tcW w:w="1119" w:type="dxa"/>
            <w:vAlign w:val="center"/>
          </w:tcPr>
          <w:p>
            <w:pPr>
              <w:spacing w:beforeLines="10" w:afterLines="10"/>
              <w:jc w:val="center"/>
              <w:rPr>
                <w:rFonts w:ascii="Times New Roman" w:hAnsi="Times New Roman"/>
                <w:bCs/>
                <w:iCs/>
                <w:szCs w:val="21"/>
              </w:rPr>
            </w:pPr>
            <w:r>
              <w:rPr>
                <w:rFonts w:ascii="Times New Roman" w:hAnsi="Times New Roman"/>
                <w:bCs/>
                <w:iCs/>
                <w:szCs w:val="21"/>
              </w:rPr>
              <w:t>南</w:t>
            </w:r>
          </w:p>
        </w:tc>
        <w:tc>
          <w:tcPr>
            <w:tcW w:w="1183" w:type="dxa"/>
            <w:vAlign w:val="center"/>
          </w:tcPr>
          <w:p>
            <w:pPr>
              <w:adjustRightInd w:val="0"/>
              <w:snapToGrid w:val="0"/>
              <w:jc w:val="center"/>
              <w:rPr>
                <w:rFonts w:ascii="Times New Roman" w:hAnsi="Times New Roman"/>
                <w:bCs/>
                <w:iCs/>
                <w:szCs w:val="21"/>
              </w:rPr>
            </w:pPr>
            <w:r>
              <w:rPr>
                <w:rFonts w:ascii="Times New Roman" w:hAnsi="Times New Roman"/>
                <w:bCs/>
                <w:iCs/>
                <w:szCs w:val="21"/>
              </w:rPr>
              <w:t>10</w:t>
            </w:r>
          </w:p>
        </w:tc>
        <w:tc>
          <w:tcPr>
            <w:tcW w:w="1471" w:type="dxa"/>
            <w:vAlign w:val="center"/>
          </w:tcPr>
          <w:p>
            <w:pPr>
              <w:adjustRightInd w:val="0"/>
              <w:snapToGrid w:val="0"/>
              <w:jc w:val="center"/>
              <w:rPr>
                <w:rFonts w:ascii="Times New Roman" w:hAnsi="Times New Roman"/>
                <w:bCs/>
                <w:iCs/>
                <w:szCs w:val="21"/>
              </w:rPr>
            </w:pPr>
            <w:r>
              <w:rPr>
                <w:rFonts w:ascii="Times New Roman" w:hAnsi="Times New Roman"/>
                <w:bCs/>
                <w:iCs/>
                <w:szCs w:val="21"/>
              </w:rPr>
              <w:t>《地表水环境质量标准》</w:t>
            </w:r>
          </w:p>
          <w:p>
            <w:pPr>
              <w:adjustRightInd w:val="0"/>
              <w:snapToGrid w:val="0"/>
              <w:jc w:val="center"/>
              <w:rPr>
                <w:rFonts w:ascii="Times New Roman" w:hAnsi="Times New Roman"/>
                <w:bCs/>
                <w:iCs/>
                <w:szCs w:val="21"/>
              </w:rPr>
            </w:pPr>
            <w:r>
              <w:rPr>
                <w:rFonts w:ascii="Times New Roman" w:hAnsi="Times New Roman"/>
                <w:bCs/>
                <w:iCs/>
                <w:szCs w:val="21"/>
              </w:rPr>
              <w:t>（GB3838-2002）Ⅲ类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45" w:type="dxa"/>
            <w:vAlign w:val="center"/>
          </w:tcPr>
          <w:p>
            <w:pPr>
              <w:adjustRightInd w:val="0"/>
              <w:snapToGrid w:val="0"/>
              <w:jc w:val="center"/>
              <w:rPr>
                <w:rFonts w:ascii="Times New Roman" w:hAnsi="Times New Roman"/>
                <w:bCs/>
                <w:iCs/>
                <w:szCs w:val="21"/>
              </w:rPr>
            </w:pPr>
            <w:r>
              <w:rPr>
                <w:rFonts w:ascii="Times New Roman" w:hAnsi="Times New Roman"/>
                <w:bCs/>
                <w:iCs/>
                <w:szCs w:val="21"/>
              </w:rPr>
              <w:t>4</w:t>
            </w:r>
          </w:p>
        </w:tc>
        <w:tc>
          <w:tcPr>
            <w:tcW w:w="1015" w:type="dxa"/>
            <w:vAlign w:val="center"/>
          </w:tcPr>
          <w:p>
            <w:pPr>
              <w:adjustRightInd w:val="0"/>
              <w:snapToGrid w:val="0"/>
              <w:jc w:val="center"/>
              <w:rPr>
                <w:rFonts w:ascii="Times New Roman" w:hAnsi="Times New Roman"/>
                <w:bCs/>
                <w:iCs/>
                <w:szCs w:val="21"/>
              </w:rPr>
            </w:pPr>
            <w:r>
              <w:rPr>
                <w:rFonts w:ascii="Times New Roman" w:hAnsi="Times New Roman"/>
                <w:bCs/>
                <w:iCs/>
                <w:szCs w:val="21"/>
              </w:rPr>
              <w:t>地下水</w:t>
            </w:r>
          </w:p>
        </w:tc>
        <w:tc>
          <w:tcPr>
            <w:tcW w:w="1224" w:type="dxa"/>
            <w:vAlign w:val="center"/>
          </w:tcPr>
          <w:p>
            <w:pPr>
              <w:adjustRightInd w:val="0"/>
              <w:snapToGrid w:val="0"/>
              <w:jc w:val="center"/>
              <w:rPr>
                <w:rFonts w:ascii="Times New Roman" w:hAnsi="Times New Roman"/>
                <w:bCs/>
                <w:iCs/>
                <w:szCs w:val="21"/>
              </w:rPr>
            </w:pPr>
            <w:r>
              <w:rPr>
                <w:rFonts w:hint="eastAsia" w:ascii="Times New Roman" w:hAnsi="Times New Roman"/>
                <w:bCs/>
                <w:szCs w:val="21"/>
              </w:rPr>
              <w:t>八</w:t>
            </w:r>
            <w:r>
              <w:rPr>
                <w:rFonts w:ascii="Times New Roman" w:hAnsi="Times New Roman"/>
                <w:bCs/>
                <w:szCs w:val="21"/>
              </w:rPr>
              <w:t>道阳岔村民水井（3口）</w:t>
            </w:r>
          </w:p>
        </w:tc>
        <w:tc>
          <w:tcPr>
            <w:tcW w:w="930" w:type="dxa"/>
            <w:vAlign w:val="center"/>
          </w:tcPr>
          <w:p>
            <w:pPr>
              <w:spacing w:beforeLines="10" w:afterLines="10"/>
              <w:jc w:val="center"/>
              <w:rPr>
                <w:rFonts w:ascii="Times New Roman" w:hAnsi="Times New Roman"/>
                <w:bCs/>
                <w:iCs/>
                <w:szCs w:val="21"/>
              </w:rPr>
            </w:pPr>
            <w:r>
              <w:rPr>
                <w:rFonts w:ascii="Times New Roman" w:hAnsi="Times New Roman"/>
                <w:bCs/>
                <w:iCs/>
                <w:szCs w:val="21"/>
              </w:rPr>
              <w:t>--</w:t>
            </w:r>
          </w:p>
        </w:tc>
        <w:tc>
          <w:tcPr>
            <w:tcW w:w="1035" w:type="dxa"/>
            <w:vAlign w:val="center"/>
          </w:tcPr>
          <w:p>
            <w:pPr>
              <w:spacing w:beforeLines="10" w:afterLines="10"/>
              <w:jc w:val="center"/>
              <w:rPr>
                <w:rFonts w:ascii="Times New Roman" w:hAnsi="Times New Roman"/>
                <w:bCs/>
                <w:iCs/>
                <w:szCs w:val="21"/>
              </w:rPr>
            </w:pPr>
            <w:r>
              <w:rPr>
                <w:rFonts w:ascii="Times New Roman" w:hAnsi="Times New Roman"/>
                <w:bCs/>
                <w:iCs/>
                <w:szCs w:val="21"/>
              </w:rPr>
              <w:t>--</w:t>
            </w:r>
          </w:p>
        </w:tc>
        <w:tc>
          <w:tcPr>
            <w:tcW w:w="1119" w:type="dxa"/>
            <w:vAlign w:val="center"/>
          </w:tcPr>
          <w:p>
            <w:pPr>
              <w:spacing w:beforeLines="10" w:afterLines="10"/>
              <w:jc w:val="center"/>
              <w:rPr>
                <w:rFonts w:ascii="Times New Roman" w:hAnsi="Times New Roman"/>
                <w:bCs/>
                <w:iCs/>
                <w:szCs w:val="21"/>
              </w:rPr>
            </w:pPr>
            <w:r>
              <w:rPr>
                <w:rFonts w:ascii="Times New Roman" w:hAnsi="Times New Roman"/>
                <w:bCs/>
                <w:iCs/>
                <w:szCs w:val="21"/>
              </w:rPr>
              <w:t>西北</w:t>
            </w:r>
          </w:p>
        </w:tc>
        <w:tc>
          <w:tcPr>
            <w:tcW w:w="1183" w:type="dxa"/>
            <w:vAlign w:val="center"/>
          </w:tcPr>
          <w:p>
            <w:pPr>
              <w:adjustRightInd w:val="0"/>
              <w:snapToGrid w:val="0"/>
              <w:jc w:val="center"/>
              <w:rPr>
                <w:rFonts w:ascii="Times New Roman" w:hAnsi="Times New Roman"/>
                <w:bCs/>
                <w:iCs/>
                <w:szCs w:val="21"/>
              </w:rPr>
            </w:pPr>
            <w:r>
              <w:rPr>
                <w:rFonts w:hint="eastAsia" w:ascii="Times New Roman" w:hAnsi="Times New Roman"/>
                <w:bCs/>
                <w:iCs/>
                <w:szCs w:val="21"/>
              </w:rPr>
              <w:t>2200</w:t>
            </w:r>
          </w:p>
        </w:tc>
        <w:tc>
          <w:tcPr>
            <w:tcW w:w="1471" w:type="dxa"/>
            <w:vAlign w:val="center"/>
          </w:tcPr>
          <w:p>
            <w:pPr>
              <w:adjustRightInd w:val="0"/>
              <w:snapToGrid w:val="0"/>
              <w:jc w:val="center"/>
              <w:rPr>
                <w:rFonts w:ascii="Times New Roman" w:hAnsi="Times New Roman"/>
                <w:bCs/>
                <w:iCs/>
                <w:szCs w:val="21"/>
              </w:rPr>
            </w:pPr>
            <w:r>
              <w:rPr>
                <w:rFonts w:ascii="Times New Roman" w:hAnsi="Times New Roman"/>
                <w:bCs/>
                <w:iCs/>
                <w:szCs w:val="21"/>
              </w:rPr>
              <w:t>符合《地下水环境质量标准》（GB/T14848-93）中Ⅲ类标准要求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45" w:type="dxa"/>
            <w:vMerge w:val="restart"/>
            <w:vAlign w:val="center"/>
          </w:tcPr>
          <w:p>
            <w:pPr>
              <w:adjustRightInd w:val="0"/>
              <w:snapToGrid w:val="0"/>
              <w:jc w:val="center"/>
              <w:rPr>
                <w:rFonts w:ascii="Times New Roman" w:hAnsi="Times New Roman"/>
                <w:bCs/>
                <w:iCs/>
                <w:szCs w:val="21"/>
              </w:rPr>
            </w:pPr>
            <w:r>
              <w:rPr>
                <w:rFonts w:ascii="Times New Roman" w:hAnsi="Times New Roman"/>
                <w:bCs/>
                <w:iCs/>
                <w:szCs w:val="21"/>
              </w:rPr>
              <w:t>5</w:t>
            </w:r>
          </w:p>
        </w:tc>
        <w:tc>
          <w:tcPr>
            <w:tcW w:w="1015" w:type="dxa"/>
            <w:vMerge w:val="restart"/>
            <w:vAlign w:val="center"/>
          </w:tcPr>
          <w:p>
            <w:pPr>
              <w:adjustRightInd w:val="0"/>
              <w:snapToGrid w:val="0"/>
              <w:jc w:val="center"/>
              <w:rPr>
                <w:rFonts w:ascii="Times New Roman" w:hAnsi="Times New Roman"/>
                <w:bCs/>
                <w:iCs/>
                <w:szCs w:val="21"/>
              </w:rPr>
            </w:pPr>
            <w:r>
              <w:rPr>
                <w:rFonts w:ascii="Times New Roman" w:hAnsi="Times New Roman"/>
                <w:bCs/>
                <w:iCs/>
                <w:szCs w:val="21"/>
              </w:rPr>
              <w:t>环境风险</w:t>
            </w:r>
          </w:p>
        </w:tc>
        <w:tc>
          <w:tcPr>
            <w:tcW w:w="1224" w:type="dxa"/>
            <w:vAlign w:val="center"/>
          </w:tcPr>
          <w:p>
            <w:pPr>
              <w:adjustRightInd w:val="0"/>
              <w:snapToGrid w:val="0"/>
              <w:jc w:val="center"/>
              <w:rPr>
                <w:rFonts w:ascii="Times New Roman" w:hAnsi="Times New Roman"/>
                <w:bCs/>
                <w:iCs/>
                <w:szCs w:val="21"/>
              </w:rPr>
            </w:pPr>
            <w:r>
              <w:rPr>
                <w:rFonts w:hint="eastAsia" w:ascii="Times New Roman" w:hAnsi="Times New Roman"/>
                <w:bCs/>
                <w:szCs w:val="21"/>
              </w:rPr>
              <w:t>八</w:t>
            </w:r>
            <w:r>
              <w:rPr>
                <w:rFonts w:ascii="Times New Roman" w:hAnsi="Times New Roman"/>
                <w:bCs/>
                <w:szCs w:val="21"/>
              </w:rPr>
              <w:t>道阳岔村</w:t>
            </w:r>
          </w:p>
        </w:tc>
        <w:tc>
          <w:tcPr>
            <w:tcW w:w="930" w:type="dxa"/>
            <w:vAlign w:val="center"/>
          </w:tcPr>
          <w:p>
            <w:pPr>
              <w:spacing w:beforeLines="10" w:afterLines="10"/>
              <w:jc w:val="center"/>
              <w:rPr>
                <w:rFonts w:ascii="Times New Roman" w:hAnsi="Times New Roman"/>
                <w:bCs/>
                <w:iCs/>
                <w:szCs w:val="21"/>
              </w:rPr>
            </w:pPr>
            <w:r>
              <w:rPr>
                <w:rFonts w:hint="eastAsia" w:ascii="Times New Roman" w:hAnsi="Times New Roman"/>
                <w:bCs/>
                <w:iCs/>
                <w:szCs w:val="21"/>
              </w:rPr>
              <w:t>3</w:t>
            </w:r>
          </w:p>
        </w:tc>
        <w:tc>
          <w:tcPr>
            <w:tcW w:w="1035" w:type="dxa"/>
            <w:vAlign w:val="center"/>
          </w:tcPr>
          <w:p>
            <w:pPr>
              <w:spacing w:beforeLines="10" w:afterLines="10"/>
              <w:jc w:val="center"/>
              <w:rPr>
                <w:rFonts w:ascii="Times New Roman" w:hAnsi="Times New Roman"/>
                <w:bCs/>
                <w:iCs/>
                <w:szCs w:val="21"/>
              </w:rPr>
            </w:pPr>
            <w:r>
              <w:rPr>
                <w:rFonts w:hint="eastAsia" w:ascii="Times New Roman" w:hAnsi="Times New Roman"/>
                <w:bCs/>
                <w:iCs/>
                <w:szCs w:val="21"/>
              </w:rPr>
              <w:t>6</w:t>
            </w:r>
          </w:p>
        </w:tc>
        <w:tc>
          <w:tcPr>
            <w:tcW w:w="1119" w:type="dxa"/>
            <w:vAlign w:val="center"/>
          </w:tcPr>
          <w:p>
            <w:pPr>
              <w:spacing w:beforeLines="10" w:afterLines="10"/>
              <w:jc w:val="center"/>
              <w:rPr>
                <w:rFonts w:ascii="Times New Roman" w:hAnsi="Times New Roman"/>
                <w:bCs/>
                <w:iCs/>
                <w:szCs w:val="21"/>
              </w:rPr>
            </w:pPr>
            <w:r>
              <w:rPr>
                <w:rFonts w:ascii="Times New Roman" w:hAnsi="Times New Roman"/>
                <w:bCs/>
                <w:iCs/>
                <w:szCs w:val="21"/>
              </w:rPr>
              <w:t>西北</w:t>
            </w:r>
          </w:p>
        </w:tc>
        <w:tc>
          <w:tcPr>
            <w:tcW w:w="1183" w:type="dxa"/>
            <w:vAlign w:val="center"/>
          </w:tcPr>
          <w:p>
            <w:pPr>
              <w:adjustRightInd w:val="0"/>
              <w:snapToGrid w:val="0"/>
              <w:jc w:val="center"/>
              <w:rPr>
                <w:rFonts w:ascii="Times New Roman" w:hAnsi="Times New Roman"/>
                <w:bCs/>
                <w:iCs/>
                <w:szCs w:val="21"/>
              </w:rPr>
            </w:pPr>
            <w:r>
              <w:rPr>
                <w:rFonts w:hint="eastAsia" w:ascii="Times New Roman" w:hAnsi="Times New Roman"/>
                <w:bCs/>
                <w:iCs/>
                <w:szCs w:val="21"/>
              </w:rPr>
              <w:t>2200</w:t>
            </w:r>
          </w:p>
        </w:tc>
        <w:tc>
          <w:tcPr>
            <w:tcW w:w="1471" w:type="dxa"/>
            <w:vMerge w:val="restart"/>
            <w:vAlign w:val="center"/>
          </w:tcPr>
          <w:p>
            <w:pPr>
              <w:adjustRightInd w:val="0"/>
              <w:snapToGrid w:val="0"/>
              <w:jc w:val="center"/>
              <w:rPr>
                <w:rFonts w:ascii="Times New Roman" w:hAnsi="Times New Roman"/>
                <w:bCs/>
                <w:iCs/>
                <w:szCs w:val="21"/>
              </w:rPr>
            </w:pPr>
            <w:r>
              <w:rPr>
                <w:rFonts w:hint="eastAsia" w:ascii="Times New Roman" w:hAnsi="Times New Roman"/>
                <w:bCs/>
                <w:i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45" w:type="dxa"/>
            <w:vMerge w:val="continue"/>
            <w:vAlign w:val="center"/>
          </w:tcPr>
          <w:p>
            <w:pPr>
              <w:adjustRightInd w:val="0"/>
              <w:snapToGrid w:val="0"/>
              <w:jc w:val="center"/>
              <w:rPr>
                <w:rFonts w:ascii="Times New Roman" w:hAnsi="Times New Roman"/>
                <w:bCs/>
                <w:iCs/>
                <w:szCs w:val="21"/>
              </w:rPr>
            </w:pPr>
          </w:p>
        </w:tc>
        <w:tc>
          <w:tcPr>
            <w:tcW w:w="1015" w:type="dxa"/>
            <w:vMerge w:val="continue"/>
            <w:vAlign w:val="center"/>
          </w:tcPr>
          <w:p>
            <w:pPr>
              <w:adjustRightInd w:val="0"/>
              <w:snapToGrid w:val="0"/>
              <w:jc w:val="center"/>
              <w:rPr>
                <w:rFonts w:ascii="Times New Roman" w:hAnsi="Times New Roman"/>
                <w:bCs/>
                <w:iCs/>
                <w:szCs w:val="21"/>
              </w:rPr>
            </w:pPr>
          </w:p>
        </w:tc>
        <w:tc>
          <w:tcPr>
            <w:tcW w:w="1224" w:type="dxa"/>
            <w:vAlign w:val="center"/>
          </w:tcPr>
          <w:p>
            <w:pPr>
              <w:adjustRightInd w:val="0"/>
              <w:snapToGrid w:val="0"/>
              <w:jc w:val="center"/>
              <w:rPr>
                <w:rFonts w:ascii="Times New Roman" w:hAnsi="Times New Roman"/>
                <w:bCs/>
                <w:iCs/>
                <w:szCs w:val="21"/>
              </w:rPr>
            </w:pPr>
            <w:r>
              <w:rPr>
                <w:rFonts w:hint="eastAsia" w:ascii="Times New Roman" w:hAnsi="Times New Roman"/>
                <w:bCs/>
                <w:iCs/>
                <w:szCs w:val="21"/>
              </w:rPr>
              <w:t>八一大街</w:t>
            </w:r>
          </w:p>
        </w:tc>
        <w:tc>
          <w:tcPr>
            <w:tcW w:w="930" w:type="dxa"/>
            <w:vAlign w:val="center"/>
          </w:tcPr>
          <w:p>
            <w:pPr>
              <w:spacing w:beforeLines="10" w:afterLines="10"/>
              <w:jc w:val="center"/>
              <w:rPr>
                <w:rFonts w:ascii="Times New Roman" w:hAnsi="Times New Roman"/>
                <w:bCs/>
                <w:iCs/>
                <w:szCs w:val="21"/>
              </w:rPr>
            </w:pPr>
            <w:r>
              <w:rPr>
                <w:rFonts w:hint="eastAsia" w:ascii="Times New Roman" w:hAnsi="Times New Roman"/>
                <w:bCs/>
                <w:iCs/>
                <w:szCs w:val="21"/>
              </w:rPr>
              <w:t>15</w:t>
            </w:r>
          </w:p>
        </w:tc>
        <w:tc>
          <w:tcPr>
            <w:tcW w:w="1035" w:type="dxa"/>
            <w:vAlign w:val="center"/>
          </w:tcPr>
          <w:p>
            <w:pPr>
              <w:spacing w:beforeLines="10" w:afterLines="10"/>
              <w:jc w:val="center"/>
              <w:rPr>
                <w:rFonts w:ascii="Times New Roman" w:hAnsi="Times New Roman"/>
                <w:bCs/>
                <w:iCs/>
                <w:szCs w:val="21"/>
              </w:rPr>
            </w:pPr>
            <w:r>
              <w:rPr>
                <w:rFonts w:hint="eastAsia" w:ascii="Times New Roman" w:hAnsi="Times New Roman"/>
                <w:bCs/>
                <w:iCs/>
                <w:szCs w:val="21"/>
              </w:rPr>
              <w:t>30</w:t>
            </w:r>
          </w:p>
        </w:tc>
        <w:tc>
          <w:tcPr>
            <w:tcW w:w="1119" w:type="dxa"/>
            <w:vAlign w:val="center"/>
          </w:tcPr>
          <w:p>
            <w:pPr>
              <w:spacing w:beforeLines="10" w:afterLines="10"/>
              <w:jc w:val="center"/>
              <w:rPr>
                <w:rFonts w:ascii="Times New Roman" w:hAnsi="Times New Roman"/>
                <w:bCs/>
                <w:iCs/>
                <w:szCs w:val="21"/>
              </w:rPr>
            </w:pPr>
            <w:r>
              <w:rPr>
                <w:rFonts w:hint="eastAsia" w:ascii="Times New Roman" w:hAnsi="Times New Roman"/>
                <w:bCs/>
                <w:iCs/>
                <w:szCs w:val="21"/>
              </w:rPr>
              <w:t>西北</w:t>
            </w:r>
          </w:p>
        </w:tc>
        <w:tc>
          <w:tcPr>
            <w:tcW w:w="1183" w:type="dxa"/>
            <w:vAlign w:val="center"/>
          </w:tcPr>
          <w:p>
            <w:pPr>
              <w:spacing w:beforeLines="10" w:afterLines="10"/>
              <w:jc w:val="center"/>
              <w:rPr>
                <w:rFonts w:ascii="Times New Roman" w:hAnsi="Times New Roman"/>
                <w:bCs/>
                <w:iCs/>
                <w:szCs w:val="21"/>
              </w:rPr>
            </w:pPr>
            <w:r>
              <w:rPr>
                <w:rFonts w:hint="eastAsia" w:ascii="Times New Roman" w:hAnsi="Times New Roman"/>
                <w:bCs/>
                <w:iCs/>
                <w:szCs w:val="21"/>
              </w:rPr>
              <w:t>2500</w:t>
            </w:r>
          </w:p>
        </w:tc>
        <w:tc>
          <w:tcPr>
            <w:tcW w:w="1471" w:type="dxa"/>
            <w:vMerge w:val="continue"/>
            <w:vAlign w:val="center"/>
          </w:tcPr>
          <w:p>
            <w:pPr>
              <w:adjustRightInd w:val="0"/>
              <w:snapToGrid w:val="0"/>
              <w:jc w:val="center"/>
              <w:rPr>
                <w:rFonts w:ascii="Times New Roman" w:hAnsi="Times New Roman"/>
                <w:bCs/>
                <w:i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45" w:type="dxa"/>
            <w:vAlign w:val="center"/>
          </w:tcPr>
          <w:p>
            <w:pPr>
              <w:adjustRightInd w:val="0"/>
              <w:snapToGrid w:val="0"/>
              <w:jc w:val="center"/>
              <w:rPr>
                <w:rFonts w:ascii="Times New Roman" w:hAnsi="Times New Roman"/>
                <w:bCs/>
                <w:iCs/>
                <w:szCs w:val="21"/>
              </w:rPr>
            </w:pPr>
            <w:r>
              <w:rPr>
                <w:rFonts w:ascii="Times New Roman" w:hAnsi="Times New Roman"/>
                <w:bCs/>
                <w:iCs/>
                <w:szCs w:val="21"/>
              </w:rPr>
              <w:t>6</w:t>
            </w:r>
          </w:p>
        </w:tc>
        <w:tc>
          <w:tcPr>
            <w:tcW w:w="1015" w:type="dxa"/>
            <w:vAlign w:val="center"/>
          </w:tcPr>
          <w:p>
            <w:pPr>
              <w:adjustRightInd w:val="0"/>
              <w:snapToGrid w:val="0"/>
              <w:jc w:val="center"/>
              <w:rPr>
                <w:rFonts w:ascii="Times New Roman" w:hAnsi="Times New Roman"/>
                <w:bCs/>
                <w:iCs/>
                <w:szCs w:val="21"/>
              </w:rPr>
            </w:pPr>
            <w:r>
              <w:rPr>
                <w:rFonts w:ascii="Times New Roman" w:hAnsi="Times New Roman"/>
                <w:bCs/>
                <w:iCs/>
                <w:szCs w:val="21"/>
              </w:rPr>
              <w:t>生态</w:t>
            </w:r>
          </w:p>
        </w:tc>
        <w:tc>
          <w:tcPr>
            <w:tcW w:w="1224" w:type="dxa"/>
            <w:vAlign w:val="center"/>
          </w:tcPr>
          <w:p>
            <w:pPr>
              <w:adjustRightInd w:val="0"/>
              <w:snapToGrid w:val="0"/>
              <w:jc w:val="center"/>
              <w:rPr>
                <w:rFonts w:ascii="Times New Roman" w:hAnsi="Times New Roman"/>
                <w:bCs/>
                <w:iCs/>
                <w:szCs w:val="21"/>
              </w:rPr>
            </w:pPr>
            <w:r>
              <w:rPr>
                <w:rFonts w:ascii="Times New Roman" w:hAnsi="Times New Roman"/>
                <w:color w:val="000000"/>
                <w:kern w:val="0"/>
                <w:szCs w:val="21"/>
              </w:rPr>
              <w:t>矿区范围内植被、土地资源、野生动物、土壤等</w:t>
            </w:r>
          </w:p>
        </w:tc>
        <w:tc>
          <w:tcPr>
            <w:tcW w:w="930" w:type="dxa"/>
            <w:vAlign w:val="center"/>
          </w:tcPr>
          <w:p>
            <w:pPr>
              <w:spacing w:beforeLines="10" w:afterLines="10"/>
              <w:jc w:val="center"/>
              <w:rPr>
                <w:rFonts w:ascii="Times New Roman" w:hAnsi="Times New Roman"/>
                <w:bCs/>
                <w:iCs/>
                <w:szCs w:val="21"/>
              </w:rPr>
            </w:pPr>
            <w:r>
              <w:rPr>
                <w:rFonts w:ascii="Times New Roman" w:hAnsi="Times New Roman"/>
                <w:bCs/>
                <w:iCs/>
                <w:szCs w:val="21"/>
              </w:rPr>
              <w:t>--</w:t>
            </w:r>
          </w:p>
        </w:tc>
        <w:tc>
          <w:tcPr>
            <w:tcW w:w="1035" w:type="dxa"/>
            <w:vAlign w:val="center"/>
          </w:tcPr>
          <w:p>
            <w:pPr>
              <w:spacing w:beforeLines="10" w:afterLines="10"/>
              <w:jc w:val="center"/>
              <w:rPr>
                <w:rFonts w:ascii="Times New Roman" w:hAnsi="Times New Roman"/>
                <w:bCs/>
                <w:iCs/>
                <w:szCs w:val="21"/>
              </w:rPr>
            </w:pPr>
            <w:r>
              <w:rPr>
                <w:rFonts w:ascii="Times New Roman" w:hAnsi="Times New Roman"/>
                <w:bCs/>
                <w:iCs/>
                <w:szCs w:val="21"/>
              </w:rPr>
              <w:t>--</w:t>
            </w:r>
          </w:p>
        </w:tc>
        <w:tc>
          <w:tcPr>
            <w:tcW w:w="1119" w:type="dxa"/>
            <w:vAlign w:val="center"/>
          </w:tcPr>
          <w:p>
            <w:pPr>
              <w:spacing w:beforeLines="10" w:afterLines="10"/>
              <w:jc w:val="center"/>
              <w:rPr>
                <w:rFonts w:ascii="Times New Roman" w:hAnsi="Times New Roman"/>
                <w:bCs/>
                <w:iCs/>
                <w:szCs w:val="21"/>
              </w:rPr>
            </w:pPr>
            <w:r>
              <w:rPr>
                <w:rFonts w:ascii="Times New Roman" w:hAnsi="Times New Roman"/>
                <w:bCs/>
                <w:iCs/>
                <w:szCs w:val="21"/>
              </w:rPr>
              <w:t>--</w:t>
            </w:r>
          </w:p>
        </w:tc>
        <w:tc>
          <w:tcPr>
            <w:tcW w:w="1183" w:type="dxa"/>
            <w:vAlign w:val="center"/>
          </w:tcPr>
          <w:p>
            <w:pPr>
              <w:spacing w:beforeLines="10" w:afterLines="10"/>
              <w:jc w:val="center"/>
              <w:rPr>
                <w:rFonts w:ascii="Times New Roman" w:hAnsi="Times New Roman"/>
                <w:bCs/>
                <w:iCs/>
                <w:szCs w:val="21"/>
              </w:rPr>
            </w:pPr>
            <w:r>
              <w:rPr>
                <w:rFonts w:ascii="Times New Roman" w:hAnsi="Times New Roman"/>
                <w:bCs/>
                <w:iCs/>
                <w:szCs w:val="21"/>
              </w:rPr>
              <w:t>--</w:t>
            </w:r>
          </w:p>
        </w:tc>
        <w:tc>
          <w:tcPr>
            <w:tcW w:w="1471" w:type="dxa"/>
            <w:vAlign w:val="center"/>
          </w:tcPr>
          <w:p>
            <w:pPr>
              <w:adjustRightInd w:val="0"/>
              <w:snapToGrid w:val="0"/>
              <w:jc w:val="center"/>
              <w:rPr>
                <w:rFonts w:ascii="Times New Roman" w:hAnsi="Times New Roman"/>
                <w:bCs/>
                <w:iCs/>
                <w:szCs w:val="21"/>
              </w:rPr>
            </w:pPr>
            <w:r>
              <w:rPr>
                <w:rFonts w:ascii="Times New Roman" w:hAnsi="Times New Roman"/>
                <w:bCs/>
                <w:iCs/>
                <w:szCs w:val="21"/>
              </w:rPr>
              <w:t>--</w:t>
            </w:r>
          </w:p>
        </w:tc>
      </w:tr>
    </w:tbl>
    <w:p>
      <w:pPr>
        <w:pStyle w:val="76"/>
        <w:jc w:val="center"/>
        <w:rPr>
          <w:b/>
          <w:color w:val="000000"/>
          <w:sz w:val="24"/>
        </w:rPr>
      </w:pPr>
    </w:p>
    <w:p>
      <w:pPr>
        <w:pStyle w:val="5"/>
        <w:spacing w:before="0" w:after="0" w:line="360" w:lineRule="auto"/>
        <w:rPr>
          <w:sz w:val="24"/>
          <w:szCs w:val="24"/>
        </w:rPr>
        <w:sectPr>
          <w:pgSz w:w="11906" w:h="16838"/>
          <w:pgMar w:top="1440" w:right="1800" w:bottom="1440" w:left="1800" w:header="851" w:footer="992" w:gutter="0"/>
          <w:cols w:space="720" w:num="1"/>
          <w:docGrid w:type="lines" w:linePitch="312" w:charSpace="0"/>
        </w:sectPr>
      </w:pPr>
      <w:bookmarkStart w:id="111" w:name="_Toc6509"/>
      <w:bookmarkStart w:id="112" w:name="_Toc7936"/>
      <w:bookmarkStart w:id="113" w:name="_Toc21998"/>
    </w:p>
    <w:p>
      <w:pPr>
        <w:pStyle w:val="5"/>
        <w:spacing w:before="0" w:after="0" w:line="360" w:lineRule="auto"/>
        <w:rPr>
          <w:sz w:val="24"/>
          <w:szCs w:val="24"/>
        </w:rPr>
      </w:pPr>
      <w:r>
        <w:rPr>
          <w:rFonts w:hint="eastAsia"/>
          <w:sz w:val="24"/>
          <w:szCs w:val="24"/>
        </w:rPr>
        <w:t>2.6.2污染控制目标</w:t>
      </w:r>
      <w:bookmarkEnd w:id="111"/>
      <w:bookmarkEnd w:id="112"/>
      <w:bookmarkEnd w:id="113"/>
    </w:p>
    <w:p>
      <w:pPr>
        <w:spacing w:line="360" w:lineRule="auto"/>
        <w:ind w:firstLine="480" w:firstLineChars="200"/>
        <w:rPr>
          <w:rFonts w:ascii="Times New Roman" w:hAnsi="Times New Roman"/>
          <w:sz w:val="24"/>
          <w:szCs w:val="24"/>
        </w:rPr>
      </w:pPr>
      <w:r>
        <w:rPr>
          <w:rFonts w:ascii="Times New Roman" w:hAnsi="Times New Roman"/>
          <w:sz w:val="24"/>
          <w:szCs w:val="24"/>
        </w:rPr>
        <w:t>1、废气</w:t>
      </w:r>
    </w:p>
    <w:p>
      <w:pPr>
        <w:spacing w:line="360" w:lineRule="auto"/>
        <w:ind w:firstLine="480" w:firstLineChars="200"/>
        <w:rPr>
          <w:rFonts w:ascii="Times New Roman" w:hAnsi="Times New Roman"/>
          <w:sz w:val="24"/>
          <w:szCs w:val="24"/>
        </w:rPr>
      </w:pPr>
      <w:r>
        <w:rPr>
          <w:rFonts w:ascii="Times New Roman" w:hAnsi="Times New Roman"/>
          <w:sz w:val="24"/>
          <w:szCs w:val="24"/>
        </w:rPr>
        <w:t>控制</w:t>
      </w:r>
      <w:r>
        <w:rPr>
          <w:rFonts w:hint="eastAsia" w:ascii="Times New Roman" w:hAnsi="Times New Roman"/>
          <w:sz w:val="24"/>
          <w:szCs w:val="24"/>
        </w:rPr>
        <w:t>尾矿库的扬尘及胶带运输尾矿渣粉尘无组织排放浓度</w:t>
      </w:r>
      <w:r>
        <w:rPr>
          <w:rFonts w:ascii="Times New Roman" w:hAnsi="Times New Roman"/>
          <w:sz w:val="24"/>
          <w:szCs w:val="24"/>
        </w:rPr>
        <w:t>，</w:t>
      </w:r>
      <w:r>
        <w:rPr>
          <w:rFonts w:hint="eastAsia" w:ascii="Times New Roman" w:hAnsi="Times New Roman"/>
          <w:sz w:val="24"/>
          <w:szCs w:val="24"/>
        </w:rPr>
        <w:t>使其满足</w:t>
      </w:r>
      <w:r>
        <w:rPr>
          <w:rFonts w:ascii="Times New Roman" w:hAnsi="Times New Roman"/>
          <w:sz w:val="24"/>
          <w:szCs w:val="24"/>
        </w:rPr>
        <w:t>《铁矿采选工业污染物排放标准》（GB28661-2012）</w:t>
      </w:r>
      <w:r>
        <w:rPr>
          <w:rFonts w:hint="eastAsia" w:ascii="Times New Roman" w:hAnsi="Times New Roman"/>
          <w:sz w:val="24"/>
          <w:szCs w:val="24"/>
        </w:rPr>
        <w:t>要求</w:t>
      </w:r>
      <w:r>
        <w:rPr>
          <w:rFonts w:ascii="Times New Roman" w:hAnsi="Times New Roman"/>
          <w:sz w:val="24"/>
          <w:szCs w:val="24"/>
        </w:rPr>
        <w:t>。</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2、废水</w:t>
      </w:r>
    </w:p>
    <w:p>
      <w:pPr>
        <w:spacing w:line="360" w:lineRule="auto"/>
        <w:ind w:firstLine="480" w:firstLineChars="200"/>
        <w:rPr>
          <w:rFonts w:ascii="Times New Roman" w:hAnsi="Times New Roman"/>
          <w:sz w:val="24"/>
          <w:szCs w:val="24"/>
        </w:rPr>
      </w:pPr>
      <w:r>
        <w:rPr>
          <w:rFonts w:ascii="Times New Roman" w:hAnsi="Times New Roman"/>
          <w:sz w:val="24"/>
          <w:szCs w:val="24"/>
        </w:rPr>
        <w:t>控制生产废水回用于生产，不排入地表水体</w:t>
      </w:r>
      <w:r>
        <w:rPr>
          <w:rFonts w:hint="eastAsia" w:ascii="Times New Roman" w:hAnsi="Times New Roman"/>
          <w:sz w:val="24"/>
          <w:szCs w:val="24"/>
        </w:rPr>
        <w:t>，严格执行废水零排放</w:t>
      </w:r>
      <w:r>
        <w:rPr>
          <w:rFonts w:ascii="Times New Roman" w:hAnsi="Times New Roman"/>
          <w:sz w:val="24"/>
          <w:szCs w:val="24"/>
        </w:rPr>
        <w:t>。</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3、地下水</w:t>
      </w:r>
    </w:p>
    <w:p>
      <w:pPr>
        <w:spacing w:line="360" w:lineRule="auto"/>
        <w:ind w:firstLine="480" w:firstLineChars="200"/>
        <w:rPr>
          <w:rFonts w:ascii="Times New Roman" w:hAnsi="Times New Roman"/>
          <w:sz w:val="24"/>
          <w:szCs w:val="24"/>
        </w:rPr>
      </w:pPr>
      <w:r>
        <w:rPr>
          <w:rFonts w:ascii="Times New Roman" w:hAnsi="Times New Roman"/>
          <w:sz w:val="24"/>
          <w:szCs w:val="24"/>
        </w:rPr>
        <w:t>严格</w:t>
      </w:r>
      <w:r>
        <w:rPr>
          <w:rFonts w:hint="eastAsia" w:ascii="Times New Roman" w:hAnsi="Times New Roman"/>
          <w:sz w:val="24"/>
          <w:szCs w:val="24"/>
        </w:rPr>
        <w:t>做好</w:t>
      </w:r>
      <w:r>
        <w:rPr>
          <w:rFonts w:ascii="Times New Roman" w:hAnsi="Times New Roman"/>
          <w:sz w:val="24"/>
          <w:szCs w:val="24"/>
        </w:rPr>
        <w:t>尾矿库防渗措施，保护评价区内各层地下水水质不受污染，水量及水位</w:t>
      </w:r>
      <w:r>
        <w:rPr>
          <w:rFonts w:hint="eastAsia" w:ascii="Times New Roman" w:hAnsi="Times New Roman"/>
          <w:sz w:val="24"/>
          <w:szCs w:val="24"/>
        </w:rPr>
        <w:t>不会</w:t>
      </w:r>
      <w:r>
        <w:rPr>
          <w:rFonts w:ascii="Times New Roman" w:hAnsi="Times New Roman"/>
          <w:sz w:val="24"/>
          <w:szCs w:val="24"/>
        </w:rPr>
        <w:t>发生明显变化。</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4、噪声</w:t>
      </w:r>
    </w:p>
    <w:p>
      <w:pPr>
        <w:spacing w:line="360" w:lineRule="auto"/>
        <w:ind w:firstLine="480" w:firstLineChars="200"/>
        <w:rPr>
          <w:rFonts w:ascii="Times New Roman" w:hAnsi="Times New Roman"/>
          <w:sz w:val="24"/>
          <w:szCs w:val="24"/>
        </w:rPr>
      </w:pPr>
      <w:r>
        <w:rPr>
          <w:rFonts w:ascii="Times New Roman" w:hAnsi="Times New Roman"/>
          <w:sz w:val="24"/>
          <w:szCs w:val="24"/>
        </w:rPr>
        <w:t>控制</w:t>
      </w:r>
      <w:r>
        <w:rPr>
          <w:rFonts w:hint="eastAsia" w:ascii="Times New Roman" w:hAnsi="Times New Roman"/>
          <w:sz w:val="24"/>
          <w:szCs w:val="24"/>
        </w:rPr>
        <w:t>各种</w:t>
      </w:r>
      <w:r>
        <w:rPr>
          <w:rFonts w:ascii="Times New Roman" w:hAnsi="Times New Roman"/>
          <w:sz w:val="24"/>
          <w:szCs w:val="24"/>
        </w:rPr>
        <w:t>设备运行噪声，</w:t>
      </w:r>
      <w:r>
        <w:rPr>
          <w:rFonts w:hint="eastAsia" w:ascii="Times New Roman" w:hAnsi="Times New Roman"/>
          <w:sz w:val="24"/>
          <w:szCs w:val="24"/>
        </w:rPr>
        <w:t>厂界</w:t>
      </w:r>
      <w:r>
        <w:rPr>
          <w:rFonts w:ascii="Times New Roman" w:hAnsi="Times New Roman"/>
          <w:sz w:val="24"/>
          <w:szCs w:val="24"/>
        </w:rPr>
        <w:t>处噪声</w:t>
      </w:r>
      <w:r>
        <w:rPr>
          <w:rFonts w:hint="eastAsia" w:ascii="Times New Roman" w:hAnsi="Times New Roman"/>
          <w:sz w:val="24"/>
          <w:szCs w:val="24"/>
        </w:rPr>
        <w:t>需要</w:t>
      </w:r>
      <w:r>
        <w:rPr>
          <w:rFonts w:ascii="Times New Roman" w:hAnsi="Times New Roman"/>
          <w:sz w:val="24"/>
          <w:szCs w:val="24"/>
        </w:rPr>
        <w:t>满足《工业企业厂界环境噪声排放标准》（GB12348</w:t>
      </w:r>
      <w:r>
        <w:rPr>
          <w:rFonts w:hint="eastAsia" w:ascii="Times New Roman" w:hAnsi="Times New Roman"/>
          <w:sz w:val="24"/>
          <w:szCs w:val="24"/>
        </w:rPr>
        <w:t>-</w:t>
      </w:r>
      <w:r>
        <w:rPr>
          <w:rFonts w:ascii="Times New Roman" w:hAnsi="Times New Roman"/>
          <w:sz w:val="24"/>
          <w:szCs w:val="24"/>
        </w:rPr>
        <w:t>2008）中的</w:t>
      </w:r>
      <w:r>
        <w:rPr>
          <w:rFonts w:hint="eastAsia" w:ascii="Times New Roman" w:hAnsi="Times New Roman"/>
          <w:sz w:val="24"/>
          <w:szCs w:val="24"/>
        </w:rPr>
        <w:t>3</w:t>
      </w:r>
      <w:r>
        <w:rPr>
          <w:rFonts w:ascii="Times New Roman" w:hAnsi="Times New Roman"/>
          <w:sz w:val="24"/>
          <w:szCs w:val="24"/>
        </w:rPr>
        <w:t>类标准要求。</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5、固体废物</w:t>
      </w:r>
    </w:p>
    <w:p>
      <w:pPr>
        <w:spacing w:line="360" w:lineRule="auto"/>
        <w:ind w:firstLine="451"/>
        <w:rPr>
          <w:sz w:val="24"/>
          <w:szCs w:val="24"/>
        </w:rPr>
      </w:pPr>
      <w:r>
        <w:rPr>
          <w:rFonts w:hint="eastAsia"/>
          <w:sz w:val="24"/>
          <w:szCs w:val="24"/>
        </w:rPr>
        <w:t>控制各种固体废物的合理处理及处置，不产生二次污染。</w:t>
      </w:r>
    </w:p>
    <w:p>
      <w:pPr>
        <w:pStyle w:val="4"/>
        <w:rPr>
          <w:rFonts w:ascii="Times New Roman" w:hAnsi="Times New Roman" w:eastAsia="宋体"/>
        </w:rPr>
      </w:pPr>
      <w:bookmarkStart w:id="114" w:name="_Toc3755"/>
      <w:bookmarkStart w:id="115" w:name="_Toc22736"/>
      <w:bookmarkStart w:id="116" w:name="_Toc4276"/>
      <w:r>
        <w:rPr>
          <w:rFonts w:hint="eastAsia" w:ascii="Times New Roman" w:hAnsi="Times New Roman" w:eastAsia="宋体"/>
        </w:rPr>
        <w:t>2.7评价时段</w:t>
      </w:r>
      <w:bookmarkEnd w:id="114"/>
      <w:bookmarkEnd w:id="115"/>
      <w:bookmarkEnd w:id="116"/>
    </w:p>
    <w:p>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本项目为选矿厂及尾矿库改扩建项目，其评价时段分为施工期、运营期及闭矿期。</w:t>
      </w:r>
    </w:p>
    <w:p>
      <w:pPr>
        <w:pStyle w:val="2"/>
        <w:rPr>
          <w:rFonts w:ascii="Times New Roman" w:hAnsi="Times New Roman"/>
          <w:sz w:val="24"/>
          <w:szCs w:val="24"/>
        </w:rPr>
      </w:pPr>
    </w:p>
    <w:p>
      <w:pPr>
        <w:pStyle w:val="2"/>
        <w:rPr>
          <w:rFonts w:ascii="Times New Roman" w:hAnsi="Times New Roman"/>
          <w:sz w:val="24"/>
          <w:szCs w:val="24"/>
        </w:rPr>
      </w:pPr>
    </w:p>
    <w:p>
      <w:pPr>
        <w:pStyle w:val="2"/>
        <w:rPr>
          <w:rFonts w:ascii="Times New Roman" w:hAnsi="Times New Roman"/>
          <w:sz w:val="24"/>
          <w:szCs w:val="24"/>
        </w:rPr>
      </w:pPr>
    </w:p>
    <w:p>
      <w:pPr>
        <w:pStyle w:val="2"/>
        <w:rPr>
          <w:rFonts w:ascii="Times New Roman" w:hAnsi="Times New Roman"/>
          <w:sz w:val="24"/>
          <w:szCs w:val="24"/>
        </w:rPr>
      </w:pPr>
    </w:p>
    <w:p>
      <w:pPr>
        <w:pStyle w:val="2"/>
        <w:rPr>
          <w:rFonts w:ascii="Times New Roman" w:hAnsi="Times New Roman"/>
          <w:sz w:val="24"/>
          <w:szCs w:val="24"/>
        </w:rPr>
      </w:pPr>
    </w:p>
    <w:p>
      <w:pPr>
        <w:pStyle w:val="2"/>
        <w:rPr>
          <w:rFonts w:ascii="Times New Roman" w:hAnsi="Times New Roman"/>
          <w:sz w:val="24"/>
          <w:szCs w:val="24"/>
        </w:rPr>
      </w:pPr>
    </w:p>
    <w:p>
      <w:pPr>
        <w:pStyle w:val="2"/>
        <w:rPr>
          <w:rFonts w:ascii="Times New Roman" w:hAnsi="Times New Roman"/>
          <w:sz w:val="24"/>
          <w:szCs w:val="24"/>
        </w:rPr>
      </w:pPr>
    </w:p>
    <w:p>
      <w:pPr>
        <w:pStyle w:val="2"/>
        <w:rPr>
          <w:rFonts w:ascii="Times New Roman" w:hAnsi="Times New Roman"/>
          <w:sz w:val="24"/>
          <w:szCs w:val="24"/>
        </w:rPr>
      </w:pPr>
    </w:p>
    <w:p>
      <w:pPr>
        <w:pStyle w:val="2"/>
        <w:rPr>
          <w:rFonts w:ascii="Times New Roman" w:hAnsi="Times New Roman"/>
          <w:sz w:val="24"/>
          <w:szCs w:val="24"/>
        </w:rPr>
      </w:pPr>
    </w:p>
    <w:p>
      <w:pPr>
        <w:rPr>
          <w:sz w:val="24"/>
          <w:szCs w:val="24"/>
        </w:rPr>
      </w:pPr>
    </w:p>
    <w:p>
      <w:pPr>
        <w:pStyle w:val="2"/>
        <w:rPr>
          <w:sz w:val="24"/>
          <w:szCs w:val="24"/>
        </w:rPr>
      </w:pPr>
    </w:p>
    <w:p>
      <w:pPr>
        <w:rPr>
          <w:sz w:val="24"/>
          <w:szCs w:val="24"/>
        </w:rPr>
      </w:pPr>
    </w:p>
    <w:p>
      <w:pPr>
        <w:pStyle w:val="2"/>
        <w:rPr>
          <w:sz w:val="24"/>
          <w:szCs w:val="24"/>
        </w:rPr>
      </w:pPr>
    </w:p>
    <w:p>
      <w:pPr>
        <w:pStyle w:val="3"/>
        <w:spacing w:beforeLines="150" w:beforeAutospacing="0" w:afterLines="150" w:afterAutospacing="0" w:line="360" w:lineRule="auto"/>
      </w:pPr>
      <w:bookmarkStart w:id="117" w:name="_Toc16450"/>
      <w:bookmarkStart w:id="118" w:name="_Toc20379"/>
      <w:bookmarkStart w:id="119" w:name="_Toc13141"/>
      <w:r>
        <w:rPr>
          <w:rFonts w:hint="eastAsia"/>
        </w:rPr>
        <w:t>第三章 工程概况与工程分析</w:t>
      </w:r>
      <w:bookmarkEnd w:id="117"/>
      <w:bookmarkEnd w:id="118"/>
      <w:bookmarkEnd w:id="119"/>
    </w:p>
    <w:p>
      <w:pPr>
        <w:pStyle w:val="4"/>
        <w:rPr>
          <w:rFonts w:ascii="Times New Roman" w:hAnsi="Times New Roman" w:eastAsia="宋体"/>
        </w:rPr>
      </w:pPr>
      <w:bookmarkStart w:id="120" w:name="_Toc21221"/>
      <w:bookmarkStart w:id="121" w:name="_Toc27603"/>
      <w:bookmarkStart w:id="122" w:name="_Toc9923"/>
      <w:r>
        <w:rPr>
          <w:rFonts w:ascii="Times New Roman" w:hAnsi="Times New Roman" w:eastAsia="宋体"/>
        </w:rPr>
        <w:t>3.1现有项目</w:t>
      </w:r>
      <w:r>
        <w:rPr>
          <w:rFonts w:hint="eastAsia" w:ascii="Times New Roman" w:hAnsi="Times New Roman" w:eastAsia="宋体"/>
        </w:rPr>
        <w:t>概况</w:t>
      </w:r>
      <w:bookmarkEnd w:id="120"/>
      <w:bookmarkEnd w:id="121"/>
      <w:bookmarkEnd w:id="122"/>
    </w:p>
    <w:p>
      <w:pPr>
        <w:pStyle w:val="5"/>
        <w:rPr>
          <w:sz w:val="24"/>
          <w:szCs w:val="24"/>
        </w:rPr>
      </w:pPr>
      <w:bookmarkStart w:id="123" w:name="_Toc26938"/>
      <w:bookmarkStart w:id="124" w:name="_Toc22677"/>
      <w:bookmarkStart w:id="125" w:name="_Toc7291"/>
      <w:r>
        <w:rPr>
          <w:rFonts w:hint="eastAsia"/>
          <w:sz w:val="24"/>
          <w:szCs w:val="24"/>
        </w:rPr>
        <w:t>3.1.1基本情况</w:t>
      </w:r>
      <w:bookmarkEnd w:id="123"/>
      <w:bookmarkEnd w:id="124"/>
      <w:bookmarkEnd w:id="125"/>
    </w:p>
    <w:p>
      <w:pPr>
        <w:spacing w:line="360" w:lineRule="auto"/>
        <w:ind w:firstLine="480" w:firstLineChars="200"/>
        <w:rPr>
          <w:rFonts w:ascii="Times New Roman" w:hAnsi="Times New Roman"/>
          <w:color w:val="0000FF"/>
          <w:sz w:val="24"/>
          <w:szCs w:val="24"/>
        </w:rPr>
      </w:pPr>
      <w:r>
        <w:rPr>
          <w:rFonts w:hint="eastAsia" w:ascii="Times New Roman" w:hAnsi="Times New Roman"/>
          <w:sz w:val="24"/>
          <w:szCs w:val="24"/>
        </w:rPr>
        <w:t>现有白山市江源区五道羊岔铁矿有限责任公司五道羊岔铁矿尾矿库（以下简称“五道羊岔尾矿库”），位于现有项目位于白山市江源区七岔村现有厂区内。 本项目中心坐标为东经：126°26'21.6"，北纬：42°05'22.6"。本项目厂界东侧为林地；南侧10m为西南岔河自西向东流；西侧140m为林蛙养殖基地；北侧紧邻一条无名林间小路，127m为鹤大高速；西北侧566m隔鹤大高速为九道阳岔养鸡场。</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现有五道羊岔尾矿库于2005取得由江源县环境保护局下发的《关于江源县五道羊岔铁矿选矿厂建设项目环境影响报告书》的批复，批复文号为：江源环发[2005]31号（见附件）。该企业2008年正式投产运营。江源区环保局于2012年10月25日对白山市江源区五道羊岔铁矿有限责任公司采场、选矿厂及尾矿库进行验收，验收文号为：江环验发[2012]12号《江源区环境保护局环境保护设施竣工验收意见书》（见附件）。</w:t>
      </w:r>
    </w:p>
    <w:p>
      <w:pPr>
        <w:pStyle w:val="5"/>
        <w:rPr>
          <w:sz w:val="24"/>
          <w:szCs w:val="24"/>
        </w:rPr>
      </w:pPr>
      <w:bookmarkStart w:id="126" w:name="_Toc25984"/>
      <w:bookmarkStart w:id="127" w:name="_Toc17534"/>
      <w:bookmarkStart w:id="128" w:name="_Toc11828"/>
      <w:r>
        <w:rPr>
          <w:sz w:val="24"/>
          <w:szCs w:val="24"/>
        </w:rPr>
        <w:t>3.1.</w:t>
      </w:r>
      <w:r>
        <w:rPr>
          <w:rFonts w:hint="eastAsia"/>
          <w:sz w:val="24"/>
          <w:szCs w:val="24"/>
        </w:rPr>
        <w:t>2生产</w:t>
      </w:r>
      <w:r>
        <w:rPr>
          <w:sz w:val="24"/>
          <w:szCs w:val="24"/>
        </w:rPr>
        <w:t>规模及产品方案</w:t>
      </w:r>
      <w:bookmarkEnd w:id="126"/>
      <w:bookmarkEnd w:id="127"/>
      <w:bookmarkEnd w:id="128"/>
    </w:p>
    <w:p>
      <w:pPr>
        <w:spacing w:line="360" w:lineRule="auto"/>
        <w:ind w:firstLine="480" w:firstLineChars="200"/>
        <w:jc w:val="left"/>
        <w:rPr>
          <w:rFonts w:ascii="Times New Roman" w:hAnsi="Times New Roman"/>
          <w:sz w:val="24"/>
          <w:szCs w:val="24"/>
        </w:rPr>
      </w:pPr>
      <w:r>
        <w:rPr>
          <w:rFonts w:ascii="Times New Roman" w:hAnsi="Times New Roman"/>
          <w:sz w:val="24"/>
          <w:szCs w:val="24"/>
        </w:rPr>
        <w:t>1、生产规模</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（1）采矿：现有项目现有采矿位于江源县三岔镇五道羊岔村。年采铁矿石20万t，矿石储量为97.48万t/a；现有开采年限为6.1年。</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（2）选矿：现有项目现有选矿厂与尾矿库在同一厂区内，位于白山市江源区七岔村。年产铁精粉8万t。</w:t>
      </w:r>
    </w:p>
    <w:p>
      <w:pPr>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rPr>
        <w:t>（3）尾矿库：现有项目现有选矿厂与尾矿库在同一厂区内，位于白山市江源区七岔村。服务年限为10年。现有处理尾矿量120万t；</w:t>
      </w:r>
      <w:r>
        <w:rPr>
          <w:rFonts w:hint="eastAsia" w:ascii="Times New Roman" w:hAnsi="Times New Roman"/>
          <w:sz w:val="24"/>
          <w:szCs w:val="24"/>
          <w:u w:val="single"/>
        </w:rPr>
        <w:t>现有库容为8×10</w:t>
      </w:r>
      <w:r>
        <w:rPr>
          <w:rFonts w:hint="eastAsia" w:ascii="Times New Roman" w:hAnsi="Times New Roman"/>
          <w:sz w:val="24"/>
          <w:szCs w:val="24"/>
          <w:u w:val="single"/>
          <w:vertAlign w:val="superscript"/>
        </w:rPr>
        <w:t>4</w:t>
      </w:r>
      <w:r>
        <w:rPr>
          <w:rFonts w:hint="eastAsia" w:ascii="Times New Roman" w:hAnsi="Times New Roman"/>
          <w:sz w:val="24"/>
          <w:szCs w:val="24"/>
          <w:u w:val="single"/>
        </w:rPr>
        <w:t>m</w:t>
      </w:r>
      <w:r>
        <w:rPr>
          <w:rFonts w:hint="eastAsia" w:ascii="Times New Roman" w:hAnsi="Times New Roman"/>
          <w:sz w:val="24"/>
          <w:szCs w:val="24"/>
          <w:u w:val="single"/>
          <w:vertAlign w:val="superscript"/>
        </w:rPr>
        <w:t>3</w:t>
      </w:r>
      <w:r>
        <w:rPr>
          <w:rFonts w:hint="eastAsia" w:ascii="Times New Roman" w:hAnsi="Times New Roman"/>
          <w:sz w:val="24"/>
          <w:szCs w:val="24"/>
          <w:u w:val="single"/>
        </w:rPr>
        <w:t>。</w:t>
      </w:r>
    </w:p>
    <w:p>
      <w:pPr>
        <w:spacing w:line="360" w:lineRule="auto"/>
        <w:ind w:firstLine="480" w:firstLineChars="200"/>
        <w:jc w:val="left"/>
        <w:outlineLvl w:val="0"/>
        <w:rPr>
          <w:rFonts w:ascii="Times New Roman" w:hAnsi="Times New Roman"/>
          <w:sz w:val="24"/>
          <w:szCs w:val="24"/>
        </w:rPr>
      </w:pPr>
      <w:r>
        <w:rPr>
          <w:rFonts w:ascii="Times New Roman" w:hAnsi="Times New Roman"/>
          <w:sz w:val="24"/>
          <w:szCs w:val="24"/>
        </w:rPr>
        <w:t>2、产品方案</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现有</w:t>
      </w:r>
      <w:r>
        <w:rPr>
          <w:rFonts w:hint="eastAsia" w:ascii="Times New Roman" w:hAnsi="Times New Roman"/>
          <w:sz w:val="24"/>
          <w:szCs w:val="24"/>
        </w:rPr>
        <w:t>采场</w:t>
      </w:r>
      <w:r>
        <w:rPr>
          <w:rFonts w:ascii="Times New Roman" w:hAnsi="Times New Roman"/>
          <w:sz w:val="24"/>
          <w:szCs w:val="24"/>
        </w:rPr>
        <w:t>项目年开采铁矿石</w:t>
      </w:r>
      <w:r>
        <w:rPr>
          <w:rFonts w:hint="eastAsia" w:ascii="Times New Roman" w:hAnsi="Times New Roman"/>
          <w:sz w:val="24"/>
          <w:szCs w:val="24"/>
        </w:rPr>
        <w:t>20</w:t>
      </w:r>
      <w:r>
        <w:rPr>
          <w:rFonts w:ascii="Times New Roman" w:hAnsi="Times New Roman"/>
          <w:sz w:val="24"/>
          <w:szCs w:val="24"/>
        </w:rPr>
        <w:t>万t</w:t>
      </w:r>
      <w:r>
        <w:rPr>
          <w:rFonts w:hint="eastAsia" w:ascii="Times New Roman" w:hAnsi="Times New Roman"/>
          <w:sz w:val="24"/>
          <w:szCs w:val="24"/>
        </w:rPr>
        <w:t>。现有选矿厂年产铁精粉8万t，品位Fe35.67%</w:t>
      </w:r>
      <w:r>
        <w:rPr>
          <w:rFonts w:ascii="Times New Roman" w:hAnsi="Times New Roman"/>
          <w:sz w:val="24"/>
          <w:szCs w:val="24"/>
        </w:rPr>
        <w:t>。</w:t>
      </w:r>
    </w:p>
    <w:p>
      <w:pPr>
        <w:pStyle w:val="5"/>
        <w:rPr>
          <w:sz w:val="24"/>
          <w:szCs w:val="24"/>
        </w:rPr>
      </w:pPr>
      <w:bookmarkStart w:id="129" w:name="_Toc18148"/>
      <w:bookmarkStart w:id="130" w:name="_Toc12104"/>
      <w:bookmarkStart w:id="131" w:name="_Toc32087"/>
      <w:r>
        <w:rPr>
          <w:rFonts w:hint="eastAsia"/>
          <w:sz w:val="24"/>
          <w:szCs w:val="24"/>
        </w:rPr>
        <w:t>3.1.3建设内容及工程组成</w:t>
      </w:r>
      <w:bookmarkEnd w:id="129"/>
      <w:bookmarkEnd w:id="130"/>
      <w:bookmarkEnd w:id="131"/>
    </w:p>
    <w:p>
      <w:pPr>
        <w:spacing w:line="360" w:lineRule="auto"/>
        <w:ind w:firstLine="480" w:firstLineChars="200"/>
        <w:jc w:val="left"/>
        <w:rPr>
          <w:rFonts w:ascii="Times New Roman" w:hAnsi="Times New Roman"/>
          <w:color w:val="000000"/>
          <w:sz w:val="24"/>
          <w:szCs w:val="24"/>
        </w:rPr>
        <w:sectPr>
          <w:pgSz w:w="11906" w:h="16838"/>
          <w:pgMar w:top="1440" w:right="1800" w:bottom="1440" w:left="1800" w:header="851" w:footer="992" w:gutter="0"/>
          <w:cols w:space="720" w:num="1"/>
          <w:docGrid w:type="lines" w:linePitch="312" w:charSpace="0"/>
        </w:sectPr>
      </w:pPr>
      <w:r>
        <w:rPr>
          <w:rFonts w:ascii="Times New Roman" w:hAnsi="Times New Roman"/>
          <w:color w:val="000000"/>
          <w:sz w:val="24"/>
          <w:szCs w:val="24"/>
        </w:rPr>
        <w:t>现有矿区主要由五道羊岔采区（地采）、选矿厂和尾矿库等两部分组成，由于采场与选矿厂距离较远，可相对独立。其中选矿厂和尾矿库占地面积为0.072km</w:t>
      </w:r>
      <w:r>
        <w:rPr>
          <w:rFonts w:ascii="Times New Roman" w:hAnsi="Times New Roman"/>
          <w:color w:val="000000"/>
          <w:sz w:val="24"/>
          <w:szCs w:val="24"/>
          <w:vertAlign w:val="superscript"/>
        </w:rPr>
        <w:t>2</w:t>
      </w:r>
      <w:r>
        <w:rPr>
          <w:rFonts w:ascii="Times New Roman" w:hAnsi="Times New Roman"/>
          <w:color w:val="000000"/>
          <w:sz w:val="24"/>
          <w:szCs w:val="24"/>
        </w:rPr>
        <w:t>，现有采场占地面积为0.2899km</w:t>
      </w:r>
      <w:r>
        <w:rPr>
          <w:rFonts w:ascii="Times New Roman" w:hAnsi="Times New Roman"/>
          <w:color w:val="000000"/>
          <w:sz w:val="24"/>
          <w:szCs w:val="24"/>
          <w:vertAlign w:val="superscript"/>
        </w:rPr>
        <w:t>2</w:t>
      </w:r>
      <w:r>
        <w:rPr>
          <w:rFonts w:ascii="Times New Roman" w:hAnsi="Times New Roman"/>
          <w:color w:val="000000"/>
          <w:sz w:val="24"/>
          <w:szCs w:val="24"/>
        </w:rPr>
        <w:t>， 详见下表。</w:t>
      </w:r>
    </w:p>
    <w:p>
      <w:pPr>
        <w:jc w:val="center"/>
        <w:rPr>
          <w:rFonts w:ascii="Times New Roman" w:hAnsi="Times New Roman"/>
          <w:b/>
          <w:bCs/>
          <w:color w:val="000000"/>
          <w:sz w:val="24"/>
          <w:szCs w:val="24"/>
        </w:rPr>
      </w:pPr>
      <w:r>
        <w:rPr>
          <w:rFonts w:ascii="Times New Roman" w:hAnsi="Times New Roman"/>
          <w:b/>
          <w:bCs/>
          <w:color w:val="000000"/>
          <w:sz w:val="24"/>
          <w:szCs w:val="24"/>
        </w:rPr>
        <w:t>表3-1 现有项目工程组成及特征一览表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382"/>
        <w:gridCol w:w="1425"/>
        <w:gridCol w:w="2609"/>
        <w:gridCol w:w="1161"/>
        <w:gridCol w:w="3723"/>
        <w:gridCol w:w="2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003" w:type="dxa"/>
            <w:vAlign w:val="center"/>
          </w:tcPr>
          <w:p>
            <w:pPr>
              <w:jc w:val="center"/>
              <w:rPr>
                <w:rFonts w:ascii="Times New Roman" w:hAnsi="Times New Roman"/>
                <w:color w:val="000000"/>
                <w:szCs w:val="21"/>
              </w:rPr>
            </w:pPr>
            <w:r>
              <w:rPr>
                <w:rFonts w:ascii="Times New Roman" w:hAnsi="Times New Roman"/>
                <w:color w:val="000000"/>
                <w:szCs w:val="21"/>
              </w:rPr>
              <w:t>工程名称</w:t>
            </w:r>
          </w:p>
        </w:tc>
        <w:tc>
          <w:tcPr>
            <w:tcW w:w="2807" w:type="dxa"/>
            <w:gridSpan w:val="2"/>
            <w:vAlign w:val="center"/>
          </w:tcPr>
          <w:p>
            <w:pPr>
              <w:jc w:val="center"/>
              <w:rPr>
                <w:rFonts w:ascii="Times New Roman" w:hAnsi="Times New Roman"/>
                <w:color w:val="000000"/>
                <w:szCs w:val="21"/>
              </w:rPr>
            </w:pPr>
            <w:r>
              <w:rPr>
                <w:rFonts w:ascii="Times New Roman" w:hAnsi="Times New Roman"/>
                <w:color w:val="000000"/>
                <w:szCs w:val="21"/>
              </w:rPr>
              <w:t>区域</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构筑物</w:t>
            </w:r>
          </w:p>
        </w:tc>
        <w:tc>
          <w:tcPr>
            <w:tcW w:w="1161" w:type="dxa"/>
            <w:vAlign w:val="center"/>
          </w:tcPr>
          <w:p>
            <w:pPr>
              <w:jc w:val="center"/>
              <w:rPr>
                <w:rFonts w:ascii="Times New Roman" w:hAnsi="Times New Roman"/>
                <w:color w:val="000000"/>
                <w:szCs w:val="21"/>
              </w:rPr>
            </w:pPr>
            <w:r>
              <w:rPr>
                <w:rFonts w:ascii="Times New Roman" w:hAnsi="Times New Roman"/>
                <w:color w:val="000000"/>
                <w:szCs w:val="21"/>
              </w:rPr>
              <w:t>占地面积</w:t>
            </w:r>
          </w:p>
          <w:p>
            <w:pPr>
              <w:jc w:val="center"/>
              <w:rPr>
                <w:rFonts w:ascii="Times New Roman" w:hAnsi="Times New Roman"/>
                <w:color w:val="000000"/>
                <w:szCs w:val="21"/>
              </w:rPr>
            </w:pPr>
            <w:r>
              <w:rPr>
                <w:rFonts w:ascii="Times New Roman" w:hAnsi="Times New Roman"/>
                <w:color w:val="000000"/>
                <w:szCs w:val="21"/>
              </w:rPr>
              <w:t>（</w:t>
            </w:r>
            <w:r>
              <w:rPr>
                <w:rFonts w:hint="eastAsia" w:ascii="Times New Roman" w:hAnsi="Times New Roman"/>
                <w:color w:val="000000"/>
                <w:szCs w:val="21"/>
              </w:rPr>
              <w:t>k</w:t>
            </w:r>
            <w:r>
              <w:rPr>
                <w:rFonts w:ascii="Times New Roman" w:hAnsi="Times New Roman"/>
                <w:color w:val="000000"/>
                <w:szCs w:val="21"/>
              </w:rPr>
              <w:t>m</w:t>
            </w:r>
            <w:r>
              <w:rPr>
                <w:rFonts w:ascii="Times New Roman" w:hAnsi="Times New Roman"/>
                <w:color w:val="000000"/>
                <w:szCs w:val="21"/>
                <w:vertAlign w:val="superscript"/>
              </w:rPr>
              <w:t>2</w:t>
            </w:r>
            <w:r>
              <w:rPr>
                <w:rFonts w:ascii="Times New Roman" w:hAnsi="Times New Roman"/>
                <w:color w:val="000000"/>
                <w:szCs w:val="21"/>
              </w:rPr>
              <w:t>）</w:t>
            </w:r>
          </w:p>
        </w:tc>
        <w:tc>
          <w:tcPr>
            <w:tcW w:w="3723" w:type="dxa"/>
            <w:vAlign w:val="center"/>
          </w:tcPr>
          <w:p>
            <w:pPr>
              <w:jc w:val="center"/>
              <w:rPr>
                <w:rFonts w:ascii="Times New Roman" w:hAnsi="Times New Roman"/>
                <w:color w:val="000000"/>
                <w:szCs w:val="21"/>
              </w:rPr>
            </w:pPr>
            <w:r>
              <w:rPr>
                <w:rFonts w:ascii="Times New Roman" w:hAnsi="Times New Roman"/>
                <w:color w:val="000000"/>
                <w:szCs w:val="21"/>
              </w:rPr>
              <w:t>建设内容</w:t>
            </w:r>
          </w:p>
        </w:tc>
        <w:tc>
          <w:tcPr>
            <w:tcW w:w="2871" w:type="dxa"/>
            <w:vAlign w:val="center"/>
          </w:tcPr>
          <w:p>
            <w:pPr>
              <w:jc w:val="center"/>
              <w:rPr>
                <w:rFonts w:ascii="Times New Roman" w:hAnsi="Times New Roman"/>
                <w:color w:val="000000"/>
                <w:szCs w:val="21"/>
              </w:rPr>
            </w:pPr>
            <w:r>
              <w:rPr>
                <w:rFonts w:ascii="Times New Roman" w:hAnsi="Times New Roman"/>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Merge w:val="restart"/>
            <w:vAlign w:val="center"/>
          </w:tcPr>
          <w:p>
            <w:pPr>
              <w:jc w:val="center"/>
              <w:rPr>
                <w:rFonts w:ascii="Times New Roman" w:hAnsi="Times New Roman"/>
                <w:color w:val="000000"/>
                <w:szCs w:val="21"/>
              </w:rPr>
            </w:pPr>
          </w:p>
          <w:p>
            <w:pPr>
              <w:jc w:val="center"/>
              <w:rPr>
                <w:rFonts w:ascii="Times New Roman" w:hAnsi="Times New Roman"/>
                <w:color w:val="000000"/>
                <w:szCs w:val="21"/>
              </w:rPr>
            </w:pPr>
          </w:p>
          <w:p>
            <w:pPr>
              <w:jc w:val="center"/>
              <w:rPr>
                <w:rFonts w:ascii="Times New Roman" w:hAnsi="Times New Roman"/>
                <w:color w:val="000000"/>
                <w:szCs w:val="21"/>
              </w:rPr>
            </w:pPr>
          </w:p>
          <w:p>
            <w:pPr>
              <w:jc w:val="center"/>
              <w:rPr>
                <w:rFonts w:ascii="Times New Roman" w:hAnsi="Times New Roman"/>
                <w:color w:val="000000"/>
                <w:szCs w:val="21"/>
              </w:rPr>
            </w:pPr>
          </w:p>
          <w:p>
            <w:pPr>
              <w:jc w:val="center"/>
              <w:rPr>
                <w:rFonts w:ascii="Times New Roman" w:hAnsi="Times New Roman"/>
                <w:color w:val="000000"/>
                <w:szCs w:val="21"/>
              </w:rPr>
            </w:pPr>
          </w:p>
          <w:p>
            <w:pPr>
              <w:jc w:val="center"/>
              <w:rPr>
                <w:rFonts w:ascii="Times New Roman" w:hAnsi="Times New Roman"/>
                <w:color w:val="000000"/>
                <w:szCs w:val="21"/>
              </w:rPr>
            </w:pPr>
          </w:p>
          <w:p>
            <w:pPr>
              <w:jc w:val="center"/>
              <w:rPr>
                <w:rFonts w:ascii="Times New Roman" w:hAnsi="Times New Roman"/>
                <w:color w:val="000000"/>
                <w:szCs w:val="21"/>
              </w:rPr>
            </w:pPr>
          </w:p>
          <w:p>
            <w:pPr>
              <w:jc w:val="center"/>
              <w:rPr>
                <w:rFonts w:ascii="Times New Roman" w:hAnsi="Times New Roman"/>
                <w:color w:val="000000"/>
                <w:szCs w:val="21"/>
              </w:rPr>
            </w:pPr>
          </w:p>
          <w:p>
            <w:pPr>
              <w:jc w:val="center"/>
              <w:rPr>
                <w:rFonts w:ascii="Times New Roman" w:hAnsi="Times New Roman"/>
                <w:color w:val="000000"/>
                <w:szCs w:val="21"/>
              </w:rPr>
            </w:pPr>
            <w:r>
              <w:rPr>
                <w:rFonts w:hint="eastAsia" w:ascii="Times New Roman" w:hAnsi="Times New Roman"/>
                <w:color w:val="000000"/>
                <w:szCs w:val="21"/>
              </w:rPr>
              <w:t>主体</w:t>
            </w:r>
          </w:p>
          <w:p>
            <w:pPr>
              <w:jc w:val="center"/>
              <w:rPr>
                <w:rFonts w:ascii="Times New Roman" w:hAnsi="Times New Roman"/>
                <w:color w:val="000000"/>
                <w:szCs w:val="21"/>
              </w:rPr>
            </w:pPr>
            <w:r>
              <w:rPr>
                <w:rFonts w:hint="eastAsia" w:ascii="Times New Roman" w:hAnsi="Times New Roman"/>
                <w:color w:val="000000"/>
                <w:szCs w:val="21"/>
              </w:rPr>
              <w:t>工程</w:t>
            </w:r>
          </w:p>
        </w:tc>
        <w:tc>
          <w:tcPr>
            <w:tcW w:w="1382" w:type="dxa"/>
            <w:vAlign w:val="center"/>
          </w:tcPr>
          <w:p>
            <w:pPr>
              <w:jc w:val="center"/>
              <w:rPr>
                <w:rFonts w:ascii="Times New Roman" w:hAnsi="Times New Roman"/>
                <w:color w:val="000000"/>
                <w:szCs w:val="21"/>
              </w:rPr>
            </w:pPr>
            <w:r>
              <w:rPr>
                <w:rFonts w:hint="eastAsia" w:ascii="Times New Roman" w:hAnsi="Times New Roman"/>
                <w:color w:val="000000"/>
                <w:szCs w:val="21"/>
              </w:rPr>
              <w:t>现有采场</w:t>
            </w:r>
          </w:p>
        </w:tc>
        <w:tc>
          <w:tcPr>
            <w:tcW w:w="1425" w:type="dxa"/>
            <w:vAlign w:val="center"/>
          </w:tcPr>
          <w:p>
            <w:pPr>
              <w:jc w:val="center"/>
              <w:rPr>
                <w:rFonts w:ascii="Times New Roman" w:hAnsi="Times New Roman"/>
                <w:color w:val="000000"/>
                <w:szCs w:val="21"/>
              </w:rPr>
            </w:pPr>
            <w:r>
              <w:rPr>
                <w:rFonts w:hint="eastAsia" w:ascii="Times New Roman" w:hAnsi="Times New Roman"/>
                <w:color w:val="000000"/>
                <w:szCs w:val="21"/>
              </w:rPr>
              <w:t>地下采区</w:t>
            </w:r>
          </w:p>
        </w:tc>
        <w:tc>
          <w:tcPr>
            <w:tcW w:w="2609" w:type="dxa"/>
            <w:vAlign w:val="center"/>
          </w:tcPr>
          <w:p>
            <w:pPr>
              <w:jc w:val="center"/>
              <w:rPr>
                <w:rFonts w:ascii="Times New Roman" w:hAnsi="Times New Roman"/>
                <w:color w:val="000000"/>
                <w:szCs w:val="21"/>
              </w:rPr>
            </w:pPr>
            <w:r>
              <w:rPr>
                <w:rFonts w:hint="eastAsia"/>
              </w:rPr>
              <w:t>960平硐、920平硐、办公室、空压机房等</w:t>
            </w:r>
          </w:p>
        </w:tc>
        <w:tc>
          <w:tcPr>
            <w:tcW w:w="1161" w:type="dxa"/>
            <w:vAlign w:val="center"/>
          </w:tcPr>
          <w:p>
            <w:pPr>
              <w:jc w:val="center"/>
              <w:rPr>
                <w:rFonts w:ascii="Times New Roman" w:hAnsi="Times New Roman"/>
                <w:color w:val="000000"/>
                <w:szCs w:val="21"/>
              </w:rPr>
            </w:pPr>
            <w:r>
              <w:rPr>
                <w:rFonts w:hint="eastAsia" w:ascii="Times New Roman" w:hAnsi="Times New Roman"/>
                <w:color w:val="000000"/>
                <w:szCs w:val="21"/>
              </w:rPr>
              <w:t>0.2899</w:t>
            </w:r>
          </w:p>
        </w:tc>
        <w:tc>
          <w:tcPr>
            <w:tcW w:w="3723" w:type="dxa"/>
            <w:vAlign w:val="center"/>
          </w:tcPr>
          <w:p>
            <w:pPr>
              <w:jc w:val="center"/>
              <w:rPr>
                <w:rFonts w:ascii="Times New Roman" w:hAnsi="Times New Roman"/>
                <w:color w:val="000000"/>
                <w:szCs w:val="21"/>
              </w:rPr>
            </w:pPr>
            <w:r>
              <w:rPr>
                <w:rFonts w:hint="eastAsia" w:ascii="Times New Roman" w:hAnsi="Times New Roman"/>
                <w:color w:val="000000"/>
                <w:szCs w:val="21"/>
              </w:rPr>
              <w:t>矿区占地面积为0.2899km</w:t>
            </w:r>
            <w:r>
              <w:rPr>
                <w:rFonts w:hint="eastAsia" w:ascii="Times New Roman" w:hAnsi="Times New Roman"/>
                <w:color w:val="000000"/>
                <w:szCs w:val="21"/>
                <w:vertAlign w:val="superscript"/>
              </w:rPr>
              <w:t>2</w:t>
            </w:r>
            <w:r>
              <w:rPr>
                <w:rFonts w:hint="eastAsia" w:ascii="Times New Roman" w:hAnsi="Times New Roman"/>
                <w:color w:val="000000"/>
                <w:szCs w:val="21"/>
              </w:rPr>
              <w:t>，960平硐净断面为2.2m*2.2m；920平硐为4m*4m；920平硐内有一个储水仓，规格为10m*2m*2.5m。</w:t>
            </w:r>
          </w:p>
        </w:tc>
        <w:tc>
          <w:tcPr>
            <w:tcW w:w="2871" w:type="dxa"/>
            <w:vAlign w:val="center"/>
          </w:tcPr>
          <w:p>
            <w:pPr>
              <w:jc w:val="center"/>
              <w:rPr>
                <w:rFonts w:ascii="Times New Roman" w:hAnsi="Times New Roman"/>
                <w:color w:val="000000"/>
                <w:szCs w:val="21"/>
              </w:rPr>
            </w:pPr>
            <w:r>
              <w:rPr>
                <w:rFonts w:hint="eastAsia" w:ascii="Times New Roman" w:hAnsi="Times New Roman"/>
                <w:color w:val="000000"/>
                <w:szCs w:val="21"/>
              </w:rPr>
              <w:t>与现有选矿厂和尾矿库相距较远，约30km。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03" w:type="dxa"/>
            <w:vMerge w:val="continue"/>
            <w:vAlign w:val="center"/>
          </w:tcPr>
          <w:p>
            <w:pPr>
              <w:jc w:val="center"/>
              <w:rPr>
                <w:rFonts w:ascii="Times New Roman" w:hAnsi="Times New Roman"/>
                <w:color w:val="000000"/>
                <w:szCs w:val="21"/>
              </w:rPr>
            </w:pPr>
          </w:p>
        </w:tc>
        <w:tc>
          <w:tcPr>
            <w:tcW w:w="1382" w:type="dxa"/>
            <w:vAlign w:val="center"/>
          </w:tcPr>
          <w:p>
            <w:pPr>
              <w:jc w:val="center"/>
              <w:rPr>
                <w:rFonts w:ascii="Times New Roman" w:hAnsi="Times New Roman"/>
                <w:color w:val="000000"/>
                <w:szCs w:val="21"/>
              </w:rPr>
            </w:pPr>
            <w:r>
              <w:rPr>
                <w:rFonts w:ascii="Times New Roman" w:hAnsi="Times New Roman"/>
                <w:color w:val="000000"/>
                <w:szCs w:val="21"/>
              </w:rPr>
              <w:t>现有选矿厂</w:t>
            </w: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选矿车间、办公室、配电室、 燃煤锅炉房、产品堆场、原料堆场等。</w:t>
            </w:r>
          </w:p>
        </w:tc>
        <w:tc>
          <w:tcPr>
            <w:tcW w:w="1161" w:type="dxa"/>
            <w:vAlign w:val="center"/>
          </w:tcPr>
          <w:p>
            <w:pPr>
              <w:jc w:val="center"/>
              <w:rPr>
                <w:rFonts w:ascii="Times New Roman" w:hAnsi="Times New Roman"/>
                <w:color w:val="000000"/>
                <w:szCs w:val="21"/>
              </w:rPr>
            </w:pPr>
            <w:r>
              <w:rPr>
                <w:rFonts w:ascii="Times New Roman" w:hAnsi="Times New Roman"/>
                <w:color w:val="000000"/>
                <w:szCs w:val="21"/>
              </w:rPr>
              <w:t>0.05</w:t>
            </w:r>
          </w:p>
        </w:tc>
        <w:tc>
          <w:tcPr>
            <w:tcW w:w="3723" w:type="dxa"/>
            <w:vAlign w:val="center"/>
          </w:tcPr>
          <w:p>
            <w:pPr>
              <w:jc w:val="center"/>
              <w:rPr>
                <w:rFonts w:ascii="Times New Roman" w:hAnsi="Times New Roman"/>
                <w:color w:val="000000"/>
                <w:szCs w:val="21"/>
              </w:rPr>
            </w:pPr>
            <w:r>
              <w:rPr>
                <w:rFonts w:ascii="Times New Roman" w:hAnsi="Times New Roman"/>
                <w:color w:val="000000"/>
                <w:szCs w:val="21"/>
              </w:rPr>
              <w:t>选矿厂建设内容主要有生产车间、配电室、锅炉房、办公室、危废间、仓库等，总建筑面积4700m</w:t>
            </w:r>
            <w:r>
              <w:rPr>
                <w:rFonts w:ascii="Times New Roman" w:hAnsi="Times New Roman"/>
                <w:color w:val="000000"/>
                <w:szCs w:val="21"/>
                <w:vertAlign w:val="superscript"/>
              </w:rPr>
              <w:t>2</w:t>
            </w:r>
            <w:r>
              <w:rPr>
                <w:rFonts w:ascii="Times New Roman" w:hAnsi="Times New Roman"/>
                <w:color w:val="000000"/>
                <w:szCs w:val="21"/>
              </w:rPr>
              <w:t>。其中包括产品堆场占地面积为1000m</w:t>
            </w:r>
            <w:r>
              <w:rPr>
                <w:rFonts w:ascii="Times New Roman" w:hAnsi="Times New Roman"/>
                <w:color w:val="000000"/>
                <w:szCs w:val="21"/>
                <w:vertAlign w:val="superscript"/>
              </w:rPr>
              <w:t>2</w:t>
            </w:r>
            <w:r>
              <w:rPr>
                <w:rFonts w:ascii="Times New Roman" w:hAnsi="Times New Roman"/>
                <w:color w:val="000000"/>
                <w:szCs w:val="21"/>
              </w:rPr>
              <w:t>；原料堆场占地面积为1000m</w:t>
            </w:r>
            <w:r>
              <w:rPr>
                <w:rFonts w:ascii="Times New Roman" w:hAnsi="Times New Roman"/>
                <w:color w:val="000000"/>
                <w:szCs w:val="21"/>
                <w:vertAlign w:val="superscript"/>
              </w:rPr>
              <w:t>2</w:t>
            </w:r>
          </w:p>
        </w:tc>
        <w:tc>
          <w:tcPr>
            <w:tcW w:w="2871" w:type="dxa"/>
            <w:vAlign w:val="center"/>
          </w:tcPr>
          <w:p>
            <w:pPr>
              <w:jc w:val="center"/>
              <w:rPr>
                <w:rFonts w:ascii="Times New Roman" w:hAnsi="Times New Roman"/>
              </w:rPr>
            </w:pPr>
            <w:r>
              <w:rPr>
                <w:rFonts w:ascii="Times New Roman" w:hAnsi="Times New Roman"/>
              </w:rPr>
              <w:t>与现有尾矿库在同一厂区。现有选矿厂车间尚无任何环保措施，破碎区露天工作，锅炉房为0.5t/h燃煤锅炉供办公室及生产车间供暖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03" w:type="dxa"/>
            <w:vMerge w:val="continue"/>
            <w:vAlign w:val="center"/>
          </w:tcPr>
          <w:p>
            <w:pPr>
              <w:jc w:val="center"/>
              <w:rPr>
                <w:rFonts w:ascii="Times New Roman" w:hAnsi="Times New Roman"/>
                <w:color w:val="000000"/>
                <w:szCs w:val="21"/>
              </w:rPr>
            </w:pPr>
          </w:p>
        </w:tc>
        <w:tc>
          <w:tcPr>
            <w:tcW w:w="1382" w:type="dxa"/>
            <w:vAlign w:val="center"/>
          </w:tcPr>
          <w:p>
            <w:pPr>
              <w:jc w:val="center"/>
              <w:rPr>
                <w:rFonts w:ascii="Times New Roman" w:hAnsi="Times New Roman"/>
                <w:color w:val="000000"/>
                <w:szCs w:val="21"/>
              </w:rPr>
            </w:pPr>
            <w:r>
              <w:rPr>
                <w:rFonts w:ascii="Times New Roman" w:hAnsi="Times New Roman"/>
                <w:color w:val="000000"/>
                <w:szCs w:val="21"/>
              </w:rPr>
              <w:t>现有尾矿库</w:t>
            </w: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w:t>
            </w:r>
          </w:p>
        </w:tc>
        <w:tc>
          <w:tcPr>
            <w:tcW w:w="1161" w:type="dxa"/>
            <w:vAlign w:val="center"/>
          </w:tcPr>
          <w:p>
            <w:pPr>
              <w:jc w:val="center"/>
              <w:rPr>
                <w:rFonts w:ascii="Times New Roman" w:hAnsi="Times New Roman"/>
                <w:color w:val="000000"/>
                <w:szCs w:val="21"/>
              </w:rPr>
            </w:pPr>
            <w:r>
              <w:rPr>
                <w:rFonts w:ascii="Times New Roman" w:hAnsi="Times New Roman"/>
                <w:color w:val="000000"/>
                <w:szCs w:val="21"/>
              </w:rPr>
              <w:t>0.02</w:t>
            </w:r>
          </w:p>
        </w:tc>
        <w:tc>
          <w:tcPr>
            <w:tcW w:w="3723" w:type="dxa"/>
            <w:vAlign w:val="center"/>
          </w:tcPr>
          <w:p>
            <w:pPr>
              <w:jc w:val="center"/>
              <w:rPr>
                <w:rFonts w:ascii="Times New Roman" w:hAnsi="Times New Roman"/>
                <w:color w:val="000000"/>
                <w:szCs w:val="21"/>
              </w:rPr>
            </w:pPr>
            <w:r>
              <w:rPr>
                <w:rFonts w:ascii="Times New Roman" w:hAnsi="Times New Roman"/>
                <w:color w:val="000000"/>
                <w:szCs w:val="21"/>
              </w:rPr>
              <w:t>现有尾矿库位于厂区选矿厂东侧。尾矿库长235m，北侧宽170m，由北向南侧逐渐变窄，标高也逐渐降低。尾矿库为平地型尾矿库，紧邻企业选矿厂尾矿库现状为四周尾砂围坝，坝基最低标高709m，坝顶标高715m，尾砂坝最大坝高6m，坝顶宽约3.5m，外坝坡坡比1:1.4~1:2.5。现尾矿库内尾砂标高约713m，尾矿排矿方式为湿排。库内采用机械排水，水泵将库内澄清水返回选厂循环使用。</w:t>
            </w:r>
          </w:p>
        </w:tc>
        <w:tc>
          <w:tcPr>
            <w:tcW w:w="2871" w:type="dxa"/>
            <w:vAlign w:val="center"/>
          </w:tcPr>
          <w:p>
            <w:pPr>
              <w:jc w:val="center"/>
              <w:rPr>
                <w:rFonts w:ascii="Times New Roman" w:hAnsi="Times New Roman"/>
                <w:color w:val="000000"/>
                <w:szCs w:val="21"/>
              </w:rPr>
            </w:pPr>
            <w:r>
              <w:rPr>
                <w:rFonts w:ascii="Times New Roman" w:hAnsi="Times New Roman"/>
                <w:color w:val="000000"/>
                <w:szCs w:val="21"/>
              </w:rPr>
              <w:t>与现有选矿厂在同一厂区。现有排矿方式为湿排。目前正在运行。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Merge w:val="continue"/>
            <w:vAlign w:val="center"/>
          </w:tcPr>
          <w:p>
            <w:pPr>
              <w:jc w:val="center"/>
              <w:rPr>
                <w:rFonts w:ascii="Times New Roman" w:hAnsi="Times New Roman"/>
                <w:color w:val="000000"/>
                <w:szCs w:val="21"/>
              </w:rPr>
            </w:pPr>
          </w:p>
        </w:tc>
        <w:tc>
          <w:tcPr>
            <w:tcW w:w="1382" w:type="dxa"/>
            <w:vAlign w:val="center"/>
          </w:tcPr>
          <w:p>
            <w:pPr>
              <w:jc w:val="center"/>
              <w:rPr>
                <w:rFonts w:ascii="Times New Roman" w:hAnsi="Times New Roman"/>
                <w:color w:val="000000"/>
                <w:szCs w:val="21"/>
              </w:rPr>
            </w:pPr>
            <w:r>
              <w:rPr>
                <w:rFonts w:ascii="Times New Roman" w:hAnsi="Times New Roman"/>
                <w:color w:val="000000"/>
                <w:szCs w:val="21"/>
              </w:rPr>
              <w:t>生活区</w:t>
            </w: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采场生活区</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职工宿舍</w:t>
            </w:r>
          </w:p>
        </w:tc>
        <w:tc>
          <w:tcPr>
            <w:tcW w:w="1161" w:type="dxa"/>
            <w:vAlign w:val="center"/>
          </w:tcPr>
          <w:p>
            <w:pPr>
              <w:jc w:val="center"/>
              <w:rPr>
                <w:rFonts w:ascii="Times New Roman" w:hAnsi="Times New Roman"/>
                <w:color w:val="000000"/>
                <w:szCs w:val="21"/>
              </w:rPr>
            </w:pPr>
            <w:r>
              <w:rPr>
                <w:rFonts w:ascii="Times New Roman" w:hAnsi="Times New Roman"/>
                <w:color w:val="000000"/>
                <w:szCs w:val="21"/>
              </w:rPr>
              <w:t>0.0021</w:t>
            </w:r>
          </w:p>
        </w:tc>
        <w:tc>
          <w:tcPr>
            <w:tcW w:w="3723" w:type="dxa"/>
            <w:vAlign w:val="center"/>
          </w:tcPr>
          <w:p>
            <w:pPr>
              <w:rPr>
                <w:rFonts w:ascii="Times New Roman" w:hAnsi="Times New Roman"/>
                <w:color w:val="000000"/>
                <w:szCs w:val="21"/>
              </w:rPr>
            </w:pPr>
            <w:r>
              <w:rPr>
                <w:rFonts w:hint="eastAsia" w:ascii="Times New Roman" w:hAnsi="Times New Roman"/>
                <w:color w:val="000000"/>
                <w:szCs w:val="21"/>
              </w:rPr>
              <w:t>采用电采暖进行生活供热</w:t>
            </w:r>
          </w:p>
        </w:tc>
        <w:tc>
          <w:tcPr>
            <w:tcW w:w="2871" w:type="dxa"/>
            <w:vAlign w:val="center"/>
          </w:tcPr>
          <w:p>
            <w:pPr>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03" w:type="dxa"/>
            <w:vMerge w:val="restart"/>
            <w:vAlign w:val="center"/>
          </w:tcPr>
          <w:p>
            <w:pPr>
              <w:pStyle w:val="2"/>
              <w:jc w:val="center"/>
              <w:rPr>
                <w:rFonts w:ascii="Times New Roman" w:hAnsi="Times New Roman"/>
                <w:color w:val="000000"/>
                <w:szCs w:val="21"/>
              </w:rPr>
            </w:pPr>
          </w:p>
          <w:p>
            <w:pPr>
              <w:jc w:val="center"/>
              <w:rPr>
                <w:rFonts w:ascii="Times New Roman" w:hAnsi="Times New Roman"/>
                <w:color w:val="000000"/>
                <w:szCs w:val="21"/>
              </w:rPr>
            </w:pPr>
            <w:r>
              <w:rPr>
                <w:rFonts w:ascii="Times New Roman" w:hAnsi="Times New Roman"/>
                <w:color w:val="000000"/>
                <w:szCs w:val="21"/>
              </w:rPr>
              <w:t>储</w:t>
            </w:r>
          </w:p>
          <w:p>
            <w:pPr>
              <w:jc w:val="center"/>
              <w:rPr>
                <w:rFonts w:ascii="Times New Roman" w:hAnsi="Times New Roman"/>
                <w:color w:val="000000"/>
                <w:szCs w:val="21"/>
              </w:rPr>
            </w:pPr>
            <w:r>
              <w:rPr>
                <w:rFonts w:ascii="Times New Roman" w:hAnsi="Times New Roman"/>
                <w:color w:val="000000"/>
                <w:szCs w:val="21"/>
              </w:rPr>
              <w:t>运</w:t>
            </w:r>
          </w:p>
          <w:p>
            <w:pPr>
              <w:jc w:val="center"/>
              <w:rPr>
                <w:rFonts w:ascii="Times New Roman" w:hAnsi="Times New Roman"/>
                <w:color w:val="000000"/>
                <w:szCs w:val="21"/>
              </w:rPr>
            </w:pPr>
            <w:r>
              <w:rPr>
                <w:rFonts w:ascii="Times New Roman" w:hAnsi="Times New Roman"/>
                <w:color w:val="000000"/>
                <w:szCs w:val="21"/>
              </w:rPr>
              <w:t>工</w:t>
            </w:r>
          </w:p>
          <w:p>
            <w:pPr>
              <w:jc w:val="center"/>
              <w:rPr>
                <w:rFonts w:ascii="Times New Roman" w:hAnsi="Times New Roman"/>
                <w:color w:val="000000"/>
                <w:szCs w:val="21"/>
              </w:rPr>
            </w:pPr>
            <w:r>
              <w:rPr>
                <w:rFonts w:ascii="Times New Roman" w:hAnsi="Times New Roman"/>
                <w:color w:val="000000"/>
                <w:szCs w:val="21"/>
              </w:rPr>
              <w:t>程</w:t>
            </w:r>
          </w:p>
        </w:tc>
        <w:tc>
          <w:tcPr>
            <w:tcW w:w="1382" w:type="dxa"/>
            <w:vAlign w:val="center"/>
          </w:tcPr>
          <w:p>
            <w:pPr>
              <w:jc w:val="center"/>
              <w:rPr>
                <w:rFonts w:ascii="Times New Roman" w:hAnsi="Times New Roman"/>
                <w:color w:val="000000"/>
                <w:szCs w:val="21"/>
              </w:rPr>
            </w:pPr>
            <w:r>
              <w:rPr>
                <w:rFonts w:ascii="Times New Roman" w:hAnsi="Times New Roman"/>
                <w:color w:val="000000"/>
                <w:szCs w:val="21"/>
              </w:rPr>
              <w:t>采场</w:t>
            </w: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原矿</w:t>
            </w:r>
          </w:p>
          <w:p>
            <w:pPr>
              <w:jc w:val="center"/>
              <w:rPr>
                <w:rFonts w:ascii="Times New Roman" w:hAnsi="Times New Roman"/>
                <w:color w:val="000000"/>
                <w:szCs w:val="21"/>
              </w:rPr>
            </w:pPr>
            <w:r>
              <w:rPr>
                <w:rFonts w:ascii="Times New Roman" w:hAnsi="Times New Roman"/>
                <w:color w:val="000000"/>
                <w:szCs w:val="21"/>
              </w:rPr>
              <w:t>堆场</w:t>
            </w:r>
          </w:p>
        </w:tc>
        <w:tc>
          <w:tcPr>
            <w:tcW w:w="2609" w:type="dxa"/>
            <w:vAlign w:val="center"/>
          </w:tcPr>
          <w:p>
            <w:pPr>
              <w:jc w:val="center"/>
              <w:rPr>
                <w:rFonts w:ascii="Times New Roman" w:hAnsi="Times New Roman"/>
                <w:color w:val="000000"/>
                <w:szCs w:val="21"/>
              </w:rPr>
            </w:pPr>
          </w:p>
        </w:tc>
        <w:tc>
          <w:tcPr>
            <w:tcW w:w="1161" w:type="dxa"/>
            <w:vAlign w:val="center"/>
          </w:tcPr>
          <w:p>
            <w:pPr>
              <w:jc w:val="center"/>
              <w:rPr>
                <w:rFonts w:ascii="Times New Roman" w:hAnsi="Times New Roman"/>
                <w:color w:val="000000"/>
                <w:szCs w:val="21"/>
              </w:rPr>
            </w:pPr>
            <w:r>
              <w:rPr>
                <w:rFonts w:ascii="Times New Roman" w:hAnsi="Times New Roman"/>
                <w:color w:val="000000"/>
                <w:szCs w:val="21"/>
              </w:rPr>
              <w:t>1.5</w:t>
            </w:r>
          </w:p>
        </w:tc>
        <w:tc>
          <w:tcPr>
            <w:tcW w:w="3723" w:type="dxa"/>
            <w:vAlign w:val="center"/>
          </w:tcPr>
          <w:p>
            <w:pPr>
              <w:jc w:val="center"/>
              <w:rPr>
                <w:rFonts w:ascii="Times New Roman" w:hAnsi="Times New Roman"/>
                <w:color w:val="000000"/>
                <w:szCs w:val="21"/>
              </w:rPr>
            </w:pPr>
            <w:r>
              <w:rPr>
                <w:rFonts w:ascii="Times New Roman" w:hAnsi="Times New Roman"/>
                <w:color w:val="000000"/>
                <w:szCs w:val="21"/>
              </w:rPr>
              <w:t>开采出来的原矿石需要暂时堆放于原矿堆场内</w:t>
            </w:r>
            <w:r>
              <w:rPr>
                <w:rFonts w:hint="eastAsia" w:ascii="Times New Roman" w:hAnsi="Times New Roman"/>
                <w:color w:val="000000"/>
                <w:szCs w:val="21"/>
              </w:rPr>
              <w:t>，占地面积500m</w:t>
            </w:r>
            <w:r>
              <w:rPr>
                <w:rFonts w:hint="eastAsia" w:ascii="Times New Roman" w:hAnsi="Times New Roman"/>
                <w:color w:val="000000"/>
                <w:szCs w:val="21"/>
                <w:vertAlign w:val="superscript"/>
              </w:rPr>
              <w:t>2</w:t>
            </w:r>
            <w:r>
              <w:rPr>
                <w:rFonts w:ascii="Times New Roman" w:hAnsi="Times New Roman"/>
                <w:color w:val="000000"/>
                <w:szCs w:val="21"/>
              </w:rPr>
              <w:t>。</w:t>
            </w:r>
            <w:r>
              <w:rPr>
                <w:rFonts w:hint="eastAsia" w:ascii="Times New Roman" w:hAnsi="Times New Roman"/>
                <w:color w:val="000000"/>
                <w:szCs w:val="21"/>
              </w:rPr>
              <w:t>随时外运</w:t>
            </w:r>
          </w:p>
        </w:tc>
        <w:tc>
          <w:tcPr>
            <w:tcW w:w="2871" w:type="dxa"/>
            <w:vAlign w:val="center"/>
          </w:tcPr>
          <w:p>
            <w:pPr>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003" w:type="dxa"/>
            <w:vMerge w:val="continue"/>
            <w:vAlign w:val="center"/>
          </w:tcPr>
          <w:p>
            <w:pPr>
              <w:jc w:val="center"/>
              <w:rPr>
                <w:rFonts w:ascii="Times New Roman" w:hAnsi="Times New Roman"/>
                <w:color w:val="000000"/>
                <w:szCs w:val="21"/>
              </w:rPr>
            </w:pPr>
          </w:p>
        </w:tc>
        <w:tc>
          <w:tcPr>
            <w:tcW w:w="1382"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选矿厂、尾矿库</w:t>
            </w:r>
          </w:p>
        </w:tc>
        <w:tc>
          <w:tcPr>
            <w:tcW w:w="1425" w:type="dxa"/>
            <w:vAlign w:val="center"/>
          </w:tcPr>
          <w:p>
            <w:pPr>
              <w:jc w:val="center"/>
              <w:rPr>
                <w:rFonts w:ascii="Times New Roman" w:hAnsi="Times New Roman"/>
                <w:color w:val="000000"/>
                <w:szCs w:val="21"/>
              </w:rPr>
            </w:pPr>
            <w:r>
              <w:rPr>
                <w:rFonts w:hint="eastAsia" w:ascii="Times New Roman" w:hAnsi="Times New Roman"/>
                <w:color w:val="000000"/>
                <w:szCs w:val="21"/>
              </w:rPr>
              <w:t>原料堆场</w:t>
            </w:r>
          </w:p>
        </w:tc>
        <w:tc>
          <w:tcPr>
            <w:tcW w:w="2609" w:type="dxa"/>
            <w:vAlign w:val="center"/>
          </w:tcPr>
          <w:p>
            <w:pPr>
              <w:jc w:val="center"/>
              <w:rPr>
                <w:rFonts w:ascii="Times New Roman" w:hAnsi="Times New Roman"/>
                <w:color w:val="000000"/>
                <w:szCs w:val="21"/>
              </w:rPr>
            </w:pPr>
            <w:r>
              <w:rPr>
                <w:rFonts w:hint="eastAsia" w:ascii="Times New Roman" w:hAnsi="Times New Roman"/>
                <w:color w:val="000000"/>
                <w:szCs w:val="21"/>
              </w:rPr>
              <w:t>露天堆场</w:t>
            </w:r>
          </w:p>
        </w:tc>
        <w:tc>
          <w:tcPr>
            <w:tcW w:w="1161" w:type="dxa"/>
            <w:vAlign w:val="center"/>
          </w:tcPr>
          <w:p>
            <w:pPr>
              <w:jc w:val="center"/>
              <w:rPr>
                <w:rFonts w:ascii="Times New Roman" w:hAnsi="Times New Roman"/>
                <w:color w:val="000000"/>
                <w:szCs w:val="21"/>
              </w:rPr>
            </w:pPr>
            <w:r>
              <w:rPr>
                <w:rFonts w:hint="eastAsia" w:ascii="Times New Roman" w:hAnsi="Times New Roman"/>
                <w:color w:val="000000"/>
                <w:szCs w:val="21"/>
              </w:rPr>
              <w:t>0.001</w:t>
            </w:r>
          </w:p>
        </w:tc>
        <w:tc>
          <w:tcPr>
            <w:tcW w:w="3723" w:type="dxa"/>
            <w:vAlign w:val="center"/>
          </w:tcPr>
          <w:p>
            <w:pPr>
              <w:jc w:val="center"/>
              <w:rPr>
                <w:rFonts w:ascii="Times New Roman" w:hAnsi="Times New Roman"/>
                <w:color w:val="000000"/>
                <w:szCs w:val="21"/>
              </w:rPr>
            </w:pPr>
            <w:r>
              <w:rPr>
                <w:rFonts w:hint="eastAsia" w:ascii="Times New Roman" w:hAnsi="Times New Roman"/>
                <w:color w:val="000000"/>
                <w:szCs w:val="21"/>
              </w:rPr>
              <w:t>现有原料堆场目前露天堆存于厂区西部，目前无任何环保措施，未加盖苫布及防尘网等</w:t>
            </w:r>
            <w:r>
              <w:rPr>
                <w:rFonts w:ascii="Times New Roman" w:hAnsi="Times New Roman"/>
                <w:color w:val="000000"/>
                <w:szCs w:val="21"/>
              </w:rPr>
              <w:t>。</w:t>
            </w:r>
          </w:p>
        </w:tc>
        <w:tc>
          <w:tcPr>
            <w:tcW w:w="2871" w:type="dxa"/>
            <w:vAlign w:val="center"/>
          </w:tcPr>
          <w:p>
            <w:pPr>
              <w:jc w:val="center"/>
              <w:rPr>
                <w:rFonts w:ascii="Times New Roman" w:hAnsi="Times New Roman"/>
                <w:color w:val="000000"/>
                <w:szCs w:val="21"/>
              </w:rPr>
            </w:pPr>
            <w:r>
              <w:rPr>
                <w:rFonts w:hint="eastAsia" w:ascii="Times New Roman" w:hAnsi="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003" w:type="dxa"/>
            <w:vMerge w:val="continue"/>
            <w:vAlign w:val="center"/>
          </w:tcPr>
          <w:p>
            <w:pPr>
              <w:jc w:val="center"/>
              <w:rPr>
                <w:rFonts w:ascii="Times New Roman" w:hAnsi="Times New Roman"/>
                <w:color w:val="000000"/>
                <w:szCs w:val="21"/>
              </w:rPr>
            </w:pPr>
          </w:p>
        </w:tc>
        <w:tc>
          <w:tcPr>
            <w:tcW w:w="1382" w:type="dxa"/>
            <w:vMerge w:val="continue"/>
            <w:vAlign w:val="center"/>
          </w:tcPr>
          <w:p>
            <w:pPr>
              <w:jc w:val="center"/>
              <w:rPr>
                <w:rFonts w:ascii="Times New Roman" w:hAnsi="Times New Roman"/>
                <w:color w:val="000000"/>
                <w:szCs w:val="21"/>
              </w:rPr>
            </w:pPr>
          </w:p>
        </w:tc>
        <w:tc>
          <w:tcPr>
            <w:tcW w:w="1425" w:type="dxa"/>
            <w:vAlign w:val="center"/>
          </w:tcPr>
          <w:p>
            <w:pPr>
              <w:jc w:val="center"/>
              <w:rPr>
                <w:rFonts w:ascii="Times New Roman" w:hAnsi="Times New Roman"/>
                <w:color w:val="000000"/>
                <w:szCs w:val="21"/>
              </w:rPr>
            </w:pPr>
            <w:r>
              <w:rPr>
                <w:rFonts w:hint="eastAsia" w:ascii="Times New Roman" w:hAnsi="Times New Roman"/>
                <w:color w:val="000000"/>
                <w:szCs w:val="21"/>
              </w:rPr>
              <w:t>产品堆场</w:t>
            </w:r>
          </w:p>
        </w:tc>
        <w:tc>
          <w:tcPr>
            <w:tcW w:w="2609" w:type="dxa"/>
            <w:vAlign w:val="center"/>
          </w:tcPr>
          <w:p>
            <w:pPr>
              <w:jc w:val="center"/>
              <w:rPr>
                <w:rFonts w:ascii="Times New Roman" w:hAnsi="Times New Roman"/>
                <w:color w:val="000000"/>
                <w:szCs w:val="21"/>
              </w:rPr>
            </w:pPr>
            <w:r>
              <w:rPr>
                <w:rFonts w:hint="eastAsia" w:ascii="Times New Roman" w:hAnsi="Times New Roman"/>
                <w:color w:val="000000"/>
                <w:szCs w:val="21"/>
              </w:rPr>
              <w:t>露天堆场</w:t>
            </w:r>
          </w:p>
        </w:tc>
        <w:tc>
          <w:tcPr>
            <w:tcW w:w="1161" w:type="dxa"/>
            <w:vAlign w:val="center"/>
          </w:tcPr>
          <w:p>
            <w:pPr>
              <w:jc w:val="center"/>
              <w:rPr>
                <w:rFonts w:ascii="Times New Roman" w:hAnsi="Times New Roman"/>
                <w:color w:val="000000"/>
                <w:szCs w:val="21"/>
              </w:rPr>
            </w:pPr>
            <w:r>
              <w:rPr>
                <w:rFonts w:hint="eastAsia" w:ascii="Times New Roman" w:hAnsi="Times New Roman"/>
                <w:color w:val="000000"/>
                <w:szCs w:val="21"/>
              </w:rPr>
              <w:t>0.001</w:t>
            </w:r>
          </w:p>
        </w:tc>
        <w:tc>
          <w:tcPr>
            <w:tcW w:w="3723" w:type="dxa"/>
            <w:vAlign w:val="center"/>
          </w:tcPr>
          <w:p>
            <w:pPr>
              <w:jc w:val="center"/>
              <w:rPr>
                <w:rFonts w:ascii="Times New Roman" w:hAnsi="Times New Roman"/>
                <w:color w:val="000000"/>
                <w:szCs w:val="21"/>
              </w:rPr>
            </w:pPr>
            <w:r>
              <w:rPr>
                <w:rFonts w:hint="eastAsia" w:ascii="Times New Roman" w:hAnsi="Times New Roman"/>
                <w:color w:val="000000"/>
                <w:szCs w:val="21"/>
              </w:rPr>
              <w:t>现有产品堆场露天堆放至厂区西部，目前无任何环保措施。</w:t>
            </w:r>
          </w:p>
        </w:tc>
        <w:tc>
          <w:tcPr>
            <w:tcW w:w="2871" w:type="dxa"/>
            <w:vAlign w:val="center"/>
          </w:tcPr>
          <w:p>
            <w:pPr>
              <w:jc w:val="center"/>
              <w:rPr>
                <w:rFonts w:ascii="Times New Roman" w:hAnsi="Times New Roman"/>
                <w:color w:val="000000"/>
                <w:szCs w:val="21"/>
              </w:rPr>
            </w:pPr>
            <w:r>
              <w:rPr>
                <w:rFonts w:hint="eastAsia" w:ascii="Times New Roman" w:hAnsi="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003" w:type="dxa"/>
            <w:vMerge w:val="restart"/>
            <w:vAlign w:val="center"/>
          </w:tcPr>
          <w:p>
            <w:pPr>
              <w:jc w:val="center"/>
              <w:rPr>
                <w:rFonts w:ascii="Times New Roman" w:hAnsi="Times New Roman"/>
                <w:color w:val="000000"/>
                <w:szCs w:val="21"/>
              </w:rPr>
            </w:pPr>
          </w:p>
          <w:p>
            <w:pPr>
              <w:jc w:val="center"/>
              <w:rPr>
                <w:rFonts w:ascii="Times New Roman" w:hAnsi="Times New Roman"/>
                <w:color w:val="000000"/>
                <w:szCs w:val="21"/>
              </w:rPr>
            </w:pPr>
          </w:p>
          <w:p>
            <w:pPr>
              <w:jc w:val="center"/>
              <w:rPr>
                <w:rFonts w:ascii="Times New Roman" w:hAnsi="Times New Roman"/>
                <w:color w:val="000000"/>
                <w:szCs w:val="21"/>
              </w:rPr>
            </w:pPr>
            <w:r>
              <w:rPr>
                <w:rFonts w:ascii="Times New Roman" w:hAnsi="Times New Roman"/>
                <w:color w:val="000000"/>
                <w:szCs w:val="21"/>
              </w:rPr>
              <w:t>公</w:t>
            </w:r>
          </w:p>
          <w:p>
            <w:pPr>
              <w:jc w:val="center"/>
              <w:rPr>
                <w:rFonts w:ascii="Times New Roman" w:hAnsi="Times New Roman"/>
                <w:color w:val="000000"/>
                <w:szCs w:val="21"/>
              </w:rPr>
            </w:pPr>
            <w:r>
              <w:rPr>
                <w:rFonts w:ascii="Times New Roman" w:hAnsi="Times New Roman"/>
                <w:color w:val="000000"/>
                <w:szCs w:val="21"/>
              </w:rPr>
              <w:t>用</w:t>
            </w:r>
          </w:p>
          <w:p>
            <w:pPr>
              <w:jc w:val="center"/>
              <w:rPr>
                <w:rFonts w:ascii="Times New Roman" w:hAnsi="Times New Roman"/>
                <w:color w:val="000000"/>
                <w:szCs w:val="21"/>
              </w:rPr>
            </w:pPr>
            <w:r>
              <w:rPr>
                <w:rFonts w:ascii="Times New Roman" w:hAnsi="Times New Roman"/>
                <w:color w:val="000000"/>
                <w:szCs w:val="21"/>
              </w:rPr>
              <w:t>工</w:t>
            </w:r>
          </w:p>
          <w:p>
            <w:pPr>
              <w:jc w:val="center"/>
              <w:rPr>
                <w:rFonts w:ascii="Times New Roman" w:hAnsi="Times New Roman"/>
                <w:color w:val="000000"/>
                <w:szCs w:val="21"/>
              </w:rPr>
            </w:pPr>
            <w:r>
              <w:rPr>
                <w:rFonts w:ascii="Times New Roman" w:hAnsi="Times New Roman"/>
                <w:color w:val="000000"/>
                <w:szCs w:val="21"/>
              </w:rPr>
              <w:t>程</w:t>
            </w:r>
          </w:p>
        </w:tc>
        <w:tc>
          <w:tcPr>
            <w:tcW w:w="1382"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采场</w:t>
            </w: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用水</w:t>
            </w:r>
          </w:p>
        </w:tc>
        <w:tc>
          <w:tcPr>
            <w:tcW w:w="7493" w:type="dxa"/>
            <w:gridSpan w:val="3"/>
            <w:vAlign w:val="center"/>
          </w:tcPr>
          <w:p>
            <w:pPr>
              <w:snapToGrid w:val="0"/>
              <w:jc w:val="center"/>
              <w:rPr>
                <w:rFonts w:ascii="Times New Roman" w:hAnsi="Times New Roman"/>
                <w:color w:val="000000"/>
                <w:szCs w:val="21"/>
              </w:rPr>
            </w:pPr>
            <w:r>
              <w:rPr>
                <w:rFonts w:hint="eastAsia" w:ascii="Times New Roman" w:hAnsi="Times New Roman"/>
                <w:color w:val="000000"/>
                <w:szCs w:val="21"/>
              </w:rPr>
              <w:t>生产及生活用水来自920平硐内水仓涌水</w:t>
            </w:r>
            <w:r>
              <w:rPr>
                <w:rFonts w:ascii="Times New Roman" w:hAnsi="Times New Roman"/>
                <w:color w:val="000000"/>
                <w:szCs w:val="21"/>
              </w:rPr>
              <w:t>。</w:t>
            </w:r>
          </w:p>
        </w:tc>
        <w:tc>
          <w:tcPr>
            <w:tcW w:w="2871" w:type="dxa"/>
            <w:vAlign w:val="center"/>
          </w:tcPr>
          <w:p>
            <w:pPr>
              <w:pStyle w:val="2"/>
              <w:tabs>
                <w:tab w:val="left" w:pos="513"/>
              </w:tabs>
              <w:jc w:val="center"/>
              <w:rPr>
                <w:rFonts w:ascii="Times New Roman" w:hAnsi="Times New Roman"/>
                <w:color w:val="000000"/>
                <w:szCs w:val="21"/>
              </w:rPr>
            </w:pPr>
            <w:r>
              <w:rPr>
                <w:rFonts w:ascii="Times New Roman" w:hAnsi="Times New Roman"/>
                <w:color w:val="000000"/>
                <w:szCs w:val="21"/>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003" w:type="dxa"/>
            <w:vMerge w:val="continue"/>
            <w:vAlign w:val="center"/>
          </w:tcPr>
          <w:p>
            <w:pPr>
              <w:jc w:val="center"/>
              <w:rPr>
                <w:rFonts w:ascii="Times New Roman" w:hAnsi="Times New Roman"/>
                <w:color w:val="000000"/>
                <w:szCs w:val="21"/>
              </w:rPr>
            </w:pPr>
          </w:p>
        </w:tc>
        <w:tc>
          <w:tcPr>
            <w:tcW w:w="1382" w:type="dxa"/>
            <w:vMerge w:val="continue"/>
            <w:vAlign w:val="center"/>
          </w:tcPr>
          <w:p>
            <w:pPr>
              <w:jc w:val="center"/>
              <w:rPr>
                <w:rFonts w:ascii="Times New Roman" w:hAnsi="Times New Roman"/>
                <w:color w:val="000000"/>
                <w:szCs w:val="21"/>
              </w:rPr>
            </w:pP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排水</w:t>
            </w:r>
          </w:p>
        </w:tc>
        <w:tc>
          <w:tcPr>
            <w:tcW w:w="749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采矿涌水用于井下凿岩，其余部分洒水降尘及采区道路绿化</w:t>
            </w:r>
            <w:r>
              <w:rPr>
                <w:rFonts w:ascii="Times New Roman" w:hAnsi="Times New Roman"/>
                <w:color w:val="000000"/>
                <w:szCs w:val="21"/>
              </w:rPr>
              <w:t>。</w:t>
            </w:r>
          </w:p>
        </w:tc>
        <w:tc>
          <w:tcPr>
            <w:tcW w:w="2871" w:type="dxa"/>
            <w:vAlign w:val="center"/>
          </w:tcPr>
          <w:p>
            <w:pPr>
              <w:jc w:val="center"/>
              <w:rPr>
                <w:rFonts w:ascii="Times New Roman" w:hAnsi="Times New Roman"/>
                <w:color w:val="000000"/>
                <w:szCs w:val="21"/>
              </w:rPr>
            </w:pPr>
            <w:r>
              <w:rPr>
                <w:rFonts w:ascii="Times New Roman" w:hAnsi="Times New Roman"/>
                <w:color w:val="000000"/>
                <w:szCs w:val="21"/>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003" w:type="dxa"/>
            <w:vMerge w:val="continue"/>
            <w:vAlign w:val="center"/>
          </w:tcPr>
          <w:p>
            <w:pPr>
              <w:jc w:val="center"/>
              <w:rPr>
                <w:rFonts w:ascii="Times New Roman" w:hAnsi="Times New Roman"/>
                <w:color w:val="000000"/>
                <w:szCs w:val="21"/>
              </w:rPr>
            </w:pPr>
          </w:p>
        </w:tc>
        <w:tc>
          <w:tcPr>
            <w:tcW w:w="1382" w:type="dxa"/>
            <w:vMerge w:val="continue"/>
            <w:vAlign w:val="center"/>
          </w:tcPr>
          <w:p>
            <w:pPr>
              <w:jc w:val="center"/>
              <w:rPr>
                <w:rFonts w:ascii="Times New Roman" w:hAnsi="Times New Roman"/>
                <w:color w:val="000000"/>
                <w:szCs w:val="21"/>
              </w:rPr>
            </w:pP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采暖</w:t>
            </w:r>
          </w:p>
          <w:p>
            <w:pPr>
              <w:jc w:val="center"/>
              <w:rPr>
                <w:rFonts w:ascii="Times New Roman" w:hAnsi="Times New Roman"/>
                <w:color w:val="000000"/>
                <w:szCs w:val="21"/>
              </w:rPr>
            </w:pPr>
            <w:r>
              <w:rPr>
                <w:rFonts w:ascii="Times New Roman" w:hAnsi="Times New Roman"/>
                <w:color w:val="000000"/>
                <w:szCs w:val="21"/>
              </w:rPr>
              <w:t>供热</w:t>
            </w:r>
          </w:p>
        </w:tc>
        <w:tc>
          <w:tcPr>
            <w:tcW w:w="7493" w:type="dxa"/>
            <w:gridSpan w:val="3"/>
            <w:vAlign w:val="center"/>
          </w:tcPr>
          <w:p>
            <w:pPr>
              <w:jc w:val="center"/>
              <w:rPr>
                <w:rFonts w:ascii="Times New Roman" w:hAnsi="Times New Roman"/>
                <w:szCs w:val="21"/>
              </w:rPr>
            </w:pPr>
            <w:r>
              <w:rPr>
                <w:rFonts w:ascii="Times New Roman" w:hAnsi="Times New Roman"/>
                <w:szCs w:val="21"/>
              </w:rPr>
              <w:t>冬季职工</w:t>
            </w:r>
            <w:r>
              <w:rPr>
                <w:rFonts w:hint="eastAsia" w:ascii="Times New Roman" w:hAnsi="Times New Roman"/>
                <w:szCs w:val="21"/>
              </w:rPr>
              <w:t>供暖采用电采暖。</w:t>
            </w:r>
          </w:p>
        </w:tc>
        <w:tc>
          <w:tcPr>
            <w:tcW w:w="2871" w:type="dxa"/>
            <w:vAlign w:val="center"/>
          </w:tcPr>
          <w:p>
            <w:pPr>
              <w:jc w:val="center"/>
              <w:rPr>
                <w:rFonts w:ascii="Times New Roman" w:hAnsi="Times New Roman"/>
                <w:szCs w:val="21"/>
              </w:rPr>
            </w:pPr>
            <w:r>
              <w:rPr>
                <w:rFonts w:hint="eastAsia" w:ascii="Times New Roman" w:hAnsi="Times New Roman"/>
                <w:szCs w:val="21"/>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Merge w:val="continue"/>
            <w:vAlign w:val="center"/>
          </w:tcPr>
          <w:p>
            <w:pPr>
              <w:jc w:val="center"/>
              <w:rPr>
                <w:rFonts w:ascii="Times New Roman" w:hAnsi="Times New Roman"/>
                <w:color w:val="000000"/>
                <w:szCs w:val="21"/>
              </w:rPr>
            </w:pPr>
          </w:p>
        </w:tc>
        <w:tc>
          <w:tcPr>
            <w:tcW w:w="1382" w:type="dxa"/>
            <w:vMerge w:val="continue"/>
            <w:vAlign w:val="center"/>
          </w:tcPr>
          <w:p>
            <w:pPr>
              <w:jc w:val="center"/>
              <w:rPr>
                <w:rFonts w:ascii="Times New Roman" w:hAnsi="Times New Roman"/>
                <w:color w:val="000000"/>
                <w:szCs w:val="21"/>
              </w:rPr>
            </w:pP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供电</w:t>
            </w:r>
          </w:p>
        </w:tc>
        <w:tc>
          <w:tcPr>
            <w:tcW w:w="7493" w:type="dxa"/>
            <w:gridSpan w:val="3"/>
            <w:vAlign w:val="center"/>
          </w:tcPr>
          <w:p>
            <w:pPr>
              <w:jc w:val="center"/>
              <w:rPr>
                <w:rFonts w:ascii="Times New Roman" w:hAnsi="Times New Roman"/>
                <w:szCs w:val="21"/>
              </w:rPr>
            </w:pPr>
            <w:r>
              <w:rPr>
                <w:rFonts w:ascii="Times New Roman" w:hAnsi="Times New Roman"/>
                <w:szCs w:val="21"/>
              </w:rPr>
              <w:t>企业供电电源引</w:t>
            </w:r>
            <w:r>
              <w:rPr>
                <w:rFonts w:hint="eastAsia" w:ascii="Times New Roman" w:hAnsi="Times New Roman"/>
                <w:szCs w:val="21"/>
              </w:rPr>
              <w:t>五道羊岔农电所</w:t>
            </w:r>
            <w:r>
              <w:rPr>
                <w:rFonts w:ascii="Times New Roman" w:hAnsi="Times New Roman"/>
                <w:szCs w:val="21"/>
              </w:rPr>
              <w:t>。</w:t>
            </w:r>
          </w:p>
        </w:tc>
        <w:tc>
          <w:tcPr>
            <w:tcW w:w="2871"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Merge w:val="continue"/>
            <w:vAlign w:val="center"/>
          </w:tcPr>
          <w:p>
            <w:pPr>
              <w:jc w:val="center"/>
              <w:rPr>
                <w:rFonts w:ascii="Times New Roman" w:hAnsi="Times New Roman"/>
                <w:color w:val="000000"/>
                <w:szCs w:val="21"/>
              </w:rPr>
            </w:pPr>
          </w:p>
        </w:tc>
        <w:tc>
          <w:tcPr>
            <w:tcW w:w="1382"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选矿厂</w:t>
            </w: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用水</w:t>
            </w:r>
          </w:p>
        </w:tc>
        <w:tc>
          <w:tcPr>
            <w:tcW w:w="7493" w:type="dxa"/>
            <w:gridSpan w:val="3"/>
            <w:vAlign w:val="center"/>
          </w:tcPr>
          <w:p>
            <w:pPr>
              <w:jc w:val="center"/>
              <w:rPr>
                <w:rFonts w:ascii="Times New Roman" w:hAnsi="Times New Roman"/>
                <w:szCs w:val="21"/>
              </w:rPr>
            </w:pPr>
            <w:r>
              <w:rPr>
                <w:rFonts w:hint="eastAsia" w:ascii="Times New Roman" w:hAnsi="Times New Roman"/>
                <w:szCs w:val="21"/>
              </w:rPr>
              <w:t>现有项目用水利用厂区内自打井水，内设一台QS50*20-5.5型潜水泵，出水量为58m</w:t>
            </w:r>
            <w:r>
              <w:rPr>
                <w:rFonts w:hint="eastAsia" w:ascii="Times New Roman" w:hAnsi="Times New Roman"/>
                <w:szCs w:val="21"/>
                <w:vertAlign w:val="superscript"/>
              </w:rPr>
              <w:t>3</w:t>
            </w:r>
            <w:r>
              <w:rPr>
                <w:rFonts w:hint="eastAsia" w:ascii="Times New Roman" w:hAnsi="Times New Roman"/>
                <w:szCs w:val="21"/>
              </w:rPr>
              <w:t>/h，满足生产和生活供水需求</w:t>
            </w:r>
          </w:p>
        </w:tc>
        <w:tc>
          <w:tcPr>
            <w:tcW w:w="2871" w:type="dxa"/>
            <w:vAlign w:val="center"/>
          </w:tcPr>
          <w:p>
            <w:pPr>
              <w:jc w:val="center"/>
              <w:rPr>
                <w:rFonts w:ascii="Times New Roman" w:hAnsi="Times New Roman"/>
                <w:szCs w:val="21"/>
              </w:rPr>
            </w:pPr>
            <w:r>
              <w:rPr>
                <w:rFonts w:ascii="Times New Roman" w:hAnsi="Times New Roman"/>
                <w:szCs w:val="21"/>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Merge w:val="continue"/>
            <w:vAlign w:val="center"/>
          </w:tcPr>
          <w:p>
            <w:pPr>
              <w:jc w:val="center"/>
              <w:rPr>
                <w:rFonts w:ascii="Times New Roman" w:hAnsi="Times New Roman"/>
                <w:color w:val="000000"/>
                <w:szCs w:val="21"/>
              </w:rPr>
            </w:pPr>
          </w:p>
        </w:tc>
        <w:tc>
          <w:tcPr>
            <w:tcW w:w="1382" w:type="dxa"/>
            <w:vMerge w:val="continue"/>
            <w:vAlign w:val="center"/>
          </w:tcPr>
          <w:p>
            <w:pPr>
              <w:jc w:val="center"/>
              <w:rPr>
                <w:rFonts w:ascii="Times New Roman" w:hAnsi="Times New Roman"/>
                <w:color w:val="000000"/>
                <w:szCs w:val="21"/>
              </w:rPr>
            </w:pP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排水</w:t>
            </w:r>
          </w:p>
        </w:tc>
        <w:tc>
          <w:tcPr>
            <w:tcW w:w="7493" w:type="dxa"/>
            <w:gridSpan w:val="3"/>
            <w:vAlign w:val="center"/>
          </w:tcPr>
          <w:p>
            <w:pPr>
              <w:jc w:val="center"/>
              <w:rPr>
                <w:rFonts w:ascii="Times New Roman" w:hAnsi="Times New Roman"/>
                <w:szCs w:val="21"/>
              </w:rPr>
            </w:pPr>
            <w:r>
              <w:rPr>
                <w:rFonts w:hint="eastAsia" w:ascii="Times New Roman" w:hAnsi="Times New Roman"/>
                <w:szCs w:val="21"/>
              </w:rPr>
              <w:t>生活废水排入防渗旱厕，生产废水主要为选矿废水和产品压滤脱水废水，全部回用于选矿工序不外排</w:t>
            </w:r>
          </w:p>
        </w:tc>
        <w:tc>
          <w:tcPr>
            <w:tcW w:w="2871" w:type="dxa"/>
            <w:vAlign w:val="center"/>
          </w:tcPr>
          <w:p>
            <w:pPr>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Merge w:val="continue"/>
            <w:vAlign w:val="center"/>
          </w:tcPr>
          <w:p>
            <w:pPr>
              <w:jc w:val="center"/>
              <w:rPr>
                <w:rFonts w:ascii="Times New Roman" w:hAnsi="Times New Roman"/>
                <w:color w:val="000000"/>
                <w:szCs w:val="21"/>
              </w:rPr>
            </w:pPr>
          </w:p>
        </w:tc>
        <w:tc>
          <w:tcPr>
            <w:tcW w:w="1382" w:type="dxa"/>
            <w:vMerge w:val="continue"/>
            <w:vAlign w:val="center"/>
          </w:tcPr>
          <w:p>
            <w:pPr>
              <w:jc w:val="center"/>
              <w:rPr>
                <w:rFonts w:ascii="Times New Roman" w:hAnsi="Times New Roman"/>
                <w:color w:val="000000"/>
                <w:szCs w:val="21"/>
              </w:rPr>
            </w:pP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采暖</w:t>
            </w:r>
          </w:p>
          <w:p>
            <w:pPr>
              <w:jc w:val="center"/>
              <w:rPr>
                <w:rFonts w:ascii="Times New Roman" w:hAnsi="Times New Roman"/>
                <w:color w:val="000000"/>
                <w:szCs w:val="21"/>
              </w:rPr>
            </w:pPr>
            <w:r>
              <w:rPr>
                <w:rFonts w:ascii="Times New Roman" w:hAnsi="Times New Roman"/>
                <w:color w:val="000000"/>
                <w:szCs w:val="21"/>
              </w:rPr>
              <w:t>供热</w:t>
            </w:r>
          </w:p>
        </w:tc>
        <w:tc>
          <w:tcPr>
            <w:tcW w:w="7493" w:type="dxa"/>
            <w:gridSpan w:val="3"/>
            <w:vAlign w:val="center"/>
          </w:tcPr>
          <w:p>
            <w:pPr>
              <w:jc w:val="center"/>
              <w:rPr>
                <w:rFonts w:ascii="Times New Roman" w:hAnsi="Times New Roman"/>
                <w:szCs w:val="21"/>
              </w:rPr>
            </w:pPr>
            <w:r>
              <w:rPr>
                <w:rFonts w:hint="eastAsia" w:ascii="Times New Roman" w:hAnsi="Times New Roman"/>
                <w:szCs w:val="21"/>
              </w:rPr>
              <w:t>生产不供热，现有项目采用0.6t/h燃煤锅炉用于生活供热</w:t>
            </w:r>
          </w:p>
        </w:tc>
        <w:tc>
          <w:tcPr>
            <w:tcW w:w="2871" w:type="dxa"/>
            <w:vAlign w:val="center"/>
          </w:tcPr>
          <w:p>
            <w:pPr>
              <w:jc w:val="center"/>
              <w:rPr>
                <w:rFonts w:ascii="Times New Roman" w:hAnsi="Times New Roman"/>
                <w:szCs w:val="21"/>
              </w:rPr>
            </w:pPr>
            <w:r>
              <w:rPr>
                <w:rFonts w:hint="eastAsia" w:ascii="Times New Roman" w:hAnsi="Times New Roman"/>
                <w:szCs w:val="21"/>
              </w:rPr>
              <w:t>根据现场勘察，现有锅炉无任何环保措施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3" w:type="dxa"/>
            <w:vMerge w:val="continue"/>
            <w:vAlign w:val="center"/>
          </w:tcPr>
          <w:p>
            <w:pPr>
              <w:jc w:val="center"/>
              <w:rPr>
                <w:rFonts w:ascii="Times New Roman" w:hAnsi="Times New Roman"/>
                <w:color w:val="000000"/>
                <w:szCs w:val="21"/>
              </w:rPr>
            </w:pPr>
          </w:p>
        </w:tc>
        <w:tc>
          <w:tcPr>
            <w:tcW w:w="1382" w:type="dxa"/>
            <w:vMerge w:val="continue"/>
            <w:vAlign w:val="center"/>
          </w:tcPr>
          <w:p>
            <w:pPr>
              <w:jc w:val="center"/>
              <w:rPr>
                <w:rFonts w:ascii="Times New Roman" w:hAnsi="Times New Roman"/>
                <w:color w:val="000000"/>
                <w:szCs w:val="21"/>
              </w:rPr>
            </w:pPr>
          </w:p>
        </w:tc>
        <w:tc>
          <w:tcPr>
            <w:tcW w:w="1425" w:type="dxa"/>
            <w:vAlign w:val="center"/>
          </w:tcPr>
          <w:p>
            <w:pPr>
              <w:jc w:val="center"/>
              <w:rPr>
                <w:rFonts w:ascii="Times New Roman" w:hAnsi="Times New Roman"/>
                <w:color w:val="000000"/>
                <w:szCs w:val="21"/>
              </w:rPr>
            </w:pPr>
            <w:r>
              <w:rPr>
                <w:rFonts w:ascii="Times New Roman" w:hAnsi="Times New Roman"/>
                <w:color w:val="000000"/>
                <w:szCs w:val="21"/>
              </w:rPr>
              <w:t>供电</w:t>
            </w:r>
          </w:p>
        </w:tc>
        <w:tc>
          <w:tcPr>
            <w:tcW w:w="7493" w:type="dxa"/>
            <w:gridSpan w:val="3"/>
            <w:vAlign w:val="center"/>
          </w:tcPr>
          <w:p>
            <w:pPr>
              <w:jc w:val="center"/>
              <w:rPr>
                <w:rFonts w:ascii="Times New Roman" w:hAnsi="Times New Roman"/>
                <w:szCs w:val="21"/>
              </w:rPr>
            </w:pPr>
          </w:p>
        </w:tc>
        <w:tc>
          <w:tcPr>
            <w:tcW w:w="2871" w:type="dxa"/>
            <w:vAlign w:val="center"/>
          </w:tcPr>
          <w:p>
            <w:pPr>
              <w:jc w:val="center"/>
              <w:rPr>
                <w:rFonts w:ascii="Times New Roman" w:hAnsi="Times New Roman"/>
                <w:szCs w:val="21"/>
              </w:rPr>
            </w:pPr>
          </w:p>
        </w:tc>
      </w:tr>
    </w:tbl>
    <w:p>
      <w:pPr>
        <w:spacing w:beforeLines="50" w:line="360" w:lineRule="auto"/>
        <w:rPr>
          <w:sz w:val="24"/>
          <w:szCs w:val="24"/>
        </w:rPr>
        <w:sectPr>
          <w:pgSz w:w="16838" w:h="11906" w:orient="landscape"/>
          <w:pgMar w:top="1800" w:right="1440" w:bottom="1800" w:left="1440" w:header="851" w:footer="992" w:gutter="0"/>
          <w:cols w:space="720" w:num="1"/>
          <w:docGrid w:type="lines" w:linePitch="312" w:charSpace="0"/>
        </w:sectPr>
      </w:pPr>
    </w:p>
    <w:p>
      <w:pPr>
        <w:spacing w:beforeLines="50" w:line="360" w:lineRule="auto"/>
        <w:outlineLvl w:val="0"/>
        <w:rPr>
          <w:rFonts w:ascii="Times New Roman" w:hAnsi="Times New Roman"/>
          <w:sz w:val="24"/>
          <w:szCs w:val="24"/>
        </w:rPr>
      </w:pPr>
      <w:r>
        <w:rPr>
          <w:rFonts w:ascii="Times New Roman" w:hAnsi="Times New Roman"/>
          <w:sz w:val="24"/>
          <w:szCs w:val="24"/>
        </w:rPr>
        <w:t>3.1.3.1现有采矿厂</w:t>
      </w:r>
    </w:p>
    <w:p>
      <w:pPr>
        <w:spacing w:line="360" w:lineRule="auto"/>
        <w:ind w:firstLine="480" w:firstLineChars="200"/>
        <w:rPr>
          <w:sz w:val="24"/>
          <w:szCs w:val="24"/>
        </w:rPr>
      </w:pPr>
      <w:r>
        <w:rPr>
          <w:rFonts w:hint="eastAsia" w:ascii="Times New Roman" w:hAnsi="Times New Roman"/>
          <w:sz w:val="24"/>
          <w:szCs w:val="24"/>
        </w:rPr>
        <w:t>1、原矿的成分分析</w:t>
      </w:r>
    </w:p>
    <w:p>
      <w:pPr>
        <w:tabs>
          <w:tab w:val="left" w:pos="519"/>
        </w:tabs>
        <w:spacing w:line="360" w:lineRule="auto"/>
        <w:ind w:firstLine="480" w:firstLineChars="200"/>
        <w:jc w:val="left"/>
        <w:rPr>
          <w:rFonts w:ascii="Times New Roman" w:hAnsi="Times New Roman"/>
          <w:sz w:val="24"/>
          <w:szCs w:val="24"/>
        </w:rPr>
      </w:pPr>
      <w:r>
        <w:rPr>
          <w:rFonts w:ascii="Times New Roman" w:hAnsi="Times New Roman"/>
          <w:sz w:val="24"/>
          <w:szCs w:val="24"/>
        </w:rPr>
        <w:t>矿石物相分析结果表明，</w:t>
      </w:r>
      <w:r>
        <w:rPr>
          <w:rFonts w:hint="eastAsia" w:ascii="Times New Roman" w:hAnsi="Times New Roman"/>
          <w:sz w:val="24"/>
          <w:szCs w:val="24"/>
        </w:rPr>
        <w:t>现有项目</w:t>
      </w:r>
      <w:r>
        <w:rPr>
          <w:rFonts w:ascii="Times New Roman" w:hAnsi="Times New Roman"/>
          <w:sz w:val="24"/>
          <w:szCs w:val="24"/>
        </w:rPr>
        <w:t>矿石中的Fe主要赋存在磁铁矿中，在磁铁矿中的分布率为93.48%，有害元素S、P含量不高，S含量为0.052%，P含量为0.152%。</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2、矿石的矿物组成</w:t>
      </w:r>
    </w:p>
    <w:p>
      <w:pPr>
        <w:spacing w:line="360" w:lineRule="auto"/>
        <w:ind w:firstLine="480" w:firstLineChars="200"/>
        <w:rPr>
          <w:rFonts w:ascii="Times New Roman" w:hAnsi="Times New Roman"/>
          <w:sz w:val="24"/>
          <w:szCs w:val="24"/>
        </w:rPr>
      </w:pPr>
      <w:r>
        <w:rPr>
          <w:rFonts w:ascii="Times New Roman" w:hAnsi="Times New Roman"/>
          <w:sz w:val="24"/>
          <w:szCs w:val="24"/>
        </w:rPr>
        <w:t>矿石矿物成分较简单，金属矿物主要为磁铁矿，其次见有少量黄铁矿，偶见有磁黄铁矿、方铅矿和辉钼矿。</w:t>
      </w:r>
    </w:p>
    <w:p>
      <w:pPr>
        <w:spacing w:line="360" w:lineRule="auto"/>
        <w:ind w:firstLine="480" w:firstLineChars="200"/>
        <w:rPr>
          <w:rFonts w:ascii="Times New Roman" w:hAnsi="Times New Roman"/>
          <w:sz w:val="24"/>
          <w:szCs w:val="24"/>
        </w:rPr>
      </w:pPr>
      <w:r>
        <w:rPr>
          <w:rFonts w:ascii="Times New Roman" w:hAnsi="Times New Roman"/>
          <w:sz w:val="24"/>
          <w:szCs w:val="24"/>
        </w:rPr>
        <w:t>脉石矿物主要有石英、角闪石、斜长石及黑云母。</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原矿中可回收的主要金属为铁。</w:t>
      </w:r>
    </w:p>
    <w:p>
      <w:pPr>
        <w:jc w:val="center"/>
        <w:rPr>
          <w:rFonts w:ascii="Times New Roman" w:hAnsi="Times New Roman"/>
          <w:b/>
          <w:bCs/>
          <w:color w:val="000000"/>
          <w:sz w:val="24"/>
          <w:szCs w:val="24"/>
        </w:rPr>
      </w:pPr>
      <w:r>
        <w:rPr>
          <w:rFonts w:hint="eastAsia" w:ascii="Times New Roman" w:hAnsi="Times New Roman"/>
          <w:b/>
          <w:bCs/>
          <w:color w:val="000000"/>
          <w:sz w:val="24"/>
          <w:szCs w:val="24"/>
        </w:rPr>
        <w:t>表3-2 矿石多元素化学分析结果表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67"/>
        <w:gridCol w:w="542"/>
        <w:gridCol w:w="555"/>
        <w:gridCol w:w="630"/>
        <w:gridCol w:w="665"/>
        <w:gridCol w:w="700"/>
        <w:gridCol w:w="695"/>
        <w:gridCol w:w="658"/>
        <w:gridCol w:w="654"/>
        <w:gridCol w:w="723"/>
        <w:gridCol w:w="735"/>
        <w:gridCol w:w="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87"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成分</w:t>
            </w:r>
          </w:p>
        </w:tc>
        <w:tc>
          <w:tcPr>
            <w:tcW w:w="667"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Au</w:t>
            </w:r>
          </w:p>
        </w:tc>
        <w:tc>
          <w:tcPr>
            <w:tcW w:w="542"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Ag</w:t>
            </w:r>
          </w:p>
        </w:tc>
        <w:tc>
          <w:tcPr>
            <w:tcW w:w="555"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Cu</w:t>
            </w:r>
          </w:p>
        </w:tc>
        <w:tc>
          <w:tcPr>
            <w:tcW w:w="630"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Pb</w:t>
            </w:r>
          </w:p>
        </w:tc>
        <w:tc>
          <w:tcPr>
            <w:tcW w:w="665"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Zh</w:t>
            </w:r>
          </w:p>
        </w:tc>
        <w:tc>
          <w:tcPr>
            <w:tcW w:w="700"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Ni</w:t>
            </w:r>
          </w:p>
        </w:tc>
        <w:tc>
          <w:tcPr>
            <w:tcW w:w="695"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Fe</w:t>
            </w:r>
            <w:r>
              <w:rPr>
                <w:rFonts w:ascii="Times New Roman" w:hAnsi="Times New Roman"/>
                <w:color w:val="000000"/>
                <w:sz w:val="18"/>
                <w:szCs w:val="18"/>
                <w:vertAlign w:val="subscript"/>
              </w:rPr>
              <w:t>2</w:t>
            </w:r>
            <w:r>
              <w:rPr>
                <w:rFonts w:ascii="Times New Roman" w:hAnsi="Times New Roman"/>
                <w:color w:val="000000"/>
                <w:sz w:val="18"/>
                <w:szCs w:val="18"/>
              </w:rPr>
              <w:t>O</w:t>
            </w:r>
            <w:r>
              <w:rPr>
                <w:rFonts w:ascii="Times New Roman" w:hAnsi="Times New Roman"/>
                <w:color w:val="000000"/>
                <w:sz w:val="18"/>
                <w:szCs w:val="18"/>
                <w:vertAlign w:val="subscript"/>
              </w:rPr>
              <w:t>3</w:t>
            </w:r>
          </w:p>
        </w:tc>
        <w:tc>
          <w:tcPr>
            <w:tcW w:w="658"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FeO</w:t>
            </w:r>
          </w:p>
        </w:tc>
        <w:tc>
          <w:tcPr>
            <w:tcW w:w="654"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Cr</w:t>
            </w:r>
            <w:r>
              <w:rPr>
                <w:rFonts w:ascii="Times New Roman" w:hAnsi="Times New Roman"/>
                <w:color w:val="000000"/>
                <w:sz w:val="18"/>
                <w:szCs w:val="18"/>
                <w:vertAlign w:val="subscript"/>
              </w:rPr>
              <w:t>2</w:t>
            </w:r>
            <w:r>
              <w:rPr>
                <w:rFonts w:ascii="Times New Roman" w:hAnsi="Times New Roman"/>
                <w:color w:val="000000"/>
                <w:sz w:val="18"/>
                <w:szCs w:val="18"/>
              </w:rPr>
              <w:t>O</w:t>
            </w:r>
            <w:r>
              <w:rPr>
                <w:rFonts w:ascii="Times New Roman" w:hAnsi="Times New Roman"/>
                <w:color w:val="000000"/>
                <w:sz w:val="18"/>
                <w:szCs w:val="18"/>
                <w:vertAlign w:val="subscript"/>
              </w:rPr>
              <w:t>3</w:t>
            </w:r>
          </w:p>
        </w:tc>
        <w:tc>
          <w:tcPr>
            <w:tcW w:w="723"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Ga</w:t>
            </w:r>
          </w:p>
        </w:tc>
        <w:tc>
          <w:tcPr>
            <w:tcW w:w="735"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Ge</w:t>
            </w:r>
          </w:p>
        </w:tc>
        <w:tc>
          <w:tcPr>
            <w:tcW w:w="630"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样品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87" w:type="dxa"/>
            <w:vAlign w:val="center"/>
          </w:tcPr>
          <w:p>
            <w:pPr>
              <w:spacing w:line="360" w:lineRule="auto"/>
              <w:jc w:val="center"/>
              <w:rPr>
                <w:rFonts w:ascii="Times New Roman" w:hAnsi="Times New Roman"/>
                <w:color w:val="000000"/>
                <w:sz w:val="18"/>
                <w:szCs w:val="18"/>
              </w:rPr>
            </w:pPr>
            <w:r>
              <w:rPr>
                <w:rFonts w:ascii="Times New Roman" w:hAnsi="Times New Roman"/>
                <w:color w:val="000000"/>
                <w:sz w:val="18"/>
                <w:szCs w:val="18"/>
              </w:rPr>
              <w:t>含量%</w:t>
            </w:r>
          </w:p>
        </w:tc>
        <w:tc>
          <w:tcPr>
            <w:tcW w:w="667"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0.04</w:t>
            </w:r>
          </w:p>
        </w:tc>
        <w:tc>
          <w:tcPr>
            <w:tcW w:w="542"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4.8</w:t>
            </w:r>
          </w:p>
        </w:tc>
        <w:tc>
          <w:tcPr>
            <w:tcW w:w="55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T</w:t>
            </w:r>
          </w:p>
        </w:tc>
        <w:tc>
          <w:tcPr>
            <w:tcW w:w="630"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O</w:t>
            </w:r>
          </w:p>
        </w:tc>
        <w:tc>
          <w:tcPr>
            <w:tcW w:w="66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0.012</w:t>
            </w:r>
          </w:p>
        </w:tc>
        <w:tc>
          <w:tcPr>
            <w:tcW w:w="700"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0.014</w:t>
            </w:r>
          </w:p>
        </w:tc>
        <w:tc>
          <w:tcPr>
            <w:tcW w:w="69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26.89</w:t>
            </w:r>
          </w:p>
        </w:tc>
        <w:tc>
          <w:tcPr>
            <w:tcW w:w="658"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14.49</w:t>
            </w:r>
          </w:p>
        </w:tc>
        <w:tc>
          <w:tcPr>
            <w:tcW w:w="654"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0.022</w:t>
            </w:r>
          </w:p>
        </w:tc>
        <w:tc>
          <w:tcPr>
            <w:tcW w:w="723"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0.0011</w:t>
            </w:r>
          </w:p>
        </w:tc>
        <w:tc>
          <w:tcPr>
            <w:tcW w:w="735"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0.0002</w:t>
            </w:r>
          </w:p>
        </w:tc>
        <w:tc>
          <w:tcPr>
            <w:tcW w:w="630" w:type="dxa"/>
            <w:vAlign w:val="center"/>
          </w:tcPr>
          <w:p>
            <w:pPr>
              <w:spacing w:line="360" w:lineRule="auto"/>
              <w:jc w:val="center"/>
              <w:rPr>
                <w:rFonts w:ascii="Times New Roman" w:hAnsi="Times New Roman"/>
                <w:color w:val="000000"/>
                <w:sz w:val="18"/>
                <w:szCs w:val="18"/>
              </w:rPr>
            </w:pPr>
            <w:r>
              <w:rPr>
                <w:rFonts w:hint="eastAsia" w:ascii="Times New Roman" w:hAnsi="Times New Roman"/>
                <w:color w:val="000000"/>
                <w:sz w:val="18"/>
                <w:szCs w:val="18"/>
              </w:rPr>
              <w:t>5</w:t>
            </w:r>
          </w:p>
        </w:tc>
      </w:tr>
    </w:tbl>
    <w:p>
      <w:pPr>
        <w:spacing w:beforeLines="50" w:line="360" w:lineRule="auto"/>
        <w:ind w:firstLine="590"/>
        <w:rPr>
          <w:rFonts w:ascii="Times New Roman" w:hAnsi="Times New Roman"/>
          <w:sz w:val="24"/>
          <w:szCs w:val="24"/>
        </w:rPr>
      </w:pPr>
      <w:r>
        <w:rPr>
          <w:rFonts w:hint="eastAsia" w:ascii="Times New Roman" w:hAnsi="Times New Roman"/>
          <w:sz w:val="24"/>
          <w:szCs w:val="24"/>
        </w:rPr>
        <w:t>3、矿石主要矿物化学分析</w:t>
      </w:r>
    </w:p>
    <w:p>
      <w:pPr>
        <w:tabs>
          <w:tab w:val="left" w:pos="627"/>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（1）原矿主要元素分析</w:t>
      </w:r>
    </w:p>
    <w:p>
      <w:pPr>
        <w:tabs>
          <w:tab w:val="left" w:pos="627"/>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原矿主要元素分析结果见下表。</w:t>
      </w:r>
    </w:p>
    <w:p>
      <w:pPr>
        <w:tabs>
          <w:tab w:val="left" w:pos="627"/>
        </w:tabs>
        <w:ind w:firstLine="482" w:firstLineChars="200"/>
        <w:jc w:val="center"/>
        <w:rPr>
          <w:rFonts w:ascii="Times New Roman" w:hAnsi="Times New Roman"/>
          <w:b/>
          <w:bCs/>
          <w:sz w:val="24"/>
          <w:szCs w:val="24"/>
        </w:rPr>
      </w:pPr>
      <w:r>
        <w:rPr>
          <w:rFonts w:hint="eastAsia" w:ascii="Times New Roman" w:hAnsi="Times New Roman"/>
          <w:b/>
          <w:bCs/>
          <w:sz w:val="24"/>
          <w:szCs w:val="24"/>
        </w:rPr>
        <w:t>表3-3 原矿主要元素分析结果</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tcPr>
          <w:p>
            <w:pPr>
              <w:tabs>
                <w:tab w:val="left" w:pos="627"/>
              </w:tabs>
              <w:jc w:val="center"/>
              <w:rPr>
                <w:rFonts w:ascii="Times New Roman" w:hAnsi="Times New Roman"/>
                <w:szCs w:val="21"/>
              </w:rPr>
            </w:pPr>
            <w:r>
              <w:rPr>
                <w:rFonts w:hint="eastAsia" w:ascii="Times New Roman" w:hAnsi="Times New Roman"/>
                <w:szCs w:val="21"/>
              </w:rPr>
              <w:t>元素名称</w:t>
            </w:r>
          </w:p>
        </w:tc>
        <w:tc>
          <w:tcPr>
            <w:tcW w:w="2130" w:type="dxa"/>
          </w:tcPr>
          <w:p>
            <w:pPr>
              <w:tabs>
                <w:tab w:val="left" w:pos="627"/>
              </w:tabs>
              <w:jc w:val="center"/>
              <w:rPr>
                <w:rFonts w:ascii="Times New Roman" w:hAnsi="Times New Roman"/>
                <w:szCs w:val="21"/>
              </w:rPr>
            </w:pPr>
            <w:r>
              <w:rPr>
                <w:rFonts w:hint="eastAsia" w:ascii="Times New Roman" w:hAnsi="Times New Roman"/>
                <w:szCs w:val="21"/>
              </w:rPr>
              <w:t>Fe</w:t>
            </w:r>
          </w:p>
        </w:tc>
        <w:tc>
          <w:tcPr>
            <w:tcW w:w="2131" w:type="dxa"/>
          </w:tcPr>
          <w:p>
            <w:pPr>
              <w:tabs>
                <w:tab w:val="left" w:pos="627"/>
              </w:tabs>
              <w:jc w:val="center"/>
              <w:rPr>
                <w:rFonts w:ascii="Times New Roman" w:hAnsi="Times New Roman"/>
                <w:szCs w:val="21"/>
              </w:rPr>
            </w:pPr>
            <w:r>
              <w:rPr>
                <w:rFonts w:hint="eastAsia" w:ascii="Times New Roman" w:hAnsi="Times New Roman"/>
                <w:szCs w:val="21"/>
              </w:rPr>
              <w:t>S</w:t>
            </w:r>
          </w:p>
        </w:tc>
        <w:tc>
          <w:tcPr>
            <w:tcW w:w="2131" w:type="dxa"/>
          </w:tcPr>
          <w:p>
            <w:pPr>
              <w:tabs>
                <w:tab w:val="left" w:pos="627"/>
              </w:tabs>
              <w:jc w:val="center"/>
              <w:rPr>
                <w:rFonts w:ascii="Times New Roman" w:hAnsi="Times New Roman"/>
                <w:szCs w:val="21"/>
              </w:rPr>
            </w:pPr>
            <w:r>
              <w:rPr>
                <w:rFonts w:hint="eastAsia" w:ascii="Times New Roman" w:hAnsi="Times New Roman"/>
                <w:szCs w:val="21"/>
              </w:rPr>
              <w: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30" w:type="dxa"/>
          </w:tcPr>
          <w:p>
            <w:pPr>
              <w:tabs>
                <w:tab w:val="left" w:pos="627"/>
              </w:tabs>
              <w:jc w:val="center"/>
              <w:rPr>
                <w:rFonts w:ascii="Times New Roman" w:hAnsi="Times New Roman"/>
                <w:szCs w:val="21"/>
              </w:rPr>
            </w:pPr>
            <w:r>
              <w:rPr>
                <w:rFonts w:hint="eastAsia" w:ascii="Times New Roman" w:hAnsi="Times New Roman"/>
                <w:szCs w:val="21"/>
              </w:rPr>
              <w:t>含量（%）</w:t>
            </w:r>
          </w:p>
        </w:tc>
        <w:tc>
          <w:tcPr>
            <w:tcW w:w="2130" w:type="dxa"/>
          </w:tcPr>
          <w:p>
            <w:pPr>
              <w:tabs>
                <w:tab w:val="left" w:pos="627"/>
              </w:tabs>
              <w:jc w:val="center"/>
              <w:rPr>
                <w:rFonts w:ascii="Times New Roman" w:hAnsi="Times New Roman"/>
                <w:szCs w:val="21"/>
              </w:rPr>
            </w:pPr>
            <w:r>
              <w:rPr>
                <w:rFonts w:hint="eastAsia" w:ascii="Times New Roman" w:hAnsi="Times New Roman"/>
                <w:szCs w:val="21"/>
              </w:rPr>
              <w:t>32.19</w:t>
            </w:r>
          </w:p>
        </w:tc>
        <w:tc>
          <w:tcPr>
            <w:tcW w:w="2131" w:type="dxa"/>
          </w:tcPr>
          <w:p>
            <w:pPr>
              <w:tabs>
                <w:tab w:val="left" w:pos="627"/>
              </w:tabs>
              <w:jc w:val="center"/>
              <w:rPr>
                <w:rFonts w:ascii="Times New Roman" w:hAnsi="Times New Roman"/>
                <w:szCs w:val="21"/>
              </w:rPr>
            </w:pPr>
            <w:r>
              <w:rPr>
                <w:rFonts w:hint="eastAsia" w:ascii="Times New Roman" w:hAnsi="Times New Roman"/>
                <w:szCs w:val="21"/>
              </w:rPr>
              <w:t>0.052</w:t>
            </w:r>
          </w:p>
        </w:tc>
        <w:tc>
          <w:tcPr>
            <w:tcW w:w="2131" w:type="dxa"/>
          </w:tcPr>
          <w:p>
            <w:pPr>
              <w:tabs>
                <w:tab w:val="left" w:pos="627"/>
              </w:tabs>
              <w:jc w:val="center"/>
              <w:rPr>
                <w:rFonts w:ascii="Times New Roman" w:hAnsi="Times New Roman"/>
                <w:szCs w:val="21"/>
              </w:rPr>
            </w:pPr>
            <w:r>
              <w:rPr>
                <w:rFonts w:hint="eastAsia" w:ascii="Times New Roman" w:hAnsi="Times New Roman"/>
                <w:szCs w:val="21"/>
              </w:rPr>
              <w:t>0.125</w:t>
            </w:r>
          </w:p>
        </w:tc>
      </w:tr>
    </w:tbl>
    <w:p>
      <w:pPr>
        <w:tabs>
          <w:tab w:val="left" w:pos="627"/>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（2）原矿铁物相分析</w:t>
      </w:r>
    </w:p>
    <w:p>
      <w:pPr>
        <w:tabs>
          <w:tab w:val="left" w:pos="627"/>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ab/>
      </w:r>
      <w:r>
        <w:rPr>
          <w:rFonts w:hint="eastAsia" w:ascii="Times New Roman" w:hAnsi="Times New Roman"/>
          <w:sz w:val="24"/>
          <w:szCs w:val="24"/>
        </w:rPr>
        <w:t>原矿铁物相分析结果见下表。</w:t>
      </w:r>
    </w:p>
    <w:p>
      <w:pPr>
        <w:tabs>
          <w:tab w:val="left" w:pos="627"/>
        </w:tabs>
        <w:ind w:firstLine="482" w:firstLineChars="200"/>
        <w:jc w:val="center"/>
        <w:rPr>
          <w:rFonts w:ascii="Times New Roman" w:hAnsi="Times New Roman"/>
          <w:b/>
          <w:bCs/>
          <w:sz w:val="24"/>
          <w:szCs w:val="24"/>
        </w:rPr>
      </w:pPr>
      <w:r>
        <w:rPr>
          <w:rFonts w:hint="eastAsia" w:ascii="Times New Roman" w:hAnsi="Times New Roman"/>
          <w:b/>
          <w:bCs/>
          <w:sz w:val="24"/>
          <w:szCs w:val="24"/>
        </w:rPr>
        <w:t>表3-4 原矿铁物相分析结果</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056"/>
        <w:gridCol w:w="1034"/>
        <w:gridCol w:w="1034"/>
        <w:gridCol w:w="1034"/>
        <w:gridCol w:w="1034"/>
        <w:gridCol w:w="1035"/>
        <w:gridCol w:w="1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558" w:type="dxa"/>
          </w:tcPr>
          <w:p>
            <w:pPr>
              <w:tabs>
                <w:tab w:val="left" w:pos="627"/>
              </w:tabs>
              <w:jc w:val="center"/>
              <w:rPr>
                <w:rFonts w:ascii="Times New Roman" w:hAnsi="Times New Roman"/>
                <w:szCs w:val="21"/>
              </w:rPr>
            </w:pPr>
            <w:r>
              <w:rPr>
                <w:rFonts w:hint="eastAsia" w:ascii="Times New Roman" w:hAnsi="Times New Roman"/>
                <w:szCs w:val="21"/>
              </w:rPr>
              <w:t>相别</w:t>
            </w:r>
          </w:p>
        </w:tc>
        <w:tc>
          <w:tcPr>
            <w:tcW w:w="1056" w:type="dxa"/>
          </w:tcPr>
          <w:p>
            <w:pPr>
              <w:jc w:val="center"/>
              <w:rPr>
                <w:rFonts w:ascii="Times New Roman" w:hAnsi="Times New Roman"/>
                <w:szCs w:val="21"/>
              </w:rPr>
            </w:pPr>
            <w:r>
              <w:rPr>
                <w:rFonts w:hint="eastAsia" w:ascii="Times New Roman" w:hAnsi="Times New Roman"/>
                <w:szCs w:val="21"/>
              </w:rPr>
              <w:t>Fe</w:t>
            </w:r>
          </w:p>
          <w:p>
            <w:pPr>
              <w:jc w:val="center"/>
              <w:rPr>
                <w:rFonts w:ascii="Times New Roman" w:hAnsi="Times New Roman"/>
                <w:szCs w:val="21"/>
              </w:rPr>
            </w:pPr>
            <w:r>
              <w:rPr>
                <w:rFonts w:hint="eastAsia" w:ascii="Times New Roman" w:hAnsi="Times New Roman"/>
                <w:szCs w:val="21"/>
              </w:rPr>
              <w:t>磁黄铁矿</w:t>
            </w:r>
          </w:p>
        </w:tc>
        <w:tc>
          <w:tcPr>
            <w:tcW w:w="1034" w:type="dxa"/>
          </w:tcPr>
          <w:p>
            <w:pPr>
              <w:jc w:val="center"/>
              <w:rPr>
                <w:rFonts w:ascii="Times New Roman" w:hAnsi="Times New Roman"/>
                <w:szCs w:val="21"/>
              </w:rPr>
            </w:pPr>
            <w:r>
              <w:rPr>
                <w:rFonts w:hint="eastAsia" w:ascii="Times New Roman" w:hAnsi="Times New Roman"/>
                <w:szCs w:val="21"/>
              </w:rPr>
              <w:t>Fe</w:t>
            </w:r>
          </w:p>
          <w:p>
            <w:pPr>
              <w:jc w:val="center"/>
              <w:rPr>
                <w:rFonts w:ascii="Times New Roman" w:hAnsi="Times New Roman"/>
                <w:szCs w:val="21"/>
              </w:rPr>
            </w:pPr>
            <w:r>
              <w:rPr>
                <w:rFonts w:hint="eastAsia" w:ascii="Times New Roman" w:hAnsi="Times New Roman"/>
                <w:szCs w:val="21"/>
              </w:rPr>
              <w:t>磁铁矿</w:t>
            </w:r>
          </w:p>
        </w:tc>
        <w:tc>
          <w:tcPr>
            <w:tcW w:w="1034" w:type="dxa"/>
          </w:tcPr>
          <w:p>
            <w:pPr>
              <w:jc w:val="center"/>
              <w:rPr>
                <w:rFonts w:ascii="Times New Roman" w:hAnsi="Times New Roman"/>
                <w:szCs w:val="21"/>
              </w:rPr>
            </w:pPr>
            <w:r>
              <w:rPr>
                <w:rFonts w:hint="eastAsia" w:ascii="Times New Roman" w:hAnsi="Times New Roman"/>
                <w:szCs w:val="21"/>
              </w:rPr>
              <w:t>Fe</w:t>
            </w:r>
          </w:p>
          <w:p>
            <w:pPr>
              <w:jc w:val="center"/>
              <w:rPr>
                <w:rFonts w:ascii="Times New Roman" w:hAnsi="Times New Roman"/>
                <w:szCs w:val="21"/>
              </w:rPr>
            </w:pPr>
            <w:r>
              <w:rPr>
                <w:rFonts w:hint="eastAsia" w:ascii="Times New Roman" w:hAnsi="Times New Roman"/>
                <w:szCs w:val="21"/>
              </w:rPr>
              <w:t>菱铁矿</w:t>
            </w:r>
          </w:p>
        </w:tc>
        <w:tc>
          <w:tcPr>
            <w:tcW w:w="1034" w:type="dxa"/>
          </w:tcPr>
          <w:p>
            <w:pPr>
              <w:jc w:val="center"/>
              <w:rPr>
                <w:rFonts w:ascii="Times New Roman" w:hAnsi="Times New Roman"/>
                <w:szCs w:val="21"/>
              </w:rPr>
            </w:pPr>
            <w:r>
              <w:rPr>
                <w:rFonts w:hint="eastAsia" w:ascii="Times New Roman" w:hAnsi="Times New Roman"/>
                <w:szCs w:val="21"/>
              </w:rPr>
              <w:t>Fe</w:t>
            </w:r>
          </w:p>
          <w:p>
            <w:pPr>
              <w:jc w:val="center"/>
              <w:rPr>
                <w:rFonts w:ascii="Times New Roman" w:hAnsi="Times New Roman"/>
                <w:szCs w:val="21"/>
              </w:rPr>
            </w:pPr>
            <w:r>
              <w:rPr>
                <w:rFonts w:hint="eastAsia" w:ascii="Times New Roman" w:hAnsi="Times New Roman"/>
                <w:szCs w:val="21"/>
              </w:rPr>
              <w:t>硅铁矿</w:t>
            </w:r>
          </w:p>
        </w:tc>
        <w:tc>
          <w:tcPr>
            <w:tcW w:w="1034" w:type="dxa"/>
          </w:tcPr>
          <w:p>
            <w:pPr>
              <w:jc w:val="center"/>
              <w:rPr>
                <w:rFonts w:ascii="Times New Roman" w:hAnsi="Times New Roman"/>
                <w:szCs w:val="21"/>
              </w:rPr>
            </w:pPr>
            <w:r>
              <w:rPr>
                <w:rFonts w:hint="eastAsia" w:ascii="Times New Roman" w:hAnsi="Times New Roman"/>
                <w:szCs w:val="21"/>
              </w:rPr>
              <w:t>Fe</w:t>
            </w:r>
          </w:p>
          <w:p>
            <w:pPr>
              <w:jc w:val="center"/>
              <w:rPr>
                <w:rFonts w:ascii="Times New Roman" w:hAnsi="Times New Roman"/>
                <w:szCs w:val="21"/>
              </w:rPr>
            </w:pPr>
            <w:r>
              <w:rPr>
                <w:rFonts w:hint="eastAsia" w:ascii="Times New Roman" w:hAnsi="Times New Roman"/>
                <w:szCs w:val="21"/>
              </w:rPr>
              <w:t>黄铁矿</w:t>
            </w:r>
          </w:p>
        </w:tc>
        <w:tc>
          <w:tcPr>
            <w:tcW w:w="1035" w:type="dxa"/>
          </w:tcPr>
          <w:p>
            <w:pPr>
              <w:jc w:val="center"/>
              <w:rPr>
                <w:rFonts w:ascii="Times New Roman" w:hAnsi="Times New Roman"/>
                <w:szCs w:val="21"/>
              </w:rPr>
            </w:pPr>
            <w:r>
              <w:rPr>
                <w:rFonts w:hint="eastAsia" w:ascii="Times New Roman" w:hAnsi="Times New Roman"/>
                <w:szCs w:val="21"/>
              </w:rPr>
              <w:t>Fe</w:t>
            </w:r>
          </w:p>
          <w:p>
            <w:pPr>
              <w:jc w:val="center"/>
              <w:rPr>
                <w:rFonts w:ascii="Times New Roman" w:hAnsi="Times New Roman"/>
                <w:szCs w:val="21"/>
              </w:rPr>
            </w:pPr>
            <w:r>
              <w:rPr>
                <w:rFonts w:hint="eastAsia" w:ascii="Times New Roman" w:hAnsi="Times New Roman"/>
                <w:szCs w:val="21"/>
              </w:rPr>
              <w:t>赤铁矿</w:t>
            </w:r>
          </w:p>
        </w:tc>
        <w:tc>
          <w:tcPr>
            <w:tcW w:w="1035" w:type="dxa"/>
          </w:tcPr>
          <w:p>
            <w:pPr>
              <w:tabs>
                <w:tab w:val="left" w:pos="627"/>
              </w:tabs>
              <w:jc w:val="center"/>
              <w:rPr>
                <w:rFonts w:ascii="Times New Roman" w:hAnsi="Times New Roman"/>
                <w:szCs w:val="21"/>
              </w:rPr>
            </w:pPr>
            <w:r>
              <w:rPr>
                <w:rFonts w:hint="eastAsia" w:ascii="Times New Roman" w:hAnsi="Times New Roman"/>
                <w:szCs w:val="21"/>
              </w:rPr>
              <w:t>全铁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558" w:type="dxa"/>
          </w:tcPr>
          <w:p>
            <w:pPr>
              <w:tabs>
                <w:tab w:val="left" w:pos="627"/>
              </w:tabs>
              <w:jc w:val="center"/>
              <w:rPr>
                <w:rFonts w:ascii="Times New Roman" w:hAnsi="Times New Roman"/>
                <w:szCs w:val="21"/>
              </w:rPr>
            </w:pPr>
            <w:r>
              <w:rPr>
                <w:rFonts w:hint="eastAsia" w:ascii="Times New Roman" w:hAnsi="Times New Roman"/>
                <w:szCs w:val="21"/>
              </w:rPr>
              <w:t>含量（%）</w:t>
            </w:r>
          </w:p>
        </w:tc>
        <w:tc>
          <w:tcPr>
            <w:tcW w:w="1056" w:type="dxa"/>
          </w:tcPr>
          <w:p>
            <w:pPr>
              <w:tabs>
                <w:tab w:val="left" w:pos="627"/>
              </w:tabs>
              <w:jc w:val="center"/>
              <w:rPr>
                <w:rFonts w:ascii="Times New Roman" w:hAnsi="Times New Roman"/>
                <w:szCs w:val="21"/>
              </w:rPr>
            </w:pPr>
            <w:r>
              <w:rPr>
                <w:rFonts w:hint="eastAsia" w:ascii="Times New Roman" w:hAnsi="Times New Roman"/>
                <w:szCs w:val="21"/>
              </w:rPr>
              <w:t>0.82</w:t>
            </w:r>
          </w:p>
        </w:tc>
        <w:tc>
          <w:tcPr>
            <w:tcW w:w="1034" w:type="dxa"/>
          </w:tcPr>
          <w:p>
            <w:pPr>
              <w:tabs>
                <w:tab w:val="left" w:pos="627"/>
              </w:tabs>
              <w:jc w:val="center"/>
              <w:rPr>
                <w:rFonts w:ascii="Times New Roman" w:hAnsi="Times New Roman"/>
                <w:szCs w:val="21"/>
              </w:rPr>
            </w:pPr>
            <w:r>
              <w:rPr>
                <w:rFonts w:hint="eastAsia" w:ascii="Times New Roman" w:hAnsi="Times New Roman"/>
                <w:szCs w:val="21"/>
              </w:rPr>
              <w:t>30.09</w:t>
            </w:r>
          </w:p>
        </w:tc>
        <w:tc>
          <w:tcPr>
            <w:tcW w:w="1034" w:type="dxa"/>
          </w:tcPr>
          <w:p>
            <w:pPr>
              <w:tabs>
                <w:tab w:val="left" w:pos="627"/>
              </w:tabs>
              <w:jc w:val="center"/>
              <w:rPr>
                <w:rFonts w:ascii="Times New Roman" w:hAnsi="Times New Roman"/>
                <w:szCs w:val="21"/>
              </w:rPr>
            </w:pPr>
            <w:r>
              <w:rPr>
                <w:rFonts w:hint="eastAsia" w:ascii="Times New Roman" w:hAnsi="Times New Roman"/>
                <w:szCs w:val="21"/>
              </w:rPr>
              <w:t>0.06</w:t>
            </w:r>
          </w:p>
        </w:tc>
        <w:tc>
          <w:tcPr>
            <w:tcW w:w="1034" w:type="dxa"/>
          </w:tcPr>
          <w:p>
            <w:pPr>
              <w:tabs>
                <w:tab w:val="left" w:pos="627"/>
              </w:tabs>
              <w:jc w:val="center"/>
              <w:rPr>
                <w:rFonts w:ascii="Times New Roman" w:hAnsi="Times New Roman"/>
                <w:szCs w:val="21"/>
              </w:rPr>
            </w:pPr>
            <w:r>
              <w:rPr>
                <w:rFonts w:hint="eastAsia" w:ascii="Times New Roman" w:hAnsi="Times New Roman"/>
                <w:szCs w:val="21"/>
              </w:rPr>
              <w:t>0.48</w:t>
            </w:r>
          </w:p>
        </w:tc>
        <w:tc>
          <w:tcPr>
            <w:tcW w:w="1034" w:type="dxa"/>
          </w:tcPr>
          <w:p>
            <w:pPr>
              <w:tabs>
                <w:tab w:val="left" w:pos="627"/>
              </w:tabs>
              <w:jc w:val="center"/>
              <w:rPr>
                <w:rFonts w:ascii="Times New Roman" w:hAnsi="Times New Roman"/>
                <w:szCs w:val="21"/>
              </w:rPr>
            </w:pPr>
            <w:r>
              <w:rPr>
                <w:rFonts w:hint="eastAsia" w:ascii="Times New Roman" w:hAnsi="Times New Roman"/>
                <w:szCs w:val="21"/>
              </w:rPr>
              <w:t>0.72</w:t>
            </w:r>
          </w:p>
        </w:tc>
        <w:tc>
          <w:tcPr>
            <w:tcW w:w="1035" w:type="dxa"/>
          </w:tcPr>
          <w:p>
            <w:pPr>
              <w:tabs>
                <w:tab w:val="left" w:pos="627"/>
              </w:tabs>
              <w:jc w:val="center"/>
              <w:rPr>
                <w:rFonts w:ascii="Times New Roman" w:hAnsi="Times New Roman"/>
                <w:szCs w:val="21"/>
              </w:rPr>
            </w:pPr>
            <w:r>
              <w:rPr>
                <w:rFonts w:hint="eastAsia" w:ascii="Times New Roman" w:hAnsi="Times New Roman"/>
                <w:szCs w:val="21"/>
              </w:rPr>
              <w:t>0.02</w:t>
            </w:r>
          </w:p>
        </w:tc>
        <w:tc>
          <w:tcPr>
            <w:tcW w:w="1035" w:type="dxa"/>
          </w:tcPr>
          <w:p>
            <w:pPr>
              <w:tabs>
                <w:tab w:val="left" w:pos="627"/>
              </w:tabs>
              <w:jc w:val="center"/>
              <w:rPr>
                <w:rFonts w:ascii="Times New Roman" w:hAnsi="Times New Roman"/>
                <w:szCs w:val="21"/>
              </w:rPr>
            </w:pPr>
            <w:r>
              <w:rPr>
                <w:rFonts w:hint="eastAsia" w:ascii="Times New Roman" w:hAnsi="Times New Roman"/>
                <w:szCs w:val="21"/>
              </w:rPr>
              <w:t>32.19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558" w:type="dxa"/>
          </w:tcPr>
          <w:p>
            <w:pPr>
              <w:tabs>
                <w:tab w:val="left" w:pos="627"/>
              </w:tabs>
              <w:jc w:val="center"/>
              <w:rPr>
                <w:rFonts w:ascii="Times New Roman" w:hAnsi="Times New Roman"/>
                <w:szCs w:val="21"/>
              </w:rPr>
            </w:pPr>
            <w:r>
              <w:rPr>
                <w:rFonts w:hint="eastAsia" w:ascii="Times New Roman" w:hAnsi="Times New Roman"/>
                <w:szCs w:val="21"/>
              </w:rPr>
              <w:t>相对含量（%）</w:t>
            </w:r>
          </w:p>
        </w:tc>
        <w:tc>
          <w:tcPr>
            <w:tcW w:w="1056" w:type="dxa"/>
          </w:tcPr>
          <w:p>
            <w:pPr>
              <w:tabs>
                <w:tab w:val="left" w:pos="627"/>
              </w:tabs>
              <w:jc w:val="center"/>
              <w:rPr>
                <w:rFonts w:ascii="Times New Roman" w:hAnsi="Times New Roman"/>
                <w:szCs w:val="21"/>
              </w:rPr>
            </w:pPr>
            <w:r>
              <w:rPr>
                <w:rFonts w:hint="eastAsia" w:ascii="Times New Roman" w:hAnsi="Times New Roman"/>
                <w:szCs w:val="21"/>
              </w:rPr>
              <w:t>2.55</w:t>
            </w:r>
          </w:p>
        </w:tc>
        <w:tc>
          <w:tcPr>
            <w:tcW w:w="1034" w:type="dxa"/>
          </w:tcPr>
          <w:p>
            <w:pPr>
              <w:tabs>
                <w:tab w:val="left" w:pos="627"/>
              </w:tabs>
              <w:jc w:val="center"/>
              <w:rPr>
                <w:rFonts w:ascii="Times New Roman" w:hAnsi="Times New Roman"/>
                <w:szCs w:val="21"/>
              </w:rPr>
            </w:pPr>
            <w:r>
              <w:rPr>
                <w:rFonts w:hint="eastAsia" w:ascii="Times New Roman" w:hAnsi="Times New Roman"/>
                <w:szCs w:val="21"/>
              </w:rPr>
              <w:t>93.48</w:t>
            </w:r>
          </w:p>
        </w:tc>
        <w:tc>
          <w:tcPr>
            <w:tcW w:w="1034" w:type="dxa"/>
          </w:tcPr>
          <w:p>
            <w:pPr>
              <w:tabs>
                <w:tab w:val="left" w:pos="627"/>
              </w:tabs>
              <w:jc w:val="center"/>
              <w:rPr>
                <w:rFonts w:ascii="Times New Roman" w:hAnsi="Times New Roman"/>
                <w:szCs w:val="21"/>
              </w:rPr>
            </w:pPr>
            <w:r>
              <w:rPr>
                <w:rFonts w:hint="eastAsia" w:ascii="Times New Roman" w:hAnsi="Times New Roman"/>
                <w:szCs w:val="21"/>
              </w:rPr>
              <w:t>0.19</w:t>
            </w:r>
          </w:p>
        </w:tc>
        <w:tc>
          <w:tcPr>
            <w:tcW w:w="1034" w:type="dxa"/>
          </w:tcPr>
          <w:p>
            <w:pPr>
              <w:tabs>
                <w:tab w:val="left" w:pos="627"/>
              </w:tabs>
              <w:jc w:val="center"/>
              <w:rPr>
                <w:rFonts w:ascii="Times New Roman" w:hAnsi="Times New Roman"/>
                <w:szCs w:val="21"/>
              </w:rPr>
            </w:pPr>
            <w:r>
              <w:rPr>
                <w:rFonts w:hint="eastAsia" w:ascii="Times New Roman" w:hAnsi="Times New Roman"/>
                <w:szCs w:val="21"/>
              </w:rPr>
              <w:t>1.49</w:t>
            </w:r>
          </w:p>
        </w:tc>
        <w:tc>
          <w:tcPr>
            <w:tcW w:w="1034" w:type="dxa"/>
          </w:tcPr>
          <w:p>
            <w:pPr>
              <w:tabs>
                <w:tab w:val="left" w:pos="627"/>
              </w:tabs>
              <w:jc w:val="center"/>
              <w:rPr>
                <w:rFonts w:ascii="Times New Roman" w:hAnsi="Times New Roman"/>
                <w:szCs w:val="21"/>
              </w:rPr>
            </w:pPr>
            <w:r>
              <w:rPr>
                <w:rFonts w:hint="eastAsia" w:ascii="Times New Roman" w:hAnsi="Times New Roman"/>
                <w:szCs w:val="21"/>
              </w:rPr>
              <w:t>2.24</w:t>
            </w:r>
          </w:p>
        </w:tc>
        <w:tc>
          <w:tcPr>
            <w:tcW w:w="1035" w:type="dxa"/>
          </w:tcPr>
          <w:p>
            <w:pPr>
              <w:tabs>
                <w:tab w:val="left" w:pos="627"/>
              </w:tabs>
              <w:jc w:val="center"/>
              <w:rPr>
                <w:rFonts w:ascii="Times New Roman" w:hAnsi="Times New Roman"/>
                <w:szCs w:val="21"/>
              </w:rPr>
            </w:pPr>
            <w:r>
              <w:rPr>
                <w:rFonts w:hint="eastAsia" w:ascii="Times New Roman" w:hAnsi="Times New Roman"/>
                <w:szCs w:val="21"/>
              </w:rPr>
              <w:t>0.05</w:t>
            </w:r>
          </w:p>
        </w:tc>
        <w:tc>
          <w:tcPr>
            <w:tcW w:w="1035" w:type="dxa"/>
          </w:tcPr>
          <w:p>
            <w:pPr>
              <w:tabs>
                <w:tab w:val="left" w:pos="627"/>
              </w:tabs>
              <w:jc w:val="center"/>
              <w:rPr>
                <w:rFonts w:ascii="Times New Roman" w:hAnsi="Times New Roman"/>
                <w:szCs w:val="21"/>
              </w:rPr>
            </w:pPr>
            <w:r>
              <w:rPr>
                <w:rFonts w:hint="eastAsia" w:ascii="Times New Roman" w:hAnsi="Times New Roman"/>
                <w:szCs w:val="21"/>
              </w:rPr>
              <w:t>100.00</w:t>
            </w:r>
          </w:p>
        </w:tc>
      </w:tr>
    </w:tbl>
    <w:p>
      <w:pPr>
        <w:numPr>
          <w:ilvl w:val="0"/>
          <w:numId w:val="2"/>
        </w:numPr>
        <w:tabs>
          <w:tab w:val="left" w:pos="528"/>
          <w:tab w:val="left" w:pos="627"/>
        </w:tabs>
        <w:spacing w:line="360" w:lineRule="auto"/>
        <w:jc w:val="left"/>
        <w:rPr>
          <w:rFonts w:ascii="Times New Roman" w:hAnsi="Times New Roman"/>
          <w:sz w:val="24"/>
          <w:szCs w:val="24"/>
        </w:rPr>
      </w:pPr>
      <w:r>
        <w:rPr>
          <w:rFonts w:hint="eastAsia" w:ascii="Times New Roman" w:hAnsi="Times New Roman"/>
          <w:sz w:val="24"/>
          <w:szCs w:val="24"/>
        </w:rPr>
        <w:t>现有采矿方法</w:t>
      </w:r>
    </w:p>
    <w:p>
      <w:pPr>
        <w:tabs>
          <w:tab w:val="left" w:pos="528"/>
          <w:tab w:val="left" w:pos="627"/>
        </w:tabs>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根据矿体的开采技术条件，结合国内同类矿山的生产实际情况，本着安全可靠、易于管理、便于操作的原则设计推荐采用全面留矿法和分段空场法采矿。</w:t>
      </w:r>
    </w:p>
    <w:p>
      <w:pPr>
        <w:tabs>
          <w:tab w:val="left" w:pos="528"/>
          <w:tab w:val="left" w:pos="627"/>
        </w:tabs>
        <w:spacing w:line="360" w:lineRule="auto"/>
        <w:jc w:val="left"/>
        <w:rPr>
          <w:rFonts w:ascii="Times New Roman" w:hAnsi="Times New Roman"/>
          <w:color w:val="000000"/>
          <w:sz w:val="24"/>
          <w:szCs w:val="24"/>
        </w:rPr>
      </w:pPr>
      <w:r>
        <w:rPr>
          <w:rFonts w:hint="eastAsia" w:ascii="Times New Roman" w:hAnsi="Times New Roman"/>
          <w:color w:val="000000"/>
          <w:sz w:val="24"/>
          <w:szCs w:val="24"/>
        </w:rPr>
        <w:t>全面留矿法用于开采厚度小于4m的矿体；厚度大于4m的矿体采用分段空场法开采。经统计，全面留矿法占采出矿量的10%、分段空场法占采出矿量的90%。分段空场法矿房出矿能力180-200t/d，全面留矿法矿房出矿能力40-50t/d。采矿综合损失率17%，矿石综合贫化率10%。</w:t>
      </w:r>
    </w:p>
    <w:p>
      <w:pPr>
        <w:tabs>
          <w:tab w:val="left" w:pos="528"/>
          <w:tab w:val="left" w:pos="627"/>
        </w:tabs>
        <w:spacing w:line="360" w:lineRule="auto"/>
        <w:ind w:firstLine="480" w:firstLineChars="200"/>
        <w:jc w:val="left"/>
        <w:outlineLvl w:val="0"/>
        <w:rPr>
          <w:rFonts w:ascii="Times New Roman" w:hAnsi="Times New Roman"/>
          <w:color w:val="000000"/>
          <w:sz w:val="24"/>
          <w:szCs w:val="24"/>
        </w:rPr>
      </w:pPr>
      <w:r>
        <w:rPr>
          <w:rFonts w:hint="eastAsia" w:ascii="Times New Roman" w:hAnsi="Times New Roman"/>
          <w:color w:val="000000"/>
          <w:sz w:val="24"/>
          <w:szCs w:val="24"/>
        </w:rPr>
        <w:t>（1）全面留矿法回采</w:t>
      </w:r>
    </w:p>
    <w:p>
      <w:pPr>
        <w:tabs>
          <w:tab w:val="left" w:pos="528"/>
          <w:tab w:val="left" w:pos="627"/>
        </w:tabs>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回采工作从切割巷道开始，自下而上分层回采，由采场一侧向另一侧推进，分层高度2.0m，浅孔水平落矿，孔深2.0~1.8m，孔距1.0m，排距0.7m，孔径38mm，爆破使用乳化炸药，非电导爆系统起爆。为了采场的安全，炮孔呈弧形布置。以使爆破后的工作面呈拱形，从而增加工作面的稳定性。</w:t>
      </w:r>
    </w:p>
    <w:p>
      <w:pPr>
        <w:tabs>
          <w:tab w:val="left" w:pos="528"/>
          <w:tab w:val="left" w:pos="627"/>
        </w:tabs>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爆破之后，进行通风、局部出矿，每次放出爆破量的1/3，其余留在采场作为回采下一分层的工作平台，矿房回采结束后进行大量放矿。</w:t>
      </w:r>
    </w:p>
    <w:p>
      <w:pPr>
        <w:tabs>
          <w:tab w:val="left" w:pos="528"/>
          <w:tab w:val="left" w:pos="627"/>
        </w:tabs>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凿岩采用YT127型凿岩机，出矿选用2DPJ-13型电耙。</w:t>
      </w:r>
    </w:p>
    <w:p>
      <w:pPr>
        <w:tabs>
          <w:tab w:val="left" w:pos="528"/>
          <w:tab w:val="left" w:pos="627"/>
        </w:tabs>
        <w:spacing w:line="360" w:lineRule="auto"/>
        <w:ind w:firstLine="480" w:firstLineChars="200"/>
        <w:jc w:val="left"/>
        <w:outlineLvl w:val="0"/>
        <w:rPr>
          <w:rFonts w:ascii="Times New Roman" w:hAnsi="Times New Roman"/>
          <w:color w:val="000000"/>
          <w:sz w:val="24"/>
          <w:szCs w:val="24"/>
        </w:rPr>
      </w:pPr>
      <w:r>
        <w:rPr>
          <w:rFonts w:ascii="Times New Roman" w:hAnsi="Times New Roman"/>
          <w:color w:val="000000"/>
          <w:sz w:val="24"/>
          <w:szCs w:val="24"/>
        </w:rPr>
        <w:t>（2）分段空场法回采</w:t>
      </w:r>
    </w:p>
    <w:p>
      <w:pPr>
        <w:tabs>
          <w:tab w:val="left" w:pos="627"/>
        </w:tabs>
        <w:spacing w:line="360" w:lineRule="auto"/>
        <w:ind w:firstLine="528"/>
        <w:jc w:val="left"/>
        <w:rPr>
          <w:rFonts w:ascii="Times New Roman" w:hAnsi="Times New Roman"/>
          <w:color w:val="000000"/>
          <w:sz w:val="24"/>
          <w:szCs w:val="24"/>
        </w:rPr>
      </w:pPr>
      <w:r>
        <w:rPr>
          <w:rFonts w:ascii="Times New Roman" w:hAnsi="Times New Roman"/>
          <w:color w:val="000000"/>
          <w:sz w:val="24"/>
          <w:szCs w:val="24"/>
        </w:rPr>
        <w:t>设计回采工作自上分段回采，上分段超前下分段不小于20m。在分段凿岩巷道中采用YGZ-90型凿岩机打上向扇行炮孔，炮孔直径60mm，排距1.5~1.8m，孔底距1.8~2m。采用乳化炸药，装药机械选用BQF-100型装药器，非电导爆系统起爆。每次爆破1~2排炮孔。崩落矿石通过堑沟及漏斗进入电耙道，由设于电耙硐室中的2DPJ-55型电耙耙入出矿溜井出矿。</w:t>
      </w:r>
    </w:p>
    <w:p>
      <w:pPr>
        <w:spacing w:beforeLines="50" w:line="360" w:lineRule="auto"/>
        <w:outlineLvl w:val="0"/>
        <w:rPr>
          <w:rFonts w:ascii="Times New Roman" w:hAnsi="Times New Roman"/>
          <w:sz w:val="24"/>
        </w:rPr>
      </w:pPr>
      <w:r>
        <w:rPr>
          <w:rFonts w:ascii="Times New Roman" w:hAnsi="Times New Roman"/>
          <w:sz w:val="24"/>
          <w:szCs w:val="24"/>
        </w:rPr>
        <w:t>3.1.3.2现有选矿</w:t>
      </w:r>
      <w:r>
        <w:rPr>
          <w:rFonts w:hint="eastAsia" w:ascii="Times New Roman" w:hAnsi="Times New Roman"/>
          <w:sz w:val="24"/>
          <w:szCs w:val="24"/>
        </w:rPr>
        <w:t>厂</w:t>
      </w:r>
    </w:p>
    <w:p>
      <w:pPr>
        <w:tabs>
          <w:tab w:val="left" w:pos="1629"/>
        </w:tabs>
        <w:spacing w:line="360" w:lineRule="auto"/>
        <w:ind w:firstLine="480" w:firstLineChars="200"/>
        <w:jc w:val="left"/>
        <w:rPr>
          <w:rFonts w:ascii="Times New Roman" w:hAnsi="Times New Roman"/>
          <w:sz w:val="24"/>
        </w:rPr>
      </w:pPr>
      <w:r>
        <w:rPr>
          <w:rFonts w:ascii="Times New Roman" w:hAnsi="Times New Roman"/>
          <w:sz w:val="24"/>
        </w:rPr>
        <w:t>现有选矿厂位于</w:t>
      </w:r>
      <w:r>
        <w:rPr>
          <w:rFonts w:hint="eastAsia" w:ascii="Times New Roman" w:hAnsi="Times New Roman"/>
          <w:sz w:val="24"/>
        </w:rPr>
        <w:t>厂区内，在尾矿库西侧</w:t>
      </w:r>
      <w:r>
        <w:rPr>
          <w:rFonts w:ascii="Times New Roman" w:hAnsi="Times New Roman"/>
          <w:sz w:val="24"/>
        </w:rPr>
        <w:t>。选矿厂建设内容主要有</w:t>
      </w:r>
      <w:r>
        <w:rPr>
          <w:rFonts w:hint="eastAsia" w:ascii="Times New Roman" w:hAnsi="Times New Roman"/>
          <w:sz w:val="24"/>
        </w:rPr>
        <w:t>选矿车间</w:t>
      </w:r>
      <w:r>
        <w:rPr>
          <w:rFonts w:ascii="Times New Roman" w:hAnsi="Times New Roman"/>
          <w:sz w:val="24"/>
        </w:rPr>
        <w:t>、锅炉房、</w:t>
      </w:r>
      <w:r>
        <w:rPr>
          <w:rFonts w:ascii="Times New Roman" w:hAnsi="Times New Roman"/>
          <w:sz w:val="24"/>
          <w:szCs w:val="24"/>
        </w:rPr>
        <w:t>仓库、配电室、办公室、危废间、产品堆场及原料堆场等。</w:t>
      </w:r>
      <w:r>
        <w:rPr>
          <w:rFonts w:hint="eastAsia" w:ascii="Times New Roman" w:hAnsi="Times New Roman"/>
          <w:sz w:val="24"/>
          <w:szCs w:val="24"/>
        </w:rPr>
        <w:t>总占地面积为5万m</w:t>
      </w:r>
      <w:r>
        <w:rPr>
          <w:rFonts w:hint="eastAsia" w:ascii="Times New Roman" w:hAnsi="Times New Roman"/>
          <w:sz w:val="24"/>
          <w:szCs w:val="24"/>
          <w:vertAlign w:val="superscript"/>
        </w:rPr>
        <w:t>2</w:t>
      </w:r>
      <w:r>
        <w:rPr>
          <w:rFonts w:hint="eastAsia" w:ascii="Times New Roman" w:hAnsi="Times New Roman"/>
          <w:sz w:val="24"/>
          <w:szCs w:val="24"/>
        </w:rPr>
        <w:t>，</w:t>
      </w:r>
      <w:r>
        <w:rPr>
          <w:rFonts w:ascii="Times New Roman" w:hAnsi="Times New Roman"/>
          <w:sz w:val="24"/>
          <w:szCs w:val="24"/>
        </w:rPr>
        <w:t>总建筑面积为</w:t>
      </w:r>
      <w:r>
        <w:rPr>
          <w:rFonts w:ascii="Times New Roman" w:hAnsi="Times New Roman"/>
          <w:color w:val="000000"/>
          <w:sz w:val="24"/>
          <w:szCs w:val="24"/>
        </w:rPr>
        <w:t>总建筑面积4700m</w:t>
      </w:r>
      <w:r>
        <w:rPr>
          <w:rFonts w:ascii="Times New Roman" w:hAnsi="Times New Roman"/>
          <w:color w:val="000000"/>
          <w:sz w:val="24"/>
          <w:szCs w:val="24"/>
          <w:vertAlign w:val="superscript"/>
        </w:rPr>
        <w:t>2</w:t>
      </w:r>
      <w:r>
        <w:rPr>
          <w:rFonts w:ascii="Times New Roman" w:hAnsi="Times New Roman"/>
          <w:color w:val="000000"/>
          <w:sz w:val="24"/>
          <w:szCs w:val="24"/>
        </w:rPr>
        <w:t>。其中包括产品堆场占地面积为1000m</w:t>
      </w:r>
      <w:r>
        <w:rPr>
          <w:rFonts w:ascii="Times New Roman" w:hAnsi="Times New Roman"/>
          <w:color w:val="000000"/>
          <w:sz w:val="24"/>
          <w:szCs w:val="24"/>
          <w:vertAlign w:val="superscript"/>
        </w:rPr>
        <w:t>2</w:t>
      </w:r>
      <w:r>
        <w:rPr>
          <w:rFonts w:ascii="Times New Roman" w:hAnsi="Times New Roman"/>
          <w:color w:val="000000"/>
          <w:sz w:val="24"/>
          <w:szCs w:val="24"/>
        </w:rPr>
        <w:t>；原料堆场占地面积为1000m</w:t>
      </w:r>
      <w:r>
        <w:rPr>
          <w:rFonts w:ascii="Times New Roman" w:hAnsi="Times New Roman"/>
          <w:color w:val="000000"/>
          <w:sz w:val="24"/>
          <w:szCs w:val="24"/>
          <w:vertAlign w:val="superscript"/>
        </w:rPr>
        <w:t>2</w:t>
      </w:r>
      <w:r>
        <w:rPr>
          <w:rFonts w:hint="eastAsia" w:ascii="Times New Roman" w:hAnsi="Times New Roman"/>
          <w:color w:val="000000"/>
          <w:sz w:val="24"/>
          <w:szCs w:val="24"/>
        </w:rPr>
        <w:t>；选矿车间占地面积为600</w:t>
      </w:r>
      <w:r>
        <w:rPr>
          <w:rFonts w:ascii="Times New Roman" w:hAnsi="Times New Roman"/>
          <w:color w:val="000000"/>
          <w:sz w:val="24"/>
          <w:szCs w:val="24"/>
        </w:rPr>
        <w:t>m</w:t>
      </w:r>
      <w:r>
        <w:rPr>
          <w:rFonts w:ascii="Times New Roman" w:hAnsi="Times New Roman"/>
          <w:color w:val="000000"/>
          <w:sz w:val="24"/>
          <w:szCs w:val="24"/>
          <w:vertAlign w:val="superscript"/>
        </w:rPr>
        <w:t>2</w:t>
      </w:r>
      <w:r>
        <w:rPr>
          <w:rFonts w:hint="eastAsia" w:ascii="Times New Roman" w:hAnsi="Times New Roman"/>
          <w:color w:val="000000"/>
          <w:sz w:val="24"/>
          <w:szCs w:val="24"/>
        </w:rPr>
        <w:t>；仓库占地面积780</w:t>
      </w:r>
      <w:r>
        <w:rPr>
          <w:rFonts w:ascii="Times New Roman" w:hAnsi="Times New Roman"/>
          <w:color w:val="000000"/>
          <w:sz w:val="24"/>
          <w:szCs w:val="24"/>
        </w:rPr>
        <w:t>m</w:t>
      </w:r>
      <w:r>
        <w:rPr>
          <w:rFonts w:ascii="Times New Roman" w:hAnsi="Times New Roman"/>
          <w:color w:val="000000"/>
          <w:sz w:val="24"/>
          <w:szCs w:val="24"/>
          <w:vertAlign w:val="superscript"/>
        </w:rPr>
        <w:t>2</w:t>
      </w:r>
      <w:r>
        <w:rPr>
          <w:rFonts w:hint="eastAsia" w:ascii="Times New Roman" w:hAnsi="Times New Roman"/>
          <w:color w:val="000000"/>
          <w:sz w:val="24"/>
          <w:szCs w:val="24"/>
        </w:rPr>
        <w:t>、锅炉房60</w:t>
      </w:r>
      <w:r>
        <w:rPr>
          <w:rFonts w:ascii="Times New Roman" w:hAnsi="Times New Roman"/>
          <w:color w:val="000000"/>
          <w:sz w:val="24"/>
          <w:szCs w:val="24"/>
        </w:rPr>
        <w:t>m</w:t>
      </w:r>
      <w:r>
        <w:rPr>
          <w:rFonts w:ascii="Times New Roman" w:hAnsi="Times New Roman"/>
          <w:color w:val="000000"/>
          <w:sz w:val="24"/>
          <w:szCs w:val="24"/>
          <w:vertAlign w:val="superscript"/>
        </w:rPr>
        <w:t>2</w:t>
      </w:r>
      <w:r>
        <w:rPr>
          <w:rFonts w:hint="eastAsia" w:ascii="Times New Roman" w:hAnsi="Times New Roman"/>
          <w:color w:val="000000"/>
          <w:sz w:val="24"/>
          <w:szCs w:val="24"/>
        </w:rPr>
        <w:t>、办公室1200</w:t>
      </w:r>
      <w:r>
        <w:rPr>
          <w:rFonts w:ascii="Times New Roman" w:hAnsi="Times New Roman"/>
          <w:color w:val="000000"/>
          <w:sz w:val="24"/>
          <w:szCs w:val="24"/>
        </w:rPr>
        <w:t>m</w:t>
      </w:r>
      <w:r>
        <w:rPr>
          <w:rFonts w:ascii="Times New Roman" w:hAnsi="Times New Roman"/>
          <w:color w:val="000000"/>
          <w:sz w:val="24"/>
          <w:szCs w:val="24"/>
          <w:vertAlign w:val="superscript"/>
        </w:rPr>
        <w:t>2</w:t>
      </w:r>
      <w:r>
        <w:rPr>
          <w:rFonts w:hint="eastAsia" w:ascii="Times New Roman" w:hAnsi="Times New Roman"/>
          <w:color w:val="000000"/>
          <w:sz w:val="24"/>
          <w:szCs w:val="24"/>
        </w:rPr>
        <w:t>、危废间60</w:t>
      </w:r>
      <w:r>
        <w:rPr>
          <w:rFonts w:ascii="Times New Roman" w:hAnsi="Times New Roman"/>
          <w:color w:val="000000"/>
          <w:sz w:val="24"/>
          <w:szCs w:val="24"/>
        </w:rPr>
        <w:t>m</w:t>
      </w:r>
      <w:r>
        <w:rPr>
          <w:rFonts w:ascii="Times New Roman" w:hAnsi="Times New Roman"/>
          <w:color w:val="000000"/>
          <w:sz w:val="24"/>
          <w:szCs w:val="24"/>
          <w:vertAlign w:val="superscript"/>
        </w:rPr>
        <w:t>2</w:t>
      </w:r>
      <w:r>
        <w:rPr>
          <w:rFonts w:hint="eastAsia" w:ascii="Times New Roman" w:hAnsi="Times New Roman"/>
          <w:color w:val="000000"/>
          <w:sz w:val="24"/>
          <w:szCs w:val="24"/>
        </w:rPr>
        <w:t>。</w:t>
      </w:r>
    </w:p>
    <w:p>
      <w:pPr>
        <w:spacing w:beforeLines="50" w:line="360" w:lineRule="auto"/>
        <w:ind w:firstLine="480" w:firstLineChars="200"/>
        <w:outlineLvl w:val="0"/>
        <w:rPr>
          <w:rFonts w:ascii="Times New Roman" w:hAnsi="Times New Roman"/>
          <w:sz w:val="24"/>
          <w:szCs w:val="24"/>
          <w:u w:val="single"/>
        </w:rPr>
      </w:pPr>
      <w:r>
        <w:rPr>
          <w:rFonts w:ascii="Times New Roman" w:hAnsi="Times New Roman"/>
          <w:sz w:val="24"/>
          <w:szCs w:val="24"/>
          <w:u w:val="single"/>
        </w:rPr>
        <w:t>3.1.3.3现有尾矿库</w:t>
      </w:r>
    </w:p>
    <w:p>
      <w:pPr>
        <w:spacing w:beforeLines="50" w:line="360" w:lineRule="auto"/>
        <w:ind w:firstLine="480" w:firstLineChars="200"/>
        <w:rPr>
          <w:rFonts w:ascii="Times New Roman" w:hAnsi="Times New Roman"/>
          <w:sz w:val="24"/>
          <w:u w:val="single"/>
        </w:rPr>
      </w:pPr>
      <w:r>
        <w:rPr>
          <w:rFonts w:hint="eastAsia" w:ascii="Times New Roman" w:hAnsi="Times New Roman"/>
          <w:sz w:val="24"/>
          <w:szCs w:val="24"/>
          <w:u w:val="single"/>
        </w:rPr>
        <w:t>现有</w:t>
      </w:r>
      <w:r>
        <w:rPr>
          <w:rFonts w:hint="eastAsia" w:ascii="Times New Roman" w:hAnsi="Times New Roman"/>
          <w:sz w:val="24"/>
          <w:u w:val="single"/>
        </w:rPr>
        <w:t>尾矿库为平地型，尾矿库等级为V等尾矿库。根据企业提供资料尾矿库最初建设时四周建有5m高土坝，原土坝现已被尾砂覆盖。尾矿库现状为四周尾砂围坝，坝基最低标高709m，坝顶标高715m，尾砂坝最大坝高6m，坝顶宽约3.5m，外坝坡坡比1:1.4~1:2.5。现尾矿库内尾砂标高约713m，尾矿排矿方式为湿排。库内采用机械排水，水泵将库内澄清水返回选厂循环使用。</w:t>
      </w:r>
    </w:p>
    <w:p>
      <w:pPr>
        <w:pStyle w:val="2"/>
        <w:numPr>
          <w:ilvl w:val="0"/>
          <w:numId w:val="3"/>
        </w:numPr>
        <w:spacing w:line="360" w:lineRule="auto"/>
        <w:rPr>
          <w:rFonts w:ascii="Times New Roman" w:hAnsi="Times New Roman"/>
          <w:sz w:val="24"/>
          <w:u w:val="single"/>
        </w:rPr>
      </w:pPr>
      <w:r>
        <w:rPr>
          <w:rFonts w:hint="eastAsia" w:ascii="Times New Roman" w:hAnsi="Times New Roman"/>
          <w:sz w:val="24"/>
          <w:u w:val="single"/>
        </w:rPr>
        <w:t>库容</w:t>
      </w:r>
    </w:p>
    <w:p>
      <w:pPr>
        <w:pStyle w:val="2"/>
        <w:spacing w:line="360" w:lineRule="auto"/>
        <w:ind w:firstLine="480" w:firstLineChars="200"/>
        <w:rPr>
          <w:rFonts w:ascii="Times New Roman" w:hAnsi="Times New Roman"/>
          <w:sz w:val="24"/>
          <w:u w:val="single"/>
        </w:rPr>
      </w:pPr>
      <w:r>
        <w:rPr>
          <w:rFonts w:hint="eastAsia" w:ascii="Times New Roman" w:hAnsi="Times New Roman"/>
          <w:sz w:val="24"/>
          <w:u w:val="single"/>
        </w:rPr>
        <w:t>根据现场调查，现有尾矿库库容为</w:t>
      </w:r>
      <w:r>
        <w:rPr>
          <w:rFonts w:hint="eastAsia" w:ascii="Times New Roman" w:hAnsi="Times New Roman"/>
          <w:sz w:val="24"/>
          <w:szCs w:val="24"/>
          <w:u w:val="single"/>
        </w:rPr>
        <w:t>现有尾矿库库容为8×10</w:t>
      </w:r>
      <w:r>
        <w:rPr>
          <w:rFonts w:hint="eastAsia" w:ascii="Times New Roman" w:hAnsi="Times New Roman"/>
          <w:sz w:val="24"/>
          <w:szCs w:val="24"/>
          <w:u w:val="single"/>
          <w:vertAlign w:val="superscript"/>
        </w:rPr>
        <w:t>4</w:t>
      </w:r>
      <w:r>
        <w:rPr>
          <w:rFonts w:hint="eastAsia" w:ascii="Times New Roman" w:hAnsi="Times New Roman"/>
          <w:sz w:val="24"/>
          <w:szCs w:val="24"/>
          <w:u w:val="single"/>
        </w:rPr>
        <w:t>m</w:t>
      </w:r>
      <w:r>
        <w:rPr>
          <w:rFonts w:hint="eastAsia" w:ascii="Times New Roman" w:hAnsi="Times New Roman"/>
          <w:sz w:val="24"/>
          <w:szCs w:val="24"/>
          <w:u w:val="single"/>
          <w:vertAlign w:val="superscript"/>
        </w:rPr>
        <w:t>3</w:t>
      </w:r>
      <w:r>
        <w:rPr>
          <w:rFonts w:hint="eastAsia" w:ascii="Times New Roman" w:hAnsi="Times New Roman"/>
          <w:sz w:val="24"/>
          <w:szCs w:val="24"/>
          <w:u w:val="single"/>
        </w:rPr>
        <w:t>。</w:t>
      </w:r>
    </w:p>
    <w:p>
      <w:pPr>
        <w:pStyle w:val="2"/>
        <w:spacing w:line="360" w:lineRule="auto"/>
        <w:rPr>
          <w:rFonts w:ascii="Times New Roman" w:hAnsi="Times New Roman"/>
          <w:sz w:val="24"/>
          <w:u w:val="single"/>
        </w:rPr>
      </w:pPr>
      <w:r>
        <w:rPr>
          <w:rFonts w:hint="eastAsia" w:ascii="Times New Roman" w:hAnsi="Times New Roman"/>
          <w:sz w:val="24"/>
          <w:u w:val="single"/>
        </w:rPr>
        <w:t>2、现有尾矿库设计</w:t>
      </w:r>
    </w:p>
    <w:p>
      <w:pPr>
        <w:pStyle w:val="2"/>
        <w:spacing w:line="360" w:lineRule="auto"/>
        <w:ind w:firstLine="480" w:firstLineChars="200"/>
        <w:rPr>
          <w:rFonts w:ascii="Times New Roman" w:hAnsi="Times New Roman"/>
          <w:sz w:val="24"/>
          <w:u w:val="single"/>
        </w:rPr>
      </w:pPr>
      <w:r>
        <w:rPr>
          <w:rFonts w:hint="eastAsia" w:ascii="Times New Roman" w:hAnsi="Times New Roman"/>
          <w:sz w:val="24"/>
          <w:u w:val="single"/>
        </w:rPr>
        <w:t>①设计</w:t>
      </w:r>
    </w:p>
    <w:p>
      <w:pPr>
        <w:pStyle w:val="2"/>
        <w:spacing w:line="360" w:lineRule="auto"/>
        <w:ind w:firstLine="480" w:firstLineChars="200"/>
        <w:rPr>
          <w:rFonts w:ascii="Times New Roman" w:hAnsi="Times New Roman"/>
          <w:sz w:val="24"/>
          <w:u w:val="single"/>
        </w:rPr>
      </w:pPr>
      <w:r>
        <w:rPr>
          <w:rFonts w:hint="eastAsia" w:ascii="Times New Roman" w:hAnsi="Times New Roman"/>
          <w:sz w:val="24"/>
          <w:u w:val="single"/>
        </w:rPr>
        <w:t xml:space="preserve"> 尾矿库两面围坝，尾矿坝坝高2-4m。为土坝，坝顶标高756、坝长218m、坝顶宽3m、内外边坡比为1：1.75。汇水面积为0.12km</w:t>
      </w:r>
      <w:r>
        <w:rPr>
          <w:rFonts w:hint="eastAsia" w:ascii="Times New Roman" w:hAnsi="Times New Roman"/>
          <w:sz w:val="24"/>
          <w:u w:val="single"/>
          <w:vertAlign w:val="superscript"/>
        </w:rPr>
        <w:t>2</w:t>
      </w:r>
      <w:r>
        <w:rPr>
          <w:rFonts w:hint="eastAsia" w:ascii="Times New Roman" w:hAnsi="Times New Roman"/>
          <w:sz w:val="24"/>
          <w:u w:val="single"/>
        </w:rPr>
        <w:t>，现有尾矿库尾矿坝堆积标高5</w:t>
      </w:r>
    </w:p>
    <w:p>
      <w:pPr>
        <w:pStyle w:val="2"/>
        <w:rPr>
          <w:rFonts w:ascii="Times New Roman" w:hAnsi="Times New Roman"/>
          <w:sz w:val="24"/>
          <w:u w:val="single"/>
        </w:rPr>
      </w:pPr>
      <w:r>
        <w:rPr>
          <w:rFonts w:hint="eastAsia" w:ascii="Times New Roman" w:hAnsi="Times New Roman"/>
          <w:sz w:val="24"/>
          <w:u w:val="single"/>
        </w:rPr>
        <w:t>3、防洪设施</w:t>
      </w:r>
    </w:p>
    <w:p>
      <w:pPr>
        <w:spacing w:line="360" w:lineRule="auto"/>
        <w:ind w:firstLine="480" w:firstLineChars="200"/>
        <w:jc w:val="left"/>
        <w:outlineLvl w:val="0"/>
        <w:rPr>
          <w:rFonts w:ascii="Times New Roman" w:hAnsi="Times New Roman"/>
          <w:color w:val="000000"/>
          <w:sz w:val="24"/>
          <w:szCs w:val="24"/>
          <w:u w:val="single"/>
        </w:rPr>
      </w:pPr>
      <w:r>
        <w:rPr>
          <w:rFonts w:hint="eastAsia" w:ascii="Times New Roman" w:hAnsi="Times New Roman"/>
          <w:color w:val="000000"/>
          <w:sz w:val="24"/>
          <w:szCs w:val="24"/>
          <w:u w:val="single"/>
        </w:rPr>
        <w:t>（1）防洪标准</w:t>
      </w:r>
    </w:p>
    <w:p>
      <w:pPr>
        <w:spacing w:line="360" w:lineRule="auto"/>
        <w:ind w:firstLine="480" w:firstLineChars="200"/>
        <w:jc w:val="left"/>
        <w:rPr>
          <w:rFonts w:ascii="Times New Roman" w:hAnsi="Times New Roman"/>
          <w:color w:val="000000"/>
          <w:sz w:val="24"/>
          <w:szCs w:val="24"/>
          <w:u w:val="single"/>
        </w:rPr>
      </w:pPr>
      <w:r>
        <w:rPr>
          <w:rFonts w:hint="eastAsia" w:ascii="Times New Roman" w:hAnsi="Times New Roman"/>
          <w:color w:val="000000"/>
          <w:sz w:val="24"/>
          <w:szCs w:val="24"/>
          <w:u w:val="single"/>
        </w:rPr>
        <w:t>按规范规定，尾矿库各使用期的防洪标准应根据使用期库的等别、库容、坝高、使用年限及对下游可能造成的危害程度等因素按下表进行：</w:t>
      </w:r>
    </w:p>
    <w:p>
      <w:pPr>
        <w:jc w:val="center"/>
        <w:rPr>
          <w:rFonts w:ascii="Times New Roman" w:hAnsi="Times New Roman"/>
          <w:b/>
          <w:sz w:val="24"/>
          <w:szCs w:val="24"/>
          <w:u w:val="single"/>
        </w:rPr>
      </w:pPr>
      <w:r>
        <w:rPr>
          <w:rFonts w:ascii="Times New Roman" w:hAnsi="Times New Roman"/>
          <w:b/>
          <w:sz w:val="24"/>
          <w:szCs w:val="24"/>
          <w:u w:val="single"/>
        </w:rPr>
        <w:t>表3-1</w:t>
      </w:r>
      <w:r>
        <w:rPr>
          <w:rFonts w:hint="eastAsia" w:ascii="Times New Roman" w:hAnsi="Times New Roman"/>
          <w:b/>
          <w:sz w:val="24"/>
          <w:szCs w:val="24"/>
          <w:u w:val="single"/>
        </w:rPr>
        <w:t>7  尾矿库防洪标准表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90"/>
        <w:gridCol w:w="1545"/>
        <w:gridCol w:w="1275"/>
        <w:gridCol w:w="1350"/>
        <w:gridCol w:w="1170"/>
        <w:gridCol w:w="12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90"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尾矿库各使用期等别</w:t>
            </w:r>
          </w:p>
        </w:tc>
        <w:tc>
          <w:tcPr>
            <w:tcW w:w="1545"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一</w:t>
            </w:r>
          </w:p>
        </w:tc>
        <w:tc>
          <w:tcPr>
            <w:tcW w:w="1275"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二</w:t>
            </w:r>
          </w:p>
        </w:tc>
        <w:tc>
          <w:tcPr>
            <w:tcW w:w="1350"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三</w:t>
            </w:r>
          </w:p>
        </w:tc>
        <w:tc>
          <w:tcPr>
            <w:tcW w:w="1170"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四</w:t>
            </w:r>
          </w:p>
        </w:tc>
        <w:tc>
          <w:tcPr>
            <w:tcW w:w="1202"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290"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洪水重现期（年）</w:t>
            </w:r>
          </w:p>
        </w:tc>
        <w:tc>
          <w:tcPr>
            <w:tcW w:w="1545"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1000～5000</w:t>
            </w:r>
          </w:p>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或PMF</w:t>
            </w:r>
          </w:p>
        </w:tc>
        <w:tc>
          <w:tcPr>
            <w:tcW w:w="1275"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500～1000</w:t>
            </w:r>
          </w:p>
        </w:tc>
        <w:tc>
          <w:tcPr>
            <w:tcW w:w="1350"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200～500</w:t>
            </w:r>
          </w:p>
        </w:tc>
        <w:tc>
          <w:tcPr>
            <w:tcW w:w="1170"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100～200</w:t>
            </w:r>
          </w:p>
        </w:tc>
        <w:tc>
          <w:tcPr>
            <w:tcW w:w="1202" w:type="dxa"/>
            <w:vAlign w:val="center"/>
          </w:tcPr>
          <w:p>
            <w:pPr>
              <w:pStyle w:val="83"/>
              <w:jc w:val="center"/>
              <w:rPr>
                <w:rFonts w:ascii="Times New Roman" w:hAnsi="Times New Roman" w:cs="Times New Roman"/>
                <w:sz w:val="21"/>
                <w:szCs w:val="21"/>
                <w:u w:val="single"/>
              </w:rPr>
            </w:pPr>
            <w:r>
              <w:rPr>
                <w:rFonts w:ascii="Times New Roman" w:hAnsi="Times New Roman" w:cs="Times New Roman"/>
                <w:sz w:val="21"/>
                <w:szCs w:val="21"/>
                <w:u w:val="single"/>
              </w:rPr>
              <w:t>100</w:t>
            </w:r>
          </w:p>
        </w:tc>
      </w:tr>
    </w:tbl>
    <w:p>
      <w:pPr>
        <w:spacing w:line="360" w:lineRule="auto"/>
        <w:ind w:firstLine="480" w:firstLineChars="200"/>
        <w:rPr>
          <w:rFonts w:ascii="Times New Roman" w:hAnsi="Times New Roman"/>
          <w:b/>
          <w:sz w:val="24"/>
          <w:szCs w:val="24"/>
          <w:u w:val="single"/>
        </w:rPr>
      </w:pPr>
      <w:r>
        <w:rPr>
          <w:rFonts w:hint="eastAsia" w:ascii="Times New Roman" w:hAnsi="Times New Roman"/>
          <w:sz w:val="24"/>
          <w:szCs w:val="24"/>
          <w:u w:val="single"/>
        </w:rPr>
        <w:t>现有尾矿库各使用期防洪标准确定如下：</w:t>
      </w:r>
    </w:p>
    <w:p>
      <w:pPr>
        <w:jc w:val="center"/>
        <w:rPr>
          <w:rFonts w:ascii="Times New Roman" w:hAnsi="Times New Roman"/>
          <w:b/>
          <w:sz w:val="24"/>
          <w:szCs w:val="24"/>
          <w:u w:val="single"/>
        </w:rPr>
      </w:pPr>
      <w:r>
        <w:rPr>
          <w:rFonts w:ascii="Times New Roman" w:hAnsi="Times New Roman"/>
          <w:b/>
          <w:sz w:val="24"/>
          <w:szCs w:val="24"/>
          <w:u w:val="single"/>
        </w:rPr>
        <w:t>表3-1</w:t>
      </w:r>
      <w:r>
        <w:rPr>
          <w:rFonts w:hint="eastAsia" w:ascii="Times New Roman" w:hAnsi="Times New Roman"/>
          <w:b/>
          <w:sz w:val="24"/>
          <w:szCs w:val="24"/>
          <w:u w:val="single"/>
        </w:rPr>
        <w:t>8 尾矿库各使用期防洪标准界定表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80"/>
        <w:gridCol w:w="1921"/>
        <w:gridCol w:w="2364"/>
        <w:gridCol w:w="22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901" w:type="dxa"/>
            <w:gridSpan w:val="2"/>
            <w:vAlign w:val="center"/>
          </w:tcPr>
          <w:p>
            <w:pPr>
              <w:pStyle w:val="83"/>
              <w:jc w:val="center"/>
              <w:rPr>
                <w:rFonts w:ascii="Times New Roman" w:hAnsi="Times New Roman" w:cs="Times New Roman"/>
                <w:sz w:val="21"/>
                <w:szCs w:val="21"/>
                <w:u w:val="single"/>
              </w:rPr>
            </w:pPr>
            <w:r>
              <w:rPr>
                <w:rFonts w:hint="eastAsia" w:ascii="Times New Roman" w:hAnsi="Times New Roman" w:cs="Times New Roman"/>
                <w:sz w:val="21"/>
                <w:szCs w:val="21"/>
                <w:u w:val="single"/>
              </w:rPr>
              <w:t>尾矿库等别</w:t>
            </w:r>
          </w:p>
        </w:tc>
        <w:tc>
          <w:tcPr>
            <w:tcW w:w="2364" w:type="dxa"/>
            <w:vAlign w:val="center"/>
          </w:tcPr>
          <w:p>
            <w:pPr>
              <w:pStyle w:val="83"/>
              <w:ind w:left="65" w:leftChars="31"/>
              <w:jc w:val="center"/>
              <w:rPr>
                <w:rFonts w:ascii="Times New Roman" w:hAnsi="Times New Roman" w:cs="Times New Roman"/>
                <w:sz w:val="21"/>
                <w:szCs w:val="21"/>
                <w:u w:val="single"/>
              </w:rPr>
            </w:pPr>
            <w:r>
              <w:rPr>
                <w:rFonts w:hint="eastAsia" w:ascii="Times New Roman" w:hAnsi="Times New Roman" w:cs="Times New Roman"/>
                <w:sz w:val="21"/>
                <w:szCs w:val="21"/>
                <w:u w:val="single"/>
              </w:rPr>
              <w:t>四</w:t>
            </w:r>
          </w:p>
        </w:tc>
        <w:tc>
          <w:tcPr>
            <w:tcW w:w="2257" w:type="dxa"/>
            <w:tcBorders>
              <w:right w:val="single" w:color="auto" w:sz="4" w:space="0"/>
            </w:tcBorders>
            <w:vAlign w:val="center"/>
          </w:tcPr>
          <w:p>
            <w:pPr>
              <w:pStyle w:val="83"/>
              <w:jc w:val="center"/>
              <w:rPr>
                <w:rFonts w:ascii="Times New Roman" w:hAnsi="Times New Roman" w:cs="Times New Roman"/>
                <w:sz w:val="21"/>
                <w:szCs w:val="21"/>
                <w:u w:val="single"/>
              </w:rPr>
            </w:pPr>
            <w:r>
              <w:rPr>
                <w:rFonts w:hint="eastAsia" w:ascii="Times New Roman" w:hAnsi="Times New Roman" w:cs="Times New Roman"/>
                <w:sz w:val="21"/>
                <w:szCs w:val="21"/>
                <w:u w:val="single"/>
              </w:rPr>
              <w:t>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80" w:type="dxa"/>
            <w:vMerge w:val="restart"/>
            <w:tcBorders>
              <w:top w:val="single" w:color="auto" w:sz="4" w:space="0"/>
            </w:tcBorders>
            <w:vAlign w:val="center"/>
          </w:tcPr>
          <w:p>
            <w:pPr>
              <w:pStyle w:val="83"/>
              <w:jc w:val="center"/>
              <w:rPr>
                <w:rFonts w:ascii="Times New Roman" w:hAnsi="Times New Roman" w:cs="Times New Roman"/>
                <w:sz w:val="21"/>
                <w:szCs w:val="21"/>
                <w:u w:val="single"/>
              </w:rPr>
            </w:pPr>
            <w:r>
              <w:rPr>
                <w:rFonts w:hint="eastAsia" w:ascii="Times New Roman" w:hAnsi="Times New Roman" w:cs="Times New Roman"/>
                <w:sz w:val="21"/>
                <w:szCs w:val="21"/>
                <w:u w:val="single"/>
              </w:rPr>
              <w:t>洪水重现期（年）</w:t>
            </w:r>
          </w:p>
        </w:tc>
        <w:tc>
          <w:tcPr>
            <w:tcW w:w="1921" w:type="dxa"/>
            <w:tcBorders>
              <w:top w:val="single" w:color="auto" w:sz="4" w:space="0"/>
              <w:bottom w:val="single" w:color="auto" w:sz="4" w:space="0"/>
            </w:tcBorders>
            <w:vAlign w:val="center"/>
          </w:tcPr>
          <w:p>
            <w:pPr>
              <w:pStyle w:val="83"/>
              <w:jc w:val="center"/>
              <w:rPr>
                <w:rFonts w:ascii="Times New Roman" w:hAnsi="Times New Roman" w:cs="Times New Roman"/>
                <w:sz w:val="21"/>
                <w:szCs w:val="21"/>
                <w:u w:val="single"/>
              </w:rPr>
            </w:pPr>
            <w:r>
              <w:rPr>
                <w:rFonts w:hint="eastAsia" w:ascii="Times New Roman" w:hAnsi="Times New Roman" w:cs="Times New Roman"/>
                <w:sz w:val="21"/>
                <w:szCs w:val="21"/>
                <w:u w:val="single"/>
              </w:rPr>
              <w:t>初期</w:t>
            </w:r>
          </w:p>
        </w:tc>
        <w:tc>
          <w:tcPr>
            <w:tcW w:w="2364" w:type="dxa"/>
            <w:tcBorders>
              <w:top w:val="single" w:color="auto" w:sz="4" w:space="0"/>
              <w:bottom w:val="single" w:color="auto" w:sz="4" w:space="0"/>
            </w:tcBorders>
            <w:vAlign w:val="center"/>
          </w:tcPr>
          <w:p>
            <w:pPr>
              <w:pStyle w:val="83"/>
              <w:jc w:val="center"/>
              <w:rPr>
                <w:rFonts w:ascii="Times New Roman" w:hAnsi="Times New Roman" w:cs="Times New Roman"/>
                <w:sz w:val="21"/>
                <w:szCs w:val="21"/>
                <w:u w:val="single"/>
              </w:rPr>
            </w:pPr>
            <w:r>
              <w:rPr>
                <w:rFonts w:hint="eastAsia" w:ascii="Times New Roman" w:hAnsi="Times New Roman" w:cs="Times New Roman"/>
                <w:sz w:val="21"/>
                <w:szCs w:val="21"/>
                <w:u w:val="single"/>
              </w:rPr>
              <w:t>30-50</w:t>
            </w:r>
          </w:p>
        </w:tc>
        <w:tc>
          <w:tcPr>
            <w:tcW w:w="2257" w:type="dxa"/>
            <w:tcBorders>
              <w:top w:val="single" w:color="auto" w:sz="4" w:space="0"/>
              <w:bottom w:val="single" w:color="auto" w:sz="4" w:space="0"/>
              <w:right w:val="single" w:color="auto" w:sz="4" w:space="0"/>
            </w:tcBorders>
            <w:vAlign w:val="center"/>
          </w:tcPr>
          <w:p>
            <w:pPr>
              <w:pStyle w:val="83"/>
              <w:jc w:val="center"/>
              <w:rPr>
                <w:rFonts w:ascii="Times New Roman" w:hAnsi="Times New Roman" w:cs="Times New Roman"/>
                <w:sz w:val="21"/>
                <w:szCs w:val="21"/>
                <w:u w:val="single"/>
              </w:rPr>
            </w:pPr>
            <w:r>
              <w:rPr>
                <w:rFonts w:hint="eastAsia" w:ascii="Times New Roman" w:hAnsi="Times New Roman" w:cs="Times New Roman"/>
                <w:sz w:val="21"/>
                <w:szCs w:val="21"/>
                <w:u w:val="single"/>
              </w:rPr>
              <w:t>20-30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80" w:type="dxa"/>
            <w:vMerge w:val="continue"/>
            <w:vAlign w:val="center"/>
          </w:tcPr>
          <w:p>
            <w:pPr>
              <w:pStyle w:val="83"/>
              <w:jc w:val="center"/>
              <w:rPr>
                <w:rFonts w:ascii="Times New Roman" w:hAnsi="Times New Roman" w:cs="Times New Roman"/>
                <w:sz w:val="21"/>
                <w:szCs w:val="21"/>
                <w:u w:val="single"/>
              </w:rPr>
            </w:pPr>
          </w:p>
        </w:tc>
        <w:tc>
          <w:tcPr>
            <w:tcW w:w="1921" w:type="dxa"/>
            <w:tcBorders>
              <w:top w:val="single" w:color="auto" w:sz="4" w:space="0"/>
            </w:tcBorders>
            <w:vAlign w:val="center"/>
          </w:tcPr>
          <w:p>
            <w:pPr>
              <w:pStyle w:val="83"/>
              <w:jc w:val="center"/>
              <w:rPr>
                <w:rFonts w:ascii="Times New Roman" w:hAnsi="Times New Roman" w:cs="Times New Roman"/>
                <w:sz w:val="21"/>
                <w:szCs w:val="21"/>
                <w:u w:val="single"/>
              </w:rPr>
            </w:pPr>
            <w:r>
              <w:rPr>
                <w:rFonts w:hint="eastAsia" w:ascii="Times New Roman" w:hAnsi="Times New Roman" w:cs="Times New Roman"/>
                <w:sz w:val="21"/>
                <w:szCs w:val="21"/>
                <w:u w:val="single"/>
              </w:rPr>
              <w:t>中、后期</w:t>
            </w:r>
          </w:p>
        </w:tc>
        <w:tc>
          <w:tcPr>
            <w:tcW w:w="2364" w:type="dxa"/>
            <w:tcBorders>
              <w:top w:val="single" w:color="auto" w:sz="4" w:space="0"/>
            </w:tcBorders>
            <w:vAlign w:val="center"/>
          </w:tcPr>
          <w:p>
            <w:pPr>
              <w:pStyle w:val="83"/>
              <w:jc w:val="center"/>
              <w:rPr>
                <w:rFonts w:ascii="Times New Roman" w:hAnsi="Times New Roman" w:cs="Times New Roman"/>
                <w:sz w:val="21"/>
                <w:szCs w:val="21"/>
                <w:u w:val="single"/>
              </w:rPr>
            </w:pPr>
            <w:r>
              <w:rPr>
                <w:rFonts w:hint="eastAsia" w:ascii="Times New Roman" w:hAnsi="Times New Roman" w:cs="Times New Roman"/>
                <w:sz w:val="21"/>
                <w:szCs w:val="21"/>
                <w:u w:val="single"/>
              </w:rPr>
              <w:t>100-200</w:t>
            </w:r>
          </w:p>
        </w:tc>
        <w:tc>
          <w:tcPr>
            <w:tcW w:w="2257" w:type="dxa"/>
            <w:tcBorders>
              <w:top w:val="single" w:color="auto" w:sz="4" w:space="0"/>
              <w:right w:val="single" w:color="auto" w:sz="4" w:space="0"/>
            </w:tcBorders>
            <w:vAlign w:val="center"/>
          </w:tcPr>
          <w:p>
            <w:pPr>
              <w:pStyle w:val="83"/>
              <w:jc w:val="center"/>
              <w:rPr>
                <w:rFonts w:ascii="Times New Roman" w:hAnsi="Times New Roman" w:cs="Times New Roman"/>
                <w:sz w:val="21"/>
                <w:szCs w:val="21"/>
                <w:u w:val="single"/>
              </w:rPr>
            </w:pPr>
            <w:r>
              <w:rPr>
                <w:rFonts w:hint="eastAsia" w:ascii="Times New Roman" w:hAnsi="Times New Roman" w:cs="Times New Roman"/>
                <w:sz w:val="21"/>
                <w:szCs w:val="21"/>
                <w:u w:val="single"/>
              </w:rPr>
              <w:t>50-100</w:t>
            </w:r>
          </w:p>
        </w:tc>
      </w:tr>
    </w:tbl>
    <w:p>
      <w:pPr>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现有尾矿库为五等库，尾矿库防洪标准为：初期30-50年洪水设防；中、后期50-100年洪水设防。该尾矿库规模小，服务年限短，根据现场调查，无相应排水设施。</w:t>
      </w:r>
    </w:p>
    <w:p>
      <w:pPr>
        <w:spacing w:line="360" w:lineRule="auto"/>
        <w:ind w:firstLine="480" w:firstLineChars="200"/>
        <w:jc w:val="left"/>
        <w:rPr>
          <w:rFonts w:ascii="Times New Roman" w:hAnsi="Times New Roman"/>
          <w:sz w:val="24"/>
          <w:szCs w:val="24"/>
          <w:u w:val="single"/>
        </w:rPr>
      </w:pPr>
      <w:r>
        <w:rPr>
          <w:rFonts w:ascii="Times New Roman" w:hAnsi="Times New Roman"/>
          <w:sz w:val="24"/>
          <w:szCs w:val="24"/>
          <w:u w:val="single"/>
        </w:rPr>
        <w:t>（2）防洪</w:t>
      </w:r>
      <w:r>
        <w:rPr>
          <w:rFonts w:hint="eastAsia" w:ascii="Times New Roman" w:hAnsi="Times New Roman"/>
          <w:sz w:val="24"/>
          <w:szCs w:val="24"/>
          <w:u w:val="single"/>
        </w:rPr>
        <w:t>排渗</w:t>
      </w:r>
      <w:r>
        <w:rPr>
          <w:rFonts w:ascii="Times New Roman" w:hAnsi="Times New Roman"/>
          <w:sz w:val="24"/>
          <w:szCs w:val="24"/>
          <w:u w:val="single"/>
        </w:rPr>
        <w:t>设施</w:t>
      </w:r>
    </w:p>
    <w:p>
      <w:pPr>
        <w:pStyle w:val="2"/>
        <w:spacing w:line="360" w:lineRule="auto"/>
        <w:ind w:firstLine="480" w:firstLineChars="200"/>
        <w:rPr>
          <w:rFonts w:ascii="Times New Roman" w:hAnsi="Times New Roman"/>
          <w:sz w:val="24"/>
          <w:u w:val="single"/>
        </w:rPr>
      </w:pPr>
      <w:r>
        <w:rPr>
          <w:rFonts w:hint="eastAsia" w:ascii="Times New Roman" w:hAnsi="Times New Roman"/>
          <w:sz w:val="24"/>
          <w:szCs w:val="24"/>
          <w:u w:val="single"/>
        </w:rPr>
        <w:t>现有</w:t>
      </w:r>
      <w:r>
        <w:rPr>
          <w:rFonts w:ascii="Times New Roman" w:hAnsi="Times New Roman"/>
          <w:sz w:val="24"/>
          <w:szCs w:val="24"/>
          <w:u w:val="single"/>
        </w:rPr>
        <w:t>库区防洪排水设施采用平盖板排水斜槽，斜槽沿沟底铺设，采用钢筋混凝土结构，其断面尺寸为b×h=1.2m×1.2m，最小敷设坡度0.05，盖板随着尾砂堆存逐块加盖。排水斜槽出口设钢筋混凝土消力回水池，其长12m、宽6m。</w:t>
      </w:r>
      <w:r>
        <w:rPr>
          <w:rFonts w:hint="eastAsia" w:ascii="Times New Roman" w:hAnsi="Times New Roman"/>
          <w:sz w:val="24"/>
          <w:szCs w:val="24"/>
          <w:u w:val="single"/>
        </w:rPr>
        <w:t>根据可研，</w:t>
      </w:r>
      <w:r>
        <w:rPr>
          <w:rFonts w:ascii="Times New Roman" w:hAnsi="Times New Roman"/>
          <w:sz w:val="24"/>
          <w:szCs w:val="24"/>
          <w:u w:val="single"/>
        </w:rPr>
        <w:t>该尾矿库采用干式排放，库内无渗水产生，因此尾矿库未设防渗设施。</w:t>
      </w:r>
      <w:r>
        <w:rPr>
          <w:rFonts w:hint="eastAsia" w:ascii="Times New Roman" w:hAnsi="Times New Roman"/>
          <w:sz w:val="24"/>
          <w:u w:val="single"/>
        </w:rPr>
        <w:t xml:space="preserve"> </w:t>
      </w:r>
    </w:p>
    <w:p>
      <w:pPr>
        <w:pStyle w:val="2"/>
        <w:spacing w:line="360" w:lineRule="auto"/>
        <w:ind w:firstLine="480" w:firstLineChars="200"/>
        <w:rPr>
          <w:rFonts w:ascii="Times New Roman" w:hAnsi="Times New Roman"/>
          <w:sz w:val="24"/>
          <w:u w:val="single"/>
        </w:rPr>
      </w:pPr>
      <w:r>
        <w:rPr>
          <w:rFonts w:hint="eastAsia" w:ascii="Times New Roman" w:hAnsi="Times New Roman"/>
          <w:sz w:val="24"/>
          <w:u w:val="single"/>
        </w:rPr>
        <w:t>4、现有尾矿库尾矿回水</w:t>
      </w:r>
    </w:p>
    <w:p>
      <w:pPr>
        <w:pStyle w:val="2"/>
        <w:spacing w:line="360" w:lineRule="auto"/>
        <w:ind w:firstLine="480" w:firstLineChars="200"/>
        <w:rPr>
          <w:rFonts w:ascii="Times New Roman" w:hAnsi="Times New Roman"/>
          <w:sz w:val="24"/>
          <w:u w:val="single"/>
        </w:rPr>
      </w:pPr>
      <w:r>
        <w:rPr>
          <w:rFonts w:hint="eastAsia" w:ascii="Times New Roman" w:hAnsi="Times New Roman"/>
          <w:sz w:val="24"/>
          <w:u w:val="single"/>
        </w:rPr>
        <w:t>现有选矿厂库内尾矿澄清水和部分雨洪水进入坝下尾矿清水池，通过回水管自流进选厂产水池，重复利用。尾矿库内水不外排，全部回用。</w:t>
      </w:r>
    </w:p>
    <w:p>
      <w:pPr>
        <w:pStyle w:val="5"/>
        <w:spacing w:before="0" w:after="0" w:line="360" w:lineRule="auto"/>
        <w:rPr>
          <w:color w:val="000000"/>
          <w:sz w:val="24"/>
          <w:szCs w:val="24"/>
        </w:rPr>
      </w:pPr>
      <w:bookmarkStart w:id="132" w:name="_Toc17455"/>
      <w:bookmarkStart w:id="133" w:name="_Toc5949"/>
      <w:bookmarkStart w:id="134" w:name="_Toc18636"/>
      <w:r>
        <w:rPr>
          <w:rFonts w:hint="eastAsia"/>
          <w:color w:val="000000"/>
          <w:sz w:val="24"/>
          <w:szCs w:val="24"/>
        </w:rPr>
        <w:t>3.1.4公用工程</w:t>
      </w:r>
      <w:bookmarkEnd w:id="132"/>
      <w:bookmarkEnd w:id="133"/>
      <w:bookmarkEnd w:id="134"/>
    </w:p>
    <w:p>
      <w:pPr>
        <w:spacing w:line="360" w:lineRule="auto"/>
        <w:ind w:firstLine="480" w:firstLineChars="200"/>
        <w:jc w:val="left"/>
        <w:rPr>
          <w:rFonts w:ascii="Times New Roman" w:hAnsi="Times New Roman"/>
          <w:color w:val="000000"/>
          <w:sz w:val="24"/>
          <w:szCs w:val="24"/>
          <w:u w:val="single"/>
        </w:rPr>
      </w:pPr>
      <w:r>
        <w:rPr>
          <w:rFonts w:ascii="Times New Roman" w:hAnsi="Times New Roman"/>
          <w:color w:val="000000"/>
          <w:sz w:val="24"/>
          <w:szCs w:val="24"/>
          <w:u w:val="single"/>
        </w:rPr>
        <w:t>1、给排水</w:t>
      </w:r>
    </w:p>
    <w:p>
      <w:pPr>
        <w:spacing w:line="360" w:lineRule="auto"/>
        <w:ind w:firstLine="480" w:firstLineChars="200"/>
        <w:jc w:val="left"/>
        <w:rPr>
          <w:rFonts w:ascii="Times New Roman" w:hAnsi="Times New Roman"/>
          <w:color w:val="000000"/>
          <w:sz w:val="24"/>
          <w:szCs w:val="24"/>
          <w:u w:val="single"/>
        </w:rPr>
      </w:pPr>
      <w:r>
        <w:rPr>
          <w:rFonts w:ascii="Times New Roman" w:hAnsi="Times New Roman"/>
          <w:color w:val="000000"/>
          <w:sz w:val="24"/>
          <w:szCs w:val="24"/>
          <w:u w:val="single"/>
        </w:rPr>
        <w:t>①</w:t>
      </w:r>
      <w:r>
        <w:rPr>
          <w:rFonts w:hint="eastAsia" w:ascii="Times New Roman" w:hAnsi="Times New Roman"/>
          <w:color w:val="000000"/>
          <w:sz w:val="24"/>
          <w:szCs w:val="24"/>
          <w:u w:val="single"/>
        </w:rPr>
        <w:t>现有</w:t>
      </w:r>
      <w:r>
        <w:rPr>
          <w:rFonts w:ascii="Times New Roman" w:hAnsi="Times New Roman"/>
          <w:color w:val="000000"/>
          <w:sz w:val="24"/>
          <w:szCs w:val="24"/>
          <w:u w:val="single"/>
        </w:rPr>
        <w:t>采</w:t>
      </w:r>
      <w:r>
        <w:rPr>
          <w:rFonts w:hint="eastAsia" w:ascii="Times New Roman" w:hAnsi="Times New Roman"/>
          <w:color w:val="000000"/>
          <w:sz w:val="24"/>
          <w:szCs w:val="24"/>
          <w:u w:val="single"/>
        </w:rPr>
        <w:t>场</w:t>
      </w:r>
      <w:r>
        <w:rPr>
          <w:rFonts w:ascii="Times New Roman" w:hAnsi="Times New Roman"/>
          <w:color w:val="000000"/>
          <w:sz w:val="24"/>
          <w:szCs w:val="24"/>
          <w:u w:val="single"/>
        </w:rPr>
        <w:t>区</w:t>
      </w:r>
    </w:p>
    <w:p>
      <w:pPr>
        <w:spacing w:line="360" w:lineRule="auto"/>
        <w:ind w:firstLine="480" w:firstLineChars="200"/>
        <w:jc w:val="left"/>
        <w:rPr>
          <w:rFonts w:ascii="Times New Roman" w:hAnsi="Times New Roman"/>
          <w:color w:val="000000"/>
          <w:sz w:val="24"/>
          <w:szCs w:val="24"/>
          <w:u w:val="single"/>
        </w:rPr>
      </w:pPr>
      <w:r>
        <w:rPr>
          <w:rFonts w:ascii="Times New Roman" w:hAnsi="Times New Roman"/>
          <w:color w:val="000000"/>
          <w:sz w:val="24"/>
          <w:szCs w:val="24"/>
          <w:u w:val="single"/>
        </w:rPr>
        <w:t>现有生产用水主要为采矿凿岩用水，生产降尘用水，生活用水。</w:t>
      </w:r>
    </w:p>
    <w:p>
      <w:pPr>
        <w:spacing w:line="360" w:lineRule="auto"/>
        <w:ind w:firstLine="480" w:firstLineChars="200"/>
        <w:jc w:val="left"/>
        <w:rPr>
          <w:rFonts w:ascii="Times New Roman" w:hAnsi="Times New Roman"/>
          <w:color w:val="000000"/>
          <w:sz w:val="24"/>
          <w:szCs w:val="24"/>
          <w:u w:val="single"/>
        </w:rPr>
      </w:pPr>
      <w:r>
        <w:rPr>
          <w:rFonts w:ascii="Times New Roman" w:hAnsi="Times New Roman"/>
          <w:color w:val="000000"/>
          <w:sz w:val="24"/>
          <w:szCs w:val="24"/>
          <w:u w:val="single"/>
        </w:rPr>
        <w:t>其中采矿凿岩用水1015</w:t>
      </w:r>
      <w:r>
        <w:rPr>
          <w:rFonts w:ascii="Times New Roman" w:hAnsi="Times New Roman"/>
          <w:u w:val="single"/>
        </w:rPr>
        <w:t>m</w:t>
      </w:r>
      <w:r>
        <w:rPr>
          <w:rFonts w:ascii="Times New Roman" w:hAnsi="Times New Roman"/>
          <w:u w:val="single"/>
          <w:vertAlign w:val="superscript"/>
        </w:rPr>
        <w:t>3</w:t>
      </w:r>
      <w:r>
        <w:rPr>
          <w:rFonts w:ascii="Times New Roman" w:hAnsi="Times New Roman"/>
          <w:color w:val="000000"/>
          <w:sz w:val="24"/>
          <w:szCs w:val="24"/>
          <w:u w:val="single"/>
        </w:rPr>
        <w:t>/d，生产降尘用水20</w:t>
      </w:r>
      <w:r>
        <w:rPr>
          <w:rFonts w:ascii="Times New Roman" w:hAnsi="Times New Roman"/>
          <w:u w:val="single"/>
        </w:rPr>
        <w:t>m</w:t>
      </w:r>
      <w:r>
        <w:rPr>
          <w:rFonts w:ascii="Times New Roman" w:hAnsi="Times New Roman"/>
          <w:u w:val="single"/>
          <w:vertAlign w:val="superscript"/>
        </w:rPr>
        <w:t>3</w:t>
      </w:r>
      <w:r>
        <w:rPr>
          <w:rFonts w:ascii="Times New Roman" w:hAnsi="Times New Roman"/>
          <w:color w:val="000000"/>
          <w:sz w:val="24"/>
          <w:szCs w:val="24"/>
          <w:u w:val="single"/>
        </w:rPr>
        <w:t>/d，全部取自井下涌水。锅炉用水0.1</w:t>
      </w:r>
      <w:r>
        <w:rPr>
          <w:rFonts w:ascii="Times New Roman" w:hAnsi="Times New Roman"/>
          <w:u w:val="single"/>
        </w:rPr>
        <w:t>m</w:t>
      </w:r>
      <w:r>
        <w:rPr>
          <w:rFonts w:ascii="Times New Roman" w:hAnsi="Times New Roman"/>
          <w:u w:val="single"/>
          <w:vertAlign w:val="superscript"/>
        </w:rPr>
        <w:t>3</w:t>
      </w:r>
      <w:r>
        <w:rPr>
          <w:rFonts w:ascii="Times New Roman" w:hAnsi="Times New Roman"/>
          <w:color w:val="000000"/>
          <w:sz w:val="24"/>
          <w:szCs w:val="24"/>
          <w:u w:val="single"/>
        </w:rPr>
        <w:t>/d，生活用水</w:t>
      </w:r>
      <w:r>
        <w:rPr>
          <w:rFonts w:hint="eastAsia" w:ascii="Times New Roman" w:hAnsi="Times New Roman"/>
          <w:color w:val="000000"/>
          <w:sz w:val="24"/>
          <w:szCs w:val="24"/>
          <w:u w:val="single"/>
        </w:rPr>
        <w:t>1.5</w:t>
      </w:r>
      <w:r>
        <w:rPr>
          <w:rFonts w:ascii="Times New Roman" w:hAnsi="Times New Roman"/>
          <w:u w:val="single"/>
        </w:rPr>
        <w:t>m</w:t>
      </w:r>
      <w:r>
        <w:rPr>
          <w:rFonts w:ascii="Times New Roman" w:hAnsi="Times New Roman"/>
          <w:u w:val="single"/>
          <w:vertAlign w:val="superscript"/>
        </w:rPr>
        <w:t>3</w:t>
      </w:r>
      <w:r>
        <w:rPr>
          <w:rFonts w:ascii="Times New Roman" w:hAnsi="Times New Roman"/>
          <w:color w:val="000000"/>
          <w:sz w:val="24"/>
          <w:szCs w:val="24"/>
          <w:u w:val="single"/>
        </w:rPr>
        <w:t>/d，全部取自井水。</w:t>
      </w:r>
    </w:p>
    <w:p>
      <w:pPr>
        <w:spacing w:line="360" w:lineRule="auto"/>
        <w:ind w:firstLine="480" w:firstLineChars="200"/>
        <w:jc w:val="left"/>
        <w:rPr>
          <w:rFonts w:ascii="Times New Roman" w:hAnsi="Times New Roman"/>
          <w:color w:val="000000"/>
          <w:sz w:val="24"/>
          <w:szCs w:val="24"/>
          <w:u w:val="single"/>
        </w:rPr>
      </w:pPr>
      <w:r>
        <w:rPr>
          <w:rFonts w:ascii="Times New Roman" w:hAnsi="Times New Roman"/>
          <w:color w:val="000000"/>
          <w:sz w:val="24"/>
          <w:szCs w:val="24"/>
          <w:u w:val="single"/>
        </w:rPr>
        <w:t>现有项目采用湿法凿岩，凿岩废水排放量为964.3</w:t>
      </w:r>
      <w:r>
        <w:rPr>
          <w:rFonts w:ascii="Times New Roman" w:hAnsi="Times New Roman"/>
          <w:u w:val="single"/>
        </w:rPr>
        <w:t>m</w:t>
      </w:r>
      <w:r>
        <w:rPr>
          <w:rFonts w:ascii="Times New Roman" w:hAnsi="Times New Roman"/>
          <w:u w:val="single"/>
          <w:vertAlign w:val="superscript"/>
        </w:rPr>
        <w:t>3</w:t>
      </w:r>
      <w:r>
        <w:rPr>
          <w:rFonts w:ascii="Times New Roman" w:hAnsi="Times New Roman"/>
          <w:color w:val="000000"/>
          <w:sz w:val="24"/>
          <w:szCs w:val="24"/>
          <w:u w:val="single"/>
        </w:rPr>
        <w:t>/d，废水通过天井及运输巷道汇集于水仓，由水泵站一次</w:t>
      </w:r>
      <w:r>
        <w:rPr>
          <w:rFonts w:hint="eastAsia" w:ascii="Times New Roman" w:hAnsi="Times New Roman"/>
          <w:color w:val="000000"/>
          <w:sz w:val="24"/>
          <w:szCs w:val="24"/>
          <w:u w:val="single"/>
        </w:rPr>
        <w:t xml:space="preserve"> </w:t>
      </w:r>
      <w:r>
        <w:rPr>
          <w:rFonts w:ascii="Times New Roman" w:hAnsi="Times New Roman"/>
          <w:color w:val="000000"/>
          <w:sz w:val="24"/>
          <w:szCs w:val="24"/>
          <w:u w:val="single"/>
        </w:rPr>
        <w:t>排至地表集水池，沉淀后循环使用。</w:t>
      </w:r>
    </w:p>
    <w:p>
      <w:pPr>
        <w:spacing w:line="360" w:lineRule="auto"/>
        <w:ind w:firstLine="480" w:firstLineChars="200"/>
        <w:jc w:val="left"/>
        <w:rPr>
          <w:rFonts w:ascii="Times New Roman" w:hAnsi="Times New Roman"/>
          <w:color w:val="000000"/>
          <w:sz w:val="24"/>
          <w:szCs w:val="24"/>
          <w:u w:val="single"/>
        </w:rPr>
      </w:pPr>
      <w:r>
        <w:rPr>
          <w:rFonts w:ascii="Times New Roman" w:hAnsi="Times New Roman"/>
          <w:color w:val="000000"/>
          <w:sz w:val="24"/>
          <w:szCs w:val="24"/>
          <w:u w:val="single"/>
        </w:rPr>
        <w:t>生活污水排放量2.3</w:t>
      </w:r>
      <w:r>
        <w:rPr>
          <w:rFonts w:ascii="Times New Roman" w:hAnsi="Times New Roman"/>
          <w:u w:val="single"/>
        </w:rPr>
        <w:t>m</w:t>
      </w:r>
      <w:r>
        <w:rPr>
          <w:rFonts w:ascii="Times New Roman" w:hAnsi="Times New Roman"/>
          <w:u w:val="single"/>
          <w:vertAlign w:val="superscript"/>
        </w:rPr>
        <w:t>3</w:t>
      </w:r>
      <w:r>
        <w:rPr>
          <w:rFonts w:ascii="Times New Roman" w:hAnsi="Times New Roman"/>
          <w:color w:val="000000"/>
          <w:sz w:val="24"/>
          <w:szCs w:val="24"/>
          <w:u w:val="single"/>
        </w:rPr>
        <w:t>/d，排入防渗旱厕，定期清掏不外排。</w:t>
      </w:r>
    </w:p>
    <w:p>
      <w:pPr>
        <w:pStyle w:val="13"/>
        <w:spacing w:line="360" w:lineRule="auto"/>
        <w:ind w:left="0" w:firstLine="480" w:firstLineChars="200"/>
        <w:rPr>
          <w:rFonts w:ascii="Times New Roman" w:hAnsi="Times New Roman"/>
          <w:color w:val="000000"/>
          <w:sz w:val="24"/>
          <w:szCs w:val="24"/>
          <w:u w:val="single"/>
        </w:rPr>
      </w:pPr>
      <w:r>
        <w:rPr>
          <w:rFonts w:ascii="Times New Roman" w:hAnsi="Times New Roman"/>
          <w:color w:val="000000"/>
          <w:sz w:val="24"/>
          <w:szCs w:val="24"/>
          <w:u w:val="single"/>
        </w:rPr>
        <w:t>②</w:t>
      </w:r>
      <w:r>
        <w:rPr>
          <w:rFonts w:hint="eastAsia" w:ascii="Times New Roman" w:hAnsi="Times New Roman"/>
          <w:color w:val="000000"/>
          <w:sz w:val="24"/>
          <w:szCs w:val="24"/>
          <w:u w:val="single"/>
        </w:rPr>
        <w:t>现有</w:t>
      </w:r>
      <w:r>
        <w:rPr>
          <w:rFonts w:ascii="Times New Roman" w:hAnsi="Times New Roman"/>
          <w:color w:val="000000"/>
          <w:sz w:val="24"/>
          <w:szCs w:val="24"/>
          <w:u w:val="single"/>
        </w:rPr>
        <w:t>选矿区</w:t>
      </w:r>
    </w:p>
    <w:p>
      <w:pPr>
        <w:pStyle w:val="58"/>
        <w:ind w:firstLine="504"/>
        <w:rPr>
          <w:rFonts w:ascii="Times New Roman" w:hAnsi="Times New Roman"/>
          <w:color w:val="auto"/>
          <w:u w:val="single"/>
        </w:rPr>
      </w:pPr>
      <w:r>
        <w:rPr>
          <w:rFonts w:ascii="Times New Roman" w:hAnsi="Times New Roman"/>
          <w:szCs w:val="24"/>
          <w:u w:val="single"/>
        </w:rPr>
        <w:t>现有选矿区</w:t>
      </w:r>
      <w:r>
        <w:rPr>
          <w:rFonts w:hint="eastAsia" w:ascii="Times New Roman" w:hAnsi="Times New Roman"/>
          <w:szCs w:val="24"/>
          <w:u w:val="single"/>
        </w:rPr>
        <w:t>用水主要为生活用水和选矿用水和锅炉用水。选矿区劳动定员为15人，其中生活用水为30mL/m</w:t>
      </w:r>
      <w:r>
        <w:rPr>
          <w:rFonts w:hint="eastAsia" w:ascii="Times New Roman" w:hAnsi="Times New Roman"/>
          <w:szCs w:val="24"/>
          <w:u w:val="single"/>
          <w:vertAlign w:val="superscript"/>
        </w:rPr>
        <w:t>3</w:t>
      </w:r>
      <w:r>
        <w:rPr>
          <w:rFonts w:hint="eastAsia" w:ascii="Times New Roman" w:hAnsi="Times New Roman"/>
          <w:szCs w:val="24"/>
          <w:u w:val="single"/>
        </w:rPr>
        <w:t>，</w:t>
      </w:r>
      <w:r>
        <w:rPr>
          <w:rFonts w:ascii="Times New Roman" w:hAnsi="Times New Roman"/>
          <w:color w:val="auto"/>
          <w:u w:val="single"/>
        </w:rPr>
        <w:t>则用水量约为</w:t>
      </w:r>
      <w:r>
        <w:rPr>
          <w:rFonts w:hint="eastAsia" w:ascii="Times New Roman" w:hAnsi="Times New Roman"/>
          <w:color w:val="auto"/>
          <w:u w:val="single"/>
        </w:rPr>
        <w:t>0.45</w:t>
      </w:r>
      <w:r>
        <w:rPr>
          <w:rFonts w:ascii="Times New Roman" w:hAnsi="Times New Roman"/>
          <w:color w:val="auto"/>
          <w:u w:val="single"/>
        </w:rPr>
        <w:t>m</w:t>
      </w:r>
      <w:r>
        <w:rPr>
          <w:rFonts w:ascii="Times New Roman" w:hAnsi="Times New Roman"/>
          <w:color w:val="auto"/>
          <w:u w:val="single"/>
          <w:vertAlign w:val="superscript"/>
        </w:rPr>
        <w:t>3</w:t>
      </w:r>
      <w:r>
        <w:rPr>
          <w:rFonts w:ascii="Times New Roman" w:hAnsi="Times New Roman"/>
          <w:color w:val="auto"/>
          <w:u w:val="single"/>
        </w:rPr>
        <w:t>/d（</w:t>
      </w:r>
      <w:r>
        <w:rPr>
          <w:rFonts w:hint="eastAsia" w:ascii="Times New Roman" w:hAnsi="Times New Roman"/>
          <w:color w:val="auto"/>
          <w:u w:val="single"/>
        </w:rPr>
        <w:t>13</w:t>
      </w:r>
      <w:r>
        <w:rPr>
          <w:rFonts w:ascii="Times New Roman" w:hAnsi="Times New Roman"/>
          <w:color w:val="auto"/>
          <w:u w:val="single"/>
        </w:rPr>
        <w:t>5m</w:t>
      </w:r>
      <w:r>
        <w:rPr>
          <w:rFonts w:ascii="Times New Roman" w:hAnsi="Times New Roman"/>
          <w:color w:val="auto"/>
          <w:u w:val="single"/>
          <w:vertAlign w:val="superscript"/>
        </w:rPr>
        <w:t>3</w:t>
      </w:r>
      <w:r>
        <w:rPr>
          <w:rFonts w:ascii="Times New Roman" w:hAnsi="Times New Roman"/>
          <w:color w:val="auto"/>
          <w:u w:val="single"/>
        </w:rPr>
        <w:t>/a）；生活用水水源为矿区自打深井水。</w:t>
      </w:r>
      <w:r>
        <w:rPr>
          <w:rFonts w:hint="eastAsia" w:ascii="Times New Roman" w:hAnsi="Times New Roman"/>
          <w:color w:val="auto"/>
          <w:u w:val="single"/>
        </w:rPr>
        <w:t>日用水量为10</w:t>
      </w:r>
      <w:r>
        <w:rPr>
          <w:rFonts w:ascii="Times New Roman" w:hAnsi="Times New Roman"/>
          <w:color w:val="auto"/>
          <w:u w:val="single"/>
        </w:rPr>
        <w:t>m</w:t>
      </w:r>
      <w:r>
        <w:rPr>
          <w:rFonts w:ascii="Times New Roman" w:hAnsi="Times New Roman"/>
          <w:color w:val="auto"/>
          <w:u w:val="single"/>
          <w:vertAlign w:val="superscript"/>
        </w:rPr>
        <w:t>3</w:t>
      </w:r>
      <w:r>
        <w:rPr>
          <w:rFonts w:ascii="Times New Roman" w:hAnsi="Times New Roman"/>
          <w:color w:val="auto"/>
          <w:u w:val="single"/>
        </w:rPr>
        <w:t>/d（</w:t>
      </w:r>
      <w:r>
        <w:rPr>
          <w:rFonts w:hint="eastAsia" w:ascii="Times New Roman" w:hAnsi="Times New Roman"/>
          <w:color w:val="auto"/>
          <w:u w:val="single"/>
        </w:rPr>
        <w:t>3300</w:t>
      </w:r>
      <w:r>
        <w:rPr>
          <w:rFonts w:ascii="Times New Roman" w:hAnsi="Times New Roman"/>
          <w:color w:val="auto"/>
          <w:u w:val="single"/>
        </w:rPr>
        <w:t>m</w:t>
      </w:r>
      <w:r>
        <w:rPr>
          <w:rFonts w:ascii="Times New Roman" w:hAnsi="Times New Roman"/>
          <w:color w:val="auto"/>
          <w:u w:val="single"/>
          <w:vertAlign w:val="superscript"/>
        </w:rPr>
        <w:t>3</w:t>
      </w:r>
      <w:r>
        <w:rPr>
          <w:rFonts w:ascii="Times New Roman" w:hAnsi="Times New Roman"/>
          <w:color w:val="auto"/>
          <w:u w:val="single"/>
        </w:rPr>
        <w:t>/a）</w:t>
      </w:r>
      <w:r>
        <w:rPr>
          <w:rFonts w:hint="eastAsia" w:ascii="Times New Roman" w:hAnsi="Times New Roman"/>
          <w:color w:val="auto"/>
          <w:u w:val="single"/>
        </w:rPr>
        <w:t>。此部分水可循环使用，生产循环水为180</w:t>
      </w:r>
      <w:r>
        <w:rPr>
          <w:rFonts w:ascii="Times New Roman" w:hAnsi="Times New Roman"/>
          <w:color w:val="auto"/>
          <w:u w:val="single"/>
        </w:rPr>
        <w:t>m</w:t>
      </w:r>
      <w:r>
        <w:rPr>
          <w:rFonts w:ascii="Times New Roman" w:hAnsi="Times New Roman"/>
          <w:color w:val="auto"/>
          <w:u w:val="single"/>
          <w:vertAlign w:val="superscript"/>
        </w:rPr>
        <w:t>3</w:t>
      </w:r>
      <w:r>
        <w:rPr>
          <w:rFonts w:ascii="Times New Roman" w:hAnsi="Times New Roman"/>
          <w:color w:val="auto"/>
          <w:u w:val="single"/>
        </w:rPr>
        <w:t>/</w:t>
      </w:r>
      <w:r>
        <w:rPr>
          <w:rFonts w:hint="eastAsia" w:ascii="Times New Roman" w:hAnsi="Times New Roman"/>
          <w:color w:val="auto"/>
          <w:u w:val="single"/>
        </w:rPr>
        <w:t>d。剩余选矿废水排入厂区内现有尾矿库内。经沉淀后全部回用于选矿工序。锅炉用水为1</w:t>
      </w:r>
      <w:r>
        <w:rPr>
          <w:rFonts w:ascii="Times New Roman" w:hAnsi="Times New Roman"/>
          <w:color w:val="auto"/>
          <w:u w:val="single"/>
        </w:rPr>
        <w:t>m</w:t>
      </w:r>
      <w:r>
        <w:rPr>
          <w:rFonts w:ascii="Times New Roman" w:hAnsi="Times New Roman"/>
          <w:color w:val="auto"/>
          <w:u w:val="single"/>
          <w:vertAlign w:val="superscript"/>
        </w:rPr>
        <w:t>3</w:t>
      </w:r>
      <w:r>
        <w:rPr>
          <w:rFonts w:ascii="Times New Roman" w:hAnsi="Times New Roman"/>
          <w:color w:val="auto"/>
          <w:u w:val="single"/>
        </w:rPr>
        <w:t>/d（</w:t>
      </w:r>
      <w:r>
        <w:rPr>
          <w:rFonts w:hint="eastAsia" w:ascii="Times New Roman" w:hAnsi="Times New Roman"/>
          <w:color w:val="auto"/>
          <w:u w:val="single"/>
        </w:rPr>
        <w:t>90</w:t>
      </w:r>
      <w:r>
        <w:rPr>
          <w:rFonts w:ascii="Times New Roman" w:hAnsi="Times New Roman"/>
          <w:color w:val="auto"/>
          <w:u w:val="single"/>
        </w:rPr>
        <w:t>m</w:t>
      </w:r>
      <w:r>
        <w:rPr>
          <w:rFonts w:ascii="Times New Roman" w:hAnsi="Times New Roman"/>
          <w:color w:val="auto"/>
          <w:u w:val="single"/>
          <w:vertAlign w:val="superscript"/>
        </w:rPr>
        <w:t>3</w:t>
      </w:r>
      <w:r>
        <w:rPr>
          <w:rFonts w:ascii="Times New Roman" w:hAnsi="Times New Roman"/>
          <w:color w:val="auto"/>
          <w:u w:val="single"/>
        </w:rPr>
        <w:t>/a）</w:t>
      </w:r>
      <w:r>
        <w:rPr>
          <w:rFonts w:hint="eastAsia" w:ascii="Times New Roman" w:hAnsi="Times New Roman"/>
          <w:color w:val="auto"/>
          <w:u w:val="single"/>
        </w:rPr>
        <w:t>，所排废水为0.6</w:t>
      </w:r>
      <w:r>
        <w:rPr>
          <w:rFonts w:ascii="Times New Roman" w:hAnsi="Times New Roman"/>
          <w:color w:val="auto"/>
          <w:u w:val="single"/>
        </w:rPr>
        <w:t>m</w:t>
      </w:r>
      <w:r>
        <w:rPr>
          <w:rFonts w:ascii="Times New Roman" w:hAnsi="Times New Roman"/>
          <w:color w:val="auto"/>
          <w:u w:val="single"/>
          <w:vertAlign w:val="superscript"/>
        </w:rPr>
        <w:t>3</w:t>
      </w:r>
      <w:r>
        <w:rPr>
          <w:rFonts w:ascii="Times New Roman" w:hAnsi="Times New Roman"/>
          <w:color w:val="auto"/>
          <w:u w:val="single"/>
        </w:rPr>
        <w:t>/d（</w:t>
      </w:r>
      <w:r>
        <w:rPr>
          <w:rFonts w:hint="eastAsia" w:ascii="Times New Roman" w:hAnsi="Times New Roman"/>
          <w:color w:val="auto"/>
          <w:u w:val="single"/>
        </w:rPr>
        <w:t>5</w:t>
      </w:r>
      <w:r>
        <w:rPr>
          <w:rFonts w:ascii="Times New Roman" w:hAnsi="Times New Roman"/>
          <w:color w:val="auto"/>
          <w:u w:val="single"/>
        </w:rPr>
        <w:t>m</w:t>
      </w:r>
      <w:r>
        <w:rPr>
          <w:rFonts w:ascii="Times New Roman" w:hAnsi="Times New Roman"/>
          <w:color w:val="auto"/>
          <w:u w:val="single"/>
          <w:vertAlign w:val="superscript"/>
        </w:rPr>
        <w:t>3</w:t>
      </w:r>
      <w:r>
        <w:rPr>
          <w:rFonts w:ascii="Times New Roman" w:hAnsi="Times New Roman"/>
          <w:color w:val="auto"/>
          <w:u w:val="single"/>
        </w:rPr>
        <w:t>/a）</w:t>
      </w:r>
      <w:r>
        <w:rPr>
          <w:rFonts w:hint="eastAsia" w:ascii="Times New Roman" w:hAnsi="Times New Roman"/>
          <w:color w:val="auto"/>
          <w:u w:val="single"/>
        </w:rPr>
        <w:t>与生活废水一同排入现有防渗旱厕，不外排。</w:t>
      </w:r>
    </w:p>
    <w:p>
      <w:pPr>
        <w:pStyle w:val="13"/>
        <w:ind w:left="0"/>
        <w:rPr>
          <w:color w:val="000000"/>
          <w:sz w:val="24"/>
          <w:szCs w:val="24"/>
          <w:u w:val="single"/>
        </w:rPr>
      </w:pPr>
    </w:p>
    <w:p>
      <w:pPr>
        <w:pStyle w:val="13"/>
        <w:ind w:left="0"/>
        <w:rPr>
          <w:color w:val="000000"/>
          <w:sz w:val="24"/>
          <w:szCs w:val="24"/>
          <w:u w:val="single"/>
        </w:rPr>
      </w:pPr>
    </w:p>
    <w:p>
      <w:pPr>
        <w:pStyle w:val="13"/>
        <w:ind w:left="0"/>
        <w:rPr>
          <w:color w:val="000000"/>
          <w:sz w:val="24"/>
          <w:szCs w:val="24"/>
          <w:u w:val="single"/>
        </w:rPr>
      </w:pPr>
    </w:p>
    <w:p>
      <w:pPr>
        <w:pStyle w:val="13"/>
        <w:ind w:left="0"/>
        <w:rPr>
          <w:color w:val="000000"/>
          <w:sz w:val="24"/>
          <w:szCs w:val="24"/>
          <w:u w:val="single"/>
        </w:rPr>
      </w:pPr>
    </w:p>
    <w:p>
      <w:pPr>
        <w:pStyle w:val="13"/>
        <w:ind w:left="0"/>
        <w:rPr>
          <w:color w:val="000000"/>
          <w:sz w:val="24"/>
          <w:szCs w:val="24"/>
          <w:u w:val="single"/>
        </w:rPr>
      </w:pPr>
    </w:p>
    <w:p>
      <w:pPr>
        <w:pStyle w:val="13"/>
        <w:ind w:left="0"/>
        <w:rPr>
          <w:color w:val="000000"/>
          <w:sz w:val="24"/>
          <w:szCs w:val="24"/>
          <w:u w:val="single"/>
        </w:rPr>
      </w:pPr>
    </w:p>
    <w:p>
      <w:pPr>
        <w:pStyle w:val="13"/>
        <w:ind w:left="0"/>
        <w:rPr>
          <w:color w:val="000000"/>
          <w:sz w:val="24"/>
          <w:szCs w:val="24"/>
          <w:u w:val="single"/>
        </w:rPr>
      </w:pPr>
    </w:p>
    <w:p>
      <w:pPr>
        <w:pStyle w:val="13"/>
        <w:ind w:left="0"/>
        <w:rPr>
          <w:color w:val="000000"/>
          <w:sz w:val="24"/>
          <w:szCs w:val="24"/>
          <w:u w:val="single"/>
        </w:rPr>
      </w:pPr>
    </w:p>
    <w:p>
      <w:pPr>
        <w:pStyle w:val="13"/>
        <w:ind w:left="0"/>
        <w:rPr>
          <w:color w:val="000000"/>
          <w:sz w:val="24"/>
          <w:szCs w:val="24"/>
          <w:u w:val="single"/>
        </w:rPr>
      </w:pPr>
    </w:p>
    <w:p>
      <w:pPr>
        <w:spacing w:line="360" w:lineRule="auto"/>
        <w:ind w:firstLine="486"/>
        <w:jc w:val="left"/>
        <w:rPr>
          <w:sz w:val="24"/>
          <w:szCs w:val="24"/>
          <w:u w:val="single"/>
        </w:rPr>
      </w:pPr>
      <w:r>
        <w:rPr>
          <w:sz w:val="24"/>
          <w:u w:val="single"/>
        </w:rPr>
        <mc:AlternateContent>
          <mc:Choice Requires="wps">
            <w:drawing>
              <wp:anchor distT="0" distB="0" distL="114300" distR="114300" simplePos="0" relativeHeight="251569152" behindDoc="0" locked="0" layoutInCell="1" allowOverlap="1">
                <wp:simplePos x="0" y="0"/>
                <wp:positionH relativeFrom="column">
                  <wp:posOffset>3005455</wp:posOffset>
                </wp:positionH>
                <wp:positionV relativeFrom="paragraph">
                  <wp:posOffset>208280</wp:posOffset>
                </wp:positionV>
                <wp:extent cx="872490" cy="332740"/>
                <wp:effectExtent l="0" t="0" r="0" b="0"/>
                <wp:wrapNone/>
                <wp:docPr id="58" name="矩形 149"/>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损耗</w:t>
                            </w:r>
                            <w:r>
                              <w:rPr>
                                <w:rFonts w:ascii="Times New Roman" w:hAnsi="Times New Roman"/>
                              </w:rPr>
                              <w:t>40.7</w:t>
                            </w:r>
                          </w:p>
                        </w:txbxContent>
                      </wps:txbx>
                      <wps:bodyPr upright="1"/>
                    </wps:wsp>
                  </a:graphicData>
                </a:graphic>
              </wp:anchor>
            </w:drawing>
          </mc:Choice>
          <mc:Fallback>
            <w:pict>
              <v:rect id="矩形 149" o:spid="_x0000_s1026" o:spt="1" style="position:absolute;left:0pt;margin-left:236.65pt;margin-top:16.4pt;height:26.2pt;width:68.7pt;z-index:251569152;mso-width-relative:page;mso-height-relative:page;" filled="f" stroked="f" coordsize="21600,21600" o:gfxdata="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DpaD9oAAAAJAQAA&#10;DwAAAAAAAAABACAAAAAiAAAAZHJzL2Rvd25yZXYueG1sUEsBAhQAFAAAAAgAh07iQM4SgX+lAQAA&#10;QwMAAA4AAAAAAAAAAQAgAAAAKQEAAGRycy9lMm9Eb2MueG1sUEsFBgAAAAAGAAYAWQEAAEAFAAAA&#10;AA==&#10;">
                <v:fill on="f" focussize="0,0"/>
                <v:stroke on="f"/>
                <v:imagedata o:title=""/>
                <o:lock v:ext="edit" aspectratio="f"/>
                <v:textbox>
                  <w:txbxContent>
                    <w:p>
                      <w:pPr>
                        <w:jc w:val="center"/>
                      </w:pPr>
                      <w:r>
                        <w:rPr>
                          <w:rFonts w:hint="eastAsia"/>
                        </w:rPr>
                        <w:t>损耗</w:t>
                      </w:r>
                      <w:r>
                        <w:rPr>
                          <w:rFonts w:ascii="Times New Roman" w:hAnsi="Times New Roman"/>
                        </w:rPr>
                        <w:t>40.7</w:t>
                      </w:r>
                    </w:p>
                  </w:txbxContent>
                </v:textbox>
              </v:rect>
            </w:pict>
          </mc:Fallback>
        </mc:AlternateContent>
      </w:r>
      <w:r>
        <w:rPr>
          <w:sz w:val="24"/>
          <w:u w:val="single"/>
        </w:rPr>
        <mc:AlternateContent>
          <mc:Choice Requires="wps">
            <w:drawing>
              <wp:anchor distT="0" distB="0" distL="114300" distR="114300" simplePos="0" relativeHeight="251572224" behindDoc="0" locked="0" layoutInCell="1" allowOverlap="1">
                <wp:simplePos x="0" y="0"/>
                <wp:positionH relativeFrom="column">
                  <wp:posOffset>1654810</wp:posOffset>
                </wp:positionH>
                <wp:positionV relativeFrom="paragraph">
                  <wp:posOffset>142240</wp:posOffset>
                </wp:positionV>
                <wp:extent cx="631190" cy="252730"/>
                <wp:effectExtent l="0" t="0" r="0" b="0"/>
                <wp:wrapNone/>
                <wp:docPr id="63" name="矩形 151"/>
                <wp:cNvGraphicFramePr/>
                <a:graphic xmlns:a="http://schemas.openxmlformats.org/drawingml/2006/main">
                  <a:graphicData uri="http://schemas.microsoft.com/office/word/2010/wordprocessingShape">
                    <wps:wsp>
                      <wps:cNvSpPr/>
                      <wps:spPr>
                        <a:xfrm>
                          <a:off x="0" y="0"/>
                          <a:ext cx="631190" cy="252730"/>
                        </a:xfrm>
                        <a:prstGeom prst="rect">
                          <a:avLst/>
                        </a:prstGeom>
                        <a:noFill/>
                        <a:ln>
                          <a:noFill/>
                        </a:ln>
                      </wps:spPr>
                      <wps:txbx>
                        <w:txbxContent>
                          <w:p>
                            <w:pPr>
                              <w:jc w:val="center"/>
                              <w:rPr>
                                <w:rFonts w:ascii="Times New Roman" w:hAnsi="Times New Roman"/>
                              </w:rPr>
                            </w:pPr>
                            <w:r>
                              <w:rPr>
                                <w:rFonts w:ascii="Times New Roman" w:hAnsi="Times New Roman"/>
                              </w:rPr>
                              <w:t>964.3</w:t>
                            </w:r>
                          </w:p>
                        </w:txbxContent>
                      </wps:txbx>
                      <wps:bodyPr upright="1"/>
                    </wps:wsp>
                  </a:graphicData>
                </a:graphic>
              </wp:anchor>
            </w:drawing>
          </mc:Choice>
          <mc:Fallback>
            <w:pict>
              <v:rect id="矩形 151" o:spid="_x0000_s1026" o:spt="1" style="position:absolute;left:0pt;margin-left:130.3pt;margin-top:11.2pt;height:19.9pt;width:49.7pt;z-index:251572224;mso-width-relative:page;mso-height-relative:page;" filled="f" stroked="f" coordsize="21600,21600" o:gfxdata="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ylFHvZAAAACQEAAA8A&#10;AAAAAAAAAQAgAAAAIgAAAGRycy9kb3ducmV2LnhtbFBLAQIUABQAAAAIAIdO4kBLjwPUpAEAAEMD&#10;AAAOAAAAAAAAAAEAIAAAACgBAABkcnMvZTJvRG9jLnhtbFBLBQYAAAAABgAGAFkBAAA+BQAAAAA=&#10;">
                <v:fill on="f" focussize="0,0"/>
                <v:stroke on="f"/>
                <v:imagedata o:title=""/>
                <o:lock v:ext="edit" aspectratio="f"/>
                <v:textbox>
                  <w:txbxContent>
                    <w:p>
                      <w:pPr>
                        <w:jc w:val="center"/>
                        <w:rPr>
                          <w:rFonts w:ascii="Times New Roman" w:hAnsi="Times New Roman"/>
                        </w:rPr>
                      </w:pPr>
                      <w:r>
                        <w:rPr>
                          <w:rFonts w:ascii="Times New Roman" w:hAnsi="Times New Roman"/>
                        </w:rPr>
                        <w:t>964.3</w:t>
                      </w:r>
                    </w:p>
                  </w:txbxContent>
                </v:textbox>
              </v:rect>
            </w:pict>
          </mc:Fallback>
        </mc:AlternateContent>
      </w:r>
    </w:p>
    <w:p>
      <w:pPr>
        <w:spacing w:line="360" w:lineRule="auto"/>
        <w:ind w:firstLine="486"/>
        <w:jc w:val="left"/>
        <w:rPr>
          <w:sz w:val="24"/>
          <w:szCs w:val="24"/>
          <w:u w:val="single"/>
        </w:rPr>
      </w:pPr>
      <w:r>
        <w:rPr>
          <w:sz w:val="24"/>
          <w:u w:val="single"/>
        </w:rPr>
        <mc:AlternateContent>
          <mc:Choice Requires="wps">
            <w:drawing>
              <wp:anchor distT="0" distB="0" distL="114300" distR="114300" simplePos="0" relativeHeight="251731968" behindDoc="0" locked="0" layoutInCell="1" allowOverlap="1">
                <wp:simplePos x="0" y="0"/>
                <wp:positionH relativeFrom="column">
                  <wp:posOffset>2828290</wp:posOffset>
                </wp:positionH>
                <wp:positionV relativeFrom="paragraph">
                  <wp:posOffset>258445</wp:posOffset>
                </wp:positionV>
                <wp:extent cx="872490" cy="332740"/>
                <wp:effectExtent l="0" t="0" r="0" b="0"/>
                <wp:wrapNone/>
                <wp:docPr id="244" name="矩形 372"/>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10</w:t>
                            </w:r>
                          </w:p>
                        </w:txbxContent>
                      </wps:txbx>
                      <wps:bodyPr upright="1"/>
                    </wps:wsp>
                  </a:graphicData>
                </a:graphic>
              </wp:anchor>
            </w:drawing>
          </mc:Choice>
          <mc:Fallback>
            <w:pict>
              <v:rect id="矩形 372" o:spid="_x0000_s1026" o:spt="1" style="position:absolute;left:0pt;margin-left:222.7pt;margin-top:20.35pt;height:26.2pt;width:68.7pt;z-index:251731968;mso-width-relative:page;mso-height-relative:page;" filled="f" stroked="f" coordsize="21600,21600" o:gfxdata="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tOfuTbAAAACQEA&#10;AA8AAAAAAAAAAQAgAAAAIgAAAGRycy9kb3ducmV2LnhtbFBLAQIUABQAAAAIAIdO4kBNB33PpQEA&#10;AEQDAAAOAAAAAAAAAAEAIAAAACoBAABkcnMvZTJvRG9jLnhtbFBLBQYAAAAABgAGAFkBAABBBQAA&#10;AAA=&#10;">
                <v:fill on="f" focussize="0,0"/>
                <v:stroke on="f"/>
                <v:imagedata o:title=""/>
                <o:lock v:ext="edit" aspectratio="f"/>
                <v:textbox>
                  <w:txbxContent>
                    <w:p>
                      <w:pPr>
                        <w:jc w:val="center"/>
                      </w:pPr>
                      <w:r>
                        <w:rPr>
                          <w:rFonts w:hint="eastAsia"/>
                        </w:rPr>
                        <w:t>10</w:t>
                      </w:r>
                    </w:p>
                  </w:txbxContent>
                </v:textbox>
              </v:rect>
            </w:pict>
          </mc:Fallback>
        </mc:AlternateContent>
      </w:r>
      <w:r>
        <w:rPr>
          <w:sz w:val="24"/>
          <w:u w:val="single"/>
        </w:rPr>
        <mc:AlternateContent>
          <mc:Choice Requires="wps">
            <w:drawing>
              <wp:anchor distT="0" distB="0" distL="114300" distR="114300" simplePos="0" relativeHeight="251570176" behindDoc="0" locked="0" layoutInCell="1" allowOverlap="1">
                <wp:simplePos x="0" y="0"/>
                <wp:positionH relativeFrom="column">
                  <wp:posOffset>1014730</wp:posOffset>
                </wp:positionH>
                <wp:positionV relativeFrom="paragraph">
                  <wp:posOffset>272415</wp:posOffset>
                </wp:positionV>
                <wp:extent cx="631190" cy="309880"/>
                <wp:effectExtent l="0" t="0" r="0" b="0"/>
                <wp:wrapNone/>
                <wp:docPr id="59" name="矩形 150"/>
                <wp:cNvGraphicFramePr/>
                <a:graphic xmlns:a="http://schemas.openxmlformats.org/drawingml/2006/main">
                  <a:graphicData uri="http://schemas.microsoft.com/office/word/2010/wordprocessingShape">
                    <wps:wsp>
                      <wps:cNvSpPr/>
                      <wps:spPr>
                        <a:xfrm>
                          <a:off x="0" y="0"/>
                          <a:ext cx="631190" cy="309880"/>
                        </a:xfrm>
                        <a:prstGeom prst="rect">
                          <a:avLst/>
                        </a:prstGeom>
                        <a:noFill/>
                        <a:ln>
                          <a:noFill/>
                        </a:ln>
                      </wps:spPr>
                      <wps:txbx>
                        <w:txbxContent>
                          <w:p>
                            <w:pPr>
                              <w:jc w:val="center"/>
                            </w:pPr>
                            <w:r>
                              <w:rPr>
                                <w:rFonts w:hint="eastAsia"/>
                              </w:rPr>
                              <w:t>50.7</w:t>
                            </w:r>
                          </w:p>
                        </w:txbxContent>
                      </wps:txbx>
                      <wps:bodyPr upright="1"/>
                    </wps:wsp>
                  </a:graphicData>
                </a:graphic>
              </wp:anchor>
            </w:drawing>
          </mc:Choice>
          <mc:Fallback>
            <w:pict>
              <v:rect id="矩形 150" o:spid="_x0000_s1026" o:spt="1" style="position:absolute;left:0pt;margin-left:79.9pt;margin-top:21.45pt;height:24.4pt;width:49.7pt;z-index:251570176;mso-width-relative:page;mso-height-relative:page;" filled="f" stroked="f" coordsize="21600,21600" o:gfxdata="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geVraAAAACQEAAA8A&#10;AAAAAAAAAQAgAAAAIgAAAGRycy9kb3ducmV2LnhtbFBLAQIUABQAAAAIAIdO4kDKPa0+owEAAEMD&#10;AAAOAAAAAAAAAAEAIAAAACkBAABkcnMvZTJvRG9jLnhtbFBLBQYAAAAABgAGAFkBAAA+BQAAAAA=&#10;">
                <v:fill on="f" focussize="0,0"/>
                <v:stroke on="f"/>
                <v:imagedata o:title=""/>
                <o:lock v:ext="edit" aspectratio="f"/>
                <v:textbox>
                  <w:txbxContent>
                    <w:p>
                      <w:pPr>
                        <w:jc w:val="center"/>
                      </w:pPr>
                      <w:r>
                        <w:rPr>
                          <w:rFonts w:hint="eastAsia"/>
                        </w:rPr>
                        <w:t>50.7</w:t>
                      </w:r>
                    </w:p>
                  </w:txbxContent>
                </v:textbox>
              </v:rect>
            </w:pict>
          </mc:Fallback>
        </mc:AlternateContent>
      </w:r>
      <w:r>
        <w:rPr>
          <w:sz w:val="24"/>
          <w:u w:val="single"/>
        </w:rPr>
        <mc:AlternateContent>
          <mc:Choice Requires="wps">
            <w:drawing>
              <wp:anchor distT="0" distB="0" distL="114300" distR="114300" simplePos="0" relativeHeight="251566080" behindDoc="0" locked="0" layoutInCell="1" allowOverlap="1">
                <wp:simplePos x="0" y="0"/>
                <wp:positionH relativeFrom="column">
                  <wp:posOffset>2237105</wp:posOffset>
                </wp:positionH>
                <wp:positionV relativeFrom="paragraph">
                  <wp:posOffset>102870</wp:posOffset>
                </wp:positionV>
                <wp:extent cx="635" cy="229235"/>
                <wp:effectExtent l="4445" t="0" r="13970" b="18415"/>
                <wp:wrapNone/>
                <wp:docPr id="55" name="直线 144"/>
                <wp:cNvGraphicFramePr/>
                <a:graphic xmlns:a="http://schemas.openxmlformats.org/drawingml/2006/main">
                  <a:graphicData uri="http://schemas.microsoft.com/office/word/2010/wordprocessingShape">
                    <wps:wsp>
                      <wps:cNvSpPr/>
                      <wps:spPr>
                        <a:xfrm flipV="1">
                          <a:off x="0" y="0"/>
                          <a:ext cx="635" cy="2292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4" o:spid="_x0000_s1026" o:spt="20" style="position:absolute;left:0pt;flip:y;margin-left:176.15pt;margin-top:8.1pt;height:18.05pt;width:0.05pt;z-index:251566080;mso-width-relative:page;mso-height-relative:page;" filled="f" stroked="t" coordsize="21600,21600" o:gfxdata="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yGWqrVAAAACQEAAA8AAAAAAAAAAQAgAAAAIgAAAGRycy9kb3ducmV2LnhtbFBLAQIUABQAAAAI&#10;AIdO4kCIIFgN8AEAAOkDAAAOAAAAAAAAAAEAIAAAACQBAABkcnMvZTJvRG9jLnhtbFBLBQYAAAAA&#10;BgAGAFkBAACGBQAAAAA=&#10;">
                <v:fill on="f" focussize="0,0"/>
                <v:stroke color="#000000" joinstyle="round"/>
                <v:imagedata o:title=""/>
                <o:lock v:ext="edit" aspectratio="f"/>
              </v:line>
            </w:pict>
          </mc:Fallback>
        </mc:AlternateContent>
      </w:r>
      <w:r>
        <w:rPr>
          <w:sz w:val="24"/>
          <w:u w:val="single"/>
        </w:rPr>
        <mc:AlternateContent>
          <mc:Choice Requires="wps">
            <w:drawing>
              <wp:anchor distT="0" distB="0" distL="114300" distR="114300" simplePos="0" relativeHeight="251567104" behindDoc="0" locked="0" layoutInCell="1" allowOverlap="1">
                <wp:simplePos x="0" y="0"/>
                <wp:positionH relativeFrom="column">
                  <wp:posOffset>1594485</wp:posOffset>
                </wp:positionH>
                <wp:positionV relativeFrom="paragraph">
                  <wp:posOffset>102870</wp:posOffset>
                </wp:positionV>
                <wp:extent cx="641985" cy="635"/>
                <wp:effectExtent l="0" t="0" r="0" b="0"/>
                <wp:wrapNone/>
                <wp:docPr id="56" name="直线 145"/>
                <wp:cNvGraphicFramePr/>
                <a:graphic xmlns:a="http://schemas.openxmlformats.org/drawingml/2006/main">
                  <a:graphicData uri="http://schemas.microsoft.com/office/word/2010/wordprocessingShape">
                    <wps:wsp>
                      <wps:cNvSpPr/>
                      <wps:spPr>
                        <a:xfrm flipH="1">
                          <a:off x="0" y="0"/>
                          <a:ext cx="64198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5" o:spid="_x0000_s1026" o:spt="20" style="position:absolute;left:0pt;flip:x;margin-left:125.55pt;margin-top:8.1pt;height:0.05pt;width:50.55pt;z-index:251567104;mso-width-relative:page;mso-height-relative:page;" filled="f" stroked="t" coordsize="21600,21600" o:gfxdata="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TH1SNYAAAAJAQAADwAAAAAAAAABACAAAAAiAAAAZHJzL2Rvd25yZXYueG1sUEsBAhQA&#10;FAAAAAgAh07iQEF8bCP0AQAA6QMAAA4AAAAAAAAAAQAgAAAAJQEAAGRycy9lMm9Eb2MueG1sUEsF&#10;BgAAAAAGAAYAWQEAAIsFAAAAAA==&#10;">
                <v:fill on="f" focussize="0,0"/>
                <v:stroke color="#000000" joinstyle="round"/>
                <v:imagedata o:title=""/>
                <o:lock v:ext="edit" aspectratio="f"/>
              </v:line>
            </w:pict>
          </mc:Fallback>
        </mc:AlternateContent>
      </w:r>
      <w:r>
        <w:rPr>
          <w:sz w:val="24"/>
          <w:u w:val="single"/>
        </w:rPr>
        <mc:AlternateContent>
          <mc:Choice Requires="wps">
            <w:drawing>
              <wp:anchor distT="0" distB="0" distL="114300" distR="114300" simplePos="0" relativeHeight="251568128" behindDoc="0" locked="0" layoutInCell="1" allowOverlap="1">
                <wp:simplePos x="0" y="0"/>
                <wp:positionH relativeFrom="column">
                  <wp:posOffset>1617345</wp:posOffset>
                </wp:positionH>
                <wp:positionV relativeFrom="paragraph">
                  <wp:posOffset>92075</wp:posOffset>
                </wp:positionV>
                <wp:extent cx="635" cy="389255"/>
                <wp:effectExtent l="48895" t="0" r="64770" b="10795"/>
                <wp:wrapNone/>
                <wp:docPr id="57" name="直线 146"/>
                <wp:cNvGraphicFramePr/>
                <a:graphic xmlns:a="http://schemas.openxmlformats.org/drawingml/2006/main">
                  <a:graphicData uri="http://schemas.microsoft.com/office/word/2010/wordprocessingShape">
                    <wps:wsp>
                      <wps:cNvSpPr/>
                      <wps:spPr>
                        <a:xfrm>
                          <a:off x="0" y="0"/>
                          <a:ext cx="635" cy="389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46" o:spid="_x0000_s1026" o:spt="20" style="position:absolute;left:0pt;margin-left:127.35pt;margin-top:7.25pt;height:30.65pt;width:0.05pt;z-index:251568128;mso-width-relative:page;mso-height-relative:page;" filled="f" stroked="t" coordsize="21600,21600" o:gfxdata="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FaWW9gAAAAJAQAADwAAAAAAAAABACAAAAAiAAAAZHJzL2Rvd25yZXYueG1sUEsBAhQAFAAA&#10;AAgAh07iQOtp6E/vAQAA4AMAAA4AAAAAAAAAAQAgAAAAJwEAAGRycy9lMm9Eb2MueG1sUEsFBgAA&#10;AAAGAAYAWQEAAIgFAAAAAA==&#10;">
                <v:fill on="f" focussize="0,0"/>
                <v:stroke color="#000000" joinstyle="round" endarrow="open"/>
                <v:imagedata o:title=""/>
                <o:lock v:ext="edit" aspectratio="f"/>
              </v:line>
            </w:pict>
          </mc:Fallback>
        </mc:AlternateContent>
      </w:r>
      <w:r>
        <w:rPr>
          <w:sz w:val="24"/>
          <w:u w:val="single"/>
        </w:rPr>
        <mc:AlternateContent>
          <mc:Choice Requires="wpg">
            <w:drawing>
              <wp:anchor distT="0" distB="0" distL="114300" distR="114300" simplePos="0" relativeHeight="251571200" behindDoc="0" locked="0" layoutInCell="1" allowOverlap="1">
                <wp:simplePos x="0" y="0"/>
                <wp:positionH relativeFrom="column">
                  <wp:posOffset>2466340</wp:posOffset>
                </wp:positionH>
                <wp:positionV relativeFrom="paragraph">
                  <wp:posOffset>79375</wp:posOffset>
                </wp:positionV>
                <wp:extent cx="642620" cy="241300"/>
                <wp:effectExtent l="4445" t="48895" r="635" b="14605"/>
                <wp:wrapNone/>
                <wp:docPr id="62" name="组合 153"/>
                <wp:cNvGraphicFramePr/>
                <a:graphic xmlns:a="http://schemas.openxmlformats.org/drawingml/2006/main">
                  <a:graphicData uri="http://schemas.microsoft.com/office/word/2010/wordprocessingGroup">
                    <wpg:wgp>
                      <wpg:cNvGrpSpPr/>
                      <wpg:grpSpPr>
                        <a:xfrm>
                          <a:off x="0" y="0"/>
                          <a:ext cx="642620" cy="241300"/>
                          <a:chOff x="5967" y="436893"/>
                          <a:chExt cx="1012" cy="380"/>
                        </a:xfrm>
                      </wpg:grpSpPr>
                      <wps:wsp>
                        <wps:cNvPr id="60" name="直线 147"/>
                        <wps:cNvSpPr/>
                        <wps:spPr>
                          <a:xfrm flipV="1">
                            <a:off x="5967" y="436911"/>
                            <a:ext cx="1" cy="362"/>
                          </a:xfrm>
                          <a:prstGeom prst="line">
                            <a:avLst/>
                          </a:prstGeom>
                          <a:ln w="9525" cap="flat" cmpd="sng">
                            <a:solidFill>
                              <a:srgbClr val="000000"/>
                            </a:solidFill>
                            <a:prstDash val="dash"/>
                            <a:headEnd type="none" w="med" len="med"/>
                            <a:tailEnd type="none" w="med" len="med"/>
                          </a:ln>
                        </wps:spPr>
                        <wps:bodyPr upright="1"/>
                      </wps:wsp>
                      <wps:wsp>
                        <wps:cNvPr id="61" name="直线 148"/>
                        <wps:cNvSpPr/>
                        <wps:spPr>
                          <a:xfrm>
                            <a:off x="5967" y="436893"/>
                            <a:ext cx="1012" cy="1"/>
                          </a:xfrm>
                          <a:prstGeom prst="line">
                            <a:avLst/>
                          </a:prstGeom>
                          <a:ln w="9525" cap="flat" cmpd="sng">
                            <a:solidFill>
                              <a:srgbClr val="000000"/>
                            </a:solidFill>
                            <a:prstDash val="dash"/>
                            <a:headEnd type="none" w="med" len="med"/>
                            <a:tailEnd type="arrow" w="med" len="med"/>
                          </a:ln>
                        </wps:spPr>
                        <wps:bodyPr upright="1"/>
                      </wps:wsp>
                    </wpg:wgp>
                  </a:graphicData>
                </a:graphic>
              </wp:anchor>
            </w:drawing>
          </mc:Choice>
          <mc:Fallback>
            <w:pict>
              <v:group id="组合 153" o:spid="_x0000_s1026" o:spt="203" style="position:absolute;left:0pt;margin-left:194.2pt;margin-top:6.25pt;height:19pt;width:50.6pt;z-index:251571200;mso-width-relative:page;mso-height-relative:page;" coordorigin="5967,436893" coordsize="1012,380" o:gfxdata="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AcSs7ZAAAACQEAAA8AAAAAAAAAAQAgAAAAIgAAAGRycy9kb3ducmV2Lnht&#10;bFBLAQIUABQAAAAIAIdO4kC6TQHBowIAACMHAAAOAAAAAAAAAAEAIAAAACgBAABkcnMvZTJvRG9j&#10;LnhtbFBLBQYAAAAABgAGAFkBAAA9BgAAAAA=&#10;">
                <o:lock v:ext="edit" aspectratio="f"/>
                <v:line id="直线 147" o:spid="_x0000_s1026" o:spt="20" style="position:absolute;left:5967;top:436911;flip:y;height:362;width:1;" filled="f" stroked="t" coordsize="21600,21600" o:gfxdata="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0L3G2AAAA2wAAAA8A&#10;AAAAAAAAAQAgAAAAIgAAAGRycy9kb3ducmV2LnhtbFBLAQIUABQAAAAIAIdO4kAzLwWeOwAAADkA&#10;AAAQAAAAAAAAAAEAIAAAAAUBAABkcnMvc2hhcGV4bWwueG1sUEsFBgAAAAAGAAYAWwEAAK8DAAAA&#10;AA==&#10;">
                  <v:fill on="f" focussize="0,0"/>
                  <v:stroke color="#000000" joinstyle="round" dashstyle="dash"/>
                  <v:imagedata o:title=""/>
                  <o:lock v:ext="edit" aspectratio="f"/>
                </v:line>
                <v:line id="直线 148" o:spid="_x0000_s1026" o:spt="20" style="position:absolute;left:5967;top:436893;height:1;width:1012;" filled="f" stroked="t" coordsize="21600,21600" o:gfxdata="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vLYfvQAA&#10;ANs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group>
            </w:pict>
          </mc:Fallback>
        </mc:AlternateContent>
      </w:r>
    </w:p>
    <w:p>
      <w:pPr>
        <w:tabs>
          <w:tab w:val="left" w:pos="1459"/>
        </w:tabs>
        <w:ind w:firstLine="501"/>
        <w:jc w:val="left"/>
        <w:rPr>
          <w:sz w:val="24"/>
          <w:szCs w:val="24"/>
          <w:u w:val="single"/>
        </w:rPr>
      </w:pPr>
      <w:r>
        <w:rPr>
          <w:sz w:val="24"/>
          <w:u w:val="single"/>
        </w:rPr>
        <mc:AlternateContent>
          <mc:Choice Requires="wps">
            <w:drawing>
              <wp:anchor distT="0" distB="0" distL="114300" distR="114300" simplePos="0" relativeHeight="251724800" behindDoc="0" locked="0" layoutInCell="1" allowOverlap="1">
                <wp:simplePos x="0" y="0"/>
                <wp:positionH relativeFrom="column">
                  <wp:posOffset>2840990</wp:posOffset>
                </wp:positionH>
                <wp:positionV relativeFrom="paragraph">
                  <wp:posOffset>186055</wp:posOffset>
                </wp:positionV>
                <wp:extent cx="848995" cy="635"/>
                <wp:effectExtent l="0" t="48260" r="8255" b="65405"/>
                <wp:wrapNone/>
                <wp:docPr id="235" name="直线 361"/>
                <wp:cNvGraphicFramePr/>
                <a:graphic xmlns:a="http://schemas.openxmlformats.org/drawingml/2006/main">
                  <a:graphicData uri="http://schemas.microsoft.com/office/word/2010/wordprocessingShape">
                    <wps:wsp>
                      <wps:cNvSpPr/>
                      <wps:spPr>
                        <a:xfrm>
                          <a:off x="0" y="0"/>
                          <a:ext cx="8489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61" o:spid="_x0000_s1026" o:spt="20" style="position:absolute;left:0pt;margin-left:223.7pt;margin-top:14.65pt;height:0.05pt;width:66.85pt;z-index:251724800;mso-width-relative:page;mso-height-relative:page;" filled="f" stroked="t" coordsize="21600,21600" o:gfxdata="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ZIFF2gAAAAkBAAAPAAAAAAAAAAEAIAAAACIAAABkcnMvZG93bnJldi54bWxQSwECFAAU&#10;AAAACACHTuJACXT7W+8BAADhAwAADgAAAAAAAAABACAAAAApAQAAZHJzL2Uyb0RvYy54bWxQSwUG&#10;AAAAAAYABgBZAQAAigU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81440" behindDoc="0" locked="0" layoutInCell="1" allowOverlap="1">
                <wp:simplePos x="0" y="0"/>
                <wp:positionH relativeFrom="column">
                  <wp:posOffset>3709035</wp:posOffset>
                </wp:positionH>
                <wp:positionV relativeFrom="paragraph">
                  <wp:posOffset>159385</wp:posOffset>
                </wp:positionV>
                <wp:extent cx="8890" cy="1528445"/>
                <wp:effectExtent l="0" t="0" r="0" b="0"/>
                <wp:wrapNone/>
                <wp:docPr id="74" name="直线 192"/>
                <wp:cNvGraphicFramePr/>
                <a:graphic xmlns:a="http://schemas.openxmlformats.org/drawingml/2006/main">
                  <a:graphicData uri="http://schemas.microsoft.com/office/word/2010/wordprocessingShape">
                    <wps:wsp>
                      <wps:cNvSpPr/>
                      <wps:spPr>
                        <a:xfrm flipH="1">
                          <a:off x="0" y="0"/>
                          <a:ext cx="8890" cy="15284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2" o:spid="_x0000_s1026" o:spt="20" style="position:absolute;left:0pt;flip:x;margin-left:292.05pt;margin-top:12.55pt;height:120.35pt;width:0.7pt;z-index:251581440;mso-width-relative:page;mso-height-relative:page;" filled="f" stroked="t" coordsize="21600,21600" o:gfxdata="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PPdUTYAAAACgEAAA8AAAAAAAAAAQAgAAAAIgAAAGRycy9kb3ducmV2LnhtbFBLAQIU&#10;ABQAAAAIAIdO4kCX5XE38wEAAOsDAAAOAAAAAAAAAAEAIAAAACcBAABkcnMvZTJvRG9jLnhtbFBL&#10;BQYAAAAABgAGAFkBAACMBQAAAAA=&#10;">
                <v:fill on="f" focussize="0,0"/>
                <v:stroke color="#000000" joinstyle="round"/>
                <v:imagedata o:title=""/>
                <o:lock v:ext="edit" aspectratio="f"/>
              </v:line>
            </w:pict>
          </mc:Fallback>
        </mc:AlternateContent>
      </w:r>
      <w:r>
        <w:rPr>
          <w:sz w:val="24"/>
          <w:u w:val="single"/>
        </w:rPr>
        <mc:AlternateContent>
          <mc:Choice Requires="wps">
            <w:drawing>
              <wp:anchor distT="0" distB="0" distL="114300" distR="114300" simplePos="0" relativeHeight="251564032" behindDoc="0" locked="0" layoutInCell="1" allowOverlap="1">
                <wp:simplePos x="0" y="0"/>
                <wp:positionH relativeFrom="column">
                  <wp:posOffset>1077595</wp:posOffset>
                </wp:positionH>
                <wp:positionV relativeFrom="paragraph">
                  <wp:posOffset>184150</wp:posOffset>
                </wp:positionV>
                <wp:extent cx="677545" cy="635"/>
                <wp:effectExtent l="0" t="48895" r="8255" b="64770"/>
                <wp:wrapNone/>
                <wp:docPr id="53" name="直线 140"/>
                <wp:cNvGraphicFramePr/>
                <a:graphic xmlns:a="http://schemas.openxmlformats.org/drawingml/2006/main">
                  <a:graphicData uri="http://schemas.microsoft.com/office/word/2010/wordprocessingShape">
                    <wps:wsp>
                      <wps:cNvSpPr/>
                      <wps:spPr>
                        <a:xfrm>
                          <a:off x="0" y="0"/>
                          <a:ext cx="677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40" o:spid="_x0000_s1026" o:spt="20" style="position:absolute;left:0pt;margin-left:84.85pt;margin-top:14.5pt;height:0.05pt;width:53.35pt;z-index:251564032;mso-width-relative:page;mso-height-relative:page;" filled="f" stroked="t" coordsize="21600,21600" o:gfxdata="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4fACNgAAAAJAQAADwAAAAAAAAABACAAAAAiAAAAZHJzL2Rvd25yZXYueG1sUEsBAhQAFAAA&#10;AAgAh07iQF9fRuvvAQAA4AMAAA4AAAAAAAAAAQAgAAAAJwEAAGRycy9lMm9Eb2MueG1sUEsFBgAA&#10;AAAGAAYAWQEAAIgFA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63008" behindDoc="0" locked="0" layoutInCell="1" allowOverlap="1">
                <wp:simplePos x="0" y="0"/>
                <wp:positionH relativeFrom="column">
                  <wp:posOffset>1066165</wp:posOffset>
                </wp:positionH>
                <wp:positionV relativeFrom="paragraph">
                  <wp:posOffset>172720</wp:posOffset>
                </wp:positionV>
                <wp:extent cx="635" cy="2213610"/>
                <wp:effectExtent l="4445" t="0" r="13970" b="15240"/>
                <wp:wrapNone/>
                <wp:docPr id="52" name="直线 139"/>
                <wp:cNvGraphicFramePr/>
                <a:graphic xmlns:a="http://schemas.openxmlformats.org/drawingml/2006/main">
                  <a:graphicData uri="http://schemas.microsoft.com/office/word/2010/wordprocessingShape">
                    <wps:wsp>
                      <wps:cNvSpPr/>
                      <wps:spPr>
                        <a:xfrm>
                          <a:off x="0" y="0"/>
                          <a:ext cx="635" cy="22136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9" o:spid="_x0000_s1026" o:spt="20" style="position:absolute;left:0pt;margin-left:83.95pt;margin-top:13.6pt;height:174.3pt;width:0.05pt;z-index:251563008;mso-width-relative:page;mso-height-relative:page;" filled="f" stroked="t" coordsize="21600,21600" o:gfxdata="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SpFHYAAAACgEAAA8AAAAAAAAAAQAgAAAAIgAAAGRycy9kb3ducmV2LnhtbFBLAQIUABQAAAAI&#10;AIdO4kBYr1fk7QEAAOADAAAOAAAAAAAAAAEAIAAAACcBAABkcnMvZTJvRG9jLnhtbFBLBQYAAAAA&#10;BgAGAFkBAACGBQAAAAA=&#10;">
                <v:fill on="f" focussize="0,0"/>
                <v:stroke color="#000000" joinstyle="round"/>
                <v:imagedata o:title=""/>
                <o:lock v:ext="edit" aspectratio="f"/>
              </v:line>
            </w:pict>
          </mc:Fallback>
        </mc:AlternateContent>
      </w:r>
      <w:r>
        <w:rPr>
          <w:sz w:val="24"/>
          <w:u w:val="single"/>
        </w:rPr>
        <mc:AlternateContent>
          <mc:Choice Requires="wps">
            <w:drawing>
              <wp:anchor distT="0" distB="0" distL="114300" distR="114300" simplePos="0" relativeHeight="251558912" behindDoc="0" locked="0" layoutInCell="1" allowOverlap="1">
                <wp:simplePos x="0" y="0"/>
                <wp:positionH relativeFrom="column">
                  <wp:posOffset>1752600</wp:posOffset>
                </wp:positionH>
                <wp:positionV relativeFrom="paragraph">
                  <wp:posOffset>46355</wp:posOffset>
                </wp:positionV>
                <wp:extent cx="1078865" cy="332740"/>
                <wp:effectExtent l="4445" t="4445" r="21590" b="5715"/>
                <wp:wrapNone/>
                <wp:docPr id="48" name="矩形 133"/>
                <wp:cNvGraphicFramePr/>
                <a:graphic xmlns:a="http://schemas.openxmlformats.org/drawingml/2006/main">
                  <a:graphicData uri="http://schemas.microsoft.com/office/word/2010/wordprocessingShape">
                    <wps:wsp>
                      <wps:cNvSpPr/>
                      <wps:spPr>
                        <a:xfrm>
                          <a:off x="0" y="0"/>
                          <a:ext cx="1078865" cy="3327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采矿凿岩</w:t>
                            </w:r>
                          </w:p>
                        </w:txbxContent>
                      </wps:txbx>
                      <wps:bodyPr upright="1"/>
                    </wps:wsp>
                  </a:graphicData>
                </a:graphic>
              </wp:anchor>
            </w:drawing>
          </mc:Choice>
          <mc:Fallback>
            <w:pict>
              <v:rect id="矩形 133" o:spid="_x0000_s1026" o:spt="1" style="position:absolute;left:0pt;margin-left:138pt;margin-top:3.65pt;height:26.2pt;width:84.95pt;z-index:251558912;mso-width-relative:page;mso-height-relative:page;" filled="f" stroked="t" coordsize="21600,21600" o:gfxdata="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Qi3IfYAAAACAEAAA8AAAAAAAAAAQAgAAAAIgAAAGRycy9kb3du&#10;cmV2LnhtbFBLAQIUABQAAAAIAIdO4kCu4o1N/wEAAAMEAAAOAAAAAAAAAAEAIAAAACcBAABkcnMv&#10;ZTJvRG9jLnhtbFBLBQYAAAAABgAGAFkBAACYBQAAAAA=&#10;">
                <v:fill on="f" focussize="0,0"/>
                <v:stroke color="#000000" joinstyle="miter"/>
                <v:imagedata o:title=""/>
                <o:lock v:ext="edit" aspectratio="f"/>
                <v:textbox>
                  <w:txbxContent>
                    <w:p>
                      <w:pPr>
                        <w:jc w:val="center"/>
                      </w:pPr>
                      <w:r>
                        <w:rPr>
                          <w:rFonts w:hint="eastAsia"/>
                        </w:rPr>
                        <w:t>采矿凿岩</w:t>
                      </w:r>
                    </w:p>
                  </w:txbxContent>
                </v:textbox>
              </v:rect>
            </w:pict>
          </mc:Fallback>
        </mc:AlternateContent>
      </w:r>
      <w:r>
        <w:rPr>
          <w:rFonts w:hint="eastAsia"/>
          <w:sz w:val="24"/>
          <w:szCs w:val="24"/>
          <w:u w:val="single"/>
        </w:rPr>
        <w:tab/>
      </w:r>
    </w:p>
    <w:p>
      <w:pPr>
        <w:ind w:firstLine="501"/>
        <w:jc w:val="left"/>
        <w:rPr>
          <w:sz w:val="24"/>
          <w:u w:val="single"/>
        </w:rPr>
      </w:pPr>
      <w:r>
        <w:rPr>
          <w:sz w:val="24"/>
          <w:u w:val="single"/>
        </w:rPr>
        <mc:AlternateContent>
          <mc:Choice Requires="wps">
            <w:drawing>
              <wp:anchor distT="0" distB="0" distL="114300" distR="114300" simplePos="0" relativeHeight="251576320" behindDoc="0" locked="0" layoutInCell="1" allowOverlap="1">
                <wp:simplePos x="0" y="0"/>
                <wp:positionH relativeFrom="column">
                  <wp:posOffset>3064510</wp:posOffset>
                </wp:positionH>
                <wp:positionV relativeFrom="paragraph">
                  <wp:posOffset>142240</wp:posOffset>
                </wp:positionV>
                <wp:extent cx="872490" cy="332740"/>
                <wp:effectExtent l="0" t="0" r="0" b="0"/>
                <wp:wrapNone/>
                <wp:docPr id="69" name="矩形 171"/>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r>
                              <w:rPr>
                                <w:rFonts w:hint="eastAsia"/>
                              </w:rPr>
                              <w:t>损耗</w:t>
                            </w:r>
                            <w:r>
                              <w:rPr>
                                <w:rFonts w:ascii="Times New Roman" w:hAnsi="Times New Roman"/>
                              </w:rPr>
                              <w:t>20.0</w:t>
                            </w:r>
                          </w:p>
                        </w:txbxContent>
                      </wps:txbx>
                      <wps:bodyPr upright="1"/>
                    </wps:wsp>
                  </a:graphicData>
                </a:graphic>
              </wp:anchor>
            </w:drawing>
          </mc:Choice>
          <mc:Fallback>
            <w:pict>
              <v:rect id="矩形 171" o:spid="_x0000_s1026" o:spt="1" style="position:absolute;left:0pt;margin-left:241.3pt;margin-top:11.2pt;height:26.2pt;width:68.7pt;z-index:251576320;mso-width-relative:page;mso-height-relative:page;" filled="f" stroked="f" coordsize="21600,21600" o:gfxdata="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1JJSTZAAAACQEAAA8A&#10;AAAAAAAAAQAgAAAAIgAAAGRycy9kb3ducmV2LnhtbFBLAQIUABQAAAAIAIdO4kA6FtD+pAEAAEMD&#10;AAAOAAAAAAAAAAEAIAAAACgBAABkcnMvZTJvRG9jLnhtbFBLBQYAAAAABgAGAFkBAAA+BQAAAAA=&#10;">
                <v:fill on="f" focussize="0,0"/>
                <v:stroke on="f"/>
                <v:imagedata o:title=""/>
                <o:lock v:ext="edit" aspectratio="f"/>
                <v:textbox>
                  <w:txbxContent>
                    <w:p>
                      <w:r>
                        <w:rPr>
                          <w:rFonts w:hint="eastAsia"/>
                        </w:rPr>
                        <w:t>损耗</w:t>
                      </w:r>
                      <w:r>
                        <w:rPr>
                          <w:rFonts w:ascii="Times New Roman" w:hAnsi="Times New Roman"/>
                        </w:rPr>
                        <w:t>20.0</w:t>
                      </w:r>
                    </w:p>
                  </w:txbxContent>
                </v:textbox>
              </v:rect>
            </w:pict>
          </mc:Fallback>
        </mc:AlternateContent>
      </w:r>
      <w:r>
        <w:rPr>
          <w:sz w:val="24"/>
          <w:u w:val="single"/>
        </w:rPr>
        <mc:AlternateContent>
          <mc:Choice Requires="wps">
            <w:drawing>
              <wp:anchor distT="0" distB="0" distL="114300" distR="114300" simplePos="0" relativeHeight="251557888" behindDoc="0" locked="0" layoutInCell="1" allowOverlap="1">
                <wp:simplePos x="0" y="0"/>
                <wp:positionH relativeFrom="column">
                  <wp:posOffset>133985</wp:posOffset>
                </wp:positionH>
                <wp:positionV relativeFrom="paragraph">
                  <wp:posOffset>353060</wp:posOffset>
                </wp:positionV>
                <wp:extent cx="401955" cy="2203450"/>
                <wp:effectExtent l="5080" t="5080" r="12065" b="20320"/>
                <wp:wrapNone/>
                <wp:docPr id="47" name="矩形 132"/>
                <wp:cNvGraphicFramePr/>
                <a:graphic xmlns:a="http://schemas.openxmlformats.org/drawingml/2006/main">
                  <a:graphicData uri="http://schemas.microsoft.com/office/word/2010/wordprocessingShape">
                    <wps:wsp>
                      <wps:cNvSpPr/>
                      <wps:spPr>
                        <a:xfrm>
                          <a:off x="0" y="0"/>
                          <a:ext cx="401955" cy="2203450"/>
                        </a:xfrm>
                        <a:prstGeom prst="rect">
                          <a:avLst/>
                        </a:prstGeom>
                        <a:noFill/>
                        <a:ln w="9525" cap="flat" cmpd="sng">
                          <a:solidFill>
                            <a:srgbClr val="000000"/>
                          </a:solidFill>
                          <a:prstDash val="solid"/>
                          <a:miter/>
                          <a:headEnd type="none" w="med" len="med"/>
                          <a:tailEnd type="none" w="med" len="med"/>
                        </a:ln>
                      </wps:spPr>
                      <wps:txbx>
                        <w:txbxContent>
                          <w:p>
                            <w:pPr>
                              <w:jc w:val="center"/>
                            </w:pPr>
                          </w:p>
                          <w:p>
                            <w:pPr>
                              <w:jc w:val="center"/>
                            </w:pPr>
                          </w:p>
                          <w:p>
                            <w:r>
                              <w:rPr>
                                <w:rFonts w:hint="eastAsia"/>
                              </w:rPr>
                              <w:t>现有采场区</w:t>
                            </w:r>
                          </w:p>
                        </w:txbxContent>
                      </wps:txbx>
                      <wps:bodyPr upright="1"/>
                    </wps:wsp>
                  </a:graphicData>
                </a:graphic>
              </wp:anchor>
            </w:drawing>
          </mc:Choice>
          <mc:Fallback>
            <w:pict>
              <v:rect id="矩形 132" o:spid="_x0000_s1026" o:spt="1" style="position:absolute;left:0pt;margin-left:10.55pt;margin-top:27.8pt;height:173.5pt;width:31.65pt;z-index:251557888;mso-width-relative:page;mso-height-relative:page;" filled="f" stroked="t" coordsize="21600,21600" o:gfxdata="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Z6htNcAAAAIAQAADwAAAAAAAAABACAAAAAiAAAAZHJzL2Rvd25y&#10;ZXYueG1sUEsBAhQAFAAAAAgAh07iQF86No3/AQAAAwQAAA4AAAAAAAAAAQAgAAAAJgEAAGRycy9l&#10;Mm9Eb2MueG1sUEsFBgAAAAAGAAYAWQEAAJcFAAAAAA==&#10;">
                <v:fill on="f" focussize="0,0"/>
                <v:stroke color="#000000" joinstyle="miter"/>
                <v:imagedata o:title=""/>
                <o:lock v:ext="edit" aspectratio="f"/>
                <v:textbox>
                  <w:txbxContent>
                    <w:p>
                      <w:pPr>
                        <w:jc w:val="center"/>
                      </w:pPr>
                    </w:p>
                    <w:p>
                      <w:pPr>
                        <w:jc w:val="center"/>
                      </w:pPr>
                    </w:p>
                    <w:p>
                      <w:r>
                        <w:rPr>
                          <w:rFonts w:hint="eastAsia"/>
                        </w:rPr>
                        <w:t>现有采场区</w:t>
                      </w:r>
                    </w:p>
                  </w:txbxContent>
                </v:textbox>
              </v:rect>
            </w:pict>
          </mc:Fallback>
        </mc:AlternateContent>
      </w:r>
    </w:p>
    <w:p>
      <w:pPr>
        <w:rPr>
          <w:sz w:val="24"/>
          <w:u w:val="single"/>
        </w:rPr>
      </w:pPr>
      <w:r>
        <w:rPr>
          <w:sz w:val="24"/>
          <w:u w:val="single"/>
        </w:rPr>
        <mc:AlternateContent>
          <mc:Choice Requires="wpg">
            <w:drawing>
              <wp:anchor distT="0" distB="0" distL="114300" distR="114300" simplePos="0" relativeHeight="251720704" behindDoc="0" locked="0" layoutInCell="1" allowOverlap="1">
                <wp:simplePos x="0" y="0"/>
                <wp:positionH relativeFrom="column">
                  <wp:posOffset>2503170</wp:posOffset>
                </wp:positionH>
                <wp:positionV relativeFrom="paragraph">
                  <wp:posOffset>93980</wp:posOffset>
                </wp:positionV>
                <wp:extent cx="642620" cy="241300"/>
                <wp:effectExtent l="4445" t="48895" r="635" b="14605"/>
                <wp:wrapNone/>
                <wp:docPr id="231" name="组合 355"/>
                <wp:cNvGraphicFramePr/>
                <a:graphic xmlns:a="http://schemas.openxmlformats.org/drawingml/2006/main">
                  <a:graphicData uri="http://schemas.microsoft.com/office/word/2010/wordprocessingGroup">
                    <wpg:wgp>
                      <wpg:cNvGrpSpPr/>
                      <wpg:grpSpPr>
                        <a:xfrm>
                          <a:off x="0" y="0"/>
                          <a:ext cx="642620" cy="241300"/>
                          <a:chOff x="5967" y="436893"/>
                          <a:chExt cx="1012" cy="380"/>
                        </a:xfrm>
                      </wpg:grpSpPr>
                      <wps:wsp>
                        <wps:cNvPr id="229" name="直线 161"/>
                        <wps:cNvSpPr/>
                        <wps:spPr>
                          <a:xfrm flipV="1">
                            <a:off x="5967" y="436911"/>
                            <a:ext cx="1" cy="362"/>
                          </a:xfrm>
                          <a:prstGeom prst="line">
                            <a:avLst/>
                          </a:prstGeom>
                          <a:ln w="9525" cap="flat" cmpd="sng">
                            <a:solidFill>
                              <a:srgbClr val="000000"/>
                            </a:solidFill>
                            <a:prstDash val="dash"/>
                            <a:headEnd type="none" w="med" len="med"/>
                            <a:tailEnd type="none" w="med" len="med"/>
                          </a:ln>
                        </wps:spPr>
                        <wps:bodyPr upright="1"/>
                      </wps:wsp>
                      <wps:wsp>
                        <wps:cNvPr id="230" name="直线 162"/>
                        <wps:cNvSpPr/>
                        <wps:spPr>
                          <a:xfrm>
                            <a:off x="5967" y="436893"/>
                            <a:ext cx="1012" cy="1"/>
                          </a:xfrm>
                          <a:prstGeom prst="line">
                            <a:avLst/>
                          </a:prstGeom>
                          <a:ln w="9525" cap="flat" cmpd="sng">
                            <a:solidFill>
                              <a:srgbClr val="000000"/>
                            </a:solidFill>
                            <a:prstDash val="dash"/>
                            <a:headEnd type="none" w="med" len="med"/>
                            <a:tailEnd type="arrow" w="med" len="med"/>
                          </a:ln>
                        </wps:spPr>
                        <wps:bodyPr upright="1"/>
                      </wps:wsp>
                    </wpg:wgp>
                  </a:graphicData>
                </a:graphic>
              </wp:anchor>
            </w:drawing>
          </mc:Choice>
          <mc:Fallback>
            <w:pict>
              <v:group id="组合 355" o:spid="_x0000_s1026" o:spt="203" style="position:absolute;left:0pt;margin-left:197.1pt;margin-top:7.4pt;height:19pt;width:50.6pt;z-index:251720704;mso-width-relative:page;mso-height-relative:page;" coordorigin="5967,436893" coordsize="1012,380" o:gfxdata="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uup6T2QAAAAkBAAAPAAAAAAAAAAEAIAAAACIAAABkcnMvZG93bnJl&#10;di54bWxQSwECFAAUAAAACACHTuJAgPx6oqcCAAAmBwAADgAAAAAAAAABACAAAAAoAQAAZHJzL2Uy&#10;b0RvYy54bWxQSwUGAAAAAAYABgBZAQAAQQYAAAAA&#10;">
                <o:lock v:ext="edit" aspectratio="f"/>
                <v:line id="直线 161" o:spid="_x0000_s1026" o:spt="20" style="position:absolute;left:5967;top:436911;flip:y;height:362;width:1;" filled="f" stroked="t" coordsize="21600,21600" o:gfxdata="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1n96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直线 162" o:spid="_x0000_s1026" o:spt="20" style="position:absolute;left:5967;top:436893;height:1;width:1012;" filled="f" stroked="t" coordsize="21600,21600" o:gfxdata="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q30+8AAAA&#10;3A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group>
            </w:pict>
          </mc:Fallback>
        </mc:AlternateContent>
      </w:r>
    </w:p>
    <w:p>
      <w:pPr>
        <w:rPr>
          <w:sz w:val="24"/>
          <w:u w:val="single"/>
        </w:rPr>
      </w:pPr>
      <w:r>
        <w:rPr>
          <w:sz w:val="24"/>
          <w:u w:val="single"/>
        </w:rPr>
        <mc:AlternateContent>
          <mc:Choice Requires="wps">
            <w:drawing>
              <wp:anchor distT="0" distB="0" distL="114300" distR="114300" simplePos="0" relativeHeight="251580416" behindDoc="0" locked="0" layoutInCell="1" allowOverlap="1">
                <wp:simplePos x="0" y="0"/>
                <wp:positionH relativeFrom="column">
                  <wp:posOffset>563880</wp:posOffset>
                </wp:positionH>
                <wp:positionV relativeFrom="paragraph">
                  <wp:posOffset>128905</wp:posOffset>
                </wp:positionV>
                <wp:extent cx="585470" cy="344170"/>
                <wp:effectExtent l="0" t="0" r="0" b="0"/>
                <wp:wrapNone/>
                <wp:docPr id="73" name="矩形 191"/>
                <wp:cNvGraphicFramePr/>
                <a:graphic xmlns:a="http://schemas.openxmlformats.org/drawingml/2006/main">
                  <a:graphicData uri="http://schemas.microsoft.com/office/word/2010/wordprocessingShape">
                    <wps:wsp>
                      <wps:cNvSpPr/>
                      <wps:spPr>
                        <a:xfrm>
                          <a:off x="0" y="0"/>
                          <a:ext cx="585470" cy="344170"/>
                        </a:xfrm>
                        <a:prstGeom prst="rect">
                          <a:avLst/>
                        </a:prstGeom>
                        <a:noFill/>
                        <a:ln>
                          <a:noFill/>
                        </a:ln>
                      </wps:spPr>
                      <wps:txbx>
                        <w:txbxContent>
                          <w:p>
                            <w:r>
                              <w:rPr>
                                <w:rFonts w:hint="eastAsia"/>
                              </w:rPr>
                              <w:t>73.2</w:t>
                            </w:r>
                          </w:p>
                        </w:txbxContent>
                      </wps:txbx>
                      <wps:bodyPr upright="1"/>
                    </wps:wsp>
                  </a:graphicData>
                </a:graphic>
              </wp:anchor>
            </w:drawing>
          </mc:Choice>
          <mc:Fallback>
            <w:pict>
              <v:rect id="矩形 191" o:spid="_x0000_s1026" o:spt="1" style="position:absolute;left:0pt;margin-left:44.4pt;margin-top:10.15pt;height:27.1pt;width:46.1pt;z-index:251580416;mso-width-relative:page;mso-height-relative:page;" filled="f" stroked="f" coordsize="21600,21600" o:gfxdata="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TPG1tkAAAAIAQAADwAA&#10;AAAAAAABACAAAAAiAAAAZHJzL2Rvd25yZXYueG1sUEsBAhQAFAAAAAgAh07iQCE67tGjAQAAQwMA&#10;AA4AAAAAAAAAAQAgAAAAKAEAAGRycy9lMm9Eb2MueG1sUEsFBgAAAAAGAAYAWQEAAD0FAAAAAA==&#10;">
                <v:fill on="f" focussize="0,0"/>
                <v:stroke on="f"/>
                <v:imagedata o:title=""/>
                <o:lock v:ext="edit" aspectratio="f"/>
                <v:textbox>
                  <w:txbxContent>
                    <w:p>
                      <w:r>
                        <w:rPr>
                          <w:rFonts w:hint="eastAsia"/>
                        </w:rPr>
                        <w:t>73.2</w:t>
                      </w:r>
                    </w:p>
                  </w:txbxContent>
                </v:textbox>
              </v:rect>
            </w:pict>
          </mc:Fallback>
        </mc:AlternateContent>
      </w:r>
      <w:r>
        <w:rPr>
          <w:sz w:val="24"/>
          <w:u w:val="single"/>
        </w:rPr>
        <mc:AlternateContent>
          <mc:Choice Requires="wps">
            <w:drawing>
              <wp:anchor distT="0" distB="0" distL="114300" distR="114300" simplePos="0" relativeHeight="251583488" behindDoc="0" locked="0" layoutInCell="1" allowOverlap="1">
                <wp:simplePos x="0" y="0"/>
                <wp:positionH relativeFrom="column">
                  <wp:posOffset>3794760</wp:posOffset>
                </wp:positionH>
                <wp:positionV relativeFrom="paragraph">
                  <wp:posOffset>160020</wp:posOffset>
                </wp:positionV>
                <wp:extent cx="746760" cy="287020"/>
                <wp:effectExtent l="0" t="0" r="0" b="0"/>
                <wp:wrapNone/>
                <wp:docPr id="76" name="矩形 196"/>
                <wp:cNvGraphicFramePr/>
                <a:graphic xmlns:a="http://schemas.openxmlformats.org/drawingml/2006/main">
                  <a:graphicData uri="http://schemas.microsoft.com/office/word/2010/wordprocessingShape">
                    <wps:wsp>
                      <wps:cNvSpPr/>
                      <wps:spPr>
                        <a:xfrm>
                          <a:off x="0" y="0"/>
                          <a:ext cx="746760" cy="287020"/>
                        </a:xfrm>
                        <a:prstGeom prst="rect">
                          <a:avLst/>
                        </a:prstGeom>
                        <a:noFill/>
                        <a:ln>
                          <a:noFill/>
                        </a:ln>
                      </wps:spPr>
                      <wps:txbx>
                        <w:txbxContent>
                          <w:p>
                            <w:pPr>
                              <w:jc w:val="center"/>
                            </w:pPr>
                            <w:r>
                              <w:rPr>
                                <w:rFonts w:hint="eastAsia"/>
                              </w:rPr>
                              <w:t>10.6</w:t>
                            </w:r>
                          </w:p>
                        </w:txbxContent>
                      </wps:txbx>
                      <wps:bodyPr upright="1"/>
                    </wps:wsp>
                  </a:graphicData>
                </a:graphic>
              </wp:anchor>
            </w:drawing>
          </mc:Choice>
          <mc:Fallback>
            <w:pict>
              <v:rect id="矩形 196" o:spid="_x0000_s1026" o:spt="1" style="position:absolute;left:0pt;margin-left:298.8pt;margin-top:12.6pt;height:22.6pt;width:58.8pt;z-index:251583488;mso-width-relative:page;mso-height-relative:page;" filled="f" stroked="f" coordsize="21600,21600" o:gfxdata="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GiAxi2gAAAAkBAAAP&#10;AAAAAAAAAAEAIAAAACIAAABkcnMvZG93bnJldi54bWxQSwECFAAUAAAACACHTuJARivJH6QBAABD&#10;AwAADgAAAAAAAAABACAAAAApAQAAZHJzL2Uyb0RvYy54bWxQSwUGAAAAAAYABgBZAQAAPwUAAAAA&#10;">
                <v:fill on="f" focussize="0,0"/>
                <v:stroke on="f"/>
                <v:imagedata o:title=""/>
                <o:lock v:ext="edit" aspectratio="f"/>
                <v:textbox>
                  <w:txbxContent>
                    <w:p>
                      <w:pPr>
                        <w:jc w:val="center"/>
                      </w:pPr>
                      <w:r>
                        <w:rPr>
                          <w:rFonts w:hint="eastAsia"/>
                        </w:rPr>
                        <w:t>10.6</w:t>
                      </w:r>
                    </w:p>
                  </w:txbxContent>
                </v:textbox>
              </v:rect>
            </w:pict>
          </mc:Fallback>
        </mc:AlternateContent>
      </w:r>
      <w:r>
        <w:rPr>
          <w:sz w:val="24"/>
          <w:u w:val="single"/>
        </w:rPr>
        <mc:AlternateContent>
          <mc:Choice Requires="wps">
            <w:drawing>
              <wp:anchor distT="0" distB="0" distL="114300" distR="114300" simplePos="0" relativeHeight="251595776" behindDoc="0" locked="0" layoutInCell="1" allowOverlap="1">
                <wp:simplePos x="0" y="0"/>
                <wp:positionH relativeFrom="column">
                  <wp:posOffset>4641215</wp:posOffset>
                </wp:positionH>
                <wp:positionV relativeFrom="paragraph">
                  <wp:posOffset>185420</wp:posOffset>
                </wp:positionV>
                <wp:extent cx="1089660" cy="344170"/>
                <wp:effectExtent l="4445" t="5080" r="10795" b="12700"/>
                <wp:wrapNone/>
                <wp:docPr id="94" name="矩形 215"/>
                <wp:cNvGraphicFramePr/>
                <a:graphic xmlns:a="http://schemas.openxmlformats.org/drawingml/2006/main">
                  <a:graphicData uri="http://schemas.microsoft.com/office/word/2010/wordprocessingShape">
                    <wps:wsp>
                      <wps:cNvSpPr/>
                      <wps:spPr>
                        <a:xfrm>
                          <a:off x="0" y="0"/>
                          <a:ext cx="1089660" cy="344170"/>
                        </a:xfrm>
                        <a:prstGeom prst="rect">
                          <a:avLst/>
                        </a:prstGeom>
                        <a:noFill/>
                        <a:ln w="9525" cap="flat" cmpd="sng">
                          <a:solidFill>
                            <a:srgbClr val="000000"/>
                          </a:solidFill>
                          <a:prstDash val="solid"/>
                          <a:miter/>
                          <a:headEnd type="none" w="med" len="med"/>
                          <a:tailEnd type="none" w="med" len="med"/>
                        </a:ln>
                      </wps:spPr>
                      <wps:txbx>
                        <w:txbxContent>
                          <w:p>
                            <w:pPr>
                              <w:ind w:firstLine="210" w:firstLineChars="100"/>
                            </w:pPr>
                            <w:r>
                              <w:rPr>
                                <w:rFonts w:hint="eastAsia"/>
                              </w:rPr>
                              <w:t>西北岔河</w:t>
                            </w:r>
                          </w:p>
                        </w:txbxContent>
                      </wps:txbx>
                      <wps:bodyPr upright="1"/>
                    </wps:wsp>
                  </a:graphicData>
                </a:graphic>
              </wp:anchor>
            </w:drawing>
          </mc:Choice>
          <mc:Fallback>
            <w:pict>
              <v:rect id="矩形 215" o:spid="_x0000_s1026" o:spt="1" style="position:absolute;left:0pt;margin-left:365.45pt;margin-top:14.6pt;height:27.1pt;width:85.8pt;z-index:251595776;mso-width-relative:page;mso-height-relative:page;" filled="f" stroked="t" coordsize="21600,21600" o:gfxdata="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2g7h2AAAAAkBAAAPAAAAAAAAAAEAIAAAACIAAABkcnMvZG93&#10;bnJldi54bWxQSwECFAAUAAAACACHTuJAR5X7DAACAAADBAAADgAAAAAAAAABACAAAAAnAQAAZHJz&#10;L2Uyb0RvYy54bWxQSwUGAAAAAAYABgBZAQAAmQUAAAAA&#10;">
                <v:fill on="f" focussize="0,0"/>
                <v:stroke color="#000000" joinstyle="miter"/>
                <v:imagedata o:title=""/>
                <o:lock v:ext="edit" aspectratio="f"/>
                <v:textbox>
                  <w:txbxContent>
                    <w:p>
                      <w:pPr>
                        <w:ind w:firstLine="210" w:firstLineChars="100"/>
                      </w:pPr>
                      <w:r>
                        <w:rPr>
                          <w:rFonts w:hint="eastAsia"/>
                        </w:rPr>
                        <w:t>西北岔河</w:t>
                      </w:r>
                    </w:p>
                  </w:txbxContent>
                </v:textbox>
              </v:rect>
            </w:pict>
          </mc:Fallback>
        </mc:AlternateContent>
      </w:r>
      <w:r>
        <w:rPr>
          <w:sz w:val="24"/>
          <w:u w:val="single"/>
        </w:rPr>
        <mc:AlternateContent>
          <mc:Choice Requires="wps">
            <w:drawing>
              <wp:anchor distT="0" distB="0" distL="114300" distR="114300" simplePos="0" relativeHeight="251575296" behindDoc="0" locked="0" layoutInCell="1" allowOverlap="1">
                <wp:simplePos x="0" y="0"/>
                <wp:positionH relativeFrom="column">
                  <wp:posOffset>865505</wp:posOffset>
                </wp:positionH>
                <wp:positionV relativeFrom="paragraph">
                  <wp:posOffset>123190</wp:posOffset>
                </wp:positionV>
                <wp:extent cx="872490" cy="332740"/>
                <wp:effectExtent l="0" t="0" r="0" b="0"/>
                <wp:wrapNone/>
                <wp:docPr id="68" name="矩形 170"/>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20.0</w:t>
                            </w:r>
                          </w:p>
                        </w:txbxContent>
                      </wps:txbx>
                      <wps:bodyPr upright="1"/>
                    </wps:wsp>
                  </a:graphicData>
                </a:graphic>
              </wp:anchor>
            </w:drawing>
          </mc:Choice>
          <mc:Fallback>
            <w:pict>
              <v:rect id="矩形 170" o:spid="_x0000_s1026" o:spt="1" style="position:absolute;left:0pt;margin-left:68.15pt;margin-top:9.7pt;height:26.2pt;width:68.7pt;z-index:251575296;mso-width-relative:page;mso-height-relative:page;" filled="f" stroked="f" coordsize="21600,21600" o:gfxdata="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lTOm/aAAAACQEAAA8A&#10;AAAAAAAAAQAgAAAAIgAAAGRycy9kb3ducmV2LnhtbFBLAQIUABQAAAAIAIdO4kDNCorvowEAAEMD&#10;AAAOAAAAAAAAAAEAIAAAACkBAABkcnMvZTJvRG9jLnhtbFBLBQYAAAAABgAGAFkBAAA+BQAAAAA=&#10;">
                <v:fill on="f" focussize="0,0"/>
                <v:stroke on="f"/>
                <v:imagedata o:title=""/>
                <o:lock v:ext="edit" aspectratio="f"/>
                <v:textbox>
                  <w:txbxContent>
                    <w:p>
                      <w:pPr>
                        <w:jc w:val="center"/>
                      </w:pPr>
                      <w:r>
                        <w:rPr>
                          <w:rFonts w:hint="eastAsia"/>
                        </w:rPr>
                        <w:t>20.0</w:t>
                      </w:r>
                    </w:p>
                  </w:txbxContent>
                </v:textbox>
              </v:rect>
            </w:pict>
          </mc:Fallback>
        </mc:AlternateContent>
      </w:r>
      <w:r>
        <w:rPr>
          <w:sz w:val="24"/>
          <w:u w:val="single"/>
        </w:rPr>
        <mc:AlternateContent>
          <mc:Choice Requires="wps">
            <w:drawing>
              <wp:anchor distT="0" distB="0" distL="114300" distR="114300" simplePos="0" relativeHeight="251559936" behindDoc="0" locked="0" layoutInCell="1" allowOverlap="1">
                <wp:simplePos x="0" y="0"/>
                <wp:positionH relativeFrom="column">
                  <wp:posOffset>1755775</wp:posOffset>
                </wp:positionH>
                <wp:positionV relativeFrom="paragraph">
                  <wp:posOffset>152400</wp:posOffset>
                </wp:positionV>
                <wp:extent cx="1078865" cy="332740"/>
                <wp:effectExtent l="4445" t="4445" r="21590" b="5715"/>
                <wp:wrapNone/>
                <wp:docPr id="49" name="矩形 135"/>
                <wp:cNvGraphicFramePr/>
                <a:graphic xmlns:a="http://schemas.openxmlformats.org/drawingml/2006/main">
                  <a:graphicData uri="http://schemas.microsoft.com/office/word/2010/wordprocessingShape">
                    <wps:wsp>
                      <wps:cNvSpPr/>
                      <wps:spPr>
                        <a:xfrm>
                          <a:off x="0" y="0"/>
                          <a:ext cx="1078865" cy="3327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降尘</w:t>
                            </w:r>
                          </w:p>
                        </w:txbxContent>
                      </wps:txbx>
                      <wps:bodyPr upright="1"/>
                    </wps:wsp>
                  </a:graphicData>
                </a:graphic>
              </wp:anchor>
            </w:drawing>
          </mc:Choice>
          <mc:Fallback>
            <w:pict>
              <v:rect id="矩形 135" o:spid="_x0000_s1026" o:spt="1" style="position:absolute;left:0pt;margin-left:138.25pt;margin-top:12pt;height:26.2pt;width:84.95pt;z-index:251559936;mso-width-relative:page;mso-height-relative:page;" filled="f" stroked="t" coordsize="21600,21600" o:gfxdata="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2qxnh1wAAAAkBAAAPAAAAAAAAAAEAIAAAACIAAABkcnMvZG93&#10;bnJldi54bWxQSwECFAAUAAAACACHTuJAEOFIAgECAAADBAAADgAAAAAAAAABACAAAAAmAQAAZHJz&#10;L2Uyb0RvYy54bWxQSwUGAAAAAAYABgBZAQAAmQUAAAAA&#10;">
                <v:fill on="f" focussize="0,0"/>
                <v:stroke color="#000000" joinstyle="miter"/>
                <v:imagedata o:title=""/>
                <o:lock v:ext="edit" aspectratio="f"/>
                <v:textbox>
                  <w:txbxContent>
                    <w:p>
                      <w:pPr>
                        <w:jc w:val="center"/>
                      </w:pPr>
                      <w:r>
                        <w:rPr>
                          <w:rFonts w:hint="eastAsia"/>
                        </w:rPr>
                        <w:t>降尘</w:t>
                      </w:r>
                    </w:p>
                  </w:txbxContent>
                </v:textbox>
              </v:rect>
            </w:pict>
          </mc:Fallback>
        </mc:AlternateContent>
      </w:r>
    </w:p>
    <w:p>
      <w:pPr>
        <w:rPr>
          <w:sz w:val="24"/>
          <w:u w:val="single"/>
        </w:rPr>
      </w:pPr>
      <w:r>
        <w:rPr>
          <w:sz w:val="24"/>
          <w:u w:val="single"/>
        </w:rPr>
        <mc:AlternateContent>
          <mc:Choice Requires="wps">
            <w:drawing>
              <wp:anchor distT="0" distB="0" distL="114300" distR="114300" simplePos="0" relativeHeight="251725824" behindDoc="0" locked="0" layoutInCell="1" allowOverlap="1">
                <wp:simplePos x="0" y="0"/>
                <wp:positionH relativeFrom="column">
                  <wp:posOffset>2850515</wp:posOffset>
                </wp:positionH>
                <wp:positionV relativeFrom="paragraph">
                  <wp:posOffset>146050</wp:posOffset>
                </wp:positionV>
                <wp:extent cx="848995" cy="635"/>
                <wp:effectExtent l="0" t="48260" r="8255" b="65405"/>
                <wp:wrapNone/>
                <wp:docPr id="236" name="直线 362"/>
                <wp:cNvGraphicFramePr/>
                <a:graphic xmlns:a="http://schemas.openxmlformats.org/drawingml/2006/main">
                  <a:graphicData uri="http://schemas.microsoft.com/office/word/2010/wordprocessingShape">
                    <wps:wsp>
                      <wps:cNvSpPr/>
                      <wps:spPr>
                        <a:xfrm>
                          <a:off x="0" y="0"/>
                          <a:ext cx="8489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62" o:spid="_x0000_s1026" o:spt="20" style="position:absolute;left:0pt;margin-left:224.45pt;margin-top:11.5pt;height:0.05pt;width:66.85pt;z-index:251725824;mso-width-relative:page;mso-height-relative:page;" filled="f" stroked="t" coordsize="21600,21600" o:gfxdata="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m6cVtoAAAAJAQAADwAAAAAAAAABACAAAAAiAAAAZHJzL2Rvd25yZXYueG1sUEsBAhQA&#10;FAAAAAgAh07iQE/zOMzwAQAA4QMAAA4AAAAAAAAAAQAgAAAAKQEAAGRycy9lMm9Eb2MueG1sUEsF&#10;BgAAAAAGAAYAWQEAAIsFA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61984" behindDoc="0" locked="0" layoutInCell="1" allowOverlap="1">
                <wp:simplePos x="0" y="0"/>
                <wp:positionH relativeFrom="column">
                  <wp:posOffset>588010</wp:posOffset>
                </wp:positionH>
                <wp:positionV relativeFrom="paragraph">
                  <wp:posOffset>128270</wp:posOffset>
                </wp:positionV>
                <wp:extent cx="1182370" cy="635"/>
                <wp:effectExtent l="0" t="48260" r="17780" b="65405"/>
                <wp:wrapNone/>
                <wp:docPr id="51" name="直线 138"/>
                <wp:cNvGraphicFramePr/>
                <a:graphic xmlns:a="http://schemas.openxmlformats.org/drawingml/2006/main">
                  <a:graphicData uri="http://schemas.microsoft.com/office/word/2010/wordprocessingShape">
                    <wps:wsp>
                      <wps:cNvSpPr/>
                      <wps:spPr>
                        <a:xfrm>
                          <a:off x="0" y="0"/>
                          <a:ext cx="118237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38" o:spid="_x0000_s1026" o:spt="20" style="position:absolute;left:0pt;margin-left:46.3pt;margin-top:10.1pt;height:0.05pt;width:93.1pt;z-index:251561984;mso-width-relative:page;mso-height-relative:page;" filled="f" stroked="t" coordsize="21600,21600" o:gfxdata="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CyyUvYAAAACAEAAA8AAAAAAAAAAQAgAAAAIgAAAGRycy9kb3ducmV2LnhtbFBLAQIUABQA&#10;AAAIAIdO4kA1FEkW8AEAAOEDAAAOAAAAAAAAAAEAIAAAACcBAABkcnMvZTJvRG9jLnhtbFBLBQYA&#10;AAAABgAGAFkBAACJBQ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82464" behindDoc="0" locked="0" layoutInCell="1" allowOverlap="1">
                <wp:simplePos x="0" y="0"/>
                <wp:positionH relativeFrom="column">
                  <wp:posOffset>3691255</wp:posOffset>
                </wp:positionH>
                <wp:positionV relativeFrom="paragraph">
                  <wp:posOffset>160655</wp:posOffset>
                </wp:positionV>
                <wp:extent cx="953135" cy="635"/>
                <wp:effectExtent l="0" t="0" r="0" b="0"/>
                <wp:wrapNone/>
                <wp:docPr id="75" name="直线 193"/>
                <wp:cNvGraphicFramePr/>
                <a:graphic xmlns:a="http://schemas.openxmlformats.org/drawingml/2006/main">
                  <a:graphicData uri="http://schemas.microsoft.com/office/word/2010/wordprocessingShape">
                    <wps:wsp>
                      <wps:cNvSpPr/>
                      <wps:spPr>
                        <a:xfrm>
                          <a:off x="0" y="0"/>
                          <a:ext cx="95313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3" o:spid="_x0000_s1026" o:spt="20" style="position:absolute;left:0pt;margin-left:290.65pt;margin-top:12.65pt;height:0.05pt;width:75.05pt;z-index:251582464;mso-width-relative:page;mso-height-relative:page;" filled="f" stroked="t" coordsize="21600,21600" o:gfxdata="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ElY1NcA&#10;AAAJAQAADwAAAAAAAAABACAAAAAiAAAAZHJzL2Rvd25yZXYueG1sUEsBAhQAFAAAAAgAh07iQDxi&#10;0fHnAQAA3wMAAA4AAAAAAAAAAQAgAAAAJgEAAGRycy9lMm9Eb2MueG1sUEsFBgAAAAAGAAYAWQEA&#10;AH8FAAAAAA==&#10;">
                <v:fill on="f" focussize="0,0"/>
                <v:stroke color="#000000" joinstyle="round"/>
                <v:imagedata o:title=""/>
                <o:lock v:ext="edit" aspectratio="f"/>
              </v:line>
            </w:pict>
          </mc:Fallback>
        </mc:AlternateContent>
      </w:r>
    </w:p>
    <w:p>
      <w:pPr>
        <w:rPr>
          <w:sz w:val="24"/>
          <w:u w:val="single"/>
        </w:rPr>
      </w:pPr>
      <w:r>
        <w:rPr>
          <w:sz w:val="24"/>
          <w:u w:val="single"/>
        </w:rPr>
        <mc:AlternateContent>
          <mc:Choice Requires="wps">
            <w:drawing>
              <wp:anchor distT="0" distB="0" distL="114300" distR="114300" simplePos="0" relativeHeight="251579392" behindDoc="0" locked="0" layoutInCell="1" allowOverlap="1">
                <wp:simplePos x="0" y="0"/>
                <wp:positionH relativeFrom="column">
                  <wp:posOffset>3067050</wp:posOffset>
                </wp:positionH>
                <wp:positionV relativeFrom="paragraph">
                  <wp:posOffset>104140</wp:posOffset>
                </wp:positionV>
                <wp:extent cx="872490" cy="332740"/>
                <wp:effectExtent l="0" t="0" r="0" b="0"/>
                <wp:wrapNone/>
                <wp:docPr id="72" name="矩形 174"/>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r>
                              <w:rPr>
                                <w:rFonts w:hint="eastAsia"/>
                              </w:rPr>
                              <w:t>损耗0.4</w:t>
                            </w:r>
                          </w:p>
                        </w:txbxContent>
                      </wps:txbx>
                      <wps:bodyPr upright="1"/>
                    </wps:wsp>
                  </a:graphicData>
                </a:graphic>
              </wp:anchor>
            </w:drawing>
          </mc:Choice>
          <mc:Fallback>
            <w:pict>
              <v:rect id="矩形 174" o:spid="_x0000_s1026" o:spt="1" style="position:absolute;left:0pt;margin-left:241.5pt;margin-top:8.2pt;height:26.2pt;width:68.7pt;z-index:251579392;mso-width-relative:page;mso-height-relative:page;" filled="f" stroked="f" coordsize="21600,21600" o:gfxdata="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1c1V12QAAAAkBAAAP&#10;AAAAAAAAAAEAIAAAACIAAABkcnMvZG93bnJldi54bWxQSwECFAAUAAAACACHTuJAGsq+BKUBAABD&#10;AwAADgAAAAAAAAABACAAAAAoAQAAZHJzL2Uyb0RvYy54bWxQSwUGAAAAAAYABgBZAQAAPwUAAAAA&#10;">
                <v:fill on="f" focussize="0,0"/>
                <v:stroke on="f"/>
                <v:imagedata o:title=""/>
                <o:lock v:ext="edit" aspectratio="f"/>
                <v:textbox>
                  <w:txbxContent>
                    <w:p>
                      <w:r>
                        <w:rPr>
                          <w:rFonts w:hint="eastAsia"/>
                        </w:rPr>
                        <w:t>损耗0.4</w:t>
                      </w:r>
                    </w:p>
                  </w:txbxContent>
                </v:textbox>
              </v:rect>
            </w:pict>
          </mc:Fallback>
        </mc:AlternateContent>
      </w:r>
    </w:p>
    <w:p>
      <w:pPr>
        <w:rPr>
          <w:sz w:val="24"/>
          <w:u w:val="single"/>
        </w:rPr>
      </w:pPr>
      <w:r>
        <w:rPr>
          <w:sz w:val="24"/>
          <w:u w:val="single"/>
        </w:rPr>
        <mc:AlternateContent>
          <mc:Choice Requires="wpg">
            <w:drawing>
              <wp:anchor distT="0" distB="0" distL="114300" distR="114300" simplePos="0" relativeHeight="251573248" behindDoc="0" locked="0" layoutInCell="1" allowOverlap="1">
                <wp:simplePos x="0" y="0"/>
                <wp:positionH relativeFrom="column">
                  <wp:posOffset>2512695</wp:posOffset>
                </wp:positionH>
                <wp:positionV relativeFrom="paragraph">
                  <wp:posOffset>92075</wp:posOffset>
                </wp:positionV>
                <wp:extent cx="642620" cy="241300"/>
                <wp:effectExtent l="4445" t="48895" r="635" b="14605"/>
                <wp:wrapNone/>
                <wp:docPr id="66" name="组合 160"/>
                <wp:cNvGraphicFramePr/>
                <a:graphic xmlns:a="http://schemas.openxmlformats.org/drawingml/2006/main">
                  <a:graphicData uri="http://schemas.microsoft.com/office/word/2010/wordprocessingGroup">
                    <wpg:wgp>
                      <wpg:cNvGrpSpPr/>
                      <wpg:grpSpPr>
                        <a:xfrm>
                          <a:off x="0" y="0"/>
                          <a:ext cx="642620" cy="241300"/>
                          <a:chOff x="5967" y="436893"/>
                          <a:chExt cx="1012" cy="380"/>
                        </a:xfrm>
                      </wpg:grpSpPr>
                      <wps:wsp>
                        <wps:cNvPr id="64" name="直线 161"/>
                        <wps:cNvSpPr/>
                        <wps:spPr>
                          <a:xfrm flipV="1">
                            <a:off x="5967" y="436911"/>
                            <a:ext cx="1" cy="362"/>
                          </a:xfrm>
                          <a:prstGeom prst="line">
                            <a:avLst/>
                          </a:prstGeom>
                          <a:ln w="9525" cap="flat" cmpd="sng">
                            <a:solidFill>
                              <a:srgbClr val="000000"/>
                            </a:solidFill>
                            <a:prstDash val="dash"/>
                            <a:headEnd type="none" w="med" len="med"/>
                            <a:tailEnd type="none" w="med" len="med"/>
                          </a:ln>
                        </wps:spPr>
                        <wps:bodyPr upright="1"/>
                      </wps:wsp>
                      <wps:wsp>
                        <wps:cNvPr id="65" name="直线 162"/>
                        <wps:cNvSpPr/>
                        <wps:spPr>
                          <a:xfrm>
                            <a:off x="5967" y="436893"/>
                            <a:ext cx="1012" cy="1"/>
                          </a:xfrm>
                          <a:prstGeom prst="line">
                            <a:avLst/>
                          </a:prstGeom>
                          <a:ln w="9525" cap="flat" cmpd="sng">
                            <a:solidFill>
                              <a:srgbClr val="000000"/>
                            </a:solidFill>
                            <a:prstDash val="dash"/>
                            <a:headEnd type="none" w="med" len="med"/>
                            <a:tailEnd type="arrow" w="med" len="med"/>
                          </a:ln>
                        </wps:spPr>
                        <wps:bodyPr upright="1"/>
                      </wps:wsp>
                    </wpg:wgp>
                  </a:graphicData>
                </a:graphic>
              </wp:anchor>
            </w:drawing>
          </mc:Choice>
          <mc:Fallback>
            <w:pict>
              <v:group id="组合 160" o:spid="_x0000_s1026" o:spt="203" style="position:absolute;left:0pt;margin-left:197.85pt;margin-top:7.25pt;height:19pt;width:50.6pt;z-index:251573248;mso-width-relative:page;mso-height-relative:page;" coordorigin="5967,436893" coordsize="1012,380" o:gfxdata="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ke6l9oAAAAJAQAADwAAAAAAAAABACAAAAAiAAAAZHJzL2Rvd25yZXYueG1sUEsB&#10;AhQAFAAAAAgAh07iQARfoGCeAgAAIwcAAA4AAAAAAAAAAQAgAAAAKQEAAGRycy9lMm9Eb2MueG1s&#10;UEsFBgAAAAAGAAYAWQEAADkGAAAAAA==&#10;">
                <o:lock v:ext="edit" aspectratio="f"/>
                <v:line id="直线 161" o:spid="_x0000_s1026" o:spt="20" style="position:absolute;left:5967;top:436911;flip:y;height:362;width:1;" filled="f" stroked="t" coordsize="21600,21600" o:gfxdata="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k8pcrgAAADb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直线 162" o:spid="_x0000_s1026" o:spt="20" style="position:absolute;left:5967;top:436893;height:1;width:1012;" filled="f" stroked="t" coordsize="21600,21600" o:gfxdata="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HsBy8AAAA&#10;2w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group>
            </w:pict>
          </mc:Fallback>
        </mc:AlternateContent>
      </w:r>
    </w:p>
    <w:p>
      <w:pPr>
        <w:rPr>
          <w:sz w:val="24"/>
          <w:u w:val="single"/>
        </w:rPr>
      </w:pPr>
      <w:r>
        <w:rPr>
          <w:sz w:val="24"/>
          <w:u w:val="single"/>
        </w:rPr>
        <mc:AlternateContent>
          <mc:Choice Requires="wps">
            <w:drawing>
              <wp:anchor distT="0" distB="0" distL="114300" distR="114300" simplePos="0" relativeHeight="251578368" behindDoc="0" locked="0" layoutInCell="1" allowOverlap="1">
                <wp:simplePos x="0" y="0"/>
                <wp:positionH relativeFrom="column">
                  <wp:posOffset>2847340</wp:posOffset>
                </wp:positionH>
                <wp:positionV relativeFrom="paragraph">
                  <wp:posOffset>88900</wp:posOffset>
                </wp:positionV>
                <wp:extent cx="872490" cy="332740"/>
                <wp:effectExtent l="0" t="0" r="0" b="0"/>
                <wp:wrapNone/>
                <wp:docPr id="71" name="矩形 173"/>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0.6</w:t>
                            </w:r>
                          </w:p>
                        </w:txbxContent>
                      </wps:txbx>
                      <wps:bodyPr upright="1"/>
                    </wps:wsp>
                  </a:graphicData>
                </a:graphic>
              </wp:anchor>
            </w:drawing>
          </mc:Choice>
          <mc:Fallback>
            <w:pict>
              <v:rect id="矩形 173" o:spid="_x0000_s1026" o:spt="1" style="position:absolute;left:0pt;margin-left:224.2pt;margin-top:7pt;height:26.2pt;width:68.7pt;z-index:251578368;mso-width-relative:page;mso-height-relative:page;" filled="f" stroked="f" coordsize="21600,21600" o:gfxdata="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TIAgHYAAAACQEAAA8A&#10;AAAAAAAAAQAgAAAAIgAAAGRycy9kb3ducmV2LnhtbFBLAQIUABQAAAAIAIdO4kBSqB5/pQEAAEMD&#10;AAAOAAAAAAAAAAEAIAAAACcBAABkcnMvZTJvRG9jLnhtbFBLBQYAAAAABgAGAFkBAAA+BQAAAAA=&#10;">
                <v:fill on="f" focussize="0,0"/>
                <v:stroke on="f"/>
                <v:imagedata o:title=""/>
                <o:lock v:ext="edit" aspectratio="f"/>
                <v:textbox>
                  <w:txbxContent>
                    <w:p>
                      <w:pPr>
                        <w:jc w:val="center"/>
                      </w:pPr>
                      <w:r>
                        <w:rPr>
                          <w:rFonts w:hint="eastAsia"/>
                        </w:rPr>
                        <w:t>0.6</w:t>
                      </w:r>
                    </w:p>
                  </w:txbxContent>
                </v:textbox>
              </v:rect>
            </w:pict>
          </mc:Fallback>
        </mc:AlternateContent>
      </w:r>
      <w:r>
        <w:rPr>
          <w:sz w:val="24"/>
          <w:u w:val="single"/>
        </w:rPr>
        <mc:AlternateContent>
          <mc:Choice Requires="wps">
            <w:drawing>
              <wp:anchor distT="0" distB="0" distL="114300" distR="114300" simplePos="0" relativeHeight="251577344" behindDoc="0" locked="0" layoutInCell="1" allowOverlap="1">
                <wp:simplePos x="0" y="0"/>
                <wp:positionH relativeFrom="column">
                  <wp:posOffset>915035</wp:posOffset>
                </wp:positionH>
                <wp:positionV relativeFrom="paragraph">
                  <wp:posOffset>92710</wp:posOffset>
                </wp:positionV>
                <wp:extent cx="872490" cy="332740"/>
                <wp:effectExtent l="0" t="0" r="0" b="0"/>
                <wp:wrapNone/>
                <wp:docPr id="70" name="矩形 172"/>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1</w:t>
                            </w:r>
                          </w:p>
                        </w:txbxContent>
                      </wps:txbx>
                      <wps:bodyPr upright="1"/>
                    </wps:wsp>
                  </a:graphicData>
                </a:graphic>
              </wp:anchor>
            </w:drawing>
          </mc:Choice>
          <mc:Fallback>
            <w:pict>
              <v:rect id="矩形 172" o:spid="_x0000_s1026" o:spt="1" style="position:absolute;left:0pt;margin-left:72.05pt;margin-top:7.3pt;height:26.2pt;width:68.7pt;z-index:251577344;mso-width-relative:page;mso-height-relative:page;" filled="f" stroked="f" coordsize="21600,21600" o:gfxdata="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DxPlDZAAAACQEAAA8A&#10;AAAAAAAAAQAgAAAAIgAAAGRycy9kb3ducmV2LnhtbFBLAQIUABQAAAAIAIdO4kCltERupAEAAEMD&#10;AAAOAAAAAAAAAAEAIAAAACgBAABkcnMvZTJvRG9jLnhtbFBLBQYAAAAABgAGAFkBAAA+BQAAAAA=&#10;">
                <v:fill on="f" focussize="0,0"/>
                <v:stroke on="f"/>
                <v:imagedata o:title=""/>
                <o:lock v:ext="edit" aspectratio="f"/>
                <v:textbox>
                  <w:txbxContent>
                    <w:p>
                      <w:pPr>
                        <w:jc w:val="center"/>
                      </w:pPr>
                      <w:r>
                        <w:rPr>
                          <w:rFonts w:hint="eastAsia"/>
                        </w:rPr>
                        <w:t>1</w:t>
                      </w:r>
                    </w:p>
                  </w:txbxContent>
                </v:textbox>
              </v:rect>
            </w:pict>
          </mc:Fallback>
        </mc:AlternateContent>
      </w:r>
      <w:r>
        <w:rPr>
          <w:sz w:val="24"/>
          <w:u w:val="single"/>
        </w:rPr>
        <mc:AlternateContent>
          <mc:Choice Requires="wps">
            <w:drawing>
              <wp:anchor distT="0" distB="0" distL="114300" distR="114300" simplePos="0" relativeHeight="251560960" behindDoc="0" locked="0" layoutInCell="1" allowOverlap="1">
                <wp:simplePos x="0" y="0"/>
                <wp:positionH relativeFrom="column">
                  <wp:posOffset>1776730</wp:posOffset>
                </wp:positionH>
                <wp:positionV relativeFrom="paragraph">
                  <wp:posOffset>133350</wp:posOffset>
                </wp:positionV>
                <wp:extent cx="1078865" cy="332740"/>
                <wp:effectExtent l="4445" t="4445" r="21590" b="5715"/>
                <wp:wrapNone/>
                <wp:docPr id="50" name="矩形 136"/>
                <wp:cNvGraphicFramePr/>
                <a:graphic xmlns:a="http://schemas.openxmlformats.org/drawingml/2006/main">
                  <a:graphicData uri="http://schemas.microsoft.com/office/word/2010/wordprocessingShape">
                    <wps:wsp>
                      <wps:cNvSpPr/>
                      <wps:spPr>
                        <a:xfrm>
                          <a:off x="0" y="0"/>
                          <a:ext cx="1078865" cy="3327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锅炉用水</w:t>
                            </w:r>
                          </w:p>
                        </w:txbxContent>
                      </wps:txbx>
                      <wps:bodyPr upright="1"/>
                    </wps:wsp>
                  </a:graphicData>
                </a:graphic>
              </wp:anchor>
            </w:drawing>
          </mc:Choice>
          <mc:Fallback>
            <w:pict>
              <v:rect id="矩形 136" o:spid="_x0000_s1026" o:spt="1" style="position:absolute;left:0pt;margin-left:139.9pt;margin-top:10.5pt;height:26.2pt;width:84.95pt;z-index:251560960;mso-width-relative:page;mso-height-relative:page;" filled="f" stroked="t" coordsize="21600,21600" o:gfxdata="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lFxW2AAAAAkBAAAPAAAAAAAAAAEAIAAAACIAAABkcnMvZG93&#10;bnJldi54bWxQSwECFAAUAAAACACHTuJAvorerAACAAADBAAADgAAAAAAAAABACAAAAAnAQAAZHJz&#10;L2Uyb0RvYy54bWxQSwUGAAAAAAYABgBZAQAAmQUAAAAA&#10;">
                <v:fill on="f" focussize="0,0"/>
                <v:stroke color="#000000" joinstyle="miter"/>
                <v:imagedata o:title=""/>
                <o:lock v:ext="edit" aspectratio="f"/>
                <v:textbox>
                  <w:txbxContent>
                    <w:p>
                      <w:pPr>
                        <w:jc w:val="center"/>
                      </w:pPr>
                      <w:r>
                        <w:rPr>
                          <w:rFonts w:hint="eastAsia"/>
                        </w:rPr>
                        <w:t>锅炉用水</w:t>
                      </w:r>
                    </w:p>
                  </w:txbxContent>
                </v:textbox>
              </v:rect>
            </w:pict>
          </mc:Fallback>
        </mc:AlternateContent>
      </w:r>
    </w:p>
    <w:p>
      <w:pPr>
        <w:rPr>
          <w:sz w:val="24"/>
          <w:u w:val="single"/>
        </w:rPr>
      </w:pPr>
      <w:r>
        <w:rPr>
          <w:sz w:val="24"/>
          <w:u w:val="single"/>
        </w:rPr>
        <mc:AlternateContent>
          <mc:Choice Requires="wps">
            <w:drawing>
              <wp:anchor distT="0" distB="0" distL="114300" distR="114300" simplePos="0" relativeHeight="251726848" behindDoc="0" locked="0" layoutInCell="1" allowOverlap="1">
                <wp:simplePos x="0" y="0"/>
                <wp:positionH relativeFrom="column">
                  <wp:posOffset>2860040</wp:posOffset>
                </wp:positionH>
                <wp:positionV relativeFrom="paragraph">
                  <wp:posOffset>106045</wp:posOffset>
                </wp:positionV>
                <wp:extent cx="848995" cy="635"/>
                <wp:effectExtent l="0" t="48260" r="8255" b="65405"/>
                <wp:wrapNone/>
                <wp:docPr id="237" name="直线 363"/>
                <wp:cNvGraphicFramePr/>
                <a:graphic xmlns:a="http://schemas.openxmlformats.org/drawingml/2006/main">
                  <a:graphicData uri="http://schemas.microsoft.com/office/word/2010/wordprocessingShape">
                    <wps:wsp>
                      <wps:cNvSpPr/>
                      <wps:spPr>
                        <a:xfrm>
                          <a:off x="0" y="0"/>
                          <a:ext cx="8489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63" o:spid="_x0000_s1026" o:spt="20" style="position:absolute;left:0pt;margin-left:225.2pt;margin-top:8.35pt;height:0.05pt;width:66.85pt;z-index:251726848;mso-width-relative:page;mso-height-relative:page;" filled="f" stroked="t" coordsize="21600,21600" o:gfxdata="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XU6b2QAAAAkBAAAPAAAAAAAAAAEAIAAAACIAAABkcnMvZG93bnJldi54bWxQSwECFAAU&#10;AAAACACHTuJAjXGGvvABAADhAwAADgAAAAAAAAABACAAAAAoAQAAZHJzL2Uyb0RvYy54bWxQSwUG&#10;AAAAAAYABgBZAQAAigU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65056" behindDoc="0" locked="0" layoutInCell="1" allowOverlap="1">
                <wp:simplePos x="0" y="0"/>
                <wp:positionH relativeFrom="column">
                  <wp:posOffset>1047115</wp:posOffset>
                </wp:positionH>
                <wp:positionV relativeFrom="paragraph">
                  <wp:posOffset>106680</wp:posOffset>
                </wp:positionV>
                <wp:extent cx="711835" cy="635"/>
                <wp:effectExtent l="0" t="48895" r="12065" b="64770"/>
                <wp:wrapNone/>
                <wp:docPr id="54" name="直线 142"/>
                <wp:cNvGraphicFramePr/>
                <a:graphic xmlns:a="http://schemas.openxmlformats.org/drawingml/2006/main">
                  <a:graphicData uri="http://schemas.microsoft.com/office/word/2010/wordprocessingShape">
                    <wps:wsp>
                      <wps:cNvSpPr/>
                      <wps:spPr>
                        <a:xfrm>
                          <a:off x="0" y="0"/>
                          <a:ext cx="71183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42" o:spid="_x0000_s1026" o:spt="20" style="position:absolute;left:0pt;margin-left:82.45pt;margin-top:8.4pt;height:0.05pt;width:56.05pt;z-index:251565056;mso-width-relative:page;mso-height-relative:page;" filled="f" stroked="t" coordsize="21600,21600" o:gfxdata="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ENs5nXAAAACQEAAA8AAAAAAAAAAQAgAAAAIgAAAGRycy9kb3ducmV2LnhtbFBLAQIUABQAAAAI&#10;AIdO4kCdaKcH7gEAAOADAAAOAAAAAAAAAAEAIAAAACYBAABkcnMvZTJvRG9jLnhtbFBLBQYAAAAA&#10;BgAGAFkBAACGBQAAAAA=&#10;">
                <v:fill on="f" focussize="0,0"/>
                <v:stroke color="#000000" joinstyle="round" endarrow="open"/>
                <v:imagedata o:title=""/>
                <o:lock v:ext="edit" aspectratio="f"/>
              </v:line>
            </w:pict>
          </mc:Fallback>
        </mc:AlternateContent>
      </w:r>
    </w:p>
    <w:p>
      <w:pPr>
        <w:rPr>
          <w:sz w:val="24"/>
          <w:u w:val="single"/>
        </w:rPr>
      </w:pPr>
      <w:r>
        <w:rPr>
          <w:sz w:val="24"/>
          <w:u w:val="single"/>
        </w:rPr>
        <mc:AlternateContent>
          <mc:Choice Requires="wps">
            <w:drawing>
              <wp:anchor distT="0" distB="0" distL="114300" distR="114300" simplePos="0" relativeHeight="251730944" behindDoc="0" locked="0" layoutInCell="1" allowOverlap="1">
                <wp:simplePos x="0" y="0"/>
                <wp:positionH relativeFrom="column">
                  <wp:posOffset>3162300</wp:posOffset>
                </wp:positionH>
                <wp:positionV relativeFrom="paragraph">
                  <wp:posOffset>45085</wp:posOffset>
                </wp:positionV>
                <wp:extent cx="872490" cy="332740"/>
                <wp:effectExtent l="0" t="0" r="0" b="0"/>
                <wp:wrapNone/>
                <wp:docPr id="243" name="矩形 369"/>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r>
                              <w:rPr>
                                <w:rFonts w:hint="eastAsia"/>
                              </w:rPr>
                              <w:t>损耗0.3</w:t>
                            </w:r>
                          </w:p>
                        </w:txbxContent>
                      </wps:txbx>
                      <wps:bodyPr upright="1"/>
                    </wps:wsp>
                  </a:graphicData>
                </a:graphic>
              </wp:anchor>
            </w:drawing>
          </mc:Choice>
          <mc:Fallback>
            <w:pict>
              <v:rect id="矩形 369" o:spid="_x0000_s1026" o:spt="1" style="position:absolute;left:0pt;margin-left:249pt;margin-top:3.55pt;height:26.2pt;width:68.7pt;z-index:251730944;mso-width-relative:page;mso-height-relative:page;" filled="f" stroked="f" coordsize="21600,21600" o:gfxdata="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vdYgvaAAAACAEA&#10;AA8AAAAAAAAAAQAgAAAAIgAAAGRycy9kb3ducmV2LnhtbFBLAQIUABQAAAAIAIdO4kAi0vwQpgEA&#10;AEQDAAAOAAAAAAAAAAEAIAAAACkBAABkcnMvZTJvRG9jLnhtbFBLBQYAAAAABgAGAFkBAABBBQAA&#10;AAA=&#10;">
                <v:fill on="f" focussize="0,0"/>
                <v:stroke on="f"/>
                <v:imagedata o:title=""/>
                <o:lock v:ext="edit" aspectratio="f"/>
                <v:textbox>
                  <w:txbxContent>
                    <w:p>
                      <w:r>
                        <w:rPr>
                          <w:rFonts w:hint="eastAsia"/>
                        </w:rPr>
                        <w:t>损耗0.3</w:t>
                      </w:r>
                    </w:p>
                  </w:txbxContent>
                </v:textbox>
              </v:rect>
            </w:pict>
          </mc:Fallback>
        </mc:AlternateContent>
      </w:r>
    </w:p>
    <w:p>
      <w:pPr>
        <w:rPr>
          <w:sz w:val="24"/>
          <w:u w:val="single"/>
        </w:rPr>
      </w:pPr>
      <w:r>
        <w:rPr>
          <w:sz w:val="24"/>
          <w:u w:val="single"/>
        </w:rPr>
        <mc:AlternateContent>
          <mc:Choice Requires="wpg">
            <w:drawing>
              <wp:anchor distT="0" distB="0" distL="114300" distR="114300" simplePos="0" relativeHeight="251729920" behindDoc="0" locked="0" layoutInCell="1" allowOverlap="1">
                <wp:simplePos x="0" y="0"/>
                <wp:positionH relativeFrom="column">
                  <wp:posOffset>2522220</wp:posOffset>
                </wp:positionH>
                <wp:positionV relativeFrom="paragraph">
                  <wp:posOffset>4445</wp:posOffset>
                </wp:positionV>
                <wp:extent cx="642620" cy="241300"/>
                <wp:effectExtent l="4445" t="48895" r="635" b="14605"/>
                <wp:wrapNone/>
                <wp:docPr id="242" name="组合 366"/>
                <wp:cNvGraphicFramePr/>
                <a:graphic xmlns:a="http://schemas.openxmlformats.org/drawingml/2006/main">
                  <a:graphicData uri="http://schemas.microsoft.com/office/word/2010/wordprocessingGroup">
                    <wpg:wgp>
                      <wpg:cNvGrpSpPr/>
                      <wpg:grpSpPr>
                        <a:xfrm>
                          <a:off x="0" y="0"/>
                          <a:ext cx="642620" cy="241300"/>
                          <a:chOff x="5967" y="436893"/>
                          <a:chExt cx="1012" cy="380"/>
                        </a:xfrm>
                      </wpg:grpSpPr>
                      <wps:wsp>
                        <wps:cNvPr id="240" name="直线 161"/>
                        <wps:cNvSpPr/>
                        <wps:spPr>
                          <a:xfrm flipV="1">
                            <a:off x="5967" y="436911"/>
                            <a:ext cx="1" cy="362"/>
                          </a:xfrm>
                          <a:prstGeom prst="line">
                            <a:avLst/>
                          </a:prstGeom>
                          <a:ln w="9525" cap="flat" cmpd="sng">
                            <a:solidFill>
                              <a:srgbClr val="000000"/>
                            </a:solidFill>
                            <a:prstDash val="dash"/>
                            <a:headEnd type="none" w="med" len="med"/>
                            <a:tailEnd type="none" w="med" len="med"/>
                          </a:ln>
                        </wps:spPr>
                        <wps:bodyPr upright="1"/>
                      </wps:wsp>
                      <wps:wsp>
                        <wps:cNvPr id="241" name="直线 162"/>
                        <wps:cNvSpPr/>
                        <wps:spPr>
                          <a:xfrm>
                            <a:off x="5967" y="436893"/>
                            <a:ext cx="1012" cy="1"/>
                          </a:xfrm>
                          <a:prstGeom prst="line">
                            <a:avLst/>
                          </a:prstGeom>
                          <a:ln w="9525" cap="flat" cmpd="sng">
                            <a:solidFill>
                              <a:srgbClr val="000000"/>
                            </a:solidFill>
                            <a:prstDash val="dash"/>
                            <a:headEnd type="none" w="med" len="med"/>
                            <a:tailEnd type="arrow" w="med" len="med"/>
                          </a:ln>
                        </wps:spPr>
                        <wps:bodyPr upright="1"/>
                      </wps:wsp>
                    </wpg:wgp>
                  </a:graphicData>
                </a:graphic>
              </wp:anchor>
            </w:drawing>
          </mc:Choice>
          <mc:Fallback>
            <w:pict>
              <v:group id="组合 366" o:spid="_x0000_s1026" o:spt="203" style="position:absolute;left:0pt;margin-left:198.6pt;margin-top:0.35pt;height:19pt;width:50.6pt;z-index:251729920;mso-width-relative:page;mso-height-relative:page;" coordorigin="5967,436893" coordsize="1012,380" o:gfxdata="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T60KfXAAAABwEAAA8AAAAAAAAAAQAgAAAAIgAAAGRycy9kb3ducmV2LnhtbFBL&#10;AQIUABQAAAAIAIdO4kD7bczdogIAACYHAAAOAAAAAAAAAAEAIAAAACYBAABkcnMvZTJvRG9jLnht&#10;bFBLBQYAAAAABgAGAFkBAAA6BgAAAAA=&#10;">
                <o:lock v:ext="edit" aspectratio="f"/>
                <v:line id="直线 161" o:spid="_x0000_s1026" o:spt="20" style="position:absolute;left:5967;top:436911;flip:y;height:362;width:1;" filled="f" stroked="t" coordsize="21600,21600" o:gfxdata="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MzNHtwAAANwAAAAP&#10;AAAAAAAAAAEAIAAAACIAAABkcnMvZG93bnJldi54bWxQSwECFAAUAAAACACHTuJAMy8FnjsAAAA5&#10;AAAAEAAAAAAAAAABACAAAAAGAQAAZHJzL3NoYXBleG1sLnhtbFBLBQYAAAAABgAGAFsBAACwAwAA&#10;AAA=&#10;">
                  <v:fill on="f" focussize="0,0"/>
                  <v:stroke color="#000000" joinstyle="round" dashstyle="dash"/>
                  <v:imagedata o:title=""/>
                  <o:lock v:ext="edit" aspectratio="f"/>
                </v:line>
                <v:line id="直线 162" o:spid="_x0000_s1026" o:spt="20" style="position:absolute;left:5967;top:436893;height:1;width:1012;" filled="f" stroked="t" coordsize="21600,21600" o:gfxdata="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Jqb4A&#10;AADc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group>
            </w:pict>
          </mc:Fallback>
        </mc:AlternateContent>
      </w:r>
      <w:r>
        <w:rPr>
          <w:sz w:val="24"/>
          <w:u w:val="single"/>
        </w:rPr>
        <mc:AlternateContent>
          <mc:Choice Requires="wps">
            <w:drawing>
              <wp:anchor distT="0" distB="0" distL="114300" distR="114300" simplePos="0" relativeHeight="251728896" behindDoc="0" locked="0" layoutInCell="1" allowOverlap="1">
                <wp:simplePos x="0" y="0"/>
                <wp:positionH relativeFrom="column">
                  <wp:posOffset>2820035</wp:posOffset>
                </wp:positionH>
                <wp:positionV relativeFrom="paragraph">
                  <wp:posOffset>174625</wp:posOffset>
                </wp:positionV>
                <wp:extent cx="872490" cy="332740"/>
                <wp:effectExtent l="0" t="0" r="0" b="0"/>
                <wp:wrapNone/>
                <wp:docPr id="239" name="矩形 365"/>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1.2</w:t>
                            </w:r>
                          </w:p>
                        </w:txbxContent>
                      </wps:txbx>
                      <wps:bodyPr upright="1"/>
                    </wps:wsp>
                  </a:graphicData>
                </a:graphic>
              </wp:anchor>
            </w:drawing>
          </mc:Choice>
          <mc:Fallback>
            <w:pict>
              <v:rect id="矩形 365" o:spid="_x0000_s1026" o:spt="1" style="position:absolute;left:0pt;margin-left:222.05pt;margin-top:13.75pt;height:26.2pt;width:68.7pt;z-index:251728896;mso-width-relative:page;mso-height-relative:page;" filled="f" stroked="f" coordsize="21600,21600" o:gfxdata="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lafjZ2wAAAAkB&#10;AAAPAAAAAAAAAAEAIAAAACIAAABkcnMvZG93bnJldi54bWxQSwECFAAUAAAACACHTuJACqpqXKYB&#10;AABEAwAADgAAAAAAAAABACAAAAAqAQAAZHJzL2Uyb0RvYy54bWxQSwUGAAAAAAYABgBZAQAAQgUA&#10;AAAA&#10;">
                <v:fill on="f" focussize="0,0"/>
                <v:stroke on="f"/>
                <v:imagedata o:title=""/>
                <o:lock v:ext="edit" aspectratio="f"/>
                <v:textbox>
                  <w:txbxContent>
                    <w:p>
                      <w:pPr>
                        <w:jc w:val="center"/>
                      </w:pPr>
                      <w:r>
                        <w:rPr>
                          <w:rFonts w:hint="eastAsia"/>
                        </w:rPr>
                        <w:t>1.2</w:t>
                      </w:r>
                    </w:p>
                  </w:txbxContent>
                </v:textbox>
              </v:rect>
            </w:pict>
          </mc:Fallback>
        </mc:AlternateContent>
      </w:r>
    </w:p>
    <w:p>
      <w:pPr>
        <w:rPr>
          <w:sz w:val="24"/>
          <w:u w:val="single"/>
        </w:rPr>
      </w:pPr>
      <w:r>
        <w:rPr>
          <w:sz w:val="24"/>
          <w:u w:val="single"/>
        </w:rPr>
        <mc:AlternateContent>
          <mc:Choice Requires="wps">
            <w:drawing>
              <wp:anchor distT="0" distB="0" distL="114300" distR="114300" simplePos="0" relativeHeight="251722752" behindDoc="0" locked="0" layoutInCell="1" allowOverlap="1">
                <wp:simplePos x="0" y="0"/>
                <wp:positionH relativeFrom="column">
                  <wp:posOffset>934085</wp:posOffset>
                </wp:positionH>
                <wp:positionV relativeFrom="paragraph">
                  <wp:posOffset>14605</wp:posOffset>
                </wp:positionV>
                <wp:extent cx="872490" cy="332740"/>
                <wp:effectExtent l="0" t="0" r="0" b="0"/>
                <wp:wrapNone/>
                <wp:docPr id="233" name="矩形 359"/>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1.5</w:t>
                            </w:r>
                          </w:p>
                        </w:txbxContent>
                      </wps:txbx>
                      <wps:bodyPr upright="1"/>
                    </wps:wsp>
                  </a:graphicData>
                </a:graphic>
              </wp:anchor>
            </w:drawing>
          </mc:Choice>
          <mc:Fallback>
            <w:pict>
              <v:rect id="矩形 359" o:spid="_x0000_s1026" o:spt="1" style="position:absolute;left:0pt;margin-left:73.55pt;margin-top:1.15pt;height:26.2pt;width:68.7pt;z-index:251722752;mso-width-relative:page;mso-height-relative:page;" filled="f" stroked="f" coordsize="21600,21600" o:gfxdata="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EwEX9kAAAAIAQAA&#10;DwAAAAAAAAABACAAAAAiAAAAZHJzL2Rvd25yZXYueG1sUEsBAhQAFAAAAAgAh07iQG5NoOemAQAA&#10;RAMAAA4AAAAAAAAAAQAgAAAAKAEAAGRycy9lMm9Eb2MueG1sUEsFBgAAAAAGAAYAWQEAAEAFAAAA&#10;AA==&#10;">
                <v:fill on="f" focussize="0,0"/>
                <v:stroke on="f"/>
                <v:imagedata o:title=""/>
                <o:lock v:ext="edit" aspectratio="f"/>
                <v:textbox>
                  <w:txbxContent>
                    <w:p>
                      <w:pPr>
                        <w:jc w:val="center"/>
                      </w:pPr>
                      <w:r>
                        <w:rPr>
                          <w:rFonts w:hint="eastAsia"/>
                        </w:rPr>
                        <w:t>1.5</w:t>
                      </w:r>
                    </w:p>
                  </w:txbxContent>
                </v:textbox>
              </v:rect>
            </w:pict>
          </mc:Fallback>
        </mc:AlternateContent>
      </w:r>
      <w:r>
        <w:rPr>
          <w:sz w:val="24"/>
          <w:u w:val="single"/>
        </w:rPr>
        <mc:AlternateContent>
          <mc:Choice Requires="wps">
            <w:drawing>
              <wp:anchor distT="0" distB="0" distL="114300" distR="114300" simplePos="0" relativeHeight="251727872" behindDoc="0" locked="0" layoutInCell="1" allowOverlap="1">
                <wp:simplePos x="0" y="0"/>
                <wp:positionH relativeFrom="column">
                  <wp:posOffset>3672205</wp:posOffset>
                </wp:positionH>
                <wp:positionV relativeFrom="paragraph">
                  <wp:posOffset>26670</wp:posOffset>
                </wp:positionV>
                <wp:extent cx="1078865" cy="332740"/>
                <wp:effectExtent l="4445" t="4445" r="21590" b="5715"/>
                <wp:wrapNone/>
                <wp:docPr id="238" name="矩形 364"/>
                <wp:cNvGraphicFramePr/>
                <a:graphic xmlns:a="http://schemas.openxmlformats.org/drawingml/2006/main">
                  <a:graphicData uri="http://schemas.microsoft.com/office/word/2010/wordprocessingShape">
                    <wps:wsp>
                      <wps:cNvSpPr/>
                      <wps:spPr>
                        <a:xfrm>
                          <a:off x="0" y="0"/>
                          <a:ext cx="1078865" cy="3327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防渗旱厕</w:t>
                            </w:r>
                          </w:p>
                        </w:txbxContent>
                      </wps:txbx>
                      <wps:bodyPr upright="1"/>
                    </wps:wsp>
                  </a:graphicData>
                </a:graphic>
              </wp:anchor>
            </w:drawing>
          </mc:Choice>
          <mc:Fallback>
            <w:pict>
              <v:rect id="矩形 364" o:spid="_x0000_s1026" o:spt="1" style="position:absolute;left:0pt;margin-left:289.15pt;margin-top:2.1pt;height:26.2pt;width:84.95pt;z-index:251727872;mso-width-relative:page;mso-height-relative:page;" filled="f" stroked="t" coordsize="21600,21600" o:gfxdata="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jTPH1wAAAAgBAAAPAAAAAAAAAAEAIAAAACIAAABkcnMvZG93&#10;bnJldi54bWxQSwECFAAUAAAACACHTuJADVeDTAECAAAEBAAADgAAAAAAAAABACAAAAAmAQAAZHJz&#10;L2Uyb0RvYy54bWxQSwUGAAAAAAYABgBZAQAAmQUAAAAA&#10;">
                <v:fill on="f" focussize="0,0"/>
                <v:stroke color="#000000" joinstyle="miter"/>
                <v:imagedata o:title=""/>
                <o:lock v:ext="edit" aspectratio="f"/>
                <v:textbox>
                  <w:txbxContent>
                    <w:p>
                      <w:pPr>
                        <w:jc w:val="center"/>
                      </w:pPr>
                      <w:r>
                        <w:rPr>
                          <w:rFonts w:hint="eastAsia"/>
                        </w:rPr>
                        <w:t>防渗旱厕</w:t>
                      </w:r>
                    </w:p>
                  </w:txbxContent>
                </v:textbox>
              </v:rect>
            </w:pict>
          </mc:Fallback>
        </mc:AlternateContent>
      </w:r>
      <w:r>
        <w:rPr>
          <w:sz w:val="24"/>
          <w:u w:val="single"/>
        </w:rPr>
        <mc:AlternateContent>
          <mc:Choice Requires="wps">
            <w:drawing>
              <wp:anchor distT="0" distB="0" distL="114300" distR="114300" simplePos="0" relativeHeight="251723776" behindDoc="0" locked="0" layoutInCell="1" allowOverlap="1">
                <wp:simplePos x="0" y="0"/>
                <wp:positionH relativeFrom="column">
                  <wp:posOffset>1738630</wp:posOffset>
                </wp:positionH>
                <wp:positionV relativeFrom="paragraph">
                  <wp:posOffset>55245</wp:posOffset>
                </wp:positionV>
                <wp:extent cx="1078865" cy="332740"/>
                <wp:effectExtent l="4445" t="4445" r="21590" b="5715"/>
                <wp:wrapNone/>
                <wp:docPr id="234" name="矩形 360"/>
                <wp:cNvGraphicFramePr/>
                <a:graphic xmlns:a="http://schemas.openxmlformats.org/drawingml/2006/main">
                  <a:graphicData uri="http://schemas.microsoft.com/office/word/2010/wordprocessingShape">
                    <wps:wsp>
                      <wps:cNvSpPr/>
                      <wps:spPr>
                        <a:xfrm>
                          <a:off x="0" y="0"/>
                          <a:ext cx="1078865" cy="3327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upright="1"/>
                    </wps:wsp>
                  </a:graphicData>
                </a:graphic>
              </wp:anchor>
            </w:drawing>
          </mc:Choice>
          <mc:Fallback>
            <w:pict>
              <v:rect id="矩形 360" o:spid="_x0000_s1026" o:spt="1" style="position:absolute;left:0pt;margin-left:136.9pt;margin-top:4.35pt;height:26.2pt;width:84.95pt;z-index:251723776;mso-width-relative:page;mso-height-relative:page;" filled="f" stroked="t" coordsize="21600,21600" o:gfxdata="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A4oDXAAAACAEAAA8AAAAAAAAAAQAgAAAAIgAAAGRycy9kb3du&#10;cmV2LnhtbFBLAQIUABQAAAAIAIdO4kCctRufAAIAAAQEAAAOAAAAAAAAAAEAIAAAACYBAABkcnMv&#10;ZTJvRG9jLnhtbFBLBQYAAAAABgAGAFkBAACYBQAAAAA=&#10;">
                <v:fill on="f" focussize="0,0"/>
                <v:stroke color="#000000" joinstyle="miter"/>
                <v:imagedata o:title=""/>
                <o:lock v:ext="edit" aspectratio="f"/>
                <v:textbox>
                  <w:txbxContent>
                    <w:p>
                      <w:pPr>
                        <w:jc w:val="center"/>
                      </w:pPr>
                      <w:r>
                        <w:rPr>
                          <w:rFonts w:hint="eastAsia"/>
                        </w:rPr>
                        <w:t>生活用水</w:t>
                      </w:r>
                    </w:p>
                  </w:txbxContent>
                </v:textbox>
              </v:rect>
            </w:pict>
          </mc:Fallback>
        </mc:AlternateContent>
      </w:r>
    </w:p>
    <w:p>
      <w:pPr>
        <w:rPr>
          <w:sz w:val="24"/>
          <w:u w:val="single"/>
        </w:rPr>
      </w:pPr>
      <w:r>
        <w:rPr>
          <w:sz w:val="24"/>
          <w:u w:val="single"/>
        </w:rPr>
        <mc:AlternateContent>
          <mc:Choice Requires="wps">
            <w:drawing>
              <wp:anchor distT="0" distB="0" distL="114300" distR="114300" simplePos="0" relativeHeight="251721728" behindDoc="0" locked="0" layoutInCell="1" allowOverlap="1">
                <wp:simplePos x="0" y="0"/>
                <wp:positionH relativeFrom="column">
                  <wp:posOffset>1077595</wp:posOffset>
                </wp:positionH>
                <wp:positionV relativeFrom="paragraph">
                  <wp:posOffset>16510</wp:posOffset>
                </wp:positionV>
                <wp:extent cx="677545" cy="635"/>
                <wp:effectExtent l="0" t="48895" r="8255" b="64770"/>
                <wp:wrapNone/>
                <wp:docPr id="232" name="直线 358"/>
                <wp:cNvGraphicFramePr/>
                <a:graphic xmlns:a="http://schemas.openxmlformats.org/drawingml/2006/main">
                  <a:graphicData uri="http://schemas.microsoft.com/office/word/2010/wordprocessingShape">
                    <wps:wsp>
                      <wps:cNvSpPr/>
                      <wps:spPr>
                        <a:xfrm>
                          <a:off x="0" y="0"/>
                          <a:ext cx="6775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58" o:spid="_x0000_s1026" o:spt="20" style="position:absolute;left:0pt;margin-left:84.85pt;margin-top:1.3pt;height:0.05pt;width:53.35pt;z-index:251721728;mso-width-relative:page;mso-height-relative:page;" filled="f" stroked="t" coordsize="21600,21600" o:gfxdata="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ntE7NcAAAAHAQAADwAAAAAAAAABACAAAAAiAAAAZHJzL2Rvd25yZXYueG1sUEsBAhQAFAAA&#10;AAgAh07iQBLbyKLwAQAA4QMAAA4AAAAAAAAAAQAgAAAAJgEAAGRycy9lMm9Eb2MueG1sUEsFBgAA&#10;AAAGAAYAWQEAAIgFA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74272" behindDoc="0" locked="0" layoutInCell="1" allowOverlap="1">
                <wp:simplePos x="0" y="0"/>
                <wp:positionH relativeFrom="column">
                  <wp:posOffset>2821940</wp:posOffset>
                </wp:positionH>
                <wp:positionV relativeFrom="paragraph">
                  <wp:posOffset>8890</wp:posOffset>
                </wp:positionV>
                <wp:extent cx="848995" cy="635"/>
                <wp:effectExtent l="0" t="48260" r="8255" b="65405"/>
                <wp:wrapNone/>
                <wp:docPr id="67" name="直线 168"/>
                <wp:cNvGraphicFramePr/>
                <a:graphic xmlns:a="http://schemas.openxmlformats.org/drawingml/2006/main">
                  <a:graphicData uri="http://schemas.microsoft.com/office/word/2010/wordprocessingShape">
                    <wps:wsp>
                      <wps:cNvSpPr/>
                      <wps:spPr>
                        <a:xfrm>
                          <a:off x="0" y="0"/>
                          <a:ext cx="8489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68" o:spid="_x0000_s1026" o:spt="20" style="position:absolute;left:0pt;margin-left:222.2pt;margin-top:0.7pt;height:0.05pt;width:66.85pt;z-index:251574272;mso-width-relative:page;mso-height-relative:page;" filled="f" stroked="t" coordsize="21600,21600" o:gfxdata="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j7Xr9UAAAAHAQAADwAAAAAAAAABACAAAAAiAAAAZHJzL2Rvd25yZXYueG1sUEsBAhQAFAAAAAgA&#10;h07iQLhGQarvAQAA4AMAAA4AAAAAAAAAAQAgAAAAJAEAAGRycy9lMm9Eb2MueG1sUEsFBgAAAAAG&#10;AAYAWQEAAIUFAAAAAA==&#10;">
                <v:fill on="f" focussize="0,0"/>
                <v:stroke color="#000000" joinstyle="round" endarrow="open"/>
                <v:imagedata o:title=""/>
                <o:lock v:ext="edit" aspectratio="f"/>
              </v:line>
            </w:pict>
          </mc:Fallback>
        </mc:AlternateContent>
      </w:r>
    </w:p>
    <w:p>
      <w:pPr>
        <w:rPr>
          <w:sz w:val="24"/>
          <w:u w:val="single"/>
        </w:rPr>
      </w:pPr>
    </w:p>
    <w:p>
      <w:pPr>
        <w:rPr>
          <w:sz w:val="24"/>
          <w:u w:val="single"/>
        </w:rPr>
      </w:pPr>
    </w:p>
    <w:p>
      <w:pPr>
        <w:tabs>
          <w:tab w:val="left" w:pos="3608"/>
        </w:tabs>
        <w:jc w:val="left"/>
        <w:rPr>
          <w:sz w:val="24"/>
          <w:u w:val="single"/>
        </w:rPr>
      </w:pPr>
      <w:r>
        <w:rPr>
          <w:rFonts w:hint="eastAsia"/>
          <w:sz w:val="24"/>
          <w:u w:val="single"/>
        </w:rPr>
        <w:tab/>
      </w:r>
    </w:p>
    <w:p>
      <w:pPr>
        <w:tabs>
          <w:tab w:val="left" w:pos="3608"/>
        </w:tabs>
        <w:jc w:val="left"/>
        <w:rPr>
          <w:sz w:val="24"/>
          <w:u w:val="single"/>
        </w:rPr>
      </w:pPr>
      <w:r>
        <w:rPr>
          <w:sz w:val="24"/>
          <w:u w:val="single"/>
        </w:rPr>
        <mc:AlternateContent>
          <mc:Choice Requires="wps">
            <w:drawing>
              <wp:anchor distT="0" distB="0" distL="114300" distR="114300" simplePos="0" relativeHeight="251596800" behindDoc="0" locked="0" layoutInCell="1" allowOverlap="1">
                <wp:simplePos x="0" y="0"/>
                <wp:positionH relativeFrom="column">
                  <wp:posOffset>3003550</wp:posOffset>
                </wp:positionH>
                <wp:positionV relativeFrom="paragraph">
                  <wp:posOffset>132080</wp:posOffset>
                </wp:positionV>
                <wp:extent cx="872490" cy="332740"/>
                <wp:effectExtent l="0" t="0" r="0" b="0"/>
                <wp:wrapNone/>
                <wp:docPr id="95" name="矩形 221"/>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r>
                              <w:rPr>
                                <w:rFonts w:hint="eastAsia"/>
                              </w:rPr>
                              <w:t>损耗0.2</w:t>
                            </w:r>
                          </w:p>
                        </w:txbxContent>
                      </wps:txbx>
                      <wps:bodyPr upright="1"/>
                    </wps:wsp>
                  </a:graphicData>
                </a:graphic>
              </wp:anchor>
            </w:drawing>
          </mc:Choice>
          <mc:Fallback>
            <w:pict>
              <v:rect id="矩形 221" o:spid="_x0000_s1026" o:spt="1" style="position:absolute;left:0pt;margin-left:236.5pt;margin-top:10.4pt;height:26.2pt;width:68.7pt;z-index:251596800;mso-width-relative:page;mso-height-relative:page;" filled="f" stroked="f" coordsize="21600,21600" o:gfxdata="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3mJld2gAAAAkBAAAP&#10;AAAAAAAAAAEAIAAAACIAAABkcnMvZG93bnJldi54bWxQSwECFAAUAAAACACHTuJAS55aK6QBAABD&#10;AwAADgAAAAAAAAABACAAAAApAQAAZHJzL2Uyb0RvYy54bWxQSwUGAAAAAAYABgBZAQAAPwUAAAAA&#10;">
                <v:fill on="f" focussize="0,0"/>
                <v:stroke on="f"/>
                <v:imagedata o:title=""/>
                <o:lock v:ext="edit" aspectratio="f"/>
                <v:textbox>
                  <w:txbxContent>
                    <w:p>
                      <w:r>
                        <w:rPr>
                          <w:rFonts w:hint="eastAsia"/>
                        </w:rPr>
                        <w:t>损耗0.2</w:t>
                      </w:r>
                    </w:p>
                  </w:txbxContent>
                </v:textbox>
              </v:rect>
            </w:pict>
          </mc:Fallback>
        </mc:AlternateContent>
      </w:r>
    </w:p>
    <w:p>
      <w:pPr>
        <w:tabs>
          <w:tab w:val="left" w:pos="3608"/>
        </w:tabs>
        <w:jc w:val="left"/>
        <w:rPr>
          <w:sz w:val="24"/>
          <w:u w:val="single"/>
        </w:rPr>
      </w:pPr>
      <w:r>
        <w:rPr>
          <w:sz w:val="24"/>
          <w:u w:val="single"/>
        </w:rPr>
        <mc:AlternateContent>
          <mc:Choice Requires="wpg">
            <w:drawing>
              <wp:anchor distT="0" distB="0" distL="114300" distR="114300" simplePos="0" relativeHeight="251591680" behindDoc="0" locked="0" layoutInCell="1" allowOverlap="1">
                <wp:simplePos x="0" y="0"/>
                <wp:positionH relativeFrom="column">
                  <wp:posOffset>2372995</wp:posOffset>
                </wp:positionH>
                <wp:positionV relativeFrom="paragraph">
                  <wp:posOffset>84455</wp:posOffset>
                </wp:positionV>
                <wp:extent cx="642620" cy="241300"/>
                <wp:effectExtent l="4445" t="48895" r="635" b="14605"/>
                <wp:wrapNone/>
                <wp:docPr id="86" name="组合 205"/>
                <wp:cNvGraphicFramePr/>
                <a:graphic xmlns:a="http://schemas.openxmlformats.org/drawingml/2006/main">
                  <a:graphicData uri="http://schemas.microsoft.com/office/word/2010/wordprocessingGroup">
                    <wpg:wgp>
                      <wpg:cNvGrpSpPr/>
                      <wpg:grpSpPr>
                        <a:xfrm>
                          <a:off x="0" y="0"/>
                          <a:ext cx="642620" cy="241300"/>
                          <a:chOff x="5967" y="436893"/>
                          <a:chExt cx="1012" cy="380"/>
                        </a:xfrm>
                      </wpg:grpSpPr>
                      <wps:wsp>
                        <wps:cNvPr id="84" name="直线 206"/>
                        <wps:cNvSpPr/>
                        <wps:spPr>
                          <a:xfrm flipV="1">
                            <a:off x="5967" y="436911"/>
                            <a:ext cx="1" cy="362"/>
                          </a:xfrm>
                          <a:prstGeom prst="line">
                            <a:avLst/>
                          </a:prstGeom>
                          <a:ln w="9525" cap="flat" cmpd="sng">
                            <a:solidFill>
                              <a:srgbClr val="000000"/>
                            </a:solidFill>
                            <a:prstDash val="dash"/>
                            <a:headEnd type="none" w="med" len="med"/>
                            <a:tailEnd type="none" w="med" len="med"/>
                          </a:ln>
                        </wps:spPr>
                        <wps:bodyPr upright="1"/>
                      </wps:wsp>
                      <wps:wsp>
                        <wps:cNvPr id="85" name="直线 207"/>
                        <wps:cNvSpPr/>
                        <wps:spPr>
                          <a:xfrm>
                            <a:off x="5967" y="436893"/>
                            <a:ext cx="1012" cy="1"/>
                          </a:xfrm>
                          <a:prstGeom prst="line">
                            <a:avLst/>
                          </a:prstGeom>
                          <a:ln w="9525" cap="flat" cmpd="sng">
                            <a:solidFill>
                              <a:srgbClr val="000000"/>
                            </a:solidFill>
                            <a:prstDash val="dash"/>
                            <a:headEnd type="none" w="med" len="med"/>
                            <a:tailEnd type="arrow" w="med" len="med"/>
                          </a:ln>
                        </wps:spPr>
                        <wps:bodyPr upright="1"/>
                      </wps:wsp>
                    </wpg:wgp>
                  </a:graphicData>
                </a:graphic>
              </wp:anchor>
            </w:drawing>
          </mc:Choice>
          <mc:Fallback>
            <w:pict>
              <v:group id="组合 205" o:spid="_x0000_s1026" o:spt="203" style="position:absolute;left:0pt;margin-left:186.85pt;margin-top:6.65pt;height:19pt;width:50.6pt;z-index:251591680;mso-width-relative:page;mso-height-relative:page;" coordorigin="5967,436893" coordsize="1012,380" o:gfxdata="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gIXiNkAAAAJAQAADwAAAAAAAAABACAAAAAiAAAAZHJzL2Rvd25yZXYueG1s&#10;UEsBAhQAFAAAAAgAh07iQIZU5w6iAgAAIwcAAA4AAAAAAAAAAQAgAAAAKAEAAGRycy9lMm9Eb2Mu&#10;eG1sUEsFBgAAAAAGAAYAWQEAADwGAAAAAA==&#10;">
                <o:lock v:ext="edit" aspectratio="f"/>
                <v:line id="直线 206" o:spid="_x0000_s1026" o:spt="20" style="position:absolute;left:5967;top:436911;flip:y;height:362;width:1;" filled="f" stroked="t" coordsize="21600,21600" o:gfxdata="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kPPiLgAAADb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直线 207" o:spid="_x0000_s1026" o:spt="20" style="position:absolute;left:5967;top:436893;height:1;width:1012;" filled="f" stroked="t" coordsize="21600,21600" o:gfxdata="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tW5r4A&#10;AADb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group>
            </w:pict>
          </mc:Fallback>
        </mc:AlternateContent>
      </w:r>
    </w:p>
    <w:p>
      <w:pPr>
        <w:tabs>
          <w:tab w:val="left" w:pos="3608"/>
        </w:tabs>
        <w:jc w:val="left"/>
        <w:rPr>
          <w:sz w:val="24"/>
          <w:u w:val="single"/>
        </w:rPr>
      </w:pPr>
      <w:r>
        <w:rPr>
          <w:sz w:val="24"/>
          <w:u w:val="single"/>
        </w:rPr>
        <mc:AlternateContent>
          <mc:Choice Requires="wps">
            <w:drawing>
              <wp:anchor distT="0" distB="0" distL="114300" distR="114300" simplePos="0" relativeHeight="251549696" behindDoc="1" locked="0" layoutInCell="1" allowOverlap="1">
                <wp:simplePos x="0" y="0"/>
                <wp:positionH relativeFrom="column">
                  <wp:posOffset>2818765</wp:posOffset>
                </wp:positionH>
                <wp:positionV relativeFrom="paragraph">
                  <wp:posOffset>72390</wp:posOffset>
                </wp:positionV>
                <wp:extent cx="872490" cy="332740"/>
                <wp:effectExtent l="0" t="0" r="0" b="0"/>
                <wp:wrapNone/>
                <wp:docPr id="4" name="矩形 224"/>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0.3</w:t>
                            </w:r>
                          </w:p>
                        </w:txbxContent>
                      </wps:txbx>
                      <wps:bodyPr upright="1"/>
                    </wps:wsp>
                  </a:graphicData>
                </a:graphic>
              </wp:anchor>
            </w:drawing>
          </mc:Choice>
          <mc:Fallback>
            <w:pict>
              <v:rect id="矩形 224" o:spid="_x0000_s1026" o:spt="1" style="position:absolute;left:0pt;margin-left:221.95pt;margin-top:5.7pt;height:26.2pt;width:68.7pt;z-index:-251766784;mso-width-relative:page;mso-height-relative:page;" filled="f" stroked="f" coordsize="21600,21600" o:gfxdata="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fLeZA2gAAAAkBAAAP&#10;AAAAAAAAAAEAIAAAACIAAABkcnMvZG93bnJldi54bWxQSwECFAAUAAAACACHTuJAvAx7p6QBAABC&#10;AwAADgAAAAAAAAABACAAAAApAQAAZHJzL2Uyb0RvYy54bWxQSwUGAAAAAAYABgBZAQAAPwUAAAAA&#10;">
                <v:fill on="f" focussize="0,0"/>
                <v:stroke on="f"/>
                <v:imagedata o:title=""/>
                <o:lock v:ext="edit" aspectratio="f"/>
                <v:textbox>
                  <w:txbxContent>
                    <w:p>
                      <w:pPr>
                        <w:jc w:val="center"/>
                      </w:pPr>
                      <w:r>
                        <w:rPr>
                          <w:rFonts w:hint="eastAsia"/>
                        </w:rPr>
                        <w:t>0.3</w:t>
                      </w:r>
                    </w:p>
                  </w:txbxContent>
                </v:textbox>
              </v:rect>
            </w:pict>
          </mc:Fallback>
        </mc:AlternateContent>
      </w:r>
      <w:r>
        <w:rPr>
          <w:sz w:val="24"/>
          <w:u w:val="single"/>
        </w:rPr>
        <mc:AlternateContent>
          <mc:Choice Requires="wps">
            <w:drawing>
              <wp:anchor distT="0" distB="0" distL="114300" distR="114300" simplePos="0" relativeHeight="251599872" behindDoc="0" locked="0" layoutInCell="1" allowOverlap="1">
                <wp:simplePos x="0" y="0"/>
                <wp:positionH relativeFrom="column">
                  <wp:posOffset>1030605</wp:posOffset>
                </wp:positionH>
                <wp:positionV relativeFrom="paragraph">
                  <wp:posOffset>63500</wp:posOffset>
                </wp:positionV>
                <wp:extent cx="872490" cy="332740"/>
                <wp:effectExtent l="0" t="0" r="0" b="0"/>
                <wp:wrapNone/>
                <wp:docPr id="98" name="矩形 220"/>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0.5</w:t>
                            </w:r>
                          </w:p>
                        </w:txbxContent>
                      </wps:txbx>
                      <wps:bodyPr upright="1"/>
                    </wps:wsp>
                  </a:graphicData>
                </a:graphic>
              </wp:anchor>
            </w:drawing>
          </mc:Choice>
          <mc:Fallback>
            <w:pict>
              <v:rect id="矩形 220" o:spid="_x0000_s1026" o:spt="1" style="position:absolute;left:0pt;margin-left:81.15pt;margin-top:5pt;height:26.2pt;width:68.7pt;z-index:251599872;mso-width-relative:page;mso-height-relative:page;" filled="f" stroked="f" coordsize="21600,21600" o:gfxdata="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DCqUtkAAAAJAQAADwAA&#10;AAAAAAABACAAAAAiAAAAZHJzL2Rvd25yZXYueG1sUEsBAhQAFAAAAAgAh07iQCvfai2jAQAAQwMA&#10;AA4AAAAAAAAAAQAgAAAAKAEAAGRycy9lMm9Eb2MueG1sUEsFBgAAAAAGAAYAWQEAAD0FAAAAAA==&#10;">
                <v:fill on="f" focussize="0,0"/>
                <v:stroke on="f"/>
                <v:imagedata o:title=""/>
                <o:lock v:ext="edit" aspectratio="f"/>
                <v:textbox>
                  <w:txbxContent>
                    <w:p>
                      <w:pPr>
                        <w:jc w:val="center"/>
                      </w:pPr>
                      <w:r>
                        <w:rPr>
                          <w:rFonts w:hint="eastAsia"/>
                        </w:rPr>
                        <w:t>0.5</w:t>
                      </w:r>
                    </w:p>
                  </w:txbxContent>
                </v:textbox>
              </v:rect>
            </w:pict>
          </mc:Fallback>
        </mc:AlternateContent>
      </w:r>
      <w:r>
        <w:rPr>
          <w:sz w:val="24"/>
          <w:u w:val="single"/>
        </w:rPr>
        <mc:AlternateContent>
          <mc:Choice Requires="wps">
            <w:drawing>
              <wp:anchor distT="0" distB="0" distL="114300" distR="114300" simplePos="0" relativeHeight="251584512" behindDoc="0" locked="0" layoutInCell="1" allowOverlap="1">
                <wp:simplePos x="0" y="0"/>
                <wp:positionH relativeFrom="column">
                  <wp:posOffset>190500</wp:posOffset>
                </wp:positionH>
                <wp:positionV relativeFrom="paragraph">
                  <wp:posOffset>147955</wp:posOffset>
                </wp:positionV>
                <wp:extent cx="412750" cy="1618615"/>
                <wp:effectExtent l="4445" t="4445" r="20955" b="15240"/>
                <wp:wrapNone/>
                <wp:docPr id="77" name="矩形 197"/>
                <wp:cNvGraphicFramePr/>
                <a:graphic xmlns:a="http://schemas.openxmlformats.org/drawingml/2006/main">
                  <a:graphicData uri="http://schemas.microsoft.com/office/word/2010/wordprocessingShape">
                    <wps:wsp>
                      <wps:cNvSpPr/>
                      <wps:spPr>
                        <a:xfrm>
                          <a:off x="0" y="0"/>
                          <a:ext cx="412750" cy="1618615"/>
                        </a:xfrm>
                        <a:prstGeom prst="rect">
                          <a:avLst/>
                        </a:prstGeom>
                        <a:noFill/>
                        <a:ln w="9525" cap="flat" cmpd="sng">
                          <a:solidFill>
                            <a:srgbClr val="000000"/>
                          </a:solidFill>
                          <a:prstDash val="solid"/>
                          <a:miter/>
                          <a:headEnd type="none" w="med" len="med"/>
                          <a:tailEnd type="none" w="med" len="med"/>
                        </a:ln>
                      </wps:spPr>
                      <wps:txbx>
                        <w:txbxContent>
                          <w:p>
                            <w:pPr>
                              <w:jc w:val="center"/>
                            </w:pPr>
                          </w:p>
                          <w:p>
                            <w:r>
                              <w:rPr>
                                <w:rFonts w:hint="eastAsia"/>
                              </w:rPr>
                              <w:t>现有选矿区</w:t>
                            </w:r>
                          </w:p>
                        </w:txbxContent>
                      </wps:txbx>
                      <wps:bodyPr upright="1"/>
                    </wps:wsp>
                  </a:graphicData>
                </a:graphic>
              </wp:anchor>
            </w:drawing>
          </mc:Choice>
          <mc:Fallback>
            <w:pict>
              <v:rect id="矩形 197" o:spid="_x0000_s1026" o:spt="1" style="position:absolute;left:0pt;margin-left:15pt;margin-top:11.65pt;height:127.45pt;width:32.5pt;z-index:251584512;mso-width-relative:page;mso-height-relative:page;" filled="f" stroked="t" coordsize="21600,21600" o:gfxdata="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qlt7HVAAAACAEAAA8AAAAAAAAAAQAgAAAAIgAAAGRycy9kb3ducmV2&#10;LnhtbFBLAQIUABQAAAAIAIdO4kBQb2pZ/wEAAAMEAAAOAAAAAAAAAAEAIAAAACQBAABkcnMvZTJv&#10;RG9jLnhtbFBLBQYAAAAABgAGAFkBAACVBQAAAAA=&#10;">
                <v:fill on="f" focussize="0,0"/>
                <v:stroke color="#000000" joinstyle="miter"/>
                <v:imagedata o:title=""/>
                <o:lock v:ext="edit" aspectratio="f"/>
                <v:textbox>
                  <w:txbxContent>
                    <w:p>
                      <w:pPr>
                        <w:jc w:val="center"/>
                      </w:pPr>
                    </w:p>
                    <w:p>
                      <w:r>
                        <w:rPr>
                          <w:rFonts w:hint="eastAsia"/>
                        </w:rPr>
                        <w:t>现有选矿区</w:t>
                      </w:r>
                    </w:p>
                  </w:txbxContent>
                </v:textbox>
              </v:rect>
            </w:pict>
          </mc:Fallback>
        </mc:AlternateContent>
      </w:r>
      <w:r>
        <w:rPr>
          <w:sz w:val="24"/>
          <w:u w:val="single"/>
        </w:rPr>
        <mc:AlternateContent>
          <mc:Choice Requires="wps">
            <w:drawing>
              <wp:anchor distT="0" distB="0" distL="114300" distR="114300" simplePos="0" relativeHeight="251585536" behindDoc="0" locked="0" layoutInCell="1" allowOverlap="1">
                <wp:simplePos x="0" y="0"/>
                <wp:positionH relativeFrom="column">
                  <wp:posOffset>1796415</wp:posOffset>
                </wp:positionH>
                <wp:positionV relativeFrom="paragraph">
                  <wp:posOffset>114935</wp:posOffset>
                </wp:positionV>
                <wp:extent cx="1078865" cy="332740"/>
                <wp:effectExtent l="4445" t="4445" r="21590" b="5715"/>
                <wp:wrapNone/>
                <wp:docPr id="78" name="矩形 198"/>
                <wp:cNvGraphicFramePr/>
                <a:graphic xmlns:a="http://schemas.openxmlformats.org/drawingml/2006/main">
                  <a:graphicData uri="http://schemas.microsoft.com/office/word/2010/wordprocessingShape">
                    <wps:wsp>
                      <wps:cNvSpPr/>
                      <wps:spPr>
                        <a:xfrm>
                          <a:off x="0" y="0"/>
                          <a:ext cx="1078865" cy="3327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锅炉用水</w:t>
                            </w:r>
                          </w:p>
                        </w:txbxContent>
                      </wps:txbx>
                      <wps:bodyPr upright="1"/>
                    </wps:wsp>
                  </a:graphicData>
                </a:graphic>
              </wp:anchor>
            </w:drawing>
          </mc:Choice>
          <mc:Fallback>
            <w:pict>
              <v:rect id="矩形 198" o:spid="_x0000_s1026" o:spt="1" style="position:absolute;left:0pt;margin-left:141.45pt;margin-top:9.05pt;height:26.2pt;width:84.95pt;z-index:251585536;mso-width-relative:page;mso-height-relative:page;" filled="f" stroked="t" coordsize="21600,21600" o:gfxdata="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XjPXAAAACQEAAA8AAAAAAAAAAQAgAAAAIgAAAGRycy9kb3du&#10;cmV2LnhtbFBLAQIUABQAAAAIAIdO4kDAc0KqAAIAAAMEAAAOAAAAAAAAAAEAIAAAACYBAABkcnMv&#10;ZTJvRG9jLnhtbFBLBQYAAAAABgAGAFkBAACYBQAAAAA=&#10;">
                <v:fill on="f" focussize="0,0"/>
                <v:stroke color="#000000" joinstyle="miter"/>
                <v:imagedata o:title=""/>
                <o:lock v:ext="edit" aspectratio="f"/>
                <v:textbox>
                  <w:txbxContent>
                    <w:p>
                      <w:pPr>
                        <w:jc w:val="center"/>
                      </w:pPr>
                      <w:r>
                        <w:rPr>
                          <w:rFonts w:hint="eastAsia"/>
                        </w:rPr>
                        <w:t>锅炉用水</w:t>
                      </w:r>
                    </w:p>
                  </w:txbxContent>
                </v:textbox>
              </v:rect>
            </w:pict>
          </mc:Fallback>
        </mc:AlternateContent>
      </w:r>
    </w:p>
    <w:p>
      <w:pPr>
        <w:tabs>
          <w:tab w:val="left" w:pos="3608"/>
        </w:tabs>
        <w:jc w:val="left"/>
        <w:rPr>
          <w:sz w:val="24"/>
          <w:u w:val="single"/>
        </w:rPr>
      </w:pPr>
      <w:r>
        <w:rPr>
          <w:sz w:val="24"/>
          <w:u w:val="single"/>
        </w:rPr>
        <mc:AlternateContent>
          <mc:Choice Requires="wps">
            <w:drawing>
              <wp:anchor distT="0" distB="0" distL="114300" distR="114300" simplePos="0" relativeHeight="251734016" behindDoc="0" locked="0" layoutInCell="1" allowOverlap="1">
                <wp:simplePos x="0" y="0"/>
                <wp:positionH relativeFrom="column">
                  <wp:posOffset>3575050</wp:posOffset>
                </wp:positionH>
                <wp:positionV relativeFrom="paragraph">
                  <wp:posOffset>81280</wp:posOffset>
                </wp:positionV>
                <wp:extent cx="635" cy="652780"/>
                <wp:effectExtent l="0" t="0" r="0" b="0"/>
                <wp:wrapNone/>
                <wp:docPr id="246" name="直线 378"/>
                <wp:cNvGraphicFramePr/>
                <a:graphic xmlns:a="http://schemas.openxmlformats.org/drawingml/2006/main">
                  <a:graphicData uri="http://schemas.microsoft.com/office/word/2010/wordprocessingShape">
                    <wps:wsp>
                      <wps:cNvSpPr/>
                      <wps:spPr>
                        <a:xfrm flipH="1">
                          <a:off x="0" y="0"/>
                          <a:ext cx="635" cy="6527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78" o:spid="_x0000_s1026" o:spt="20" style="position:absolute;left:0pt;flip:x;margin-left:281.5pt;margin-top:6.4pt;height:51.4pt;width:0.05pt;z-index:251734016;mso-width-relative:page;mso-height-relative:page;" filled="f" stroked="t" coordsize="21600,21600" o:gfxdata="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mX1Zp1gAAAAoBAAAPAAAAAAAAAAEAIAAAACIAAABkcnMvZG93bnJldi54bWxQSwEC&#10;FAAUAAAACACHTuJAA2CLZfYBAADqAwAADgAAAAAAAAABACAAAAAlAQAAZHJzL2Uyb0RvYy54bWxQ&#10;SwUGAAAAAAYABgBZAQAAjQUAAAAA&#10;">
                <v:fill on="f" focussize="0,0"/>
                <v:stroke color="#000000" joinstyle="round"/>
                <v:imagedata o:title=""/>
                <o:lock v:ext="edit" aspectratio="f"/>
              </v:line>
            </w:pict>
          </mc:Fallback>
        </mc:AlternateContent>
      </w:r>
      <w:r>
        <w:rPr>
          <w:sz w:val="24"/>
          <w:u w:val="single"/>
        </w:rPr>
        <mc:AlternateContent>
          <mc:Choice Requires="wps">
            <w:drawing>
              <wp:anchor distT="0" distB="0" distL="114300" distR="114300" simplePos="0" relativeHeight="251732992" behindDoc="0" locked="0" layoutInCell="1" allowOverlap="1">
                <wp:simplePos x="0" y="0"/>
                <wp:positionH relativeFrom="column">
                  <wp:posOffset>2886075</wp:posOffset>
                </wp:positionH>
                <wp:positionV relativeFrom="paragraph">
                  <wp:posOffset>75565</wp:posOffset>
                </wp:positionV>
                <wp:extent cx="676910" cy="635"/>
                <wp:effectExtent l="0" t="48895" r="8890" b="64770"/>
                <wp:wrapNone/>
                <wp:docPr id="245" name="直线 376"/>
                <wp:cNvGraphicFramePr/>
                <a:graphic xmlns:a="http://schemas.openxmlformats.org/drawingml/2006/main">
                  <a:graphicData uri="http://schemas.microsoft.com/office/word/2010/wordprocessingShape">
                    <wps:wsp>
                      <wps:cNvSpPr/>
                      <wps:spPr>
                        <a:xfrm>
                          <a:off x="0" y="0"/>
                          <a:ext cx="67691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76" o:spid="_x0000_s1026" o:spt="20" style="position:absolute;left:0pt;margin-left:227.25pt;margin-top:5.95pt;height:0.05pt;width:53.3pt;z-index:251732992;mso-width-relative:page;mso-height-relative:page;" filled="f" stroked="t" coordsize="21600,21600" o:gfxdata="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wC2yg2AAAAAkBAAAPAAAAAAAAAAEAIAAAACIAAABkcnMvZG93bnJldi54bWxQSwECFAAU&#10;AAAACACHTuJARF7a2/EBAADhAwAADgAAAAAAAAABACAAAAAnAQAAZHJzL2Uyb0RvYy54bWxQSwUG&#10;AAAAAAYABgBZAQAAigU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52768" behindDoc="1" locked="0" layoutInCell="1" allowOverlap="1">
                <wp:simplePos x="0" y="0"/>
                <wp:positionH relativeFrom="column">
                  <wp:posOffset>366395</wp:posOffset>
                </wp:positionH>
                <wp:positionV relativeFrom="paragraph">
                  <wp:posOffset>436245</wp:posOffset>
                </wp:positionV>
                <wp:extent cx="872490" cy="332740"/>
                <wp:effectExtent l="0" t="0" r="0" b="0"/>
                <wp:wrapNone/>
                <wp:docPr id="7" name="矩形 227"/>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144.6</w:t>
                            </w:r>
                          </w:p>
                        </w:txbxContent>
                      </wps:txbx>
                      <wps:bodyPr upright="1"/>
                    </wps:wsp>
                  </a:graphicData>
                </a:graphic>
              </wp:anchor>
            </w:drawing>
          </mc:Choice>
          <mc:Fallback>
            <w:pict>
              <v:rect id="矩形 227" o:spid="_x0000_s1026" o:spt="1" style="position:absolute;left:0pt;margin-left:28.85pt;margin-top:34.35pt;height:26.2pt;width:68.7pt;z-index:-251763712;mso-width-relative:page;mso-height-relative:page;" filled="f" stroked="f" coordsize="21600,21600" o:gfxdata="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a4BwC2gAAAAkBAAAP&#10;AAAAAAAAAAEAIAAAACIAAABkcnMvZG93bnJldi54bWxQSwECFAAUAAAACACHTuJApSmVlKQBAABC&#10;AwAADgAAAAAAAAABACAAAAApAQAAZHJzL2Uyb0RvYy54bWxQSwUGAAAAAAYABgBZAQAAPwUAAAAA&#10;">
                <v:fill on="f" focussize="0,0"/>
                <v:stroke on="f"/>
                <v:imagedata o:title=""/>
                <o:lock v:ext="edit" aspectratio="f"/>
                <v:textbox>
                  <w:txbxContent>
                    <w:p>
                      <w:pPr>
                        <w:jc w:val="center"/>
                      </w:pPr>
                      <w:r>
                        <w:rPr>
                          <w:rFonts w:hint="eastAsia"/>
                        </w:rPr>
                        <w:t>144.6</w:t>
                      </w:r>
                    </w:p>
                  </w:txbxContent>
                </v:textbox>
              </v:rect>
            </w:pict>
          </mc:Fallback>
        </mc:AlternateContent>
      </w:r>
      <w:r>
        <w:rPr>
          <w:sz w:val="24"/>
          <w:u w:val="single"/>
        </w:rPr>
        <mc:AlternateContent>
          <mc:Choice Requires="wps">
            <w:drawing>
              <wp:anchor distT="0" distB="0" distL="114300" distR="114300" simplePos="0" relativeHeight="251550720" behindDoc="1" locked="0" layoutInCell="1" allowOverlap="1">
                <wp:simplePos x="0" y="0"/>
                <wp:positionH relativeFrom="column">
                  <wp:posOffset>2940050</wp:posOffset>
                </wp:positionH>
                <wp:positionV relativeFrom="paragraph">
                  <wp:posOffset>875030</wp:posOffset>
                </wp:positionV>
                <wp:extent cx="872490" cy="332740"/>
                <wp:effectExtent l="0" t="0" r="0" b="0"/>
                <wp:wrapNone/>
                <wp:docPr id="5" name="矩形 226"/>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r>
                              <w:rPr>
                                <w:rFonts w:hint="eastAsia"/>
                              </w:rPr>
                              <w:t>损耗10</w:t>
                            </w:r>
                          </w:p>
                        </w:txbxContent>
                      </wps:txbx>
                      <wps:bodyPr upright="1"/>
                    </wps:wsp>
                  </a:graphicData>
                </a:graphic>
              </wp:anchor>
            </w:drawing>
          </mc:Choice>
          <mc:Fallback>
            <w:pict>
              <v:rect id="矩形 226" o:spid="_x0000_s1026" o:spt="1" style="position:absolute;left:0pt;margin-left:231.5pt;margin-top:68.9pt;height:26.2pt;width:68.7pt;z-index:-251765760;mso-width-relative:page;mso-height-relative:page;" filled="f" stroked="f" coordsize="21600,21600" o:gfxdata="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IzVvDbAAAACwEA&#10;AA8AAAAAAAAAAQAgAAAAIgAAAGRycy9kb3ducmV2LnhtbFBLAQIUABQAAAAIAIdO4kCHYHEbpQEA&#10;AEIDAAAOAAAAAAAAAAEAIAAAACoBAABkcnMvZTJvRG9jLnhtbFBLBQYAAAAABgAGAFkBAABBBQAA&#10;AAA=&#10;">
                <v:fill on="f" focussize="0,0"/>
                <v:stroke on="f"/>
                <v:imagedata o:title=""/>
                <o:lock v:ext="edit" aspectratio="f"/>
                <v:textbox>
                  <w:txbxContent>
                    <w:p>
                      <w:r>
                        <w:rPr>
                          <w:rFonts w:hint="eastAsia"/>
                        </w:rPr>
                        <w:t>损耗10</w:t>
                      </w:r>
                    </w:p>
                  </w:txbxContent>
                </v:textbox>
              </v:rect>
            </w:pict>
          </mc:Fallback>
        </mc:AlternateContent>
      </w:r>
      <w:r>
        <w:rPr>
          <w:sz w:val="24"/>
          <w:u w:val="single"/>
        </w:rPr>
        <mc:AlternateContent>
          <mc:Choice Requires="wps">
            <w:drawing>
              <wp:anchor distT="0" distB="0" distL="114300" distR="114300" simplePos="0" relativeHeight="251551744" behindDoc="1" locked="0" layoutInCell="1" allowOverlap="1">
                <wp:simplePos x="0" y="0"/>
                <wp:positionH relativeFrom="column">
                  <wp:posOffset>1043305</wp:posOffset>
                </wp:positionH>
                <wp:positionV relativeFrom="paragraph">
                  <wp:posOffset>1228090</wp:posOffset>
                </wp:positionV>
                <wp:extent cx="872490" cy="332740"/>
                <wp:effectExtent l="0" t="0" r="0" b="0"/>
                <wp:wrapNone/>
                <wp:docPr id="6" name="矩形 225"/>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10</w:t>
                            </w:r>
                          </w:p>
                        </w:txbxContent>
                      </wps:txbx>
                      <wps:bodyPr upright="1"/>
                    </wps:wsp>
                  </a:graphicData>
                </a:graphic>
              </wp:anchor>
            </w:drawing>
          </mc:Choice>
          <mc:Fallback>
            <w:pict>
              <v:rect id="矩形 225" o:spid="_x0000_s1026" o:spt="1" style="position:absolute;left:0pt;margin-left:82.15pt;margin-top:96.7pt;height:26.2pt;width:68.7pt;z-index:-251764736;mso-width-relative:page;mso-height-relative:page;" filled="f" stroked="f" coordsize="21600,21600" o:gfxdata="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cC6KU3AAAAAsB&#10;AAAPAAAAAAAAAAEAIAAAACIAAABkcnMvZG93bnJldi54bWxQSwECFAAUAAAACACHTuJAnkWfKKUB&#10;AABCAwAADgAAAAAAAAABACAAAAArAQAAZHJzL2Uyb0RvYy54bWxQSwUGAAAAAAYABgBZAQAAQgUA&#10;AAAA&#10;">
                <v:fill on="f" focussize="0,0"/>
                <v:stroke on="f"/>
                <v:imagedata o:title=""/>
                <o:lock v:ext="edit" aspectratio="f"/>
                <v:textbox>
                  <w:txbxContent>
                    <w:p>
                      <w:pPr>
                        <w:jc w:val="center"/>
                      </w:pPr>
                      <w:r>
                        <w:rPr>
                          <w:rFonts w:hint="eastAsia"/>
                        </w:rPr>
                        <w:t>10</w:t>
                      </w:r>
                    </w:p>
                  </w:txbxContent>
                </v:textbox>
              </v:rect>
            </w:pict>
          </mc:Fallback>
        </mc:AlternateContent>
      </w:r>
      <w:r>
        <w:rPr>
          <w:sz w:val="24"/>
          <w:u w:val="single"/>
        </w:rPr>
        <mc:AlternateContent>
          <mc:Choice Requires="wps">
            <w:drawing>
              <wp:anchor distT="0" distB="0" distL="114300" distR="114300" simplePos="0" relativeHeight="251597824" behindDoc="0" locked="0" layoutInCell="1" allowOverlap="1">
                <wp:simplePos x="0" y="0"/>
                <wp:positionH relativeFrom="column">
                  <wp:posOffset>2889250</wp:posOffset>
                </wp:positionH>
                <wp:positionV relativeFrom="paragraph">
                  <wp:posOffset>237490</wp:posOffset>
                </wp:positionV>
                <wp:extent cx="872490" cy="332740"/>
                <wp:effectExtent l="0" t="0" r="0" b="0"/>
                <wp:wrapNone/>
                <wp:docPr id="96" name="矩形 223"/>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损耗0.09</w:t>
                            </w:r>
                          </w:p>
                        </w:txbxContent>
                      </wps:txbx>
                      <wps:bodyPr upright="1"/>
                    </wps:wsp>
                  </a:graphicData>
                </a:graphic>
              </wp:anchor>
            </w:drawing>
          </mc:Choice>
          <mc:Fallback>
            <w:pict>
              <v:rect id="矩形 223" o:spid="_x0000_s1026" o:spt="1" style="position:absolute;left:0pt;margin-left:227.5pt;margin-top:18.7pt;height:26.2pt;width:68.7pt;z-index:251597824;mso-width-relative:page;mso-height-relative:page;" filled="f" stroked="f" coordsize="21600,21600" o:gfxdata="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sB1aPbAAAACQEA&#10;AA8AAAAAAAAAAQAgAAAAIgAAAGRycy9kb3ducmV2LnhtbFBLAQIUABQAAAAIAIdO4kAWa3t8pQEA&#10;AEMDAAAOAAAAAAAAAAEAIAAAACoBAABkcnMvZTJvRG9jLnhtbFBLBQYAAAAABgAGAFkBAABBBQAA&#10;AAA=&#10;">
                <v:fill on="f" focussize="0,0"/>
                <v:stroke on="f"/>
                <v:imagedata o:title=""/>
                <o:lock v:ext="edit" aspectratio="f"/>
                <v:textbox>
                  <w:txbxContent>
                    <w:p>
                      <w:pPr>
                        <w:jc w:val="center"/>
                      </w:pPr>
                      <w:r>
                        <w:rPr>
                          <w:rFonts w:hint="eastAsia"/>
                        </w:rPr>
                        <w:t>损耗0.09</w:t>
                      </w:r>
                    </w:p>
                  </w:txbxContent>
                </v:textbox>
              </v:rect>
            </w:pict>
          </mc:Fallback>
        </mc:AlternateContent>
      </w:r>
      <w:r>
        <w:rPr>
          <w:sz w:val="24"/>
          <w:u w:val="single"/>
        </w:rPr>
        <mc:AlternateContent>
          <mc:Choice Requires="wpg">
            <w:drawing>
              <wp:anchor distT="0" distB="0" distL="114300" distR="114300" simplePos="0" relativeHeight="251593728" behindDoc="0" locked="0" layoutInCell="1" allowOverlap="1">
                <wp:simplePos x="0" y="0"/>
                <wp:positionH relativeFrom="column">
                  <wp:posOffset>2360930</wp:posOffset>
                </wp:positionH>
                <wp:positionV relativeFrom="paragraph">
                  <wp:posOffset>1042035</wp:posOffset>
                </wp:positionV>
                <wp:extent cx="642620" cy="241300"/>
                <wp:effectExtent l="4445" t="48895" r="635" b="14605"/>
                <wp:wrapNone/>
                <wp:docPr id="92" name="组合 211"/>
                <wp:cNvGraphicFramePr/>
                <a:graphic xmlns:a="http://schemas.openxmlformats.org/drawingml/2006/main">
                  <a:graphicData uri="http://schemas.microsoft.com/office/word/2010/wordprocessingGroup">
                    <wpg:wgp>
                      <wpg:cNvGrpSpPr/>
                      <wpg:grpSpPr>
                        <a:xfrm>
                          <a:off x="0" y="0"/>
                          <a:ext cx="642620" cy="241300"/>
                          <a:chOff x="5967" y="436893"/>
                          <a:chExt cx="1012" cy="380"/>
                        </a:xfrm>
                      </wpg:grpSpPr>
                      <wps:wsp>
                        <wps:cNvPr id="90" name="直线 212"/>
                        <wps:cNvSpPr/>
                        <wps:spPr>
                          <a:xfrm flipV="1">
                            <a:off x="5967" y="436911"/>
                            <a:ext cx="1" cy="362"/>
                          </a:xfrm>
                          <a:prstGeom prst="line">
                            <a:avLst/>
                          </a:prstGeom>
                          <a:ln w="9525" cap="flat" cmpd="sng">
                            <a:solidFill>
                              <a:srgbClr val="000000"/>
                            </a:solidFill>
                            <a:prstDash val="dash"/>
                            <a:headEnd type="none" w="med" len="med"/>
                            <a:tailEnd type="none" w="med" len="med"/>
                          </a:ln>
                        </wps:spPr>
                        <wps:bodyPr upright="1"/>
                      </wps:wsp>
                      <wps:wsp>
                        <wps:cNvPr id="91" name="直线 213"/>
                        <wps:cNvSpPr/>
                        <wps:spPr>
                          <a:xfrm>
                            <a:off x="5967" y="436893"/>
                            <a:ext cx="1012" cy="1"/>
                          </a:xfrm>
                          <a:prstGeom prst="line">
                            <a:avLst/>
                          </a:prstGeom>
                          <a:ln w="9525" cap="flat" cmpd="sng">
                            <a:solidFill>
                              <a:srgbClr val="000000"/>
                            </a:solidFill>
                            <a:prstDash val="dash"/>
                            <a:headEnd type="none" w="med" len="med"/>
                            <a:tailEnd type="arrow" w="med" len="med"/>
                          </a:ln>
                        </wps:spPr>
                        <wps:bodyPr upright="1"/>
                      </wps:wsp>
                    </wpg:wgp>
                  </a:graphicData>
                </a:graphic>
              </wp:anchor>
            </w:drawing>
          </mc:Choice>
          <mc:Fallback>
            <w:pict>
              <v:group id="组合 211" o:spid="_x0000_s1026" o:spt="203" style="position:absolute;left:0pt;margin-left:185.9pt;margin-top:82.05pt;height:19pt;width:50.6pt;z-index:251593728;mso-width-relative:page;mso-height-relative:page;" coordorigin="5967,436893" coordsize="1012,380" o:gfxdata="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QUkWftoAAAALAQAADwAAAAAAAAABACAAAAAiAAAAZHJzL2Rvd25yZXYu&#10;eG1sUEsBAhQAFAAAAAgAh07iQBk2UbCkAgAAIwcAAA4AAAAAAAAAAQAgAAAAKQEAAGRycy9lMm9E&#10;b2MueG1sUEsFBgAAAAAGAAYAWQEAAD8GAAAAAA==&#10;">
                <o:lock v:ext="edit" aspectratio="f"/>
                <v:line id="直线 212" o:spid="_x0000_s1026" o:spt="20" style="position:absolute;left:5967;top:436911;flip:y;height:362;width:1;" filled="f" stroked="t" coordsize="21600,21600" o:gfxdata="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koV9WtAAAANsAAAAPAAAA&#10;AAAAAAEAIAAAACIAAABkcnMvZG93bnJldi54bWxQSwECFAAUAAAACACHTuJAMy8FnjsAAAA5AAAA&#10;EAAAAAAAAAABACAAAAADAQAAZHJzL3NoYXBleG1sLnhtbFBLBQYAAAAABgAGAFsBAACtAwAAAAA=&#10;">
                  <v:fill on="f" focussize="0,0"/>
                  <v:stroke color="#000000" joinstyle="round" dashstyle="dash"/>
                  <v:imagedata o:title=""/>
                  <o:lock v:ext="edit" aspectratio="f"/>
                </v:line>
                <v:line id="直线 213" o:spid="_x0000_s1026" o:spt="20" style="position:absolute;left:5967;top:436893;height:1;width:1012;" filled="f" stroked="t" coordsize="21600,21600" o:gfxdata="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cY4vQAA&#10;ANs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group>
            </w:pict>
          </mc:Fallback>
        </mc:AlternateContent>
      </w:r>
      <w:r>
        <w:rPr>
          <w:sz w:val="24"/>
          <w:u w:val="single"/>
        </w:rPr>
        <mc:AlternateContent>
          <mc:Choice Requires="wpg">
            <w:drawing>
              <wp:anchor distT="0" distB="0" distL="114300" distR="114300" simplePos="0" relativeHeight="251592704" behindDoc="0" locked="0" layoutInCell="1" allowOverlap="1">
                <wp:simplePos x="0" y="0"/>
                <wp:positionH relativeFrom="column">
                  <wp:posOffset>2372360</wp:posOffset>
                </wp:positionH>
                <wp:positionV relativeFrom="paragraph">
                  <wp:posOffset>387985</wp:posOffset>
                </wp:positionV>
                <wp:extent cx="642620" cy="241300"/>
                <wp:effectExtent l="4445" t="48895" r="635" b="14605"/>
                <wp:wrapNone/>
                <wp:docPr id="89" name="组合 208"/>
                <wp:cNvGraphicFramePr/>
                <a:graphic xmlns:a="http://schemas.openxmlformats.org/drawingml/2006/main">
                  <a:graphicData uri="http://schemas.microsoft.com/office/word/2010/wordprocessingGroup">
                    <wpg:wgp>
                      <wpg:cNvGrpSpPr/>
                      <wpg:grpSpPr>
                        <a:xfrm>
                          <a:off x="0" y="0"/>
                          <a:ext cx="642620" cy="241300"/>
                          <a:chOff x="5967" y="436893"/>
                          <a:chExt cx="1012" cy="380"/>
                        </a:xfrm>
                      </wpg:grpSpPr>
                      <wps:wsp>
                        <wps:cNvPr id="87" name="直线 209"/>
                        <wps:cNvSpPr/>
                        <wps:spPr>
                          <a:xfrm flipV="1">
                            <a:off x="5967" y="436911"/>
                            <a:ext cx="1" cy="362"/>
                          </a:xfrm>
                          <a:prstGeom prst="line">
                            <a:avLst/>
                          </a:prstGeom>
                          <a:ln w="9525" cap="flat" cmpd="sng">
                            <a:solidFill>
                              <a:srgbClr val="000000"/>
                            </a:solidFill>
                            <a:prstDash val="dash"/>
                            <a:headEnd type="none" w="med" len="med"/>
                            <a:tailEnd type="none" w="med" len="med"/>
                          </a:ln>
                        </wps:spPr>
                        <wps:bodyPr upright="1"/>
                      </wps:wsp>
                      <wps:wsp>
                        <wps:cNvPr id="88" name="直线 210"/>
                        <wps:cNvSpPr/>
                        <wps:spPr>
                          <a:xfrm>
                            <a:off x="5967" y="436893"/>
                            <a:ext cx="1012" cy="1"/>
                          </a:xfrm>
                          <a:prstGeom prst="line">
                            <a:avLst/>
                          </a:prstGeom>
                          <a:ln w="9525" cap="flat" cmpd="sng">
                            <a:solidFill>
                              <a:srgbClr val="000000"/>
                            </a:solidFill>
                            <a:prstDash val="dash"/>
                            <a:headEnd type="none" w="med" len="med"/>
                            <a:tailEnd type="arrow" w="med" len="med"/>
                          </a:ln>
                        </wps:spPr>
                        <wps:bodyPr upright="1"/>
                      </wps:wsp>
                    </wpg:wgp>
                  </a:graphicData>
                </a:graphic>
              </wp:anchor>
            </w:drawing>
          </mc:Choice>
          <mc:Fallback>
            <w:pict>
              <v:group id="组合 208" o:spid="_x0000_s1026" o:spt="203" style="position:absolute;left:0pt;margin-left:186.8pt;margin-top:30.55pt;height:19pt;width:50.6pt;z-index:251592704;mso-width-relative:page;mso-height-relative:page;" coordorigin="5967,436893" coordsize="1012,380" o:gfxdata="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Hho4v2gAAAAkBAAAPAAAAAAAAAAEAIAAAACIAAABkcnMvZG93bnJldi54bWxQ&#10;SwECFAAUAAAACACHTuJAaKbXM6ACAAAjBwAADgAAAAAAAAABACAAAAApAQAAZHJzL2Uyb0RvYy54&#10;bWxQSwUGAAAAAAYABgBZAQAAOwYAAAAA&#10;">
                <o:lock v:ext="edit" aspectratio="f"/>
                <v:line id="直线 209" o:spid="_x0000_s1026" o:spt="20" style="position:absolute;left:5967;top:436911;flip:y;height:362;width:1;" filled="f" stroked="t" coordsize="21600,21600" o:gfxdata="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VH/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直线 210" o:spid="_x0000_s1026" o:spt="20" style="position:absolute;left:5967;top:436893;height:1;width:1012;" filled="f" stroked="t" coordsize="21600,21600" o:gfxdata="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r5eLsAAADb&#10;AAAADwAAAAAAAAABACAAAAAiAAAAZHJzL2Rvd25yZXYueG1sUEsBAhQAFAAAAAgAh07iQDMvBZ47&#10;AAAAOQAAABAAAAAAAAAAAQAgAAAACgEAAGRycy9zaGFwZXhtbC54bWxQSwUGAAAAAAYABgBbAQAA&#10;tAMAAAAA&#10;">
                  <v:fill on="f" focussize="0,0"/>
                  <v:stroke color="#000000" joinstyle="round" dashstyle="dash" endarrow="open"/>
                  <v:imagedata o:title=""/>
                  <o:lock v:ext="edit" aspectratio="f"/>
                </v:line>
              </v:group>
            </w:pict>
          </mc:Fallback>
        </mc:AlternateContent>
      </w:r>
      <w:r>
        <w:rPr>
          <w:sz w:val="24"/>
          <w:u w:val="single"/>
        </w:rPr>
        <mc:AlternateContent>
          <mc:Choice Requires="wps">
            <w:drawing>
              <wp:anchor distT="0" distB="0" distL="114300" distR="114300" simplePos="0" relativeHeight="251589632" behindDoc="0" locked="0" layoutInCell="1" allowOverlap="1">
                <wp:simplePos x="0" y="0"/>
                <wp:positionH relativeFrom="column">
                  <wp:posOffset>1155065</wp:posOffset>
                </wp:positionH>
                <wp:positionV relativeFrom="paragraph">
                  <wp:posOffset>85725</wp:posOffset>
                </wp:positionV>
                <wp:extent cx="665480" cy="635"/>
                <wp:effectExtent l="0" t="48895" r="1270" b="64770"/>
                <wp:wrapNone/>
                <wp:docPr id="82" name="直线 203"/>
                <wp:cNvGraphicFramePr/>
                <a:graphic xmlns:a="http://schemas.openxmlformats.org/drawingml/2006/main">
                  <a:graphicData uri="http://schemas.microsoft.com/office/word/2010/wordprocessingShape">
                    <wps:wsp>
                      <wps:cNvSpPr/>
                      <wps:spPr>
                        <a:xfrm>
                          <a:off x="0" y="0"/>
                          <a:ext cx="66548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03" o:spid="_x0000_s1026" o:spt="20" style="position:absolute;left:0pt;margin-left:90.95pt;margin-top:6.75pt;height:0.05pt;width:52.4pt;z-index:251589632;mso-width-relative:page;mso-height-relative:page;" filled="f" stroked="t" coordsize="21600,21600" o:gfxdata="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ZMaJ7ZAAAACQEAAA8AAAAAAAAAAQAgAAAAIgAAAGRycy9kb3ducmV2LnhtbFBLAQIUABQA&#10;AAAIAIdO4kD7QvWi7wEAAOADAAAOAAAAAAAAAAEAIAAAACgBAABkcnMvZTJvRG9jLnhtbFBLBQYA&#10;AAAABgAGAFkBAACJBQ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90656" behindDoc="0" locked="0" layoutInCell="1" allowOverlap="1">
                <wp:simplePos x="0" y="0"/>
                <wp:positionH relativeFrom="column">
                  <wp:posOffset>1155065</wp:posOffset>
                </wp:positionH>
                <wp:positionV relativeFrom="paragraph">
                  <wp:posOffset>1474470</wp:posOffset>
                </wp:positionV>
                <wp:extent cx="642620" cy="635"/>
                <wp:effectExtent l="0" t="48895" r="5080" b="64770"/>
                <wp:wrapNone/>
                <wp:docPr id="83" name="直线 204"/>
                <wp:cNvGraphicFramePr/>
                <a:graphic xmlns:a="http://schemas.openxmlformats.org/drawingml/2006/main">
                  <a:graphicData uri="http://schemas.microsoft.com/office/word/2010/wordprocessingShape">
                    <wps:wsp>
                      <wps:cNvSpPr/>
                      <wps:spPr>
                        <a:xfrm>
                          <a:off x="0" y="0"/>
                          <a:ext cx="6426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04" o:spid="_x0000_s1026" o:spt="20" style="position:absolute;left:0pt;margin-left:90.95pt;margin-top:116.1pt;height:0.05pt;width:50.6pt;z-index:251590656;mso-width-relative:page;mso-height-relative:page;" filled="f" stroked="t" coordsize="21600,21600" o:gfxdata="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JYfi2QAAAAsBAAAPAAAAAAAAAAEAIAAAACIAAABkcnMvZG93bnJldi54bWxQSwECFAAU&#10;AAAACACHTuJA4kfiZvABAADgAwAADgAAAAAAAAABACAAAAAoAQAAZHJzL2Uyb0RvYy54bWxQSwUG&#10;AAAAAAYABgBZAQAAigU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88608" behindDoc="0" locked="0" layoutInCell="1" allowOverlap="1">
                <wp:simplePos x="0" y="0"/>
                <wp:positionH relativeFrom="column">
                  <wp:posOffset>1143635</wp:posOffset>
                </wp:positionH>
                <wp:positionV relativeFrom="paragraph">
                  <wp:posOffset>85725</wp:posOffset>
                </wp:positionV>
                <wp:extent cx="635" cy="1388745"/>
                <wp:effectExtent l="4445" t="0" r="13970" b="1905"/>
                <wp:wrapNone/>
                <wp:docPr id="81" name="直线 202"/>
                <wp:cNvGraphicFramePr/>
                <a:graphic xmlns:a="http://schemas.openxmlformats.org/drawingml/2006/main">
                  <a:graphicData uri="http://schemas.microsoft.com/office/word/2010/wordprocessingShape">
                    <wps:wsp>
                      <wps:cNvSpPr/>
                      <wps:spPr>
                        <a:xfrm>
                          <a:off x="0" y="0"/>
                          <a:ext cx="635" cy="13887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2" o:spid="_x0000_s1026" o:spt="20" style="position:absolute;left:0pt;margin-left:90.05pt;margin-top:6.75pt;height:109.35pt;width:0.05pt;z-index:251588608;mso-width-relative:page;mso-height-relative:page;" filled="f" stroked="t" coordsize="21600,21600" o:gfxdata="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MY&#10;gdYAAAAKAQAADwAAAAAAAAABACAAAAAiAAAAZHJzL2Rvd25yZXYueG1sUEsBAhQAFAAAAAgAh07i&#10;QLL4Bp3rAQAA4AMAAA4AAAAAAAAAAQAgAAAAJQEAAGRycy9lMm9Eb2MueG1sUEsFBgAAAAAGAAYA&#10;WQEAAIIFAAAAAA==&#10;">
                <v:fill on="f" focussize="0,0"/>
                <v:stroke color="#000000" joinstyle="round"/>
                <v:imagedata o:title=""/>
                <o:lock v:ext="edit" aspectratio="f"/>
              </v:line>
            </w:pict>
          </mc:Fallback>
        </mc:AlternateContent>
      </w:r>
      <w:r>
        <w:rPr>
          <w:sz w:val="24"/>
          <w:u w:val="single"/>
        </w:rPr>
        <mc:AlternateContent>
          <mc:Choice Requires="wps">
            <w:drawing>
              <wp:anchor distT="0" distB="0" distL="114300" distR="114300" simplePos="0" relativeHeight="251587584" behindDoc="0" locked="0" layoutInCell="1" allowOverlap="1">
                <wp:simplePos x="0" y="0"/>
                <wp:positionH relativeFrom="column">
                  <wp:posOffset>615950</wp:posOffset>
                </wp:positionH>
                <wp:positionV relativeFrom="paragraph">
                  <wp:posOffset>705485</wp:posOffset>
                </wp:positionV>
                <wp:extent cx="1181735" cy="635"/>
                <wp:effectExtent l="0" t="48260" r="18415" b="65405"/>
                <wp:wrapNone/>
                <wp:docPr id="80" name="直线 201"/>
                <wp:cNvGraphicFramePr/>
                <a:graphic xmlns:a="http://schemas.openxmlformats.org/drawingml/2006/main">
                  <a:graphicData uri="http://schemas.microsoft.com/office/word/2010/wordprocessingShape">
                    <wps:wsp>
                      <wps:cNvSpPr/>
                      <wps:spPr>
                        <a:xfrm>
                          <a:off x="0" y="0"/>
                          <a:ext cx="118173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01" o:spid="_x0000_s1026" o:spt="20" style="position:absolute;left:0pt;margin-left:48.5pt;margin-top:55.55pt;height:0.05pt;width:93.05pt;z-index:251587584;mso-width-relative:page;mso-height-relative:page;" filled="f" stroked="t" coordsize="21600,21600" o:gfxdata="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PuZ5tcAAAAKAQAADwAAAAAAAAABACAAAAAiAAAAZHJzL2Rvd25yZXYueG1sUEsBAhQAFAAAAAgA&#10;h07iQMGrRnLtAQAA4QMAAA4AAAAAAAAAAQAgAAAAJgEAAGRycy9lMm9Eb2MueG1sUEsFBgAAAAAG&#10;AAYAWQEAAIUFA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548672" behindDoc="1" locked="0" layoutInCell="1" allowOverlap="1">
                <wp:simplePos x="0" y="0"/>
                <wp:positionH relativeFrom="column">
                  <wp:posOffset>1814195</wp:posOffset>
                </wp:positionH>
                <wp:positionV relativeFrom="paragraph">
                  <wp:posOffset>1289050</wp:posOffset>
                </wp:positionV>
                <wp:extent cx="1078865" cy="332740"/>
                <wp:effectExtent l="4445" t="4445" r="21590" b="5715"/>
                <wp:wrapNone/>
                <wp:docPr id="2" name="矩形 200"/>
                <wp:cNvGraphicFramePr/>
                <a:graphic xmlns:a="http://schemas.openxmlformats.org/drawingml/2006/main">
                  <a:graphicData uri="http://schemas.microsoft.com/office/word/2010/wordprocessingShape">
                    <wps:wsp>
                      <wps:cNvSpPr/>
                      <wps:spPr>
                        <a:xfrm>
                          <a:off x="0" y="0"/>
                          <a:ext cx="1078865" cy="3327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选矿用水</w:t>
                            </w:r>
                          </w:p>
                        </w:txbxContent>
                      </wps:txbx>
                      <wps:bodyPr upright="1"/>
                    </wps:wsp>
                  </a:graphicData>
                </a:graphic>
              </wp:anchor>
            </w:drawing>
          </mc:Choice>
          <mc:Fallback>
            <w:pict>
              <v:rect id="矩形 200" o:spid="_x0000_s1026" o:spt="1" style="position:absolute;left:0pt;margin-left:142.85pt;margin-top:101.5pt;height:26.2pt;width:84.95pt;z-index:-251767808;mso-width-relative:page;mso-height-relative:page;" filled="f" stroked="t" coordsize="21600,21600" o:gfxdata="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KrmufZAAAACwEAAA8AAAAAAAAAAQAgAAAAIgAAAGRycy9kb3du&#10;cmV2LnhtbFBLAQIUABQAAAAIAIdO4kAamtry/gEAAAIEAAAOAAAAAAAAAAEAIAAAACgBAABkcnMv&#10;ZTJvRG9jLnhtbFBLBQYAAAAABgAGAFkBAACYBQAAAAA=&#10;">
                <v:fill on="f" focussize="0,0"/>
                <v:stroke color="#000000" joinstyle="miter"/>
                <v:imagedata o:title=""/>
                <o:lock v:ext="edit" aspectratio="f"/>
                <v:textbox>
                  <w:txbxContent>
                    <w:p>
                      <w:pPr>
                        <w:jc w:val="center"/>
                      </w:pPr>
                      <w:r>
                        <w:rPr>
                          <w:rFonts w:hint="eastAsia"/>
                        </w:rPr>
                        <w:t>选矿用水</w:t>
                      </w:r>
                    </w:p>
                  </w:txbxContent>
                </v:textbox>
              </v:rect>
            </w:pict>
          </mc:Fallback>
        </mc:AlternateContent>
      </w:r>
      <w:r>
        <w:rPr>
          <w:sz w:val="24"/>
          <w:u w:val="single"/>
        </w:rPr>
        <mc:AlternateContent>
          <mc:Choice Requires="wps">
            <w:drawing>
              <wp:anchor distT="0" distB="0" distL="114300" distR="114300" simplePos="0" relativeHeight="251586560" behindDoc="0" locked="0" layoutInCell="1" allowOverlap="1">
                <wp:simplePos x="0" y="0"/>
                <wp:positionH relativeFrom="column">
                  <wp:posOffset>1799590</wp:posOffset>
                </wp:positionH>
                <wp:positionV relativeFrom="paragraph">
                  <wp:posOffset>597535</wp:posOffset>
                </wp:positionV>
                <wp:extent cx="1078865" cy="332740"/>
                <wp:effectExtent l="4445" t="4445" r="21590" b="5715"/>
                <wp:wrapNone/>
                <wp:docPr id="79" name="矩形 199"/>
                <wp:cNvGraphicFramePr/>
                <a:graphic xmlns:a="http://schemas.openxmlformats.org/drawingml/2006/main">
                  <a:graphicData uri="http://schemas.microsoft.com/office/word/2010/wordprocessingShape">
                    <wps:wsp>
                      <wps:cNvSpPr/>
                      <wps:spPr>
                        <a:xfrm>
                          <a:off x="0" y="0"/>
                          <a:ext cx="1078865" cy="3327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upright="1"/>
                    </wps:wsp>
                  </a:graphicData>
                </a:graphic>
              </wp:anchor>
            </w:drawing>
          </mc:Choice>
          <mc:Fallback>
            <w:pict>
              <v:rect id="矩形 199" o:spid="_x0000_s1026" o:spt="1" style="position:absolute;left:0pt;margin-left:141.7pt;margin-top:47.05pt;height:26.2pt;width:84.95pt;z-index:251586560;mso-width-relative:page;mso-height-relative:page;" filled="f" stroked="t" coordsize="21600,21600" o:gfxdata="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QQd7ZAAAACgEAAA8AAAAAAAAAAQAgAAAAIgAAAGRycy9k&#10;b3ducmV2LnhtbFBLAQIUABQAAAAIAIdO4kDp6lPeAQIAAAMEAAAOAAAAAAAAAAEAIAAAACgBAABk&#10;cnMvZTJvRG9jLnhtbFBLBQYAAAAABgAGAFkBAACbBQAAAAA=&#10;">
                <v:fill on="f" focussize="0,0"/>
                <v:stroke color="#000000" joinstyle="miter"/>
                <v:imagedata o:title=""/>
                <o:lock v:ext="edit" aspectratio="f"/>
                <v:textbox>
                  <w:txbxContent>
                    <w:p>
                      <w:pPr>
                        <w:jc w:val="center"/>
                      </w:pPr>
                      <w:r>
                        <w:rPr>
                          <w:rFonts w:hint="eastAsia"/>
                        </w:rPr>
                        <w:t>生活用水</w:t>
                      </w:r>
                    </w:p>
                  </w:txbxContent>
                </v:textbox>
              </v:rect>
            </w:pict>
          </mc:Fallback>
        </mc:AlternateContent>
      </w:r>
    </w:p>
    <w:p>
      <w:pPr>
        <w:rPr>
          <w:sz w:val="24"/>
          <w:u w:val="single"/>
        </w:rPr>
      </w:pPr>
      <w:r>
        <w:rPr>
          <w:sz w:val="24"/>
          <w:u w:val="single"/>
        </w:rPr>
        <mc:AlternateContent>
          <mc:Choice Requires="wps">
            <w:drawing>
              <wp:anchor distT="0" distB="0" distL="114300" distR="114300" simplePos="0" relativeHeight="251735040" behindDoc="0" locked="0" layoutInCell="1" allowOverlap="1">
                <wp:simplePos x="0" y="0"/>
                <wp:positionH relativeFrom="column">
                  <wp:posOffset>4253230</wp:posOffset>
                </wp:positionH>
                <wp:positionV relativeFrom="paragraph">
                  <wp:posOffset>5715</wp:posOffset>
                </wp:positionV>
                <wp:extent cx="1078865" cy="332740"/>
                <wp:effectExtent l="4445" t="4445" r="21590" b="5715"/>
                <wp:wrapNone/>
                <wp:docPr id="247" name="矩形 379"/>
                <wp:cNvGraphicFramePr/>
                <a:graphic xmlns:a="http://schemas.openxmlformats.org/drawingml/2006/main">
                  <a:graphicData uri="http://schemas.microsoft.com/office/word/2010/wordprocessingShape">
                    <wps:wsp>
                      <wps:cNvSpPr/>
                      <wps:spPr>
                        <a:xfrm>
                          <a:off x="0" y="0"/>
                          <a:ext cx="1078865" cy="3327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防渗旱厕</w:t>
                            </w:r>
                          </w:p>
                        </w:txbxContent>
                      </wps:txbx>
                      <wps:bodyPr upright="1"/>
                    </wps:wsp>
                  </a:graphicData>
                </a:graphic>
              </wp:anchor>
            </w:drawing>
          </mc:Choice>
          <mc:Fallback>
            <w:pict>
              <v:rect id="矩形 379" o:spid="_x0000_s1026" o:spt="1" style="position:absolute;left:0pt;margin-left:334.9pt;margin-top:0.45pt;height:26.2pt;width:84.95pt;z-index:251735040;mso-width-relative:page;mso-height-relative:page;" filled="f" stroked="t" coordsize="21600,21600" o:gfxdata="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SzNn1gAAAAcBAAAPAAAAAAAAAAEAIAAAACIAAABkcnMvZG93&#10;bnJldi54bWxQSwECFAAUAAAACACHTuJAqMl29AICAAAEBAAADgAAAAAAAAABACAAAAAlAQAAZHJz&#10;L2Uyb0RvYy54bWxQSwUGAAAAAAYABgBZAQAAmQUAAAAA&#10;">
                <v:fill on="f" focussize="0,0"/>
                <v:stroke color="#000000" joinstyle="miter"/>
                <v:imagedata o:title=""/>
                <o:lock v:ext="edit" aspectratio="f"/>
                <v:textbox>
                  <w:txbxContent>
                    <w:p>
                      <w:pPr>
                        <w:jc w:val="center"/>
                      </w:pPr>
                      <w:r>
                        <w:rPr>
                          <w:rFonts w:hint="eastAsia"/>
                        </w:rPr>
                        <w:t>防渗旱厕</w:t>
                      </w:r>
                    </w:p>
                  </w:txbxContent>
                </v:textbox>
              </v:rect>
            </w:pict>
          </mc:Fallback>
        </mc:AlternateContent>
      </w:r>
      <w:r>
        <w:rPr>
          <w:sz w:val="24"/>
          <w:u w:val="single"/>
        </w:rPr>
        <mc:AlternateContent>
          <mc:Choice Requires="wps">
            <w:drawing>
              <wp:anchor distT="0" distB="0" distL="114300" distR="114300" simplePos="0" relativeHeight="251594752" behindDoc="0" locked="0" layoutInCell="1" allowOverlap="1">
                <wp:simplePos x="0" y="0"/>
                <wp:positionH relativeFrom="column">
                  <wp:posOffset>3581400</wp:posOffset>
                </wp:positionH>
                <wp:positionV relativeFrom="paragraph">
                  <wp:posOffset>182245</wp:posOffset>
                </wp:positionV>
                <wp:extent cx="676910" cy="635"/>
                <wp:effectExtent l="0" t="48895" r="8890" b="64770"/>
                <wp:wrapNone/>
                <wp:docPr id="93" name="直线 214"/>
                <wp:cNvGraphicFramePr/>
                <a:graphic xmlns:a="http://schemas.openxmlformats.org/drawingml/2006/main">
                  <a:graphicData uri="http://schemas.microsoft.com/office/word/2010/wordprocessingShape">
                    <wps:wsp>
                      <wps:cNvSpPr/>
                      <wps:spPr>
                        <a:xfrm>
                          <a:off x="0" y="0"/>
                          <a:ext cx="67691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4" o:spid="_x0000_s1026" o:spt="20" style="position:absolute;left:0pt;margin-left:282pt;margin-top:14.35pt;height:0.05pt;width:53.3pt;z-index:251594752;mso-width-relative:page;mso-height-relative:page;" filled="f" stroked="t" coordsize="21600,21600" o:gfxdata="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8XWy2gAAAAkBAAAPAAAAAAAAAAEAIAAAACIAAABkcnMvZG93bnJldi54bWxQSwECFAAU&#10;AAAACACHTuJAz6VvU+8BAADgAwAADgAAAAAAAAABACAAAAApAQAAZHJzL2Uyb0RvYy54bWxQSwUG&#10;AAAAAAYABgBZAQAAigUAAAAA&#10;">
                <v:fill on="f" focussize="0,0"/>
                <v:stroke color="#000000" joinstyle="round" endarrow="open"/>
                <v:imagedata o:title=""/>
                <o:lock v:ext="edit" aspectratio="f"/>
              </v:line>
            </w:pict>
          </mc:Fallback>
        </mc:AlternateContent>
      </w:r>
    </w:p>
    <w:p>
      <w:pPr>
        <w:rPr>
          <w:sz w:val="24"/>
          <w:u w:val="single"/>
        </w:rPr>
      </w:pPr>
      <w:r>
        <w:rPr>
          <w:sz w:val="24"/>
          <w:u w:val="single"/>
        </w:rPr>
        <mc:AlternateContent>
          <mc:Choice Requires="wps">
            <w:drawing>
              <wp:anchor distT="0" distB="0" distL="114300" distR="114300" simplePos="0" relativeHeight="251598848" behindDoc="0" locked="0" layoutInCell="1" allowOverlap="1">
                <wp:simplePos x="0" y="0"/>
                <wp:positionH relativeFrom="column">
                  <wp:posOffset>1048385</wp:posOffset>
                </wp:positionH>
                <wp:positionV relativeFrom="paragraph">
                  <wp:posOffset>114300</wp:posOffset>
                </wp:positionV>
                <wp:extent cx="872490" cy="332740"/>
                <wp:effectExtent l="0" t="0" r="0" b="0"/>
                <wp:wrapNone/>
                <wp:docPr id="97" name="矩形 222"/>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0.45</w:t>
                            </w:r>
                          </w:p>
                        </w:txbxContent>
                      </wps:txbx>
                      <wps:bodyPr upright="1"/>
                    </wps:wsp>
                  </a:graphicData>
                </a:graphic>
              </wp:anchor>
            </w:drawing>
          </mc:Choice>
          <mc:Fallback>
            <w:pict>
              <v:rect id="矩形 222" o:spid="_x0000_s1026" o:spt="1" style="position:absolute;left:0pt;margin-left:82.55pt;margin-top:9pt;height:26.2pt;width:68.7pt;z-index:251598848;mso-width-relative:page;mso-height-relative:page;" filled="f" stroked="f" coordsize="21600,21600" o:gfxdata="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F65pw2QAAAAkBAAAP&#10;AAAAAAAAAAEAIAAAACIAAABkcnMvZG93bnJldi54bWxQSwECFAAUAAAACACHTuJA4XchbaUBAABD&#10;AwAADgAAAAAAAAABACAAAAAoAQAAZHJzL2Uyb0RvYy54bWxQSwUGAAAAAAYABgBZAQAAPwUAAAAA&#10;">
                <v:fill on="f" focussize="0,0"/>
                <v:stroke on="f"/>
                <v:imagedata o:title=""/>
                <o:lock v:ext="edit" aspectratio="f"/>
                <v:textbox>
                  <w:txbxContent>
                    <w:p>
                      <w:pPr>
                        <w:jc w:val="center"/>
                      </w:pPr>
                      <w:r>
                        <w:rPr>
                          <w:rFonts w:hint="eastAsia"/>
                        </w:rPr>
                        <w:t>0.45</w:t>
                      </w:r>
                    </w:p>
                  </w:txbxContent>
                </v:textbox>
              </v:rect>
            </w:pict>
          </mc:Fallback>
        </mc:AlternateContent>
      </w:r>
      <w:r>
        <w:rPr>
          <w:sz w:val="24"/>
          <w:u w:val="single"/>
        </w:rPr>
        <mc:AlternateContent>
          <mc:Choice Requires="wps">
            <w:drawing>
              <wp:anchor distT="0" distB="0" distL="114300" distR="114300" simplePos="0" relativeHeight="251554816" behindDoc="1" locked="0" layoutInCell="1" allowOverlap="1">
                <wp:simplePos x="0" y="0"/>
                <wp:positionH relativeFrom="column">
                  <wp:posOffset>2828290</wp:posOffset>
                </wp:positionH>
                <wp:positionV relativeFrom="paragraph">
                  <wp:posOffset>106680</wp:posOffset>
                </wp:positionV>
                <wp:extent cx="872490" cy="332740"/>
                <wp:effectExtent l="0" t="0" r="0" b="0"/>
                <wp:wrapNone/>
                <wp:docPr id="20" name="矩形 377"/>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0.36</w:t>
                            </w:r>
                          </w:p>
                        </w:txbxContent>
                      </wps:txbx>
                      <wps:bodyPr upright="1"/>
                    </wps:wsp>
                  </a:graphicData>
                </a:graphic>
              </wp:anchor>
            </w:drawing>
          </mc:Choice>
          <mc:Fallback>
            <w:pict>
              <v:rect id="矩形 377" o:spid="_x0000_s1026" o:spt="1" style="position:absolute;left:0pt;margin-left:222.7pt;margin-top:8.4pt;height:26.2pt;width:68.7pt;z-index:-251761664;mso-width-relative:page;mso-height-relative:page;" filled="f" stroked="f" coordsize="21600,21600" o:gfxdata="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MC8IS2gAAAAkBAAAP&#10;AAAAAAAAAAEAIAAAACIAAABkcnMvZG93bnJldi54bWxQSwECFAAUAAAACACHTuJA1/VQpqQBAABD&#10;AwAADgAAAAAAAAABACAAAAApAQAAZHJzL2Uyb0RvYy54bWxQSwUGAAAAAAYABgBZAQAAPwUAAAAA&#10;">
                <v:fill on="f" focussize="0,0"/>
                <v:stroke on="f"/>
                <v:imagedata o:title=""/>
                <o:lock v:ext="edit" aspectratio="f"/>
                <v:textbox>
                  <w:txbxContent>
                    <w:p>
                      <w:pPr>
                        <w:jc w:val="center"/>
                      </w:pPr>
                      <w:r>
                        <w:rPr>
                          <w:rFonts w:hint="eastAsia"/>
                        </w:rPr>
                        <w:t>0.36</w:t>
                      </w:r>
                    </w:p>
                  </w:txbxContent>
                </v:textbox>
              </v:rect>
            </w:pict>
          </mc:Fallback>
        </mc:AlternateContent>
      </w:r>
    </w:p>
    <w:p>
      <w:pPr>
        <w:rPr>
          <w:sz w:val="24"/>
          <w:u w:val="single"/>
        </w:rPr>
      </w:pPr>
      <w:r>
        <w:rPr>
          <w:sz w:val="24"/>
          <w:u w:val="single"/>
        </w:rPr>
        <mc:AlternateContent>
          <mc:Choice Requires="wps">
            <w:drawing>
              <wp:anchor distT="0" distB="0" distL="114300" distR="114300" simplePos="0" relativeHeight="251736064" behindDoc="0" locked="0" layoutInCell="1" allowOverlap="1">
                <wp:simplePos x="0" y="0"/>
                <wp:positionH relativeFrom="column">
                  <wp:posOffset>2895600</wp:posOffset>
                </wp:positionH>
                <wp:positionV relativeFrom="paragraph">
                  <wp:posOffset>138430</wp:posOffset>
                </wp:positionV>
                <wp:extent cx="676910" cy="635"/>
                <wp:effectExtent l="0" t="48895" r="8890" b="64770"/>
                <wp:wrapNone/>
                <wp:docPr id="248" name="直线 380"/>
                <wp:cNvGraphicFramePr/>
                <a:graphic xmlns:a="http://schemas.openxmlformats.org/drawingml/2006/main">
                  <a:graphicData uri="http://schemas.microsoft.com/office/word/2010/wordprocessingShape">
                    <wps:wsp>
                      <wps:cNvSpPr/>
                      <wps:spPr>
                        <a:xfrm>
                          <a:off x="0" y="0"/>
                          <a:ext cx="67691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80" o:spid="_x0000_s1026" o:spt="20" style="position:absolute;left:0pt;margin-left:228pt;margin-top:10.9pt;height:0.05pt;width:53.3pt;z-index:251736064;mso-width-relative:page;mso-height-relative:page;" filled="f" stroked="t" coordsize="21600,21600" o:gfxdata="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kQ9682QAAAAkBAAAPAAAAAAAAAAEAIAAAACIAAABkcnMvZG93bnJldi54bWxQSwECFAAU&#10;AAAACACHTuJAhMZmy/ABAADhAwAADgAAAAAAAAABACAAAAAoAQAAZHJzL2Uyb0RvYy54bWxQSwUG&#10;AAAAAAYABgBZAQAAigUAAAAA&#10;">
                <v:fill on="f" focussize="0,0"/>
                <v:stroke color="#000000" joinstyle="round" endarrow="open"/>
                <v:imagedata o:title=""/>
                <o:lock v:ext="edit" aspectratio="f"/>
              </v:line>
            </w:pict>
          </mc:Fallback>
        </mc:AlternateContent>
      </w:r>
    </w:p>
    <w:p>
      <w:pPr>
        <w:rPr>
          <w:sz w:val="24"/>
          <w:u w:val="single"/>
        </w:rPr>
      </w:pPr>
    </w:p>
    <w:p>
      <w:pPr>
        <w:rPr>
          <w:sz w:val="24"/>
          <w:u w:val="single"/>
        </w:rPr>
      </w:pPr>
    </w:p>
    <w:p>
      <w:pPr>
        <w:rPr>
          <w:sz w:val="24"/>
          <w:u w:val="single"/>
        </w:rPr>
      </w:pPr>
    </w:p>
    <w:p>
      <w:pPr>
        <w:rPr>
          <w:sz w:val="24"/>
          <w:u w:val="single"/>
        </w:rPr>
      </w:pPr>
      <w:r>
        <w:rPr>
          <w:sz w:val="24"/>
          <w:u w:val="single"/>
        </w:rPr>
        <mc:AlternateContent>
          <mc:Choice Requires="wps">
            <w:drawing>
              <wp:anchor distT="0" distB="0" distL="114300" distR="114300" simplePos="0" relativeHeight="251737088" behindDoc="0" locked="0" layoutInCell="1" allowOverlap="1">
                <wp:simplePos x="0" y="0"/>
                <wp:positionH relativeFrom="column">
                  <wp:posOffset>1646555</wp:posOffset>
                </wp:positionH>
                <wp:positionV relativeFrom="paragraph">
                  <wp:posOffset>81915</wp:posOffset>
                </wp:positionV>
                <wp:extent cx="635" cy="410210"/>
                <wp:effectExtent l="48895" t="0" r="64770" b="8890"/>
                <wp:wrapNone/>
                <wp:docPr id="249" name="直线 381"/>
                <wp:cNvGraphicFramePr/>
                <a:graphic xmlns:a="http://schemas.openxmlformats.org/drawingml/2006/main">
                  <a:graphicData uri="http://schemas.microsoft.com/office/word/2010/wordprocessingShape">
                    <wps:wsp>
                      <wps:cNvSpPr/>
                      <wps:spPr>
                        <a:xfrm flipV="1">
                          <a:off x="0" y="0"/>
                          <a:ext cx="635" cy="4102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81" o:spid="_x0000_s1026" o:spt="20" style="position:absolute;left:0pt;flip:y;margin-left:129.65pt;margin-top:6.45pt;height:32.3pt;width:0.05pt;z-index:251737088;mso-width-relative:page;mso-height-relative:page;" filled="f" stroked="t" coordsize="21600,21600" o:gfxdata="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3ovME2AAAAAkBAAAPAAAAAAAAAAEAIAAAACIAAABkcnMvZG93bnJldi54&#10;bWxQSwECFAAUAAAACACHTuJA/pGcRPoBAADrAwAADgAAAAAAAAABACAAAAAnAQAAZHJzL2Uyb0Rv&#10;Yy54bWxQSwUGAAAAAAYABgBZAQAAkwUAAAAA&#10;">
                <v:fill on="f" focussize="0,0"/>
                <v:stroke color="#000000" joinstyle="round" endarrow="open"/>
                <v:imagedata o:title=""/>
                <o:lock v:ext="edit" aspectratio="f"/>
              </v:line>
            </w:pict>
          </mc:Fallback>
        </mc:AlternateContent>
      </w:r>
    </w:p>
    <w:p>
      <w:pPr>
        <w:rPr>
          <w:sz w:val="24"/>
          <w:u w:val="single"/>
        </w:rPr>
      </w:pPr>
      <w:r>
        <w:rPr>
          <w:sz w:val="24"/>
          <w:u w:val="single"/>
        </w:rPr>
        <mc:AlternateContent>
          <mc:Choice Requires="wps">
            <w:drawing>
              <wp:anchor distT="0" distB="0" distL="114300" distR="114300" simplePos="0" relativeHeight="251555840" behindDoc="1" locked="0" layoutInCell="1" allowOverlap="1">
                <wp:simplePos x="0" y="0"/>
                <wp:positionH relativeFrom="column">
                  <wp:posOffset>1548130</wp:posOffset>
                </wp:positionH>
                <wp:positionV relativeFrom="paragraph">
                  <wp:posOffset>71755</wp:posOffset>
                </wp:positionV>
                <wp:extent cx="872490" cy="332740"/>
                <wp:effectExtent l="0" t="0" r="0" b="0"/>
                <wp:wrapNone/>
                <wp:docPr id="21" name="矩形 384"/>
                <wp:cNvGraphicFramePr/>
                <a:graphic xmlns:a="http://schemas.openxmlformats.org/drawingml/2006/main">
                  <a:graphicData uri="http://schemas.microsoft.com/office/word/2010/wordprocessingShape">
                    <wps:wsp>
                      <wps:cNvSpPr/>
                      <wps:spPr>
                        <a:xfrm>
                          <a:off x="0" y="0"/>
                          <a:ext cx="872490" cy="332740"/>
                        </a:xfrm>
                        <a:prstGeom prst="rect">
                          <a:avLst/>
                        </a:prstGeom>
                        <a:noFill/>
                        <a:ln>
                          <a:noFill/>
                        </a:ln>
                      </wps:spPr>
                      <wps:txbx>
                        <w:txbxContent>
                          <w:p>
                            <w:pPr>
                              <w:jc w:val="center"/>
                            </w:pPr>
                            <w:r>
                              <w:rPr>
                                <w:rFonts w:hint="eastAsia"/>
                              </w:rPr>
                              <w:t>180</w:t>
                            </w:r>
                          </w:p>
                        </w:txbxContent>
                      </wps:txbx>
                      <wps:bodyPr upright="1"/>
                    </wps:wsp>
                  </a:graphicData>
                </a:graphic>
              </wp:anchor>
            </w:drawing>
          </mc:Choice>
          <mc:Fallback>
            <w:pict>
              <v:rect id="矩形 384" o:spid="_x0000_s1026" o:spt="1" style="position:absolute;left:0pt;margin-left:121.9pt;margin-top:5.65pt;height:26.2pt;width:68.7pt;z-index:-251760640;mso-width-relative:page;mso-height-relative:page;" filled="f" stroked="f" coordsize="21600,21600" o:gfxdata="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0zEg+2gAAAAkBAAAP&#10;AAAAAAAAAAEAIAAAACIAAABkcnMvZG93bnJldi54bWxQSwECFAAUAAAACACHTuJALOaGyKQBAABD&#10;AwAADgAAAAAAAAABACAAAAApAQAAZHJzL2Uyb0RvYy54bWxQSwUGAAAAAAYABgBZAQAAPwUAAAAA&#10;">
                <v:fill on="f" focussize="0,0"/>
                <v:stroke on="f"/>
                <v:imagedata o:title=""/>
                <o:lock v:ext="edit" aspectratio="f"/>
                <v:textbox>
                  <w:txbxContent>
                    <w:p>
                      <w:pPr>
                        <w:jc w:val="center"/>
                      </w:pPr>
                      <w:r>
                        <w:rPr>
                          <w:rFonts w:hint="eastAsia"/>
                        </w:rPr>
                        <w:t>180</w:t>
                      </w:r>
                    </w:p>
                  </w:txbxContent>
                </v:textbox>
              </v:rect>
            </w:pict>
          </mc:Fallback>
        </mc:AlternateContent>
      </w:r>
      <w:r>
        <w:rPr>
          <w:sz w:val="24"/>
          <w:u w:val="single"/>
        </w:rPr>
        <mc:AlternateContent>
          <mc:Choice Requires="wps">
            <w:drawing>
              <wp:anchor distT="0" distB="0" distL="114300" distR="114300" simplePos="0" relativeHeight="251739136" behindDoc="0" locked="0" layoutInCell="1" allowOverlap="1">
                <wp:simplePos x="0" y="0"/>
                <wp:positionH relativeFrom="column">
                  <wp:posOffset>2265680</wp:posOffset>
                </wp:positionH>
                <wp:positionV relativeFrom="paragraph">
                  <wp:posOffset>47625</wp:posOffset>
                </wp:positionV>
                <wp:extent cx="635" cy="229235"/>
                <wp:effectExtent l="4445" t="0" r="13970" b="18415"/>
                <wp:wrapNone/>
                <wp:docPr id="251" name="直线 383"/>
                <wp:cNvGraphicFramePr/>
                <a:graphic xmlns:a="http://schemas.openxmlformats.org/drawingml/2006/main">
                  <a:graphicData uri="http://schemas.microsoft.com/office/word/2010/wordprocessingShape">
                    <wps:wsp>
                      <wps:cNvSpPr/>
                      <wps:spPr>
                        <a:xfrm flipV="1">
                          <a:off x="0" y="0"/>
                          <a:ext cx="635" cy="2292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83" o:spid="_x0000_s1026" o:spt="20" style="position:absolute;left:0pt;flip:y;margin-left:178.4pt;margin-top:3.75pt;height:18.05pt;width:0.05pt;z-index:251739136;mso-width-relative:page;mso-height-relative:page;" filled="f" stroked="t" coordsize="21600,21600" o:gfxdata="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5cgydYAAAAIAQAADwAAAAAAAAABACAAAAAiAAAAZHJzL2Rvd25yZXYueG1sUEsBAhQAFAAA&#10;AAgAh07iQNWU+0HxAQAA6gMAAA4AAAAAAAAAAQAgAAAAJQEAAGRycy9lMm9Eb2MueG1sUEsFBgAA&#10;AAAGAAYAWQEAAIgFAAAAAA==&#10;">
                <v:fill on="f" focussize="0,0"/>
                <v:stroke color="#000000" joinstyle="round"/>
                <v:imagedata o:title=""/>
                <o:lock v:ext="edit" aspectratio="f"/>
              </v:line>
            </w:pict>
          </mc:Fallback>
        </mc:AlternateContent>
      </w:r>
    </w:p>
    <w:p>
      <w:pPr>
        <w:tabs>
          <w:tab w:val="left" w:pos="2867"/>
        </w:tabs>
        <w:jc w:val="center"/>
        <w:rPr>
          <w:rFonts w:ascii="Times New Roman" w:hAnsi="Times New Roman"/>
          <w:b/>
          <w:bCs/>
          <w:sz w:val="24"/>
          <w:u w:val="single"/>
        </w:rPr>
      </w:pPr>
      <w:r>
        <w:rPr>
          <w:sz w:val="24"/>
          <w:u w:val="single"/>
        </w:rPr>
        <mc:AlternateContent>
          <mc:Choice Requires="wps">
            <w:drawing>
              <wp:anchor distT="0" distB="0" distL="114300" distR="114300" simplePos="0" relativeHeight="251738112" behindDoc="0" locked="0" layoutInCell="1" allowOverlap="1">
                <wp:simplePos x="0" y="0"/>
                <wp:positionH relativeFrom="column">
                  <wp:posOffset>1642110</wp:posOffset>
                </wp:positionH>
                <wp:positionV relativeFrom="paragraph">
                  <wp:posOffset>78105</wp:posOffset>
                </wp:positionV>
                <wp:extent cx="641985" cy="635"/>
                <wp:effectExtent l="0" t="0" r="0" b="0"/>
                <wp:wrapNone/>
                <wp:docPr id="250" name="直线 382"/>
                <wp:cNvGraphicFramePr/>
                <a:graphic xmlns:a="http://schemas.openxmlformats.org/drawingml/2006/main">
                  <a:graphicData uri="http://schemas.microsoft.com/office/word/2010/wordprocessingShape">
                    <wps:wsp>
                      <wps:cNvSpPr/>
                      <wps:spPr>
                        <a:xfrm flipH="1">
                          <a:off x="0" y="0"/>
                          <a:ext cx="64198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82" o:spid="_x0000_s1026" o:spt="20" style="position:absolute;left:0pt;flip:x;margin-left:129.3pt;margin-top:6.15pt;height:0.05pt;width:50.55pt;z-index:251738112;mso-width-relative:page;mso-height-relative:page;" filled="f" stroked="t" coordsize="21600,21600" o:gfxdata="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7nBHe1wAAAAkBAAAPAAAAAAAAAAEAIAAAACIAAABkcnMvZG93bnJldi54bWxQSwECFAAU&#10;AAAACACHTuJAkCTRfPIBAADqAwAADgAAAAAAAAABACAAAAAmAQAAZHJzL2Uyb0RvYy54bWxQSwUG&#10;AAAAAAYABgBZAQAAigUAAAAA&#10;">
                <v:fill on="f" focussize="0,0"/>
                <v:stroke color="#000000" joinstyle="round"/>
                <v:imagedata o:title=""/>
                <o:lock v:ext="edit" aspectratio="f"/>
              </v:line>
            </w:pict>
          </mc:Fallback>
        </mc:AlternateContent>
      </w:r>
    </w:p>
    <w:p>
      <w:pPr>
        <w:tabs>
          <w:tab w:val="left" w:pos="2867"/>
        </w:tabs>
        <w:jc w:val="center"/>
        <w:rPr>
          <w:rFonts w:ascii="Times New Roman" w:hAnsi="Times New Roman"/>
          <w:sz w:val="24"/>
          <w:u w:val="single"/>
        </w:rPr>
      </w:pPr>
      <w:r>
        <w:rPr>
          <w:rFonts w:ascii="Times New Roman" w:hAnsi="Times New Roman"/>
          <w:b/>
          <w:bCs/>
          <w:sz w:val="24"/>
          <w:u w:val="single"/>
        </w:rPr>
        <w:t>图3-</w:t>
      </w:r>
      <w:r>
        <w:rPr>
          <w:rFonts w:hint="eastAsia" w:ascii="Times New Roman" w:hAnsi="Times New Roman"/>
          <w:b/>
          <w:bCs/>
          <w:sz w:val="24"/>
          <w:u w:val="single"/>
        </w:rPr>
        <w:t>1</w:t>
      </w:r>
      <w:r>
        <w:rPr>
          <w:rFonts w:ascii="Times New Roman" w:hAnsi="Times New Roman"/>
          <w:b/>
          <w:bCs/>
          <w:sz w:val="24"/>
          <w:u w:val="single"/>
        </w:rPr>
        <w:t xml:space="preserve"> 现有项目水平衡图  单位：t/d</w:t>
      </w:r>
    </w:p>
    <w:p>
      <w:pPr>
        <w:tabs>
          <w:tab w:val="left" w:pos="2867"/>
        </w:tabs>
        <w:spacing w:line="360" w:lineRule="auto"/>
        <w:ind w:firstLine="480" w:firstLineChars="200"/>
        <w:jc w:val="left"/>
        <w:rPr>
          <w:rFonts w:ascii="Times New Roman" w:hAnsi="Times New Roman"/>
          <w:sz w:val="24"/>
        </w:rPr>
      </w:pPr>
      <w:r>
        <w:rPr>
          <w:rFonts w:ascii="Times New Roman" w:hAnsi="Times New Roman"/>
          <w:sz w:val="24"/>
        </w:rPr>
        <w:t>2、供电</w:t>
      </w:r>
    </w:p>
    <w:p>
      <w:pPr>
        <w:tabs>
          <w:tab w:val="left" w:pos="2867"/>
        </w:tabs>
        <w:spacing w:line="360" w:lineRule="auto"/>
        <w:ind w:firstLine="480" w:firstLineChars="200"/>
        <w:jc w:val="left"/>
        <w:rPr>
          <w:rFonts w:ascii="Times New Roman" w:hAnsi="Times New Roman"/>
          <w:sz w:val="24"/>
        </w:rPr>
      </w:pPr>
      <w:r>
        <w:rPr>
          <w:rFonts w:hint="eastAsia" w:ascii="Times New Roman" w:hAnsi="Times New Roman"/>
          <w:sz w:val="24"/>
        </w:rPr>
        <w:t>现有项目供电为利民村农电所供电</w:t>
      </w:r>
      <w:r>
        <w:rPr>
          <w:rFonts w:ascii="Times New Roman" w:hAnsi="Times New Roman"/>
          <w:sz w:val="24"/>
        </w:rPr>
        <w:t>。</w:t>
      </w:r>
    </w:p>
    <w:p>
      <w:pPr>
        <w:tabs>
          <w:tab w:val="left" w:pos="2867"/>
        </w:tabs>
        <w:spacing w:line="360" w:lineRule="auto"/>
        <w:ind w:firstLine="480" w:firstLineChars="200"/>
        <w:jc w:val="left"/>
        <w:rPr>
          <w:rFonts w:ascii="Times New Roman" w:hAnsi="Times New Roman"/>
          <w:sz w:val="24"/>
        </w:rPr>
      </w:pPr>
      <w:r>
        <w:rPr>
          <w:rFonts w:ascii="Times New Roman" w:hAnsi="Times New Roman"/>
          <w:sz w:val="24"/>
        </w:rPr>
        <w:t>3、供热及采暖</w:t>
      </w:r>
    </w:p>
    <w:p>
      <w:pPr>
        <w:tabs>
          <w:tab w:val="left" w:pos="2867"/>
        </w:tabs>
        <w:spacing w:line="360" w:lineRule="auto"/>
        <w:ind w:firstLine="480" w:firstLineChars="200"/>
        <w:jc w:val="left"/>
        <w:rPr>
          <w:rFonts w:ascii="Times New Roman" w:hAnsi="Times New Roman"/>
          <w:sz w:val="24"/>
        </w:rPr>
      </w:pPr>
      <w:r>
        <w:rPr>
          <w:rFonts w:hint="eastAsia" w:ascii="Times New Roman" w:hAnsi="Times New Roman"/>
          <w:sz w:val="24"/>
        </w:rPr>
        <w:t>①现有采场</w:t>
      </w:r>
    </w:p>
    <w:p>
      <w:pPr>
        <w:tabs>
          <w:tab w:val="left" w:pos="2867"/>
        </w:tabs>
        <w:spacing w:line="360" w:lineRule="auto"/>
        <w:ind w:firstLine="480" w:firstLineChars="200"/>
        <w:jc w:val="left"/>
        <w:rPr>
          <w:rFonts w:ascii="Times New Roman" w:hAnsi="Times New Roman"/>
          <w:sz w:val="24"/>
        </w:rPr>
      </w:pPr>
      <w:r>
        <w:rPr>
          <w:rFonts w:ascii="Times New Roman" w:hAnsi="Times New Roman"/>
          <w:sz w:val="24"/>
        </w:rPr>
        <w:t>现有项目采场办公生活区有锅炉供冬季采暖。采暖</w:t>
      </w:r>
      <w:r>
        <w:rPr>
          <w:rFonts w:hint="eastAsia" w:ascii="Times New Roman" w:hAnsi="Times New Roman"/>
          <w:sz w:val="24"/>
        </w:rPr>
        <w:t>采用</w:t>
      </w:r>
      <w:r>
        <w:rPr>
          <w:rFonts w:hint="eastAsia" w:ascii="Times New Roman" w:hAnsi="Times New Roman"/>
          <w:sz w:val="24"/>
          <w:szCs w:val="24"/>
        </w:rPr>
        <w:t>1台</w:t>
      </w:r>
      <w:r>
        <w:rPr>
          <w:rFonts w:ascii="Times New Roman" w:hAnsi="Times New Roman"/>
          <w:sz w:val="24"/>
          <w:szCs w:val="24"/>
        </w:rPr>
        <w:t>4t/h</w:t>
      </w:r>
      <w:r>
        <w:rPr>
          <w:rFonts w:hint="eastAsia" w:ascii="Times New Roman" w:hAnsi="Times New Roman"/>
          <w:sz w:val="24"/>
          <w:szCs w:val="24"/>
        </w:rPr>
        <w:t>燃煤</w:t>
      </w:r>
      <w:r>
        <w:rPr>
          <w:rFonts w:ascii="Times New Roman" w:hAnsi="Times New Roman"/>
          <w:sz w:val="24"/>
          <w:szCs w:val="24"/>
        </w:rPr>
        <w:t>型热水锅炉</w:t>
      </w:r>
      <w:r>
        <w:rPr>
          <w:rFonts w:hint="eastAsia" w:ascii="Times New Roman" w:hAnsi="Times New Roman"/>
          <w:sz w:val="24"/>
          <w:szCs w:val="24"/>
        </w:rPr>
        <w:t xml:space="preserve">  </w:t>
      </w:r>
      <w:r>
        <w:rPr>
          <w:rFonts w:ascii="Times New Roman" w:hAnsi="Times New Roman"/>
          <w:sz w:val="24"/>
        </w:rPr>
        <w:t>燃煤用量约为130t/a。</w:t>
      </w:r>
    </w:p>
    <w:p>
      <w:pPr>
        <w:pStyle w:val="2"/>
        <w:spacing w:line="360" w:lineRule="auto"/>
        <w:ind w:firstLine="480" w:firstLineChars="200"/>
        <w:rPr>
          <w:rFonts w:ascii="Times New Roman" w:hAnsi="Times New Roman"/>
          <w:sz w:val="24"/>
        </w:rPr>
      </w:pPr>
      <w:r>
        <w:rPr>
          <w:rFonts w:hint="eastAsia" w:ascii="Times New Roman" w:hAnsi="Times New Roman"/>
          <w:sz w:val="24"/>
        </w:rPr>
        <w:t>②现有选矿厂</w:t>
      </w:r>
    </w:p>
    <w:p>
      <w:pPr>
        <w:pStyle w:val="2"/>
        <w:spacing w:line="360" w:lineRule="auto"/>
        <w:ind w:firstLine="480" w:firstLineChars="200"/>
        <w:rPr>
          <w:rFonts w:ascii="Times New Roman" w:hAnsi="Times New Roman"/>
          <w:sz w:val="24"/>
        </w:rPr>
      </w:pPr>
      <w:r>
        <w:rPr>
          <w:rFonts w:hint="eastAsia" w:ascii="Times New Roman" w:hAnsi="Times New Roman"/>
          <w:sz w:val="24"/>
        </w:rPr>
        <w:t>现有选矿厂生产车间无需供暖，供暖为生活供暖，采用0.6</w:t>
      </w:r>
      <w:r>
        <w:rPr>
          <w:rFonts w:ascii="Times New Roman" w:hAnsi="Times New Roman"/>
          <w:sz w:val="24"/>
          <w:szCs w:val="24"/>
        </w:rPr>
        <w:t>t/h</w:t>
      </w:r>
      <w:r>
        <w:rPr>
          <w:rFonts w:hint="eastAsia" w:ascii="Times New Roman" w:hAnsi="Times New Roman"/>
          <w:sz w:val="24"/>
          <w:szCs w:val="24"/>
        </w:rPr>
        <w:t>燃煤</w:t>
      </w:r>
      <w:r>
        <w:rPr>
          <w:rFonts w:ascii="Times New Roman" w:hAnsi="Times New Roman"/>
          <w:sz w:val="24"/>
          <w:szCs w:val="24"/>
        </w:rPr>
        <w:t>型热水锅炉</w:t>
      </w:r>
      <w:r>
        <w:rPr>
          <w:rFonts w:hint="eastAsia" w:ascii="Times New Roman" w:hAnsi="Times New Roman"/>
          <w:sz w:val="24"/>
          <w:szCs w:val="24"/>
        </w:rPr>
        <w:t>。年燃煤100</w:t>
      </w:r>
      <w:r>
        <w:rPr>
          <w:rFonts w:ascii="Times New Roman" w:hAnsi="Times New Roman"/>
          <w:sz w:val="24"/>
        </w:rPr>
        <w:t>t/a。</w:t>
      </w:r>
    </w:p>
    <w:p>
      <w:pPr>
        <w:pStyle w:val="5"/>
        <w:spacing w:before="0" w:after="0" w:line="360" w:lineRule="auto"/>
        <w:rPr>
          <w:color w:val="000000"/>
          <w:sz w:val="24"/>
          <w:szCs w:val="24"/>
        </w:rPr>
      </w:pPr>
      <w:bookmarkStart w:id="135" w:name="_Toc10862"/>
      <w:bookmarkStart w:id="136" w:name="_Toc25729"/>
      <w:bookmarkStart w:id="137" w:name="_Toc25026"/>
      <w:r>
        <w:rPr>
          <w:rFonts w:hint="eastAsia"/>
          <w:color w:val="000000"/>
          <w:sz w:val="24"/>
          <w:szCs w:val="24"/>
        </w:rPr>
        <w:t>3.1.5主要原材料与能源消耗</w:t>
      </w:r>
      <w:bookmarkEnd w:id="135"/>
      <w:bookmarkEnd w:id="136"/>
      <w:bookmarkEnd w:id="137"/>
    </w:p>
    <w:p>
      <w:pPr>
        <w:spacing w:line="360" w:lineRule="auto"/>
        <w:ind w:firstLine="595"/>
        <w:jc w:val="left"/>
        <w:rPr>
          <w:rFonts w:ascii="Times New Roman" w:hAnsi="Times New Roman"/>
          <w:sz w:val="24"/>
        </w:rPr>
      </w:pPr>
      <w:r>
        <w:rPr>
          <w:rFonts w:hint="eastAsia" w:ascii="Times New Roman" w:hAnsi="Times New Roman"/>
          <w:sz w:val="24"/>
        </w:rPr>
        <w:t>现有项目主要原辅材料及消耗情况详见下表。</w:t>
      </w:r>
    </w:p>
    <w:p>
      <w:pPr>
        <w:tabs>
          <w:tab w:val="left" w:pos="1916"/>
        </w:tabs>
        <w:jc w:val="left"/>
        <w:rPr>
          <w:rFonts w:ascii="Times New Roman" w:hAnsi="Times New Roman"/>
          <w:b/>
          <w:bCs/>
          <w:sz w:val="24"/>
        </w:rPr>
      </w:pPr>
      <w:r>
        <w:rPr>
          <w:rFonts w:hint="eastAsia" w:ascii="宋体" w:hAnsi="宋体" w:cs="宋体"/>
          <w:sz w:val="24"/>
        </w:rPr>
        <w:tab/>
      </w:r>
      <w:r>
        <w:rPr>
          <w:rFonts w:ascii="Times New Roman" w:hAnsi="Times New Roman"/>
          <w:b/>
          <w:bCs/>
          <w:sz w:val="24"/>
        </w:rPr>
        <w:t>表3-5 主要原辅材料年消耗量及来源</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853"/>
        <w:gridCol w:w="1575"/>
        <w:gridCol w:w="1980"/>
        <w:gridCol w:w="1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056" w:type="dxa"/>
          </w:tcPr>
          <w:p>
            <w:pPr>
              <w:tabs>
                <w:tab w:val="left" w:pos="1916"/>
              </w:tabs>
              <w:jc w:val="center"/>
              <w:rPr>
                <w:rFonts w:ascii="Times New Roman" w:hAnsi="Times New Roman"/>
                <w:szCs w:val="21"/>
              </w:rPr>
            </w:pPr>
            <w:r>
              <w:rPr>
                <w:rFonts w:ascii="Times New Roman" w:hAnsi="Times New Roman"/>
                <w:szCs w:val="21"/>
              </w:rPr>
              <w:t>序号</w:t>
            </w:r>
          </w:p>
        </w:tc>
        <w:tc>
          <w:tcPr>
            <w:tcW w:w="1853" w:type="dxa"/>
          </w:tcPr>
          <w:p>
            <w:pPr>
              <w:tabs>
                <w:tab w:val="left" w:pos="1916"/>
              </w:tabs>
              <w:jc w:val="center"/>
              <w:rPr>
                <w:rFonts w:ascii="Times New Roman" w:hAnsi="Times New Roman"/>
                <w:szCs w:val="21"/>
              </w:rPr>
            </w:pPr>
            <w:r>
              <w:rPr>
                <w:rFonts w:ascii="Times New Roman" w:hAnsi="Times New Roman"/>
                <w:szCs w:val="21"/>
              </w:rPr>
              <w:t>物料名称</w:t>
            </w:r>
          </w:p>
        </w:tc>
        <w:tc>
          <w:tcPr>
            <w:tcW w:w="1575" w:type="dxa"/>
          </w:tcPr>
          <w:p>
            <w:pPr>
              <w:tabs>
                <w:tab w:val="left" w:pos="1916"/>
              </w:tabs>
              <w:jc w:val="center"/>
              <w:rPr>
                <w:rFonts w:ascii="Times New Roman" w:hAnsi="Times New Roman"/>
                <w:szCs w:val="21"/>
              </w:rPr>
            </w:pPr>
            <w:r>
              <w:rPr>
                <w:rFonts w:ascii="Times New Roman" w:hAnsi="Times New Roman"/>
                <w:szCs w:val="21"/>
              </w:rPr>
              <w:t>数量</w:t>
            </w:r>
          </w:p>
        </w:tc>
        <w:tc>
          <w:tcPr>
            <w:tcW w:w="1980" w:type="dxa"/>
          </w:tcPr>
          <w:p>
            <w:pPr>
              <w:tabs>
                <w:tab w:val="left" w:pos="1916"/>
              </w:tabs>
              <w:jc w:val="center"/>
              <w:rPr>
                <w:rFonts w:ascii="Times New Roman" w:hAnsi="Times New Roman"/>
                <w:szCs w:val="21"/>
              </w:rPr>
            </w:pPr>
            <w:r>
              <w:rPr>
                <w:rFonts w:ascii="Times New Roman" w:hAnsi="Times New Roman"/>
                <w:szCs w:val="21"/>
              </w:rPr>
              <w:t>单位</w:t>
            </w:r>
          </w:p>
        </w:tc>
        <w:tc>
          <w:tcPr>
            <w:tcW w:w="1876" w:type="dxa"/>
          </w:tcPr>
          <w:p>
            <w:pPr>
              <w:tabs>
                <w:tab w:val="left" w:pos="1916"/>
              </w:tabs>
              <w:jc w:val="center"/>
              <w:rPr>
                <w:rFonts w:ascii="Times New Roman" w:hAnsi="Times New Roman"/>
                <w:szCs w:val="21"/>
              </w:rPr>
            </w:pPr>
            <w:r>
              <w:rPr>
                <w:rFonts w:ascii="Times New Roman" w:hAnsi="Times New Roman"/>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056" w:type="dxa"/>
          </w:tcPr>
          <w:p>
            <w:pPr>
              <w:tabs>
                <w:tab w:val="left" w:pos="1916"/>
              </w:tabs>
              <w:jc w:val="center"/>
              <w:rPr>
                <w:rFonts w:ascii="Times New Roman" w:hAnsi="Times New Roman"/>
                <w:szCs w:val="21"/>
              </w:rPr>
            </w:pPr>
            <w:r>
              <w:rPr>
                <w:rFonts w:ascii="Times New Roman" w:hAnsi="Times New Roman"/>
                <w:szCs w:val="21"/>
              </w:rPr>
              <w:t>1</w:t>
            </w:r>
          </w:p>
        </w:tc>
        <w:tc>
          <w:tcPr>
            <w:tcW w:w="1853" w:type="dxa"/>
          </w:tcPr>
          <w:p>
            <w:pPr>
              <w:tabs>
                <w:tab w:val="left" w:pos="1916"/>
              </w:tabs>
              <w:jc w:val="center"/>
              <w:rPr>
                <w:rFonts w:ascii="Times New Roman" w:hAnsi="Times New Roman"/>
                <w:szCs w:val="21"/>
              </w:rPr>
            </w:pPr>
            <w:r>
              <w:rPr>
                <w:rFonts w:ascii="Times New Roman" w:hAnsi="Times New Roman"/>
                <w:szCs w:val="21"/>
              </w:rPr>
              <w:t>炸药</w:t>
            </w:r>
          </w:p>
        </w:tc>
        <w:tc>
          <w:tcPr>
            <w:tcW w:w="1575" w:type="dxa"/>
          </w:tcPr>
          <w:p>
            <w:pPr>
              <w:tabs>
                <w:tab w:val="left" w:pos="1916"/>
              </w:tabs>
              <w:jc w:val="center"/>
              <w:rPr>
                <w:rFonts w:ascii="Times New Roman" w:hAnsi="Times New Roman"/>
                <w:szCs w:val="21"/>
              </w:rPr>
            </w:pPr>
            <w:r>
              <w:rPr>
                <w:rFonts w:ascii="Times New Roman" w:hAnsi="Times New Roman"/>
                <w:szCs w:val="21"/>
              </w:rPr>
              <w:t>500</w:t>
            </w:r>
          </w:p>
        </w:tc>
        <w:tc>
          <w:tcPr>
            <w:tcW w:w="1980" w:type="dxa"/>
          </w:tcPr>
          <w:p>
            <w:pPr>
              <w:tabs>
                <w:tab w:val="left" w:pos="1916"/>
              </w:tabs>
              <w:jc w:val="center"/>
              <w:rPr>
                <w:rFonts w:ascii="Times New Roman" w:hAnsi="Times New Roman"/>
                <w:szCs w:val="21"/>
              </w:rPr>
            </w:pPr>
            <w:r>
              <w:rPr>
                <w:rFonts w:ascii="Times New Roman" w:hAnsi="Times New Roman"/>
                <w:szCs w:val="21"/>
              </w:rPr>
              <w:t>t/a</w:t>
            </w:r>
          </w:p>
        </w:tc>
        <w:tc>
          <w:tcPr>
            <w:tcW w:w="1876" w:type="dxa"/>
          </w:tcPr>
          <w:p>
            <w:pPr>
              <w:tabs>
                <w:tab w:val="left" w:pos="1916"/>
              </w:tabs>
              <w:jc w:val="center"/>
              <w:rPr>
                <w:rFonts w:ascii="Times New Roman" w:hAnsi="Times New Roman"/>
                <w:szCs w:val="21"/>
              </w:rPr>
            </w:pPr>
            <w:r>
              <w:rPr>
                <w:rFonts w:ascii="Times New Roman" w:hAnsi="Times New Roman"/>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056" w:type="dxa"/>
          </w:tcPr>
          <w:p>
            <w:pPr>
              <w:tabs>
                <w:tab w:val="left" w:pos="1916"/>
              </w:tabs>
              <w:jc w:val="center"/>
              <w:rPr>
                <w:rFonts w:ascii="Times New Roman" w:hAnsi="Times New Roman"/>
                <w:szCs w:val="21"/>
              </w:rPr>
            </w:pPr>
            <w:r>
              <w:rPr>
                <w:rFonts w:ascii="Times New Roman" w:hAnsi="Times New Roman"/>
                <w:szCs w:val="21"/>
              </w:rPr>
              <w:t>2</w:t>
            </w:r>
          </w:p>
        </w:tc>
        <w:tc>
          <w:tcPr>
            <w:tcW w:w="1853" w:type="dxa"/>
          </w:tcPr>
          <w:p>
            <w:pPr>
              <w:tabs>
                <w:tab w:val="left" w:pos="1916"/>
              </w:tabs>
              <w:jc w:val="center"/>
              <w:rPr>
                <w:rFonts w:ascii="Times New Roman" w:hAnsi="Times New Roman"/>
                <w:szCs w:val="21"/>
              </w:rPr>
            </w:pPr>
            <w:r>
              <w:rPr>
                <w:rFonts w:ascii="Times New Roman" w:hAnsi="Times New Roman"/>
                <w:szCs w:val="21"/>
              </w:rPr>
              <w:t>钎钢</w:t>
            </w:r>
          </w:p>
        </w:tc>
        <w:tc>
          <w:tcPr>
            <w:tcW w:w="1575" w:type="dxa"/>
          </w:tcPr>
          <w:p>
            <w:pPr>
              <w:tabs>
                <w:tab w:val="left" w:pos="1916"/>
              </w:tabs>
              <w:jc w:val="center"/>
              <w:rPr>
                <w:rFonts w:ascii="Times New Roman" w:hAnsi="Times New Roman"/>
                <w:szCs w:val="21"/>
              </w:rPr>
            </w:pPr>
            <w:r>
              <w:rPr>
                <w:rFonts w:ascii="Times New Roman" w:hAnsi="Times New Roman"/>
                <w:szCs w:val="21"/>
              </w:rPr>
              <w:t>50</w:t>
            </w:r>
          </w:p>
        </w:tc>
        <w:tc>
          <w:tcPr>
            <w:tcW w:w="1980" w:type="dxa"/>
          </w:tcPr>
          <w:p>
            <w:pPr>
              <w:tabs>
                <w:tab w:val="left" w:pos="1916"/>
              </w:tabs>
              <w:jc w:val="center"/>
              <w:rPr>
                <w:rFonts w:ascii="Times New Roman" w:hAnsi="Times New Roman"/>
                <w:szCs w:val="21"/>
              </w:rPr>
            </w:pPr>
            <w:r>
              <w:rPr>
                <w:rFonts w:ascii="Times New Roman" w:hAnsi="Times New Roman"/>
                <w:szCs w:val="21"/>
              </w:rPr>
              <w:t>t/a</w:t>
            </w:r>
          </w:p>
        </w:tc>
        <w:tc>
          <w:tcPr>
            <w:tcW w:w="1876" w:type="dxa"/>
          </w:tcPr>
          <w:p>
            <w:pPr>
              <w:tabs>
                <w:tab w:val="left" w:pos="1916"/>
              </w:tabs>
              <w:jc w:val="center"/>
              <w:rPr>
                <w:rFonts w:ascii="Times New Roman" w:hAnsi="Times New Roman"/>
                <w:szCs w:val="21"/>
              </w:rPr>
            </w:pPr>
            <w:r>
              <w:rPr>
                <w:rFonts w:ascii="Times New Roman" w:hAnsi="Times New Roman"/>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056" w:type="dxa"/>
          </w:tcPr>
          <w:p>
            <w:pPr>
              <w:tabs>
                <w:tab w:val="left" w:pos="1916"/>
              </w:tabs>
              <w:jc w:val="center"/>
              <w:rPr>
                <w:rFonts w:ascii="Times New Roman" w:hAnsi="Times New Roman"/>
                <w:szCs w:val="21"/>
              </w:rPr>
            </w:pPr>
            <w:r>
              <w:rPr>
                <w:rFonts w:ascii="Times New Roman" w:hAnsi="Times New Roman"/>
                <w:szCs w:val="21"/>
              </w:rPr>
              <w:t>3</w:t>
            </w:r>
          </w:p>
        </w:tc>
        <w:tc>
          <w:tcPr>
            <w:tcW w:w="1853" w:type="dxa"/>
          </w:tcPr>
          <w:p>
            <w:pPr>
              <w:tabs>
                <w:tab w:val="left" w:pos="1916"/>
              </w:tabs>
              <w:jc w:val="center"/>
              <w:rPr>
                <w:rFonts w:ascii="Times New Roman" w:hAnsi="Times New Roman"/>
                <w:szCs w:val="21"/>
              </w:rPr>
            </w:pPr>
            <w:r>
              <w:rPr>
                <w:rFonts w:ascii="Times New Roman" w:hAnsi="Times New Roman"/>
                <w:szCs w:val="21"/>
              </w:rPr>
              <w:t>柴油</w:t>
            </w:r>
          </w:p>
        </w:tc>
        <w:tc>
          <w:tcPr>
            <w:tcW w:w="1575" w:type="dxa"/>
          </w:tcPr>
          <w:p>
            <w:pPr>
              <w:tabs>
                <w:tab w:val="left" w:pos="1916"/>
              </w:tabs>
              <w:jc w:val="center"/>
              <w:rPr>
                <w:rFonts w:ascii="Times New Roman" w:hAnsi="Times New Roman"/>
                <w:szCs w:val="21"/>
              </w:rPr>
            </w:pPr>
            <w:r>
              <w:rPr>
                <w:rFonts w:ascii="Times New Roman" w:hAnsi="Times New Roman"/>
                <w:szCs w:val="21"/>
              </w:rPr>
              <w:t>160</w:t>
            </w:r>
          </w:p>
        </w:tc>
        <w:tc>
          <w:tcPr>
            <w:tcW w:w="1980" w:type="dxa"/>
          </w:tcPr>
          <w:p>
            <w:pPr>
              <w:tabs>
                <w:tab w:val="left" w:pos="1916"/>
              </w:tabs>
              <w:jc w:val="center"/>
              <w:rPr>
                <w:rFonts w:ascii="Times New Roman" w:hAnsi="Times New Roman"/>
                <w:szCs w:val="21"/>
              </w:rPr>
            </w:pPr>
            <w:r>
              <w:rPr>
                <w:rFonts w:ascii="Times New Roman" w:hAnsi="Times New Roman"/>
                <w:szCs w:val="21"/>
              </w:rPr>
              <w:t>t/a</w:t>
            </w:r>
          </w:p>
        </w:tc>
        <w:tc>
          <w:tcPr>
            <w:tcW w:w="1876" w:type="dxa"/>
          </w:tcPr>
          <w:p>
            <w:pPr>
              <w:tabs>
                <w:tab w:val="left" w:pos="1916"/>
              </w:tabs>
              <w:jc w:val="center"/>
              <w:rPr>
                <w:rFonts w:ascii="Times New Roman" w:hAnsi="Times New Roman"/>
                <w:szCs w:val="21"/>
              </w:rPr>
            </w:pPr>
            <w:r>
              <w:rPr>
                <w:rFonts w:ascii="Times New Roman" w:hAnsi="Times New Roman"/>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056" w:type="dxa"/>
          </w:tcPr>
          <w:p>
            <w:pPr>
              <w:tabs>
                <w:tab w:val="left" w:pos="1916"/>
              </w:tabs>
              <w:jc w:val="center"/>
              <w:rPr>
                <w:rFonts w:ascii="Times New Roman" w:hAnsi="Times New Roman"/>
                <w:szCs w:val="21"/>
              </w:rPr>
            </w:pPr>
            <w:r>
              <w:rPr>
                <w:rFonts w:ascii="Times New Roman" w:hAnsi="Times New Roman"/>
                <w:szCs w:val="21"/>
              </w:rPr>
              <w:t>4</w:t>
            </w:r>
          </w:p>
        </w:tc>
        <w:tc>
          <w:tcPr>
            <w:tcW w:w="1853" w:type="dxa"/>
          </w:tcPr>
          <w:p>
            <w:pPr>
              <w:tabs>
                <w:tab w:val="left" w:pos="1916"/>
              </w:tabs>
              <w:jc w:val="center"/>
              <w:rPr>
                <w:rFonts w:ascii="Times New Roman" w:hAnsi="Times New Roman"/>
                <w:szCs w:val="21"/>
              </w:rPr>
            </w:pPr>
            <w:r>
              <w:rPr>
                <w:rFonts w:ascii="Times New Roman" w:hAnsi="Times New Roman"/>
                <w:szCs w:val="21"/>
              </w:rPr>
              <w:t>其他</w:t>
            </w:r>
          </w:p>
        </w:tc>
        <w:tc>
          <w:tcPr>
            <w:tcW w:w="1575" w:type="dxa"/>
          </w:tcPr>
          <w:p>
            <w:pPr>
              <w:tabs>
                <w:tab w:val="left" w:pos="1916"/>
              </w:tabs>
              <w:jc w:val="center"/>
              <w:rPr>
                <w:rFonts w:ascii="Times New Roman" w:hAnsi="Times New Roman"/>
                <w:szCs w:val="21"/>
              </w:rPr>
            </w:pPr>
            <w:r>
              <w:rPr>
                <w:rFonts w:ascii="Times New Roman" w:hAnsi="Times New Roman"/>
                <w:szCs w:val="21"/>
              </w:rPr>
              <w:t>200</w:t>
            </w:r>
          </w:p>
        </w:tc>
        <w:tc>
          <w:tcPr>
            <w:tcW w:w="1980" w:type="dxa"/>
          </w:tcPr>
          <w:p>
            <w:pPr>
              <w:tabs>
                <w:tab w:val="left" w:pos="1916"/>
              </w:tabs>
              <w:jc w:val="center"/>
              <w:rPr>
                <w:rFonts w:ascii="Times New Roman" w:hAnsi="Times New Roman"/>
                <w:szCs w:val="21"/>
              </w:rPr>
            </w:pPr>
            <w:r>
              <w:rPr>
                <w:rFonts w:ascii="Times New Roman" w:hAnsi="Times New Roman"/>
                <w:szCs w:val="21"/>
              </w:rPr>
              <w:t>t/a</w:t>
            </w:r>
          </w:p>
        </w:tc>
        <w:tc>
          <w:tcPr>
            <w:tcW w:w="1876" w:type="dxa"/>
          </w:tcPr>
          <w:p>
            <w:pPr>
              <w:tabs>
                <w:tab w:val="left" w:pos="1916"/>
              </w:tabs>
              <w:jc w:val="center"/>
              <w:rPr>
                <w:rFonts w:ascii="Times New Roman" w:hAnsi="Times New Roman"/>
                <w:szCs w:val="21"/>
              </w:rPr>
            </w:pPr>
            <w:r>
              <w:rPr>
                <w:rFonts w:ascii="Times New Roman" w:hAnsi="Times New Roman"/>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056" w:type="dxa"/>
          </w:tcPr>
          <w:p>
            <w:pPr>
              <w:tabs>
                <w:tab w:val="left" w:pos="1916"/>
              </w:tabs>
              <w:jc w:val="center"/>
              <w:rPr>
                <w:rFonts w:ascii="Times New Roman" w:hAnsi="Times New Roman"/>
                <w:szCs w:val="21"/>
              </w:rPr>
            </w:pPr>
            <w:r>
              <w:rPr>
                <w:rFonts w:ascii="Times New Roman" w:hAnsi="Times New Roman"/>
                <w:szCs w:val="21"/>
              </w:rPr>
              <w:t>5</w:t>
            </w:r>
          </w:p>
        </w:tc>
        <w:tc>
          <w:tcPr>
            <w:tcW w:w="1853" w:type="dxa"/>
          </w:tcPr>
          <w:p>
            <w:pPr>
              <w:tabs>
                <w:tab w:val="left" w:pos="1916"/>
              </w:tabs>
              <w:jc w:val="center"/>
              <w:rPr>
                <w:rFonts w:ascii="Times New Roman" w:hAnsi="Times New Roman"/>
                <w:szCs w:val="21"/>
              </w:rPr>
            </w:pPr>
            <w:r>
              <w:rPr>
                <w:rFonts w:ascii="Times New Roman" w:hAnsi="Times New Roman"/>
                <w:szCs w:val="21"/>
              </w:rPr>
              <w:t>煤</w:t>
            </w:r>
          </w:p>
        </w:tc>
        <w:tc>
          <w:tcPr>
            <w:tcW w:w="1575" w:type="dxa"/>
          </w:tcPr>
          <w:p>
            <w:pPr>
              <w:tabs>
                <w:tab w:val="left" w:pos="1916"/>
              </w:tabs>
              <w:jc w:val="center"/>
              <w:rPr>
                <w:rFonts w:ascii="Times New Roman" w:hAnsi="Times New Roman"/>
                <w:szCs w:val="21"/>
              </w:rPr>
            </w:pPr>
            <w:r>
              <w:rPr>
                <w:rFonts w:ascii="Times New Roman" w:hAnsi="Times New Roman"/>
                <w:szCs w:val="21"/>
              </w:rPr>
              <w:t>130</w:t>
            </w:r>
          </w:p>
        </w:tc>
        <w:tc>
          <w:tcPr>
            <w:tcW w:w="1980" w:type="dxa"/>
          </w:tcPr>
          <w:p>
            <w:pPr>
              <w:tabs>
                <w:tab w:val="left" w:pos="1916"/>
              </w:tabs>
              <w:jc w:val="center"/>
              <w:rPr>
                <w:rFonts w:ascii="Times New Roman" w:hAnsi="Times New Roman"/>
                <w:szCs w:val="21"/>
              </w:rPr>
            </w:pPr>
            <w:r>
              <w:rPr>
                <w:rFonts w:ascii="Times New Roman" w:hAnsi="Times New Roman"/>
                <w:szCs w:val="21"/>
              </w:rPr>
              <w:t>t/a</w:t>
            </w:r>
          </w:p>
        </w:tc>
        <w:tc>
          <w:tcPr>
            <w:tcW w:w="1876" w:type="dxa"/>
          </w:tcPr>
          <w:p>
            <w:pPr>
              <w:tabs>
                <w:tab w:val="left" w:pos="1916"/>
              </w:tabs>
              <w:jc w:val="center"/>
              <w:rPr>
                <w:rFonts w:ascii="Times New Roman" w:hAnsi="Times New Roman"/>
                <w:szCs w:val="21"/>
              </w:rPr>
            </w:pPr>
            <w:r>
              <w:rPr>
                <w:rFonts w:ascii="Times New Roman" w:hAnsi="Times New Roman"/>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056" w:type="dxa"/>
          </w:tcPr>
          <w:p>
            <w:pPr>
              <w:tabs>
                <w:tab w:val="left" w:pos="1916"/>
              </w:tabs>
              <w:jc w:val="center"/>
              <w:rPr>
                <w:rFonts w:ascii="Times New Roman" w:hAnsi="Times New Roman"/>
                <w:szCs w:val="21"/>
              </w:rPr>
            </w:pPr>
            <w:r>
              <w:rPr>
                <w:rFonts w:ascii="Times New Roman" w:hAnsi="Times New Roman"/>
                <w:szCs w:val="21"/>
              </w:rPr>
              <w:t>6</w:t>
            </w:r>
          </w:p>
        </w:tc>
        <w:tc>
          <w:tcPr>
            <w:tcW w:w="1853" w:type="dxa"/>
          </w:tcPr>
          <w:p>
            <w:pPr>
              <w:tabs>
                <w:tab w:val="left" w:pos="1916"/>
              </w:tabs>
              <w:jc w:val="center"/>
              <w:rPr>
                <w:rFonts w:ascii="Times New Roman" w:hAnsi="Times New Roman"/>
                <w:szCs w:val="21"/>
              </w:rPr>
            </w:pPr>
            <w:r>
              <w:rPr>
                <w:rFonts w:ascii="Times New Roman" w:hAnsi="Times New Roman"/>
                <w:szCs w:val="21"/>
              </w:rPr>
              <w:t>水</w:t>
            </w:r>
          </w:p>
        </w:tc>
        <w:tc>
          <w:tcPr>
            <w:tcW w:w="1575" w:type="dxa"/>
          </w:tcPr>
          <w:p>
            <w:pPr>
              <w:tabs>
                <w:tab w:val="left" w:pos="1916"/>
              </w:tabs>
              <w:jc w:val="center"/>
              <w:rPr>
                <w:rFonts w:ascii="Times New Roman" w:hAnsi="Times New Roman"/>
                <w:szCs w:val="21"/>
              </w:rPr>
            </w:pPr>
            <w:r>
              <w:rPr>
                <w:rFonts w:ascii="Times New Roman" w:hAnsi="Times New Roman"/>
                <w:szCs w:val="21"/>
              </w:rPr>
              <w:t>7.3</w:t>
            </w:r>
          </w:p>
        </w:tc>
        <w:tc>
          <w:tcPr>
            <w:tcW w:w="1980" w:type="dxa"/>
          </w:tcPr>
          <w:p>
            <w:pPr>
              <w:tabs>
                <w:tab w:val="left" w:pos="1916"/>
              </w:tabs>
              <w:jc w:val="center"/>
              <w:rPr>
                <w:rFonts w:ascii="Times New Roman" w:hAnsi="Times New Roman"/>
                <w:szCs w:val="21"/>
              </w:rPr>
            </w:pPr>
            <w:r>
              <w:rPr>
                <w:rFonts w:ascii="Times New Roman" w:hAnsi="Times New Roman"/>
                <w:szCs w:val="21"/>
              </w:rPr>
              <w:t>万t/a</w:t>
            </w:r>
          </w:p>
        </w:tc>
        <w:tc>
          <w:tcPr>
            <w:tcW w:w="1876" w:type="dxa"/>
          </w:tcPr>
          <w:p>
            <w:pPr>
              <w:tabs>
                <w:tab w:val="left" w:pos="1916"/>
              </w:tabs>
              <w:jc w:val="center"/>
              <w:rPr>
                <w:rFonts w:ascii="Times New Roman" w:hAnsi="Times New Roman"/>
                <w:szCs w:val="21"/>
              </w:rPr>
            </w:pPr>
            <w:r>
              <w:rPr>
                <w:rFonts w:ascii="Times New Roman" w:hAnsi="Times New Roman"/>
                <w:szCs w:val="21"/>
              </w:rPr>
              <w:t>井水、疏干水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056" w:type="dxa"/>
          </w:tcPr>
          <w:p>
            <w:pPr>
              <w:tabs>
                <w:tab w:val="left" w:pos="1916"/>
              </w:tabs>
              <w:jc w:val="center"/>
              <w:rPr>
                <w:rFonts w:ascii="Times New Roman" w:hAnsi="Times New Roman"/>
                <w:szCs w:val="21"/>
              </w:rPr>
            </w:pPr>
            <w:r>
              <w:rPr>
                <w:rFonts w:ascii="Times New Roman" w:hAnsi="Times New Roman"/>
                <w:szCs w:val="21"/>
              </w:rPr>
              <w:t>7</w:t>
            </w:r>
          </w:p>
        </w:tc>
        <w:tc>
          <w:tcPr>
            <w:tcW w:w="1853" w:type="dxa"/>
          </w:tcPr>
          <w:p>
            <w:pPr>
              <w:tabs>
                <w:tab w:val="left" w:pos="1916"/>
              </w:tabs>
              <w:jc w:val="center"/>
              <w:rPr>
                <w:rFonts w:ascii="Times New Roman" w:hAnsi="Times New Roman"/>
                <w:szCs w:val="21"/>
              </w:rPr>
            </w:pPr>
            <w:r>
              <w:rPr>
                <w:rFonts w:ascii="Times New Roman" w:hAnsi="Times New Roman"/>
                <w:szCs w:val="21"/>
              </w:rPr>
              <w:t>电</w:t>
            </w:r>
          </w:p>
        </w:tc>
        <w:tc>
          <w:tcPr>
            <w:tcW w:w="1575" w:type="dxa"/>
          </w:tcPr>
          <w:p>
            <w:pPr>
              <w:tabs>
                <w:tab w:val="left" w:pos="1916"/>
              </w:tabs>
              <w:jc w:val="center"/>
              <w:rPr>
                <w:rFonts w:ascii="Times New Roman" w:hAnsi="Times New Roman"/>
                <w:szCs w:val="21"/>
              </w:rPr>
            </w:pPr>
            <w:r>
              <w:rPr>
                <w:rFonts w:ascii="Times New Roman" w:hAnsi="Times New Roman"/>
                <w:szCs w:val="21"/>
              </w:rPr>
              <w:t>1837</w:t>
            </w:r>
          </w:p>
        </w:tc>
        <w:tc>
          <w:tcPr>
            <w:tcW w:w="1980" w:type="dxa"/>
          </w:tcPr>
          <w:p>
            <w:pPr>
              <w:tabs>
                <w:tab w:val="left" w:pos="1916"/>
              </w:tabs>
              <w:jc w:val="center"/>
              <w:rPr>
                <w:rFonts w:ascii="Times New Roman" w:hAnsi="Times New Roman"/>
                <w:szCs w:val="21"/>
              </w:rPr>
            </w:pPr>
            <w:r>
              <w:rPr>
                <w:rFonts w:ascii="Times New Roman" w:hAnsi="Times New Roman"/>
                <w:szCs w:val="21"/>
              </w:rPr>
              <w:t>万kwh/a</w:t>
            </w:r>
          </w:p>
        </w:tc>
        <w:tc>
          <w:tcPr>
            <w:tcW w:w="1876" w:type="dxa"/>
          </w:tcPr>
          <w:p>
            <w:pPr>
              <w:tabs>
                <w:tab w:val="left" w:pos="1916"/>
              </w:tabs>
              <w:jc w:val="center"/>
              <w:rPr>
                <w:rFonts w:ascii="Times New Roman" w:hAnsi="Times New Roman"/>
                <w:szCs w:val="21"/>
              </w:rPr>
            </w:pPr>
            <w:r>
              <w:rPr>
                <w:rFonts w:ascii="Times New Roman" w:hAnsi="Times New Roman"/>
                <w:szCs w:val="21"/>
              </w:rPr>
              <w:t>外购</w:t>
            </w:r>
          </w:p>
        </w:tc>
      </w:tr>
    </w:tbl>
    <w:p>
      <w:pPr>
        <w:pStyle w:val="5"/>
        <w:spacing w:beforeLines="50" w:after="0" w:line="360" w:lineRule="auto"/>
        <w:rPr>
          <w:color w:val="000000"/>
          <w:sz w:val="24"/>
          <w:szCs w:val="24"/>
        </w:rPr>
      </w:pPr>
      <w:bookmarkStart w:id="138" w:name="_Toc696"/>
      <w:bookmarkStart w:id="139" w:name="_Toc18677"/>
      <w:bookmarkStart w:id="140" w:name="_Toc12327"/>
      <w:r>
        <w:rPr>
          <w:rFonts w:hint="eastAsia"/>
          <w:color w:val="000000"/>
          <w:sz w:val="24"/>
          <w:szCs w:val="24"/>
        </w:rPr>
        <w:t>3.1.6物料平衡</w:t>
      </w:r>
      <w:bookmarkEnd w:id="138"/>
      <w:bookmarkEnd w:id="139"/>
      <w:bookmarkEnd w:id="140"/>
    </w:p>
    <w:p>
      <w:pPr>
        <w:tabs>
          <w:tab w:val="left" w:pos="1916"/>
        </w:tabs>
        <w:spacing w:line="360" w:lineRule="auto"/>
        <w:ind w:firstLine="480" w:firstLineChars="200"/>
        <w:jc w:val="left"/>
        <w:rPr>
          <w:rFonts w:ascii="Times New Roman" w:hAnsi="Times New Roman"/>
          <w:sz w:val="24"/>
        </w:rPr>
      </w:pPr>
      <w:r>
        <w:rPr>
          <w:rFonts w:hint="eastAsia" w:ascii="Times New Roman" w:hAnsi="Times New Roman"/>
          <w:sz w:val="24"/>
        </w:rPr>
        <w:t>①现有采场：</w:t>
      </w:r>
      <w:r>
        <w:rPr>
          <w:rFonts w:ascii="Times New Roman" w:hAnsi="Times New Roman"/>
          <w:sz w:val="24"/>
        </w:rPr>
        <w:t>现有项目年开采铁矿石</w:t>
      </w:r>
      <w:r>
        <w:rPr>
          <w:rFonts w:hint="eastAsia" w:ascii="Times New Roman" w:hAnsi="Times New Roman"/>
          <w:sz w:val="24"/>
        </w:rPr>
        <w:t>20</w:t>
      </w:r>
      <w:r>
        <w:rPr>
          <w:rFonts w:ascii="Times New Roman" w:hAnsi="Times New Roman"/>
          <w:sz w:val="24"/>
        </w:rPr>
        <w:t>万t，废石排放量约为169.3万t(约12.11万t/a)</w:t>
      </w:r>
      <w:r>
        <w:rPr>
          <w:rFonts w:hint="eastAsia" w:ascii="Times New Roman" w:hAnsi="Times New Roman"/>
          <w:sz w:val="24"/>
        </w:rPr>
        <w:t>，全部用于回填采空区。</w:t>
      </w:r>
      <w:r>
        <w:rPr>
          <w:rFonts w:ascii="Times New Roman" w:hAnsi="Times New Roman"/>
          <w:sz w:val="24"/>
        </w:rPr>
        <w:t>矿井通风排尘3.03t/a</w:t>
      </w:r>
      <w:r>
        <w:rPr>
          <w:rFonts w:hint="eastAsia" w:ascii="Times New Roman" w:hAnsi="Times New Roman"/>
          <w:sz w:val="24"/>
        </w:rPr>
        <w:t>，</w:t>
      </w:r>
      <w:r>
        <w:rPr>
          <w:rFonts w:ascii="Times New Roman" w:hAnsi="Times New Roman"/>
          <w:sz w:val="24"/>
        </w:rPr>
        <w:t>工业广场无组织排放粉尘为37.8t/a，运输扬尘不纳入物料</w:t>
      </w:r>
      <w:r>
        <w:rPr>
          <w:rFonts w:hint="eastAsia" w:ascii="Times New Roman" w:hAnsi="Times New Roman"/>
          <w:sz w:val="24"/>
        </w:rPr>
        <w:t xml:space="preserve">  </w:t>
      </w:r>
      <w:r>
        <w:rPr>
          <w:rFonts w:ascii="Times New Roman" w:hAnsi="Times New Roman"/>
          <w:sz w:val="24"/>
        </w:rPr>
        <w:t>平衡。</w:t>
      </w:r>
    </w:p>
    <w:p>
      <w:pPr>
        <w:spacing w:line="360" w:lineRule="auto"/>
        <w:ind w:firstLine="480" w:firstLineChars="200"/>
        <w:jc w:val="left"/>
        <w:rPr>
          <w:rFonts w:ascii="Times New Roman" w:hAnsi="Times New Roman"/>
          <w:sz w:val="24"/>
        </w:rPr>
      </w:pPr>
      <w:r>
        <w:rPr>
          <w:rFonts w:hint="eastAsia" w:ascii="Times New Roman" w:hAnsi="Times New Roman"/>
          <w:sz w:val="24"/>
        </w:rPr>
        <w:t>②现有选矿厂：现有项目年生产铁精粉8万t，生产中，磁选的废石产生比8%，年产品位为66%。选矿中产生尾矿产率54.4%。主要物料平衡见下表及下图。</w:t>
      </w:r>
    </w:p>
    <w:p>
      <w:pPr>
        <w:spacing w:line="360" w:lineRule="auto"/>
        <w:jc w:val="center"/>
        <w:rPr>
          <w:rFonts w:ascii="Times New Roman" w:hAnsi="Times New Roman"/>
          <w:b/>
          <w:bCs/>
          <w:sz w:val="24"/>
        </w:rPr>
      </w:pPr>
      <w:r>
        <w:rPr>
          <w:rFonts w:ascii="Times New Roman" w:hAnsi="Times New Roman"/>
          <w:b/>
          <w:bCs/>
          <w:sz w:val="24"/>
        </w:rPr>
        <w:t>表3-6 现有项目物料平衡一览表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47"/>
        <w:gridCol w:w="1211"/>
        <w:gridCol w:w="1301"/>
        <w:gridCol w:w="1229"/>
        <w:gridCol w:w="1391"/>
        <w:gridCol w:w="1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jc w:val="center"/>
              <w:rPr>
                <w:rFonts w:ascii="Times New Roman" w:hAnsi="Times New Roman"/>
                <w:szCs w:val="21"/>
              </w:rPr>
            </w:pPr>
            <w:r>
              <w:rPr>
                <w:rFonts w:ascii="Times New Roman" w:hAnsi="Times New Roman"/>
                <w:szCs w:val="21"/>
              </w:rPr>
              <w:t>序号</w:t>
            </w:r>
          </w:p>
        </w:tc>
        <w:tc>
          <w:tcPr>
            <w:tcW w:w="1247" w:type="dxa"/>
            <w:vMerge w:val="restart"/>
            <w:vAlign w:val="center"/>
          </w:tcPr>
          <w:p>
            <w:pPr>
              <w:jc w:val="center"/>
              <w:rPr>
                <w:rFonts w:ascii="Times New Roman" w:hAnsi="Times New Roman"/>
                <w:szCs w:val="21"/>
              </w:rPr>
            </w:pPr>
            <w:r>
              <w:rPr>
                <w:rFonts w:ascii="Times New Roman" w:hAnsi="Times New Roman"/>
                <w:szCs w:val="21"/>
              </w:rPr>
              <w:t>工程名称</w:t>
            </w:r>
          </w:p>
        </w:tc>
        <w:tc>
          <w:tcPr>
            <w:tcW w:w="2512" w:type="dxa"/>
            <w:gridSpan w:val="2"/>
            <w:vAlign w:val="center"/>
          </w:tcPr>
          <w:p>
            <w:pPr>
              <w:jc w:val="center"/>
              <w:rPr>
                <w:rFonts w:ascii="Times New Roman" w:hAnsi="Times New Roman"/>
                <w:szCs w:val="21"/>
              </w:rPr>
            </w:pPr>
            <w:r>
              <w:rPr>
                <w:rFonts w:ascii="Times New Roman" w:hAnsi="Times New Roman"/>
                <w:szCs w:val="21"/>
              </w:rPr>
              <w:t>投入</w:t>
            </w:r>
          </w:p>
        </w:tc>
        <w:tc>
          <w:tcPr>
            <w:tcW w:w="4552" w:type="dxa"/>
            <w:gridSpan w:val="3"/>
            <w:vAlign w:val="center"/>
          </w:tcPr>
          <w:p>
            <w:pPr>
              <w:jc w:val="center"/>
              <w:rPr>
                <w:rFonts w:ascii="Times New Roman" w:hAnsi="Times New Roman"/>
                <w:szCs w:val="21"/>
              </w:rPr>
            </w:pPr>
            <w:r>
              <w:rPr>
                <w:rFonts w:ascii="Times New Roman" w:hAnsi="Times New Roman"/>
                <w:szCs w:val="21"/>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jc w:val="center"/>
              <w:rPr>
                <w:rFonts w:ascii="Times New Roman" w:hAnsi="Times New Roman"/>
                <w:szCs w:val="21"/>
              </w:rPr>
            </w:pPr>
          </w:p>
        </w:tc>
        <w:tc>
          <w:tcPr>
            <w:tcW w:w="1247" w:type="dxa"/>
            <w:vMerge w:val="continue"/>
            <w:vAlign w:val="center"/>
          </w:tcPr>
          <w:p>
            <w:pPr>
              <w:jc w:val="center"/>
              <w:rPr>
                <w:rFonts w:ascii="Times New Roman" w:hAnsi="Times New Roman"/>
                <w:szCs w:val="21"/>
              </w:rPr>
            </w:pPr>
          </w:p>
        </w:tc>
        <w:tc>
          <w:tcPr>
            <w:tcW w:w="1211" w:type="dxa"/>
            <w:vAlign w:val="center"/>
          </w:tcPr>
          <w:p>
            <w:pPr>
              <w:jc w:val="center"/>
              <w:rPr>
                <w:rFonts w:ascii="Times New Roman" w:hAnsi="Times New Roman"/>
                <w:szCs w:val="21"/>
              </w:rPr>
            </w:pPr>
            <w:r>
              <w:rPr>
                <w:rFonts w:ascii="Times New Roman" w:hAnsi="Times New Roman"/>
                <w:szCs w:val="21"/>
              </w:rPr>
              <w:t>原料名称</w:t>
            </w:r>
          </w:p>
        </w:tc>
        <w:tc>
          <w:tcPr>
            <w:tcW w:w="1301" w:type="dxa"/>
            <w:vAlign w:val="center"/>
          </w:tcPr>
          <w:p>
            <w:pPr>
              <w:jc w:val="center"/>
              <w:rPr>
                <w:rFonts w:ascii="Times New Roman" w:hAnsi="Times New Roman"/>
                <w:szCs w:val="21"/>
              </w:rPr>
            </w:pPr>
            <w:r>
              <w:rPr>
                <w:rFonts w:ascii="Times New Roman" w:hAnsi="Times New Roman"/>
                <w:szCs w:val="21"/>
              </w:rPr>
              <w:t>耗量t/a</w:t>
            </w:r>
          </w:p>
        </w:tc>
        <w:tc>
          <w:tcPr>
            <w:tcW w:w="1229" w:type="dxa"/>
            <w:vAlign w:val="center"/>
          </w:tcPr>
          <w:p>
            <w:pPr>
              <w:jc w:val="center"/>
              <w:rPr>
                <w:rFonts w:ascii="Times New Roman" w:hAnsi="Times New Roman"/>
                <w:szCs w:val="21"/>
              </w:rPr>
            </w:pPr>
            <w:r>
              <w:rPr>
                <w:rFonts w:ascii="Times New Roman" w:hAnsi="Times New Roman"/>
                <w:szCs w:val="21"/>
              </w:rPr>
              <w:t>产物名称</w:t>
            </w:r>
          </w:p>
        </w:tc>
        <w:tc>
          <w:tcPr>
            <w:tcW w:w="1391" w:type="dxa"/>
            <w:vAlign w:val="center"/>
          </w:tcPr>
          <w:p>
            <w:pPr>
              <w:jc w:val="center"/>
              <w:rPr>
                <w:rFonts w:ascii="Times New Roman" w:hAnsi="Times New Roman"/>
                <w:szCs w:val="21"/>
              </w:rPr>
            </w:pPr>
            <w:r>
              <w:rPr>
                <w:rFonts w:ascii="Times New Roman" w:hAnsi="Times New Roman"/>
                <w:szCs w:val="21"/>
              </w:rPr>
              <w:t>产量t/a</w:t>
            </w:r>
          </w:p>
        </w:tc>
        <w:tc>
          <w:tcPr>
            <w:tcW w:w="1932" w:type="dxa"/>
            <w:vAlign w:val="center"/>
          </w:tcPr>
          <w:p>
            <w:pPr>
              <w:jc w:val="center"/>
              <w:rPr>
                <w:rFonts w:ascii="Times New Roman" w:hAnsi="Times New Roman"/>
                <w:szCs w:val="21"/>
              </w:rPr>
            </w:pPr>
            <w:r>
              <w:rPr>
                <w:rFonts w:ascii="Times New Roman" w:hAnsi="Times New Roman"/>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jc w:val="center"/>
              <w:rPr>
                <w:rFonts w:ascii="Times New Roman" w:hAnsi="Times New Roman"/>
                <w:szCs w:val="21"/>
              </w:rPr>
            </w:pPr>
          </w:p>
          <w:p>
            <w:pPr>
              <w:jc w:val="center"/>
              <w:rPr>
                <w:rFonts w:ascii="Times New Roman" w:hAnsi="Times New Roman"/>
                <w:szCs w:val="21"/>
              </w:rPr>
            </w:pPr>
            <w:r>
              <w:rPr>
                <w:rFonts w:ascii="Times New Roman" w:hAnsi="Times New Roman"/>
                <w:szCs w:val="21"/>
              </w:rPr>
              <w:t>1</w:t>
            </w:r>
          </w:p>
        </w:tc>
        <w:tc>
          <w:tcPr>
            <w:tcW w:w="1247" w:type="dxa"/>
            <w:vMerge w:val="restart"/>
            <w:vAlign w:val="center"/>
          </w:tcPr>
          <w:p>
            <w:pPr>
              <w:jc w:val="center"/>
              <w:rPr>
                <w:rFonts w:ascii="Times New Roman" w:hAnsi="Times New Roman"/>
                <w:szCs w:val="21"/>
              </w:rPr>
            </w:pPr>
          </w:p>
          <w:p>
            <w:pPr>
              <w:jc w:val="center"/>
              <w:rPr>
                <w:rFonts w:ascii="Times New Roman" w:hAnsi="Times New Roman"/>
                <w:szCs w:val="21"/>
              </w:rPr>
            </w:pPr>
            <w:r>
              <w:rPr>
                <w:rFonts w:ascii="Times New Roman" w:hAnsi="Times New Roman"/>
                <w:szCs w:val="21"/>
              </w:rPr>
              <w:t>矿体开采</w:t>
            </w:r>
          </w:p>
        </w:tc>
        <w:tc>
          <w:tcPr>
            <w:tcW w:w="1211" w:type="dxa"/>
            <w:vMerge w:val="restart"/>
            <w:vAlign w:val="center"/>
          </w:tcPr>
          <w:p>
            <w:pPr>
              <w:jc w:val="center"/>
              <w:rPr>
                <w:rFonts w:ascii="Times New Roman" w:hAnsi="Times New Roman"/>
                <w:szCs w:val="21"/>
              </w:rPr>
            </w:pPr>
          </w:p>
          <w:p>
            <w:pPr>
              <w:jc w:val="center"/>
              <w:rPr>
                <w:rFonts w:ascii="Times New Roman" w:hAnsi="Times New Roman"/>
                <w:szCs w:val="21"/>
              </w:rPr>
            </w:pPr>
            <w:r>
              <w:rPr>
                <w:rFonts w:ascii="Times New Roman" w:hAnsi="Times New Roman"/>
                <w:szCs w:val="21"/>
              </w:rPr>
              <w:t>石岩</w:t>
            </w:r>
          </w:p>
        </w:tc>
        <w:tc>
          <w:tcPr>
            <w:tcW w:w="1301" w:type="dxa"/>
            <w:vMerge w:val="restart"/>
            <w:vAlign w:val="center"/>
          </w:tcPr>
          <w:p>
            <w:pPr>
              <w:jc w:val="center"/>
              <w:rPr>
                <w:rFonts w:ascii="Times New Roman" w:hAnsi="Times New Roman"/>
                <w:szCs w:val="21"/>
              </w:rPr>
            </w:pPr>
          </w:p>
          <w:p>
            <w:pPr>
              <w:jc w:val="center"/>
              <w:rPr>
                <w:rFonts w:ascii="Times New Roman" w:hAnsi="Times New Roman"/>
                <w:szCs w:val="21"/>
              </w:rPr>
            </w:pPr>
            <w:r>
              <w:rPr>
                <w:rFonts w:ascii="Times New Roman" w:hAnsi="Times New Roman"/>
                <w:szCs w:val="21"/>
              </w:rPr>
              <w:t>811103.03</w:t>
            </w:r>
          </w:p>
        </w:tc>
        <w:tc>
          <w:tcPr>
            <w:tcW w:w="1229" w:type="dxa"/>
            <w:vAlign w:val="center"/>
          </w:tcPr>
          <w:p>
            <w:pPr>
              <w:jc w:val="center"/>
              <w:rPr>
                <w:rFonts w:ascii="Times New Roman" w:hAnsi="Times New Roman"/>
                <w:szCs w:val="21"/>
              </w:rPr>
            </w:pPr>
            <w:r>
              <w:rPr>
                <w:rFonts w:ascii="Times New Roman" w:hAnsi="Times New Roman"/>
                <w:szCs w:val="21"/>
              </w:rPr>
              <w:t>铁矿石</w:t>
            </w:r>
          </w:p>
        </w:tc>
        <w:tc>
          <w:tcPr>
            <w:tcW w:w="1391" w:type="dxa"/>
            <w:vAlign w:val="center"/>
          </w:tcPr>
          <w:p>
            <w:pPr>
              <w:jc w:val="center"/>
              <w:rPr>
                <w:rFonts w:ascii="Times New Roman" w:hAnsi="Times New Roman"/>
                <w:szCs w:val="21"/>
              </w:rPr>
            </w:pPr>
            <w:r>
              <w:rPr>
                <w:rFonts w:ascii="Times New Roman" w:hAnsi="Times New Roman"/>
                <w:szCs w:val="21"/>
              </w:rPr>
              <w:t>660000</w:t>
            </w:r>
          </w:p>
        </w:tc>
        <w:tc>
          <w:tcPr>
            <w:tcW w:w="1932" w:type="dxa"/>
            <w:vAlign w:val="center"/>
          </w:tcPr>
          <w:p>
            <w:pPr>
              <w:jc w:val="center"/>
              <w:rPr>
                <w:rFonts w:ascii="Times New Roman" w:hAnsi="Times New Roman"/>
                <w:szCs w:val="21"/>
              </w:rPr>
            </w:pPr>
            <w:r>
              <w:rPr>
                <w:rFonts w:hint="eastAsia" w:ascii="Times New Roman" w:hAnsi="Times New Roman"/>
                <w:szCs w:val="21"/>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jc w:val="center"/>
              <w:rPr>
                <w:rFonts w:ascii="Times New Roman" w:hAnsi="Times New Roman"/>
                <w:szCs w:val="21"/>
              </w:rPr>
            </w:pPr>
          </w:p>
        </w:tc>
        <w:tc>
          <w:tcPr>
            <w:tcW w:w="1247" w:type="dxa"/>
            <w:vMerge w:val="continue"/>
            <w:vAlign w:val="center"/>
          </w:tcPr>
          <w:p>
            <w:pPr>
              <w:jc w:val="center"/>
              <w:rPr>
                <w:rFonts w:ascii="Times New Roman" w:hAnsi="Times New Roman"/>
                <w:szCs w:val="21"/>
              </w:rPr>
            </w:pPr>
          </w:p>
        </w:tc>
        <w:tc>
          <w:tcPr>
            <w:tcW w:w="1211" w:type="dxa"/>
            <w:vMerge w:val="continue"/>
            <w:vAlign w:val="center"/>
          </w:tcPr>
          <w:p>
            <w:pPr>
              <w:jc w:val="center"/>
              <w:rPr>
                <w:rFonts w:ascii="Times New Roman" w:hAnsi="Times New Roman"/>
                <w:szCs w:val="21"/>
              </w:rPr>
            </w:pPr>
          </w:p>
        </w:tc>
        <w:tc>
          <w:tcPr>
            <w:tcW w:w="1301" w:type="dxa"/>
            <w:vMerge w:val="continue"/>
            <w:vAlign w:val="center"/>
          </w:tcPr>
          <w:p>
            <w:pPr>
              <w:jc w:val="center"/>
              <w:rPr>
                <w:rFonts w:ascii="Times New Roman" w:hAnsi="Times New Roman"/>
                <w:szCs w:val="21"/>
              </w:rPr>
            </w:pPr>
          </w:p>
        </w:tc>
        <w:tc>
          <w:tcPr>
            <w:tcW w:w="1229" w:type="dxa"/>
            <w:vAlign w:val="center"/>
          </w:tcPr>
          <w:p>
            <w:pPr>
              <w:jc w:val="center"/>
              <w:rPr>
                <w:rFonts w:ascii="Times New Roman" w:hAnsi="Times New Roman"/>
                <w:szCs w:val="21"/>
              </w:rPr>
            </w:pPr>
            <w:r>
              <w:rPr>
                <w:rFonts w:ascii="Times New Roman" w:hAnsi="Times New Roman"/>
                <w:szCs w:val="21"/>
              </w:rPr>
              <w:t>废石</w:t>
            </w:r>
          </w:p>
        </w:tc>
        <w:tc>
          <w:tcPr>
            <w:tcW w:w="1391" w:type="dxa"/>
            <w:vAlign w:val="center"/>
          </w:tcPr>
          <w:p>
            <w:pPr>
              <w:jc w:val="center"/>
              <w:rPr>
                <w:rFonts w:ascii="Times New Roman" w:hAnsi="Times New Roman"/>
                <w:szCs w:val="21"/>
              </w:rPr>
            </w:pPr>
            <w:r>
              <w:rPr>
                <w:rFonts w:ascii="Times New Roman" w:hAnsi="Times New Roman"/>
                <w:szCs w:val="21"/>
              </w:rPr>
              <w:t>121100</w:t>
            </w:r>
          </w:p>
        </w:tc>
        <w:tc>
          <w:tcPr>
            <w:tcW w:w="1932" w:type="dxa"/>
            <w:vAlign w:val="center"/>
          </w:tcPr>
          <w:p>
            <w:pPr>
              <w:jc w:val="center"/>
              <w:rPr>
                <w:rFonts w:ascii="Times New Roman" w:hAnsi="Times New Roman"/>
                <w:szCs w:val="21"/>
              </w:rPr>
            </w:pPr>
            <w:r>
              <w:rPr>
                <w:rFonts w:hint="eastAsia" w:ascii="Times New Roman" w:hAnsi="Times New Roman"/>
                <w:szCs w:val="21"/>
              </w:rPr>
              <w:t>全部回填井下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jc w:val="center"/>
              <w:rPr>
                <w:rFonts w:ascii="Times New Roman" w:hAnsi="Times New Roman"/>
                <w:szCs w:val="21"/>
              </w:rPr>
            </w:pPr>
          </w:p>
        </w:tc>
        <w:tc>
          <w:tcPr>
            <w:tcW w:w="1247" w:type="dxa"/>
            <w:vMerge w:val="continue"/>
            <w:vAlign w:val="center"/>
          </w:tcPr>
          <w:p>
            <w:pPr>
              <w:jc w:val="center"/>
              <w:rPr>
                <w:rFonts w:ascii="Times New Roman" w:hAnsi="Times New Roman"/>
                <w:szCs w:val="21"/>
              </w:rPr>
            </w:pPr>
          </w:p>
        </w:tc>
        <w:tc>
          <w:tcPr>
            <w:tcW w:w="1211" w:type="dxa"/>
            <w:vMerge w:val="continue"/>
            <w:vAlign w:val="center"/>
          </w:tcPr>
          <w:p>
            <w:pPr>
              <w:jc w:val="center"/>
              <w:rPr>
                <w:rFonts w:ascii="Times New Roman" w:hAnsi="Times New Roman"/>
                <w:szCs w:val="21"/>
              </w:rPr>
            </w:pPr>
          </w:p>
        </w:tc>
        <w:tc>
          <w:tcPr>
            <w:tcW w:w="1301" w:type="dxa"/>
            <w:vMerge w:val="continue"/>
            <w:vAlign w:val="center"/>
          </w:tcPr>
          <w:p>
            <w:pPr>
              <w:jc w:val="center"/>
              <w:rPr>
                <w:rFonts w:ascii="Times New Roman" w:hAnsi="Times New Roman"/>
                <w:szCs w:val="21"/>
              </w:rPr>
            </w:pPr>
          </w:p>
        </w:tc>
        <w:tc>
          <w:tcPr>
            <w:tcW w:w="1229" w:type="dxa"/>
            <w:vAlign w:val="center"/>
          </w:tcPr>
          <w:p>
            <w:pPr>
              <w:jc w:val="center"/>
              <w:rPr>
                <w:rFonts w:ascii="Times New Roman" w:hAnsi="Times New Roman"/>
                <w:szCs w:val="21"/>
              </w:rPr>
            </w:pPr>
            <w:r>
              <w:rPr>
                <w:rFonts w:hint="eastAsia" w:ascii="Times New Roman" w:hAnsi="Times New Roman"/>
                <w:szCs w:val="21"/>
              </w:rPr>
              <w:t>粉尘</w:t>
            </w:r>
          </w:p>
        </w:tc>
        <w:tc>
          <w:tcPr>
            <w:tcW w:w="1391" w:type="dxa"/>
            <w:vAlign w:val="center"/>
          </w:tcPr>
          <w:p>
            <w:pPr>
              <w:jc w:val="center"/>
              <w:rPr>
                <w:rFonts w:ascii="Times New Roman" w:hAnsi="Times New Roman"/>
                <w:szCs w:val="21"/>
              </w:rPr>
            </w:pPr>
            <w:r>
              <w:rPr>
                <w:rFonts w:ascii="Times New Roman" w:hAnsi="Times New Roman"/>
                <w:szCs w:val="21"/>
              </w:rPr>
              <w:t>3.03</w:t>
            </w:r>
          </w:p>
        </w:tc>
        <w:tc>
          <w:tcPr>
            <w:tcW w:w="1932" w:type="dxa"/>
            <w:vAlign w:val="center"/>
          </w:tcPr>
          <w:p>
            <w:pPr>
              <w:jc w:val="center"/>
              <w:rPr>
                <w:rFonts w:ascii="Times New Roman" w:hAnsi="Times New Roman"/>
                <w:szCs w:val="21"/>
              </w:rPr>
            </w:pPr>
            <w:r>
              <w:rPr>
                <w:rFonts w:ascii="Times New Roman" w:hAnsi="Times New Roman"/>
                <w:szCs w:val="21"/>
              </w:rPr>
              <w:t>矿井通风粉尘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jc w:val="center"/>
              <w:rPr>
                <w:rFonts w:ascii="Times New Roman" w:hAnsi="Times New Roman"/>
                <w:szCs w:val="21"/>
              </w:rPr>
            </w:pPr>
            <w:r>
              <w:rPr>
                <w:rFonts w:ascii="Times New Roman" w:hAnsi="Times New Roman"/>
                <w:szCs w:val="21"/>
              </w:rPr>
              <w:t>3</w:t>
            </w:r>
          </w:p>
        </w:tc>
        <w:tc>
          <w:tcPr>
            <w:tcW w:w="1247" w:type="dxa"/>
            <w:vMerge w:val="restart"/>
            <w:vAlign w:val="center"/>
          </w:tcPr>
          <w:p>
            <w:pPr>
              <w:jc w:val="center"/>
              <w:rPr>
                <w:rFonts w:ascii="Times New Roman" w:hAnsi="Times New Roman"/>
                <w:szCs w:val="21"/>
              </w:rPr>
            </w:pPr>
            <w:r>
              <w:rPr>
                <w:rFonts w:ascii="Times New Roman" w:hAnsi="Times New Roman"/>
                <w:szCs w:val="21"/>
              </w:rPr>
              <w:t>选矿生产</w:t>
            </w:r>
          </w:p>
        </w:tc>
        <w:tc>
          <w:tcPr>
            <w:tcW w:w="1211" w:type="dxa"/>
            <w:vMerge w:val="restart"/>
            <w:vAlign w:val="center"/>
          </w:tcPr>
          <w:p>
            <w:pPr>
              <w:jc w:val="center"/>
              <w:rPr>
                <w:rFonts w:ascii="Times New Roman" w:hAnsi="Times New Roman"/>
                <w:szCs w:val="21"/>
              </w:rPr>
            </w:pPr>
            <w:r>
              <w:rPr>
                <w:rFonts w:ascii="Times New Roman" w:hAnsi="Times New Roman"/>
                <w:szCs w:val="21"/>
              </w:rPr>
              <w:t>矿石</w:t>
            </w:r>
          </w:p>
        </w:tc>
        <w:tc>
          <w:tcPr>
            <w:tcW w:w="1301" w:type="dxa"/>
            <w:vMerge w:val="restart"/>
            <w:vAlign w:val="center"/>
          </w:tcPr>
          <w:p>
            <w:pPr>
              <w:jc w:val="center"/>
              <w:rPr>
                <w:rFonts w:ascii="Times New Roman" w:hAnsi="Times New Roman"/>
                <w:szCs w:val="21"/>
              </w:rPr>
            </w:pPr>
            <w:r>
              <w:rPr>
                <w:rFonts w:hint="eastAsia" w:ascii="Times New Roman" w:hAnsi="Times New Roman"/>
                <w:szCs w:val="21"/>
              </w:rPr>
              <w:t>200000</w:t>
            </w:r>
          </w:p>
        </w:tc>
        <w:tc>
          <w:tcPr>
            <w:tcW w:w="1229" w:type="dxa"/>
            <w:vAlign w:val="center"/>
          </w:tcPr>
          <w:p>
            <w:pPr>
              <w:jc w:val="center"/>
              <w:rPr>
                <w:rFonts w:ascii="Times New Roman" w:hAnsi="Times New Roman"/>
                <w:szCs w:val="21"/>
              </w:rPr>
            </w:pPr>
            <w:r>
              <w:rPr>
                <w:rFonts w:ascii="Times New Roman" w:hAnsi="Times New Roman"/>
                <w:szCs w:val="21"/>
              </w:rPr>
              <w:t>废石</w:t>
            </w:r>
          </w:p>
        </w:tc>
        <w:tc>
          <w:tcPr>
            <w:tcW w:w="1391" w:type="dxa"/>
            <w:vAlign w:val="center"/>
          </w:tcPr>
          <w:p>
            <w:pPr>
              <w:jc w:val="center"/>
              <w:rPr>
                <w:rFonts w:ascii="Times New Roman" w:hAnsi="Times New Roman"/>
                <w:szCs w:val="21"/>
              </w:rPr>
            </w:pPr>
            <w:r>
              <w:rPr>
                <w:rFonts w:hint="eastAsia" w:ascii="Times New Roman" w:hAnsi="Times New Roman"/>
                <w:szCs w:val="21"/>
              </w:rPr>
              <w:t>16000</w:t>
            </w:r>
          </w:p>
        </w:tc>
        <w:tc>
          <w:tcPr>
            <w:tcW w:w="1932" w:type="dxa"/>
            <w:vAlign w:val="center"/>
          </w:tcPr>
          <w:p>
            <w:pPr>
              <w:jc w:val="center"/>
              <w:rPr>
                <w:rFonts w:ascii="Times New Roman" w:hAnsi="Times New Roman"/>
                <w:szCs w:val="21"/>
              </w:rPr>
            </w:pPr>
            <w:r>
              <w:rPr>
                <w:rFonts w:hint="eastAsia" w:ascii="Times New Roman" w:hAnsi="Times New Roman"/>
                <w:szCs w:val="21"/>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jc w:val="center"/>
              <w:rPr>
                <w:rFonts w:ascii="Times New Roman" w:hAnsi="Times New Roman"/>
                <w:szCs w:val="21"/>
              </w:rPr>
            </w:pPr>
          </w:p>
        </w:tc>
        <w:tc>
          <w:tcPr>
            <w:tcW w:w="1247" w:type="dxa"/>
            <w:vMerge w:val="continue"/>
            <w:vAlign w:val="center"/>
          </w:tcPr>
          <w:p>
            <w:pPr>
              <w:jc w:val="center"/>
              <w:rPr>
                <w:rFonts w:ascii="Times New Roman" w:hAnsi="Times New Roman"/>
                <w:szCs w:val="21"/>
              </w:rPr>
            </w:pPr>
          </w:p>
        </w:tc>
        <w:tc>
          <w:tcPr>
            <w:tcW w:w="1211" w:type="dxa"/>
            <w:vMerge w:val="continue"/>
            <w:vAlign w:val="center"/>
          </w:tcPr>
          <w:p>
            <w:pPr>
              <w:jc w:val="center"/>
              <w:rPr>
                <w:rFonts w:ascii="Times New Roman" w:hAnsi="Times New Roman"/>
                <w:szCs w:val="21"/>
              </w:rPr>
            </w:pPr>
          </w:p>
        </w:tc>
        <w:tc>
          <w:tcPr>
            <w:tcW w:w="1301" w:type="dxa"/>
            <w:vMerge w:val="continue"/>
            <w:vAlign w:val="center"/>
          </w:tcPr>
          <w:p>
            <w:pPr>
              <w:jc w:val="center"/>
              <w:rPr>
                <w:rFonts w:ascii="Times New Roman" w:hAnsi="Times New Roman"/>
                <w:szCs w:val="21"/>
              </w:rPr>
            </w:pPr>
          </w:p>
        </w:tc>
        <w:tc>
          <w:tcPr>
            <w:tcW w:w="1229" w:type="dxa"/>
            <w:vAlign w:val="center"/>
          </w:tcPr>
          <w:p>
            <w:pPr>
              <w:jc w:val="center"/>
              <w:rPr>
                <w:rFonts w:ascii="Times New Roman" w:hAnsi="Times New Roman"/>
                <w:szCs w:val="21"/>
              </w:rPr>
            </w:pPr>
            <w:r>
              <w:rPr>
                <w:rFonts w:ascii="Times New Roman" w:hAnsi="Times New Roman"/>
                <w:szCs w:val="21"/>
              </w:rPr>
              <w:t>铁精粉</w:t>
            </w:r>
          </w:p>
        </w:tc>
        <w:tc>
          <w:tcPr>
            <w:tcW w:w="1391" w:type="dxa"/>
            <w:vAlign w:val="center"/>
          </w:tcPr>
          <w:p>
            <w:pPr>
              <w:jc w:val="center"/>
              <w:rPr>
                <w:rFonts w:ascii="Times New Roman" w:hAnsi="Times New Roman"/>
                <w:szCs w:val="21"/>
              </w:rPr>
            </w:pPr>
            <w:r>
              <w:rPr>
                <w:rFonts w:hint="eastAsia" w:ascii="Times New Roman" w:hAnsi="Times New Roman"/>
                <w:szCs w:val="21"/>
              </w:rPr>
              <w:t>80000</w:t>
            </w:r>
          </w:p>
        </w:tc>
        <w:tc>
          <w:tcPr>
            <w:tcW w:w="1932" w:type="dxa"/>
            <w:vAlign w:val="center"/>
          </w:tcPr>
          <w:p>
            <w:pPr>
              <w:jc w:val="center"/>
              <w:rPr>
                <w:rFonts w:ascii="Times New Roman" w:hAnsi="Times New Roman"/>
                <w:szCs w:val="21"/>
              </w:rPr>
            </w:pPr>
            <w:r>
              <w:rPr>
                <w:rFonts w:ascii="Times New Roman" w:hAnsi="Times New Roman"/>
                <w:szCs w:val="21"/>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jc w:val="center"/>
              <w:rPr>
                <w:rFonts w:ascii="Times New Roman" w:hAnsi="Times New Roman"/>
                <w:szCs w:val="21"/>
              </w:rPr>
            </w:pPr>
          </w:p>
        </w:tc>
        <w:tc>
          <w:tcPr>
            <w:tcW w:w="1247" w:type="dxa"/>
            <w:vMerge w:val="continue"/>
            <w:vAlign w:val="center"/>
          </w:tcPr>
          <w:p>
            <w:pPr>
              <w:jc w:val="center"/>
              <w:rPr>
                <w:rFonts w:ascii="Times New Roman" w:hAnsi="Times New Roman"/>
                <w:szCs w:val="21"/>
              </w:rPr>
            </w:pPr>
          </w:p>
        </w:tc>
        <w:tc>
          <w:tcPr>
            <w:tcW w:w="1211" w:type="dxa"/>
            <w:vMerge w:val="continue"/>
            <w:vAlign w:val="center"/>
          </w:tcPr>
          <w:p>
            <w:pPr>
              <w:jc w:val="center"/>
              <w:rPr>
                <w:rFonts w:ascii="Times New Roman" w:hAnsi="Times New Roman"/>
                <w:szCs w:val="21"/>
              </w:rPr>
            </w:pPr>
          </w:p>
        </w:tc>
        <w:tc>
          <w:tcPr>
            <w:tcW w:w="1301" w:type="dxa"/>
            <w:vMerge w:val="continue"/>
            <w:vAlign w:val="center"/>
          </w:tcPr>
          <w:p>
            <w:pPr>
              <w:jc w:val="center"/>
              <w:rPr>
                <w:rFonts w:ascii="Times New Roman" w:hAnsi="Times New Roman"/>
                <w:szCs w:val="21"/>
              </w:rPr>
            </w:pPr>
          </w:p>
        </w:tc>
        <w:tc>
          <w:tcPr>
            <w:tcW w:w="1229" w:type="dxa"/>
            <w:vAlign w:val="center"/>
          </w:tcPr>
          <w:p>
            <w:pPr>
              <w:jc w:val="center"/>
              <w:rPr>
                <w:rFonts w:ascii="Times New Roman" w:hAnsi="Times New Roman"/>
                <w:szCs w:val="21"/>
              </w:rPr>
            </w:pPr>
            <w:r>
              <w:rPr>
                <w:rFonts w:ascii="Times New Roman" w:hAnsi="Times New Roman"/>
                <w:szCs w:val="21"/>
              </w:rPr>
              <w:t>尾矿</w:t>
            </w:r>
          </w:p>
        </w:tc>
        <w:tc>
          <w:tcPr>
            <w:tcW w:w="1391" w:type="dxa"/>
            <w:vAlign w:val="center"/>
          </w:tcPr>
          <w:p>
            <w:pPr>
              <w:jc w:val="center"/>
              <w:rPr>
                <w:rFonts w:ascii="Times New Roman" w:hAnsi="Times New Roman"/>
                <w:szCs w:val="21"/>
              </w:rPr>
            </w:pPr>
            <w:r>
              <w:rPr>
                <w:rFonts w:hint="eastAsia" w:ascii="Times New Roman" w:hAnsi="Times New Roman"/>
                <w:szCs w:val="21"/>
              </w:rPr>
              <w:t>104000</w:t>
            </w:r>
          </w:p>
        </w:tc>
        <w:tc>
          <w:tcPr>
            <w:tcW w:w="1932" w:type="dxa"/>
            <w:vAlign w:val="center"/>
          </w:tcPr>
          <w:p>
            <w:pPr>
              <w:jc w:val="center"/>
              <w:rPr>
                <w:rFonts w:ascii="Times New Roman" w:hAnsi="Times New Roman"/>
                <w:szCs w:val="21"/>
              </w:rPr>
            </w:pPr>
            <w:r>
              <w:rPr>
                <w:rFonts w:ascii="Times New Roman" w:hAnsi="Times New Roman"/>
                <w:szCs w:val="21"/>
              </w:rPr>
              <w:t>尾矿库</w:t>
            </w:r>
          </w:p>
        </w:tc>
      </w:tr>
    </w:tbl>
    <w:p>
      <w:pPr>
        <w:pStyle w:val="13"/>
        <w:ind w:left="0"/>
        <w:rPr>
          <w:rFonts w:ascii="Times New Roman" w:hAnsi="Times New Roman"/>
          <w:b/>
          <w:bCs/>
          <w:sz w:val="24"/>
        </w:rPr>
      </w:pPr>
    </w:p>
    <w:p>
      <w:pPr>
        <w:pStyle w:val="5"/>
        <w:spacing w:beforeLines="50" w:after="0" w:line="360" w:lineRule="auto"/>
        <w:rPr>
          <w:color w:val="000000"/>
          <w:sz w:val="24"/>
          <w:szCs w:val="24"/>
        </w:rPr>
      </w:pPr>
      <w:bookmarkStart w:id="141" w:name="_Toc10834"/>
      <w:bookmarkStart w:id="142" w:name="_Toc26302"/>
      <w:bookmarkStart w:id="143" w:name="_Toc4807"/>
      <w:r>
        <w:rPr>
          <w:rFonts w:hint="eastAsia"/>
          <w:color w:val="000000"/>
          <w:sz w:val="24"/>
          <w:szCs w:val="24"/>
        </w:rPr>
        <w:t>3.1.7工作制度、劳动定员</w:t>
      </w:r>
      <w:bookmarkEnd w:id="141"/>
      <w:bookmarkEnd w:id="142"/>
      <w:bookmarkEnd w:id="143"/>
    </w:p>
    <w:p>
      <w:pPr>
        <w:tabs>
          <w:tab w:val="left" w:pos="1958"/>
        </w:tabs>
        <w:spacing w:line="360" w:lineRule="auto"/>
        <w:ind w:firstLine="480" w:firstLineChars="200"/>
        <w:jc w:val="left"/>
        <w:rPr>
          <w:color w:val="000000"/>
          <w:sz w:val="24"/>
        </w:rPr>
      </w:pPr>
      <w:r>
        <w:rPr>
          <w:rFonts w:hint="eastAsia"/>
          <w:sz w:val="24"/>
        </w:rPr>
        <w:t>采场现有职工133人，其中：生产人员70人，辅助生产及管理63人。矿山采</w:t>
      </w:r>
      <w:r>
        <w:rPr>
          <w:rFonts w:hint="eastAsia"/>
          <w:color w:val="000000"/>
          <w:sz w:val="24"/>
        </w:rPr>
        <w:t>用连续工作制度，年工作330天，每天3班作业，每班8小时。选矿厂现有职工15人，年工作300天，每天3班作业，每班8小时。</w:t>
      </w:r>
    </w:p>
    <w:p>
      <w:pPr>
        <w:pStyle w:val="5"/>
        <w:spacing w:beforeLines="50" w:after="0" w:line="360" w:lineRule="auto"/>
        <w:rPr>
          <w:color w:val="000000"/>
          <w:sz w:val="24"/>
          <w:szCs w:val="24"/>
        </w:rPr>
      </w:pPr>
      <w:bookmarkStart w:id="144" w:name="_Toc15276"/>
      <w:bookmarkStart w:id="145" w:name="_Toc1709"/>
      <w:bookmarkStart w:id="146" w:name="_Toc31741"/>
      <w:r>
        <w:rPr>
          <w:rFonts w:hint="eastAsia"/>
          <w:color w:val="000000"/>
          <w:sz w:val="24"/>
          <w:szCs w:val="24"/>
        </w:rPr>
        <w:t>3.1.8工艺流程及产排污环节分析</w:t>
      </w:r>
      <w:bookmarkEnd w:id="144"/>
      <w:bookmarkEnd w:id="145"/>
      <w:bookmarkEnd w:id="146"/>
    </w:p>
    <w:p>
      <w:pPr>
        <w:numPr>
          <w:ilvl w:val="0"/>
          <w:numId w:val="4"/>
        </w:numPr>
        <w:tabs>
          <w:tab w:val="left" w:pos="627"/>
        </w:tabs>
        <w:spacing w:line="360" w:lineRule="auto"/>
        <w:jc w:val="left"/>
      </w:pPr>
      <w:r>
        <w:rPr>
          <w:sz w:val="24"/>
        </w:rPr>
        <mc:AlternateContent>
          <mc:Choice Requires="wps">
            <w:drawing>
              <wp:anchor distT="0" distB="0" distL="114300" distR="114300" simplePos="0" relativeHeight="251645952" behindDoc="0" locked="0" layoutInCell="1" allowOverlap="1">
                <wp:simplePos x="0" y="0"/>
                <wp:positionH relativeFrom="column">
                  <wp:posOffset>2914650</wp:posOffset>
                </wp:positionH>
                <wp:positionV relativeFrom="paragraph">
                  <wp:posOffset>31115</wp:posOffset>
                </wp:positionV>
                <wp:extent cx="1342390" cy="469900"/>
                <wp:effectExtent l="0" t="0" r="0" b="0"/>
                <wp:wrapNone/>
                <wp:docPr id="143" name="矩形 281"/>
                <wp:cNvGraphicFramePr/>
                <a:graphic xmlns:a="http://schemas.openxmlformats.org/drawingml/2006/main">
                  <a:graphicData uri="http://schemas.microsoft.com/office/word/2010/wordprocessingShape">
                    <wps:wsp>
                      <wps:cNvSpPr/>
                      <wps:spPr>
                        <a:xfrm>
                          <a:off x="0" y="0"/>
                          <a:ext cx="1342390" cy="469900"/>
                        </a:xfrm>
                        <a:prstGeom prst="rect">
                          <a:avLst/>
                        </a:prstGeom>
                        <a:noFill/>
                        <a:ln>
                          <a:noFill/>
                        </a:ln>
                      </wps:spPr>
                      <wps:txbx>
                        <w:txbxContent>
                          <w:p>
                            <w:pPr>
                              <w:jc w:val="center"/>
                            </w:pPr>
                            <w:r>
                              <w:rPr>
                                <w:rFonts w:hint="eastAsia"/>
                              </w:rPr>
                              <w:t>粉尘、噪声、振动、</w:t>
                            </w:r>
                          </w:p>
                          <w:p>
                            <w:pPr>
                              <w:jc w:val="center"/>
                            </w:pPr>
                            <w:r>
                              <w:rPr>
                                <w:rFonts w:hint="eastAsia"/>
                              </w:rPr>
                              <w:t>NO</w:t>
                            </w:r>
                            <w:r>
                              <w:rPr>
                                <w:rFonts w:hint="eastAsia"/>
                                <w:vertAlign w:val="subscript"/>
                              </w:rPr>
                              <w:t>2</w:t>
                            </w:r>
                          </w:p>
                        </w:txbxContent>
                      </wps:txbx>
                      <wps:bodyPr upright="1"/>
                    </wps:wsp>
                  </a:graphicData>
                </a:graphic>
              </wp:anchor>
            </w:drawing>
          </mc:Choice>
          <mc:Fallback>
            <w:pict>
              <v:rect id="矩形 281" o:spid="_x0000_s1026" o:spt="1" style="position:absolute;left:0pt;margin-left:229.5pt;margin-top:2.45pt;height:37pt;width:105.7pt;z-index:251645952;mso-width-relative:page;mso-height-relative:page;" filled="f" stroked="f" coordsize="21600,21600" o:gfxdata="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n0MDF2gAAAAgBAAAP&#10;AAAAAAAAAAEAIAAAACIAAABkcnMvZG93bnJldi54bWxQSwECFAAUAAAACACHTuJAdGYoxqQBAABF&#10;AwAADgAAAAAAAAABACAAAAApAQAAZHJzL2Uyb0RvYy54bWxQSwUGAAAAAAYABgBZAQAAPwUAAAAA&#10;">
                <v:fill on="f" focussize="0,0"/>
                <v:stroke on="f"/>
                <v:imagedata o:title=""/>
                <o:lock v:ext="edit" aspectratio="f"/>
                <v:textbox>
                  <w:txbxContent>
                    <w:p>
                      <w:pPr>
                        <w:jc w:val="center"/>
                      </w:pPr>
                      <w:r>
                        <w:rPr>
                          <w:rFonts w:hint="eastAsia"/>
                        </w:rPr>
                        <w:t>粉尘、噪声、振动、</w:t>
                      </w:r>
                    </w:p>
                    <w:p>
                      <w:pPr>
                        <w:jc w:val="center"/>
                      </w:pPr>
                      <w:r>
                        <w:rPr>
                          <w:rFonts w:hint="eastAsia"/>
                        </w:rPr>
                        <w:t>NO</w:t>
                      </w:r>
                      <w:r>
                        <w:rPr>
                          <w:rFonts w:hint="eastAsia"/>
                          <w:vertAlign w:val="subscript"/>
                        </w:rPr>
                        <w:t>2</w:t>
                      </w:r>
                    </w:p>
                  </w:txbxContent>
                </v:textbox>
              </v:rect>
            </w:pict>
          </mc:Fallback>
        </mc:AlternateContent>
      </w:r>
      <w:r>
        <w:rPr>
          <w:sz w:val="24"/>
        </w:rPr>
        <mc:AlternateContent>
          <mc:Choice Requires="wps">
            <w:drawing>
              <wp:anchor distT="0" distB="0" distL="114300" distR="114300" simplePos="0" relativeHeight="251646976" behindDoc="0" locked="0" layoutInCell="1" allowOverlap="1">
                <wp:simplePos x="0" y="0"/>
                <wp:positionH relativeFrom="column">
                  <wp:posOffset>4104640</wp:posOffset>
                </wp:positionH>
                <wp:positionV relativeFrom="paragraph">
                  <wp:posOffset>179705</wp:posOffset>
                </wp:positionV>
                <wp:extent cx="1342390" cy="297815"/>
                <wp:effectExtent l="0" t="0" r="0" b="0"/>
                <wp:wrapNone/>
                <wp:docPr id="144" name="矩形 282"/>
                <wp:cNvGraphicFramePr/>
                <a:graphic xmlns:a="http://schemas.openxmlformats.org/drawingml/2006/main">
                  <a:graphicData uri="http://schemas.microsoft.com/office/word/2010/wordprocessingShape">
                    <wps:wsp>
                      <wps:cNvSpPr/>
                      <wps:spPr>
                        <a:xfrm>
                          <a:off x="0" y="0"/>
                          <a:ext cx="1342390" cy="297815"/>
                        </a:xfrm>
                        <a:prstGeom prst="rect">
                          <a:avLst/>
                        </a:prstGeom>
                        <a:noFill/>
                        <a:ln>
                          <a:noFill/>
                        </a:ln>
                      </wps:spPr>
                      <wps:txbx>
                        <w:txbxContent>
                          <w:p>
                            <w:pPr>
                              <w:ind w:firstLine="420" w:firstLineChars="200"/>
                            </w:pPr>
                            <w:r>
                              <w:rPr>
                                <w:rFonts w:hint="eastAsia"/>
                              </w:rPr>
                              <w:t>粉尘、噪声</w:t>
                            </w:r>
                          </w:p>
                        </w:txbxContent>
                      </wps:txbx>
                      <wps:bodyPr upright="1"/>
                    </wps:wsp>
                  </a:graphicData>
                </a:graphic>
              </wp:anchor>
            </w:drawing>
          </mc:Choice>
          <mc:Fallback>
            <w:pict>
              <v:rect id="矩形 282" o:spid="_x0000_s1026" o:spt="1" style="position:absolute;left:0pt;margin-left:323.2pt;margin-top:14.15pt;height:23.45pt;width:105.7pt;z-index:251646976;mso-width-relative:page;mso-height-relative:page;" filled="f" stroked="f" coordsize="21600,21600" o:gfxdata="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jCmerbAAAACQEA&#10;AA8AAAAAAAAAAQAgAAAAIgAAAGRycy9kb3ducmV2LnhtbFBLAQIUABQAAAAIAIdO4kBdIvi2pQEA&#10;AEUDAAAOAAAAAAAAAAEAIAAAACoBAABkcnMvZTJvRG9jLnhtbFBLBQYAAAAABgAGAFkBAABBBQAA&#10;AAA=&#10;">
                <v:fill on="f" focussize="0,0"/>
                <v:stroke on="f"/>
                <v:imagedata o:title=""/>
                <o:lock v:ext="edit" aspectratio="f"/>
                <v:textbox>
                  <w:txbxContent>
                    <w:p>
                      <w:pPr>
                        <w:ind w:firstLine="420" w:firstLineChars="200"/>
                      </w:pPr>
                      <w:r>
                        <w:rPr>
                          <w:rFonts w:hint="eastAsia"/>
                        </w:rPr>
                        <w:t>粉尘、噪声</w:t>
                      </w:r>
                    </w:p>
                  </w:txbxContent>
                </v:textbox>
              </v:rect>
            </w:pict>
          </mc:Fallback>
        </mc:AlternateContent>
      </w:r>
      <w:r>
        <w:rPr>
          <w:sz w:val="24"/>
        </w:rPr>
        <mc:AlternateContent>
          <mc:Choice Requires="wps">
            <w:drawing>
              <wp:anchor distT="0" distB="0" distL="114300" distR="114300" simplePos="0" relativeHeight="251644928" behindDoc="0" locked="0" layoutInCell="1" allowOverlap="1">
                <wp:simplePos x="0" y="0"/>
                <wp:positionH relativeFrom="column">
                  <wp:posOffset>1657350</wp:posOffset>
                </wp:positionH>
                <wp:positionV relativeFrom="paragraph">
                  <wp:posOffset>187960</wp:posOffset>
                </wp:positionV>
                <wp:extent cx="1342390" cy="297815"/>
                <wp:effectExtent l="0" t="0" r="0" b="0"/>
                <wp:wrapNone/>
                <wp:docPr id="142" name="矩形 283"/>
                <wp:cNvGraphicFramePr/>
                <a:graphic xmlns:a="http://schemas.openxmlformats.org/drawingml/2006/main">
                  <a:graphicData uri="http://schemas.microsoft.com/office/word/2010/wordprocessingShape">
                    <wps:wsp>
                      <wps:cNvSpPr/>
                      <wps:spPr>
                        <a:xfrm>
                          <a:off x="0" y="0"/>
                          <a:ext cx="1342390" cy="297815"/>
                        </a:xfrm>
                        <a:prstGeom prst="rect">
                          <a:avLst/>
                        </a:prstGeom>
                        <a:noFill/>
                        <a:ln>
                          <a:noFill/>
                        </a:ln>
                      </wps:spPr>
                      <wps:txbx>
                        <w:txbxContent>
                          <w:p>
                            <w:pPr>
                              <w:ind w:firstLine="420" w:firstLineChars="200"/>
                            </w:pPr>
                            <w:r>
                              <w:rPr>
                                <w:rFonts w:hint="eastAsia"/>
                              </w:rPr>
                              <w:t>粉尘、噪声</w:t>
                            </w:r>
                          </w:p>
                        </w:txbxContent>
                      </wps:txbx>
                      <wps:bodyPr upright="1"/>
                    </wps:wsp>
                  </a:graphicData>
                </a:graphic>
              </wp:anchor>
            </w:drawing>
          </mc:Choice>
          <mc:Fallback>
            <w:pict>
              <v:rect id="矩形 283" o:spid="_x0000_s1026" o:spt="1" style="position:absolute;left:0pt;margin-left:130.5pt;margin-top:14.8pt;height:23.45pt;width:105.7pt;z-index:251644928;mso-width-relative:page;mso-height-relative:page;" filled="f" stroked="f" coordsize="21600,21600" o:gfxdata="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YjI3zbAAAACQEA&#10;AA8AAAAAAAAAAQAgAAAAIgAAAGRycy9kb3ducmV2LnhtbFBLAQIUABQAAAAIAIdO4kBZXhPwpQEA&#10;AEUDAAAOAAAAAAAAAAEAIAAAACoBAABkcnMvZTJvRG9jLnhtbFBLBQYAAAAABgAGAFkBAABBBQAA&#10;AAA=&#10;">
                <v:fill on="f" focussize="0,0"/>
                <v:stroke on="f"/>
                <v:imagedata o:title=""/>
                <o:lock v:ext="edit" aspectratio="f"/>
                <v:textbox>
                  <w:txbxContent>
                    <w:p>
                      <w:pPr>
                        <w:ind w:firstLine="420" w:firstLineChars="200"/>
                      </w:pPr>
                      <w:r>
                        <w:rPr>
                          <w:rFonts w:hint="eastAsia"/>
                        </w:rPr>
                        <w:t>粉尘、噪声</w:t>
                      </w:r>
                    </w:p>
                  </w:txbxContent>
                </v:textbox>
              </v:rect>
            </w:pict>
          </mc:Fallback>
        </mc:AlternateContent>
      </w:r>
      <w:r>
        <w:rPr>
          <w:sz w:val="24"/>
        </w:rPr>
        <mc:AlternateContent>
          <mc:Choice Requires="wps">
            <w:drawing>
              <wp:anchor distT="0" distB="0" distL="114300" distR="114300" simplePos="0" relativeHeight="251643904" behindDoc="0" locked="0" layoutInCell="1" allowOverlap="1">
                <wp:simplePos x="0" y="0"/>
                <wp:positionH relativeFrom="column">
                  <wp:posOffset>613410</wp:posOffset>
                </wp:positionH>
                <wp:positionV relativeFrom="paragraph">
                  <wp:posOffset>176530</wp:posOffset>
                </wp:positionV>
                <wp:extent cx="1342390" cy="297815"/>
                <wp:effectExtent l="0" t="0" r="0" b="0"/>
                <wp:wrapNone/>
                <wp:docPr id="141" name="矩形 284"/>
                <wp:cNvGraphicFramePr/>
                <a:graphic xmlns:a="http://schemas.openxmlformats.org/drawingml/2006/main">
                  <a:graphicData uri="http://schemas.microsoft.com/office/word/2010/wordprocessingShape">
                    <wps:wsp>
                      <wps:cNvSpPr/>
                      <wps:spPr>
                        <a:xfrm>
                          <a:off x="0" y="0"/>
                          <a:ext cx="1342390" cy="297815"/>
                        </a:xfrm>
                        <a:prstGeom prst="rect">
                          <a:avLst/>
                        </a:prstGeom>
                        <a:noFill/>
                        <a:ln>
                          <a:noFill/>
                        </a:ln>
                      </wps:spPr>
                      <wps:txbx>
                        <w:txbxContent>
                          <w:p>
                            <w:r>
                              <w:rPr>
                                <w:rFonts w:hint="eastAsia"/>
                              </w:rPr>
                              <w:t>废石、粉尘、噪声</w:t>
                            </w:r>
                          </w:p>
                        </w:txbxContent>
                      </wps:txbx>
                      <wps:bodyPr upright="1"/>
                    </wps:wsp>
                  </a:graphicData>
                </a:graphic>
              </wp:anchor>
            </w:drawing>
          </mc:Choice>
          <mc:Fallback>
            <w:pict>
              <v:rect id="矩形 284" o:spid="_x0000_s1026" o:spt="1" style="position:absolute;left:0pt;margin-left:48.3pt;margin-top:13.9pt;height:23.45pt;width:105.7pt;z-index:251643904;mso-width-relative:page;mso-height-relative:page;" filled="f" stroked="f" coordsize="21600,21600" o:gfxdata="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3434y2QAAAAgBAAAP&#10;AAAAAAAAAAEAIAAAACIAAABkcnMvZG93bnJldi54bWxQSwECFAAUAAAACACHTuJAmTdviKUBAABF&#10;AwAADgAAAAAAAAABACAAAAAoAQAAZHJzL2Uyb0RvYy54bWxQSwUGAAAAAAYABgBZAQAAPwUAAAAA&#10;">
                <v:fill on="f" focussize="0,0"/>
                <v:stroke on="f"/>
                <v:imagedata o:title=""/>
                <o:lock v:ext="edit" aspectratio="f"/>
                <v:textbox>
                  <w:txbxContent>
                    <w:p>
                      <w:r>
                        <w:rPr>
                          <w:rFonts w:hint="eastAsia"/>
                        </w:rPr>
                        <w:t>废石、粉尘、噪声</w:t>
                      </w:r>
                    </w:p>
                  </w:txbxContent>
                </v:textbox>
              </v:rect>
            </w:pict>
          </mc:Fallback>
        </mc:AlternateContent>
      </w:r>
      <w:r>
        <w:rPr>
          <w:sz w:val="24"/>
        </w:rPr>
        <mc:AlternateContent>
          <mc:Choice Requires="wps">
            <w:drawing>
              <wp:anchor distT="0" distB="0" distL="114300" distR="114300" simplePos="0" relativeHeight="251642880" behindDoc="0" locked="0" layoutInCell="1" allowOverlap="1">
                <wp:simplePos x="0" y="0"/>
                <wp:positionH relativeFrom="column">
                  <wp:posOffset>-801370</wp:posOffset>
                </wp:positionH>
                <wp:positionV relativeFrom="paragraph">
                  <wp:posOffset>184785</wp:posOffset>
                </wp:positionV>
                <wp:extent cx="1342390" cy="297815"/>
                <wp:effectExtent l="0" t="0" r="0" b="0"/>
                <wp:wrapNone/>
                <wp:docPr id="140" name="矩形 285"/>
                <wp:cNvGraphicFramePr/>
                <a:graphic xmlns:a="http://schemas.openxmlformats.org/drawingml/2006/main">
                  <a:graphicData uri="http://schemas.microsoft.com/office/word/2010/wordprocessingShape">
                    <wps:wsp>
                      <wps:cNvSpPr/>
                      <wps:spPr>
                        <a:xfrm>
                          <a:off x="0" y="0"/>
                          <a:ext cx="1342390" cy="297815"/>
                        </a:xfrm>
                        <a:prstGeom prst="rect">
                          <a:avLst/>
                        </a:prstGeom>
                        <a:noFill/>
                        <a:ln>
                          <a:noFill/>
                        </a:ln>
                      </wps:spPr>
                      <wps:txbx>
                        <w:txbxContent>
                          <w:p>
                            <w:r>
                              <w:rPr>
                                <w:rFonts w:hint="eastAsia"/>
                              </w:rPr>
                              <w:t>废石、粉尘、噪声</w:t>
                            </w:r>
                          </w:p>
                        </w:txbxContent>
                      </wps:txbx>
                      <wps:bodyPr upright="1"/>
                    </wps:wsp>
                  </a:graphicData>
                </a:graphic>
              </wp:anchor>
            </w:drawing>
          </mc:Choice>
          <mc:Fallback>
            <w:pict>
              <v:rect id="矩形 285" o:spid="_x0000_s1026" o:spt="1" style="position:absolute;left:0pt;margin-left:-63.1pt;margin-top:14.55pt;height:23.45pt;width:105.7pt;z-index:251642880;mso-width-relative:page;mso-height-relative:page;" filled="f" stroked="f" coordsize="21600,21600" o:gfxdata="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ap3ku2gAAAAkBAAAP&#10;AAAAAAAAAAEAIAAAACIAAABkcnMvZG93bnJldi54bWxQSwECFAAUAAAACACHTuJAOgqnq6QBAABF&#10;AwAADgAAAAAAAAABACAAAAApAQAAZHJzL2Uyb0RvYy54bWxQSwUGAAAAAAYABgBZAQAAPwUAAAAA&#10;">
                <v:fill on="f" focussize="0,0"/>
                <v:stroke on="f"/>
                <v:imagedata o:title=""/>
                <o:lock v:ext="edit" aspectratio="f"/>
                <v:textbox>
                  <w:txbxContent>
                    <w:p>
                      <w:r>
                        <w:rPr>
                          <w:rFonts w:hint="eastAsia"/>
                        </w:rPr>
                        <w:t>废石、粉尘、噪声</w:t>
                      </w:r>
                    </w:p>
                  </w:txbxContent>
                </v:textbox>
              </v:rect>
            </w:pict>
          </mc:Fallback>
        </mc:AlternateContent>
      </w:r>
      <w:r>
        <w:rPr>
          <w:rFonts w:hint="eastAsia" w:ascii="Times New Roman" w:hAnsi="Times New Roman"/>
          <w:color w:val="000000"/>
          <w:sz w:val="24"/>
          <w:szCs w:val="24"/>
        </w:rPr>
        <w:t>现有采矿工艺流程</w:t>
      </w:r>
    </w:p>
    <w:p>
      <w:pPr>
        <w:tabs>
          <w:tab w:val="left" w:pos="627"/>
        </w:tabs>
        <w:spacing w:line="360" w:lineRule="auto"/>
        <w:ind w:left="528"/>
        <w:jc w:val="left"/>
        <w:rPr>
          <w:rFonts w:ascii="Times New Roman" w:hAnsi="Times New Roman"/>
          <w:color w:val="000000"/>
          <w:sz w:val="24"/>
          <w:szCs w:val="24"/>
        </w:rPr>
      </w:pPr>
      <w:r>
        <w:rPr>
          <w:sz w:val="24"/>
        </w:rPr>
        <mc:AlternateContent>
          <mc:Choice Requires="wps">
            <w:drawing>
              <wp:anchor distT="0" distB="0" distL="114300" distR="114300" simplePos="0" relativeHeight="251633664" behindDoc="0" locked="0" layoutInCell="1" allowOverlap="1">
                <wp:simplePos x="0" y="0"/>
                <wp:positionH relativeFrom="column">
                  <wp:posOffset>1873250</wp:posOffset>
                </wp:positionH>
                <wp:positionV relativeFrom="paragraph">
                  <wp:posOffset>276860</wp:posOffset>
                </wp:positionV>
                <wp:extent cx="3488690" cy="643255"/>
                <wp:effectExtent l="5080" t="4445" r="11430" b="19050"/>
                <wp:wrapNone/>
                <wp:docPr id="131" name="自选图形 286"/>
                <wp:cNvGraphicFramePr/>
                <a:graphic xmlns:a="http://schemas.openxmlformats.org/drawingml/2006/main">
                  <a:graphicData uri="http://schemas.microsoft.com/office/word/2010/wordprocessingShape">
                    <wps:wsp>
                      <wps:cNvSpPr/>
                      <wps:spPr>
                        <a:xfrm>
                          <a:off x="0" y="0"/>
                          <a:ext cx="3488690" cy="643255"/>
                        </a:xfrm>
                        <a:prstGeom prst="flowChartTerminator">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86" o:spid="_x0000_s1026" o:spt="116" type="#_x0000_t116" style="position:absolute;left:0pt;margin-left:147.5pt;margin-top:21.8pt;height:50.65pt;width:274.7pt;z-index:251633664;mso-width-relative:page;mso-height-relative:page;" filled="f" stroked="t" coordsize="21600,21600" o:gfxdata="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vzP5l2QAAAAoBAAAPAAAAAAAA&#10;AAEAIAAAACIAAABkcnMvZG93bnJldi54bWxQSwECFAAUAAAACACHTuJABISlfhECAAAOBAAADgAA&#10;AAAAAAABACAAAAAoAQAAZHJzL2Uyb0RvYy54bWxQSwUGAAAAAAYABgBZAQAAqwUAAAAA&#10;">
                <v:fill on="f" focussize="0,0"/>
                <v:stroke color="#000000" joinstyle="miter"/>
                <v:imagedata o:title=""/>
                <o:lock v:ext="edit" aspectratio="f"/>
              </v:shape>
            </w:pict>
          </mc:Fallback>
        </mc:AlternateContent>
      </w:r>
      <w:r>
        <w:rPr>
          <w:sz w:val="24"/>
        </w:rPr>
        <mc:AlternateContent>
          <mc:Choice Requires="wps">
            <w:drawing>
              <wp:anchor distT="0" distB="0" distL="114300" distR="114300" simplePos="0" relativeHeight="251626496" behindDoc="0" locked="0" layoutInCell="1" allowOverlap="1">
                <wp:simplePos x="0" y="0"/>
                <wp:positionH relativeFrom="column">
                  <wp:posOffset>3586480</wp:posOffset>
                </wp:positionH>
                <wp:positionV relativeFrom="paragraph">
                  <wp:posOffset>154305</wp:posOffset>
                </wp:positionV>
                <wp:extent cx="635" cy="275590"/>
                <wp:effectExtent l="48895" t="0" r="64770" b="10160"/>
                <wp:wrapNone/>
                <wp:docPr id="124" name="直线 287"/>
                <wp:cNvGraphicFramePr/>
                <a:graphic xmlns:a="http://schemas.openxmlformats.org/drawingml/2006/main">
                  <a:graphicData uri="http://schemas.microsoft.com/office/word/2010/wordprocessingShape">
                    <wps:wsp>
                      <wps:cNvSpPr/>
                      <wps:spPr>
                        <a:xfrm flipV="1">
                          <a:off x="0" y="0"/>
                          <a:ext cx="635" cy="27559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87" o:spid="_x0000_s1026" o:spt="20" style="position:absolute;left:0pt;flip:y;margin-left:282.4pt;margin-top:12.15pt;height:21.7pt;width:0.05pt;z-index:251626496;mso-width-relative:page;mso-height-relative:page;" filled="f" stroked="t" coordsize="21600,21600" o:gfxdata="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oNd9LXAAAACQEAAA8AAAAAAAAAAQAgAAAAIgAAAGRycy9kb3ducmV2Lnht&#10;bFBLAQIUABQAAAAIAIdO4kCl6vNW+gEAAOoDAAAOAAAAAAAAAAEAIAAAACYBAABkcnMvZTJvRG9j&#10;LnhtbFBLBQYAAAAABgAGAFkBAACSBQ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27520" behindDoc="0" locked="0" layoutInCell="1" allowOverlap="1">
                <wp:simplePos x="0" y="0"/>
                <wp:positionH relativeFrom="column">
                  <wp:posOffset>4771390</wp:posOffset>
                </wp:positionH>
                <wp:positionV relativeFrom="paragraph">
                  <wp:posOffset>146050</wp:posOffset>
                </wp:positionV>
                <wp:extent cx="635" cy="275590"/>
                <wp:effectExtent l="48895" t="0" r="64770" b="10160"/>
                <wp:wrapNone/>
                <wp:docPr id="125" name="直线 288"/>
                <wp:cNvGraphicFramePr/>
                <a:graphic xmlns:a="http://schemas.openxmlformats.org/drawingml/2006/main">
                  <a:graphicData uri="http://schemas.microsoft.com/office/word/2010/wordprocessingShape">
                    <wps:wsp>
                      <wps:cNvSpPr/>
                      <wps:spPr>
                        <a:xfrm flipV="1">
                          <a:off x="0" y="0"/>
                          <a:ext cx="635" cy="27559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88" o:spid="_x0000_s1026" o:spt="20" style="position:absolute;left:0pt;flip:y;margin-left:375.7pt;margin-top:11.5pt;height:21.7pt;width:0.05pt;z-index:251627520;mso-width-relative:page;mso-height-relative:page;" filled="f" stroked="t" coordsize="21600,21600" o:gfxdata="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aZDdYAAAAJAQAADwAAAAAAAAABACAAAAAiAAAAZHJzL2Rvd25yZXYueG1s&#10;UEsBAhQAFAAAAAgAh07iQC5uygH6AQAA6gMAAA4AAAAAAAAAAQAgAAAAJQEAAGRycy9lMm9Eb2Mu&#10;eG1sUEsFBgAAAAAGAAYAWQEAAJEFA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25472" behindDoc="0" locked="0" layoutInCell="1" allowOverlap="1">
                <wp:simplePos x="0" y="0"/>
                <wp:positionH relativeFrom="column">
                  <wp:posOffset>2426970</wp:posOffset>
                </wp:positionH>
                <wp:positionV relativeFrom="paragraph">
                  <wp:posOffset>165735</wp:posOffset>
                </wp:positionV>
                <wp:extent cx="635" cy="275590"/>
                <wp:effectExtent l="48895" t="0" r="64770" b="10160"/>
                <wp:wrapNone/>
                <wp:docPr id="123" name="直线 289"/>
                <wp:cNvGraphicFramePr/>
                <a:graphic xmlns:a="http://schemas.openxmlformats.org/drawingml/2006/main">
                  <a:graphicData uri="http://schemas.microsoft.com/office/word/2010/wordprocessingShape">
                    <wps:wsp>
                      <wps:cNvSpPr/>
                      <wps:spPr>
                        <a:xfrm flipV="1">
                          <a:off x="0" y="0"/>
                          <a:ext cx="635" cy="27559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89" o:spid="_x0000_s1026" o:spt="20" style="position:absolute;left:0pt;flip:y;margin-left:191.1pt;margin-top:13.05pt;height:21.7pt;width:0.05pt;z-index:251625472;mso-width-relative:page;mso-height-relative:page;" filled="f" stroked="t" coordsize="21600,21600" o:gfxdata="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IwYptYAAAAJAQAADwAAAAAAAAABACAAAAAiAAAAZHJzL2Rvd25yZXYueG1s&#10;UEsBAhQAFAAAAAgAh07iQKIc6Yz6AQAA6gMAAA4AAAAAAAAAAQAgAAAAJQEAAGRycy9lMm9Eb2Mu&#10;eG1sUEsFBgAAAAAGAAYAWQEAAJEFA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24448" behindDoc="0" locked="0" layoutInCell="1" allowOverlap="1">
                <wp:simplePos x="0" y="0"/>
                <wp:positionH relativeFrom="column">
                  <wp:posOffset>1233805</wp:posOffset>
                </wp:positionH>
                <wp:positionV relativeFrom="paragraph">
                  <wp:posOffset>165735</wp:posOffset>
                </wp:positionV>
                <wp:extent cx="635" cy="275590"/>
                <wp:effectExtent l="48895" t="0" r="64770" b="10160"/>
                <wp:wrapNone/>
                <wp:docPr id="122" name="直线 290"/>
                <wp:cNvGraphicFramePr/>
                <a:graphic xmlns:a="http://schemas.openxmlformats.org/drawingml/2006/main">
                  <a:graphicData uri="http://schemas.microsoft.com/office/word/2010/wordprocessingShape">
                    <wps:wsp>
                      <wps:cNvSpPr/>
                      <wps:spPr>
                        <a:xfrm flipV="1">
                          <a:off x="0" y="0"/>
                          <a:ext cx="635" cy="27559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90" o:spid="_x0000_s1026" o:spt="20" style="position:absolute;left:0pt;flip:y;margin-left:97.15pt;margin-top:13.05pt;height:21.7pt;width:0.05pt;z-index:251624448;mso-width-relative:page;mso-height-relative:page;" filled="f" stroked="t" coordsize="21600,21600" o:gfxdata="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ZMyktYAAAAJAQAADwAAAAAAAAABACAAAAAiAAAAZHJzL2Rvd25yZXYueG1sUEsB&#10;AhQAFAAAAAgAh07iQOqe5+73AQAA6gMAAA4AAAAAAAAAAQAgAAAAJQEAAGRycy9lMm9Eb2MueG1s&#10;UEsFBgAAAAAGAAYAWQEAAI4FA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23424" behindDoc="0" locked="0" layoutInCell="1" allowOverlap="1">
                <wp:simplePos x="0" y="0"/>
                <wp:positionH relativeFrom="column">
                  <wp:posOffset>2540</wp:posOffset>
                </wp:positionH>
                <wp:positionV relativeFrom="paragraph">
                  <wp:posOffset>173990</wp:posOffset>
                </wp:positionV>
                <wp:extent cx="635" cy="275590"/>
                <wp:effectExtent l="48895" t="0" r="64770" b="10160"/>
                <wp:wrapNone/>
                <wp:docPr id="121" name="直线 291"/>
                <wp:cNvGraphicFramePr/>
                <a:graphic xmlns:a="http://schemas.openxmlformats.org/drawingml/2006/main">
                  <a:graphicData uri="http://schemas.microsoft.com/office/word/2010/wordprocessingShape">
                    <wps:wsp>
                      <wps:cNvSpPr/>
                      <wps:spPr>
                        <a:xfrm flipV="1">
                          <a:off x="0" y="0"/>
                          <a:ext cx="635" cy="27559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91" o:spid="_x0000_s1026" o:spt="20" style="position:absolute;left:0pt;flip:y;margin-left:0.2pt;margin-top:13.7pt;height:21.7pt;width:0.05pt;z-index:251623424;mso-width-relative:page;mso-height-relative:page;" filled="f" stroked="t" coordsize="21600,21600" o:gfxdata="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gQLRHSAAAAAwEAAA8AAAAAAAAAAQAgAAAAIgAAAGRycy9kb3ducmV2LnhtbFBLAQIU&#10;ABQAAAAIAIdO4kA4Q3ZM+QEAAOoDAAAOAAAAAAAAAAEAIAAAACEBAABkcnMvZTJvRG9jLnhtbFBL&#10;BQYAAAAABgAGAFkBAACMBQAAAAA=&#10;">
                <v:fill on="f" focussize="0,0"/>
                <v:stroke color="#000000" joinstyle="round" dashstyle="dash" endarrow="open"/>
                <v:imagedata o:title=""/>
                <o:lock v:ext="edit" aspectratio="f"/>
              </v:line>
            </w:pict>
          </mc:Fallback>
        </mc:AlternateContent>
      </w:r>
    </w:p>
    <w:p>
      <w:pPr>
        <w:tabs>
          <w:tab w:val="left" w:pos="627"/>
        </w:tabs>
        <w:spacing w:line="360" w:lineRule="auto"/>
        <w:ind w:left="528"/>
        <w:jc w:val="left"/>
        <w:rPr>
          <w:rFonts w:ascii="Times New Roman" w:hAnsi="Times New Roman"/>
          <w:color w:val="000000"/>
          <w:sz w:val="24"/>
          <w:szCs w:val="24"/>
        </w:rPr>
      </w:pPr>
      <w:r>
        <w:rPr>
          <w:sz w:val="24"/>
        </w:rPr>
        <mc:AlternateContent>
          <mc:Choice Requires="wps">
            <w:drawing>
              <wp:anchor distT="0" distB="0" distL="114300" distR="114300" simplePos="0" relativeHeight="251619328" behindDoc="0" locked="0" layoutInCell="1" allowOverlap="1">
                <wp:simplePos x="0" y="0"/>
                <wp:positionH relativeFrom="column">
                  <wp:posOffset>5522595</wp:posOffset>
                </wp:positionH>
                <wp:positionV relativeFrom="paragraph">
                  <wp:posOffset>290195</wp:posOffset>
                </wp:positionV>
                <wp:extent cx="635" cy="871855"/>
                <wp:effectExtent l="4445" t="0" r="13970" b="4445"/>
                <wp:wrapNone/>
                <wp:docPr id="117" name="直线 292"/>
                <wp:cNvGraphicFramePr/>
                <a:graphic xmlns:a="http://schemas.openxmlformats.org/drawingml/2006/main">
                  <a:graphicData uri="http://schemas.microsoft.com/office/word/2010/wordprocessingShape">
                    <wps:wsp>
                      <wps:cNvSpPr/>
                      <wps:spPr>
                        <a:xfrm>
                          <a:off x="0" y="0"/>
                          <a:ext cx="635" cy="8718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92" o:spid="_x0000_s1026" o:spt="20" style="position:absolute;left:0pt;margin-left:434.85pt;margin-top:22.85pt;height:68.65pt;width:0.05pt;z-index:251619328;mso-width-relative:page;mso-height-relative:page;" filled="f" stroked="t" coordsize="21600,21600" o:gfxdata="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qn&#10;wgDXAAAACgEAAA8AAAAAAAAAAQAgAAAAIgAAAGRycy9kb3ducmV2LnhtbFBLAQIUABQAAAAIAIdO&#10;4kDTHhco6wEAAOADAAAOAAAAAAAAAAEAIAAAACYBAABkcnMvZTJvRG9jLnhtbFBLBQYAAAAABgAG&#10;AFkBAACD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18304" behindDoc="0" locked="0" layoutInCell="1" allowOverlap="1">
                <wp:simplePos x="0" y="0"/>
                <wp:positionH relativeFrom="column">
                  <wp:posOffset>5189855</wp:posOffset>
                </wp:positionH>
                <wp:positionV relativeFrom="paragraph">
                  <wp:posOffset>278765</wp:posOffset>
                </wp:positionV>
                <wp:extent cx="332740" cy="635"/>
                <wp:effectExtent l="0" t="0" r="0" b="0"/>
                <wp:wrapNone/>
                <wp:docPr id="116" name="直线 293"/>
                <wp:cNvGraphicFramePr/>
                <a:graphic xmlns:a="http://schemas.openxmlformats.org/drawingml/2006/main">
                  <a:graphicData uri="http://schemas.microsoft.com/office/word/2010/wordprocessingShape">
                    <wps:wsp>
                      <wps:cNvSpPr/>
                      <wps:spPr>
                        <a:xfrm>
                          <a:off x="0" y="0"/>
                          <a:ext cx="3327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93" o:spid="_x0000_s1026" o:spt="20" style="position:absolute;left:0pt;margin-left:408.65pt;margin-top:21.95pt;height:0.05pt;width:26.2pt;z-index:251618304;mso-width-relative:page;mso-height-relative:page;" filled="f" stroked="t" coordsize="21600,21600" o:gfxdata="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MS&#10;eaXYAAAACQEAAA8AAAAAAAAAAQAgAAAAIgAAAGRycy9kb3ducmV2LnhtbFBLAQIUABQAAAAIAIdO&#10;4kD8forg6gEAAOADAAAOAAAAAAAAAAEAIAAAACcBAABkcnMvZTJvRG9jLnhtbFBLBQYAAAAABgAG&#10;AFkBAACD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06016" behindDoc="0" locked="0" layoutInCell="1" allowOverlap="1">
                <wp:simplePos x="0" y="0"/>
                <wp:positionH relativeFrom="column">
                  <wp:posOffset>4415790</wp:posOffset>
                </wp:positionH>
                <wp:positionV relativeFrom="paragraph">
                  <wp:posOffset>121285</wp:posOffset>
                </wp:positionV>
                <wp:extent cx="780415" cy="321310"/>
                <wp:effectExtent l="4445" t="4445" r="15240" b="17145"/>
                <wp:wrapNone/>
                <wp:docPr id="104" name="矩形 294"/>
                <wp:cNvGraphicFramePr/>
                <a:graphic xmlns:a="http://schemas.openxmlformats.org/drawingml/2006/main">
                  <a:graphicData uri="http://schemas.microsoft.com/office/word/2010/wordprocessingShape">
                    <wps:wsp>
                      <wps:cNvSpPr/>
                      <wps:spPr>
                        <a:xfrm>
                          <a:off x="0" y="0"/>
                          <a:ext cx="780415" cy="32131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放矿</w:t>
                            </w:r>
                          </w:p>
                        </w:txbxContent>
                      </wps:txbx>
                      <wps:bodyPr upright="1"/>
                    </wps:wsp>
                  </a:graphicData>
                </a:graphic>
              </wp:anchor>
            </w:drawing>
          </mc:Choice>
          <mc:Fallback>
            <w:pict>
              <v:rect id="矩形 294" o:spid="_x0000_s1026" o:spt="1" style="position:absolute;left:0pt;margin-left:347.7pt;margin-top:9.55pt;height:25.3pt;width:61.45pt;z-index:251606016;mso-width-relative:page;mso-height-relative:page;" filled="f" stroked="t" coordsize="21600,21600" o:gfxdata="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N0ZTXAAAACQEAAA8AAAAAAAAAAQAgAAAAIgAAAGRycy9kb3du&#10;cmV2LnhtbFBLAQIUABQAAAAIAIdO4kCiV62AAAIAAAMEAAAOAAAAAAAAAAEAIAAAACYBAABkcnMv&#10;ZTJvRG9jLnhtbFBLBQYAAAAABgAGAFkBAACYBQAAAAA=&#10;">
                <v:fill on="f" focussize="0,0"/>
                <v:stroke color="#000000" joinstyle="miter"/>
                <v:imagedata o:title=""/>
                <o:lock v:ext="edit" aspectratio="f"/>
                <v:textbox>
                  <w:txbxContent>
                    <w:p>
                      <w:pPr>
                        <w:jc w:val="center"/>
                      </w:pPr>
                      <w:r>
                        <w:rPr>
                          <w:rFonts w:hint="eastAsia"/>
                        </w:rPr>
                        <w:t>放矿</w:t>
                      </w:r>
                    </w:p>
                  </w:txbxContent>
                </v:textbox>
              </v:rect>
            </w:pict>
          </mc:Fallback>
        </mc:AlternateContent>
      </w:r>
      <w:r>
        <w:rPr>
          <w:sz w:val="24"/>
        </w:rPr>
        <mc:AlternateContent>
          <mc:Choice Requires="wps">
            <w:drawing>
              <wp:anchor distT="0" distB="0" distL="114300" distR="114300" simplePos="0" relativeHeight="251604992" behindDoc="0" locked="0" layoutInCell="1" allowOverlap="1">
                <wp:simplePos x="0" y="0"/>
                <wp:positionH relativeFrom="column">
                  <wp:posOffset>3195955</wp:posOffset>
                </wp:positionH>
                <wp:positionV relativeFrom="paragraph">
                  <wp:posOffset>140970</wp:posOffset>
                </wp:positionV>
                <wp:extent cx="780415" cy="321310"/>
                <wp:effectExtent l="4445" t="4445" r="15240" b="17145"/>
                <wp:wrapNone/>
                <wp:docPr id="103" name="矩形 295"/>
                <wp:cNvGraphicFramePr/>
                <a:graphic xmlns:a="http://schemas.openxmlformats.org/drawingml/2006/main">
                  <a:graphicData uri="http://schemas.microsoft.com/office/word/2010/wordprocessingShape">
                    <wps:wsp>
                      <wps:cNvSpPr/>
                      <wps:spPr>
                        <a:xfrm>
                          <a:off x="0" y="0"/>
                          <a:ext cx="780415" cy="32131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爆破</w:t>
                            </w:r>
                          </w:p>
                        </w:txbxContent>
                      </wps:txbx>
                      <wps:bodyPr upright="1"/>
                    </wps:wsp>
                  </a:graphicData>
                </a:graphic>
              </wp:anchor>
            </w:drawing>
          </mc:Choice>
          <mc:Fallback>
            <w:pict>
              <v:rect id="矩形 295" o:spid="_x0000_s1026" o:spt="1" style="position:absolute;left:0pt;margin-left:251.65pt;margin-top:11.1pt;height:25.3pt;width:61.45pt;z-index:251604992;mso-width-relative:page;mso-height-relative:page;" filled="f" stroked="t" coordsize="21600,21600" o:gfxdata="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CoogtcAAAAJAQAADwAAAAAAAAABACAAAAAiAAAAZHJzL2Rvd25y&#10;ZXYueG1sUEsBAhQAFAAAAAgAh07iQN/YGVn/AQAAAwQAAA4AAAAAAAAAAQAgAAAAJgEAAGRycy9l&#10;Mm9Eb2MueG1sUEsFBgAAAAAGAAYAWQEAAJcFAAAAAA==&#10;">
                <v:fill on="f" focussize="0,0"/>
                <v:stroke color="#000000" joinstyle="miter"/>
                <v:imagedata o:title=""/>
                <o:lock v:ext="edit" aspectratio="f"/>
                <v:textbox>
                  <w:txbxContent>
                    <w:p>
                      <w:pPr>
                        <w:jc w:val="center"/>
                      </w:pPr>
                      <w:r>
                        <w:rPr>
                          <w:rFonts w:hint="eastAsia"/>
                        </w:rPr>
                        <w:t>爆破</w:t>
                      </w:r>
                    </w:p>
                  </w:txbxContent>
                </v:textbox>
              </v:rect>
            </w:pict>
          </mc:Fallback>
        </mc:AlternateContent>
      </w:r>
      <w:r>
        <w:rPr>
          <w:sz w:val="24"/>
        </w:rPr>
        <mc:AlternateContent>
          <mc:Choice Requires="wps">
            <w:drawing>
              <wp:anchor distT="0" distB="0" distL="114300" distR="114300" simplePos="0" relativeHeight="251603968" behindDoc="0" locked="0" layoutInCell="1" allowOverlap="1">
                <wp:simplePos x="0" y="0"/>
                <wp:positionH relativeFrom="column">
                  <wp:posOffset>2025650</wp:posOffset>
                </wp:positionH>
                <wp:positionV relativeFrom="paragraph">
                  <wp:posOffset>163830</wp:posOffset>
                </wp:positionV>
                <wp:extent cx="780415" cy="321310"/>
                <wp:effectExtent l="4445" t="4445" r="15240" b="17145"/>
                <wp:wrapNone/>
                <wp:docPr id="102" name="矩形 296"/>
                <wp:cNvGraphicFramePr/>
                <a:graphic xmlns:a="http://schemas.openxmlformats.org/drawingml/2006/main">
                  <a:graphicData uri="http://schemas.microsoft.com/office/word/2010/wordprocessingShape">
                    <wps:wsp>
                      <wps:cNvSpPr/>
                      <wps:spPr>
                        <a:xfrm>
                          <a:off x="0" y="0"/>
                          <a:ext cx="780415" cy="321310"/>
                        </a:xfrm>
                        <a:prstGeom prst="rect">
                          <a:avLst/>
                        </a:prstGeom>
                        <a:noFill/>
                        <a:ln w="9525" cap="flat" cmpd="sng">
                          <a:solidFill>
                            <a:srgbClr val="000000"/>
                          </a:solidFill>
                          <a:prstDash val="solid"/>
                          <a:miter/>
                          <a:headEnd type="none" w="med" len="med"/>
                          <a:tailEnd type="none" w="med" len="med"/>
                        </a:ln>
                      </wps:spPr>
                      <wps:txbx>
                        <w:txbxContent>
                          <w:p>
                            <w:r>
                              <w:rPr>
                                <w:rFonts w:hint="eastAsia"/>
                              </w:rPr>
                              <w:t>凿岩打孔</w:t>
                            </w:r>
                          </w:p>
                        </w:txbxContent>
                      </wps:txbx>
                      <wps:bodyPr upright="1"/>
                    </wps:wsp>
                  </a:graphicData>
                </a:graphic>
              </wp:anchor>
            </w:drawing>
          </mc:Choice>
          <mc:Fallback>
            <w:pict>
              <v:rect id="矩形 296" o:spid="_x0000_s1026" o:spt="1" style="position:absolute;left:0pt;margin-left:159.5pt;margin-top:12.9pt;height:25.3pt;width:61.45pt;z-index:251603968;mso-width-relative:page;mso-height-relative:page;" filled="f" stroked="t" coordsize="21600,21600" o:gfxdata="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dwo2AAAAAkBAAAPAAAAAAAAAAEAIAAAACIAAABkcnMvZG93&#10;bnJldi54bWxQSwECFAAUAAAACACHTuJAseEeSgACAAADBAAADgAAAAAAAAABACAAAAAnAQAAZHJz&#10;L2Uyb0RvYy54bWxQSwUGAAAAAAYABgBZAQAAmQUAAAAA&#10;">
                <v:fill on="f" focussize="0,0"/>
                <v:stroke color="#000000" joinstyle="miter"/>
                <v:imagedata o:title=""/>
                <o:lock v:ext="edit" aspectratio="f"/>
                <v:textbox>
                  <w:txbxContent>
                    <w:p>
                      <w:r>
                        <w:rPr>
                          <w:rFonts w:hint="eastAsia"/>
                        </w:rPr>
                        <w:t>凿岩打孔</w:t>
                      </w:r>
                    </w:p>
                  </w:txbxContent>
                </v:textbox>
              </v:rect>
            </w:pict>
          </mc:Fallback>
        </mc:AlternateContent>
      </w:r>
      <w:r>
        <w:rPr>
          <w:sz w:val="24"/>
        </w:rPr>
        <mc:AlternateContent>
          <mc:Choice Requires="wps">
            <w:drawing>
              <wp:anchor distT="0" distB="0" distL="114300" distR="114300" simplePos="0" relativeHeight="251602944" behindDoc="0" locked="0" layoutInCell="1" allowOverlap="1">
                <wp:simplePos x="0" y="0"/>
                <wp:positionH relativeFrom="column">
                  <wp:posOffset>866140</wp:posOffset>
                </wp:positionH>
                <wp:positionV relativeFrom="paragraph">
                  <wp:posOffset>163830</wp:posOffset>
                </wp:positionV>
                <wp:extent cx="780415" cy="321310"/>
                <wp:effectExtent l="4445" t="4445" r="15240" b="17145"/>
                <wp:wrapNone/>
                <wp:docPr id="101" name="矩形 297"/>
                <wp:cNvGraphicFramePr/>
                <a:graphic xmlns:a="http://schemas.openxmlformats.org/drawingml/2006/main">
                  <a:graphicData uri="http://schemas.microsoft.com/office/word/2010/wordprocessingShape">
                    <wps:wsp>
                      <wps:cNvSpPr/>
                      <wps:spPr>
                        <a:xfrm>
                          <a:off x="0" y="0"/>
                          <a:ext cx="780415" cy="321310"/>
                        </a:xfrm>
                        <a:prstGeom prst="rect">
                          <a:avLst/>
                        </a:prstGeom>
                        <a:noFill/>
                        <a:ln w="9525" cap="flat" cmpd="sng">
                          <a:solidFill>
                            <a:srgbClr val="000000"/>
                          </a:solidFill>
                          <a:prstDash val="solid"/>
                          <a:miter/>
                          <a:headEnd type="none" w="med" len="med"/>
                          <a:tailEnd type="none" w="med" len="med"/>
                        </a:ln>
                      </wps:spPr>
                      <wps:txbx>
                        <w:txbxContent>
                          <w:p>
                            <w:r>
                              <w:rPr>
                                <w:rFonts w:hint="eastAsia"/>
                              </w:rPr>
                              <w:t>采准切割</w:t>
                            </w:r>
                          </w:p>
                        </w:txbxContent>
                      </wps:txbx>
                      <wps:bodyPr upright="1"/>
                    </wps:wsp>
                  </a:graphicData>
                </a:graphic>
              </wp:anchor>
            </w:drawing>
          </mc:Choice>
          <mc:Fallback>
            <w:pict>
              <v:rect id="矩形 297" o:spid="_x0000_s1026" o:spt="1" style="position:absolute;left:0pt;margin-left:68.2pt;margin-top:12.9pt;height:25.3pt;width:61.45pt;z-index:251602944;mso-width-relative:page;mso-height-relative:page;" filled="f" stroked="t" coordsize="21600,21600" o:gfxdata="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6Oi5XXAAAACQEAAA8AAAAAAAAAAQAgAAAAIgAAAGRycy9kb3du&#10;cmV2LnhtbFBLAQIUABQAAAAIAIdO4kCYuf/CAAIAAAMEAAAOAAAAAAAAAAEAIAAAACYBAABkcnMv&#10;ZTJvRG9jLnhtbFBLBQYAAAAABgAGAFkBAACYBQAAAAA=&#10;">
                <v:fill on="f" focussize="0,0"/>
                <v:stroke color="#000000" joinstyle="miter"/>
                <v:imagedata o:title=""/>
                <o:lock v:ext="edit" aspectratio="f"/>
                <v:textbox>
                  <w:txbxContent>
                    <w:p>
                      <w:r>
                        <w:rPr>
                          <w:rFonts w:hint="eastAsia"/>
                        </w:rPr>
                        <w:t>采准切割</w:t>
                      </w:r>
                    </w:p>
                  </w:txbxContent>
                </v:textbox>
              </v:rect>
            </w:pict>
          </mc:Fallback>
        </mc:AlternateContent>
      </w:r>
      <w:r>
        <w:rPr>
          <w:sz w:val="24"/>
        </w:rPr>
        <mc:AlternateContent>
          <mc:Choice Requires="wps">
            <w:drawing>
              <wp:anchor distT="0" distB="0" distL="114300" distR="114300" simplePos="0" relativeHeight="251601920" behindDoc="0" locked="0" layoutInCell="1" allowOverlap="1">
                <wp:simplePos x="0" y="0"/>
                <wp:positionH relativeFrom="column">
                  <wp:posOffset>-399415</wp:posOffset>
                </wp:positionH>
                <wp:positionV relativeFrom="paragraph">
                  <wp:posOffset>149225</wp:posOffset>
                </wp:positionV>
                <wp:extent cx="780415" cy="321310"/>
                <wp:effectExtent l="4445" t="4445" r="15240" b="17145"/>
                <wp:wrapNone/>
                <wp:docPr id="100" name="矩形 298"/>
                <wp:cNvGraphicFramePr/>
                <a:graphic xmlns:a="http://schemas.openxmlformats.org/drawingml/2006/main">
                  <a:graphicData uri="http://schemas.microsoft.com/office/word/2010/wordprocessingShape">
                    <wps:wsp>
                      <wps:cNvSpPr/>
                      <wps:spPr>
                        <a:xfrm>
                          <a:off x="0" y="0"/>
                          <a:ext cx="780415" cy="321310"/>
                        </a:xfrm>
                        <a:prstGeom prst="rect">
                          <a:avLst/>
                        </a:prstGeom>
                        <a:noFill/>
                        <a:ln w="9525" cap="flat" cmpd="sng">
                          <a:solidFill>
                            <a:srgbClr val="000000"/>
                          </a:solidFill>
                          <a:prstDash val="solid"/>
                          <a:miter/>
                          <a:headEnd type="none" w="med" len="med"/>
                          <a:tailEnd type="none" w="med" len="med"/>
                        </a:ln>
                      </wps:spPr>
                      <wps:txbx>
                        <w:txbxContent>
                          <w:p>
                            <w:r>
                              <w:rPr>
                                <w:rFonts w:hint="eastAsia"/>
                              </w:rPr>
                              <w:t>井巷开拓</w:t>
                            </w:r>
                          </w:p>
                        </w:txbxContent>
                      </wps:txbx>
                      <wps:bodyPr upright="1"/>
                    </wps:wsp>
                  </a:graphicData>
                </a:graphic>
              </wp:anchor>
            </w:drawing>
          </mc:Choice>
          <mc:Fallback>
            <w:pict>
              <v:rect id="矩形 298" o:spid="_x0000_s1026" o:spt="1" style="position:absolute;left:0pt;margin-left:-31.45pt;margin-top:11.75pt;height:25.3pt;width:61.45pt;z-index:251601920;mso-width-relative:page;mso-height-relative:page;" filled="f" stroked="t" coordsize="21600,21600" o:gfxdata="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T5pqdcAAAAIAQAADwAAAAAAAAABACAAAAAiAAAAZHJzL2Rvd25y&#10;ZXYueG1sUEsBAhQAFAAAAAgAh07iQBqyscz/AQAAAwQAAA4AAAAAAAAAAQAgAAAAJgEAAGRycy9l&#10;Mm9Eb2MueG1sUEsFBgAAAAAGAAYAWQEAAJcFAAAAAA==&#10;">
                <v:fill on="f" focussize="0,0"/>
                <v:stroke color="#000000" joinstyle="miter"/>
                <v:imagedata o:title=""/>
                <o:lock v:ext="edit" aspectratio="f"/>
                <v:textbox>
                  <w:txbxContent>
                    <w:p>
                      <w:r>
                        <w:rPr>
                          <w:rFonts w:hint="eastAsia"/>
                        </w:rPr>
                        <w:t>井巷开拓</w:t>
                      </w:r>
                    </w:p>
                  </w:txbxContent>
                </v:textbox>
              </v:rect>
            </w:pict>
          </mc:Fallback>
        </mc:AlternateContent>
      </w:r>
    </w:p>
    <w:p>
      <w:pPr>
        <w:tabs>
          <w:tab w:val="left" w:pos="627"/>
        </w:tabs>
        <w:spacing w:line="360" w:lineRule="auto"/>
        <w:ind w:left="528"/>
        <w:jc w:val="left"/>
        <w:rPr>
          <w:rFonts w:ascii="Times New Roman" w:hAnsi="Times New Roman"/>
          <w:color w:val="000000"/>
          <w:sz w:val="24"/>
          <w:szCs w:val="24"/>
        </w:rPr>
      </w:pPr>
      <w:r>
        <w:rPr>
          <w:sz w:val="24"/>
        </w:rPr>
        <mc:AlternateContent>
          <mc:Choice Requires="wps">
            <w:drawing>
              <wp:anchor distT="0" distB="0" distL="114300" distR="114300" simplePos="0" relativeHeight="251638784" behindDoc="0" locked="0" layoutInCell="1" allowOverlap="1">
                <wp:simplePos x="0" y="0"/>
                <wp:positionH relativeFrom="column">
                  <wp:posOffset>1152525</wp:posOffset>
                </wp:positionH>
                <wp:positionV relativeFrom="paragraph">
                  <wp:posOffset>191135</wp:posOffset>
                </wp:positionV>
                <wp:extent cx="635" cy="574040"/>
                <wp:effectExtent l="48895" t="0" r="64770" b="16510"/>
                <wp:wrapNone/>
                <wp:docPr id="136" name="直线 299"/>
                <wp:cNvGraphicFramePr/>
                <a:graphic xmlns:a="http://schemas.openxmlformats.org/drawingml/2006/main">
                  <a:graphicData uri="http://schemas.microsoft.com/office/word/2010/wordprocessingShape">
                    <wps:wsp>
                      <wps:cNvSpPr/>
                      <wps:spPr>
                        <a:xfrm>
                          <a:off x="0" y="0"/>
                          <a:ext cx="635" cy="57404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99" o:spid="_x0000_s1026" o:spt="20" style="position:absolute;left:0pt;margin-left:90.75pt;margin-top:15.05pt;height:45.2pt;width:0.05pt;z-index:251638784;mso-width-relative:page;mso-height-relative:page;" filled="f" stroked="t" coordsize="21600,21600" o:gfxdata="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U8WJ2QAAAAoBAAAPAAAAAAAAAAEAIAAAACIAAABkcnMvZG93bnJldi54bWxQSwEC&#10;FAAUAAAACACHTuJANeuA9vMBAADgAwAADgAAAAAAAAABACAAAAAoAQAAZHJzL2Uyb0RvYy54bWxQ&#10;SwUGAAAAAAYABgBZAQAAjQU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37760" behindDoc="0" locked="0" layoutInCell="1" allowOverlap="1">
                <wp:simplePos x="0" y="0"/>
                <wp:positionH relativeFrom="column">
                  <wp:posOffset>36195</wp:posOffset>
                </wp:positionH>
                <wp:positionV relativeFrom="paragraph">
                  <wp:posOffset>176530</wp:posOffset>
                </wp:positionV>
                <wp:extent cx="635" cy="574040"/>
                <wp:effectExtent l="48895" t="0" r="64770" b="16510"/>
                <wp:wrapNone/>
                <wp:docPr id="135" name="直线 300"/>
                <wp:cNvGraphicFramePr/>
                <a:graphic xmlns:a="http://schemas.openxmlformats.org/drawingml/2006/main">
                  <a:graphicData uri="http://schemas.microsoft.com/office/word/2010/wordprocessingShape">
                    <wps:wsp>
                      <wps:cNvSpPr/>
                      <wps:spPr>
                        <a:xfrm>
                          <a:off x="0" y="0"/>
                          <a:ext cx="635" cy="57404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300" o:spid="_x0000_s1026" o:spt="20" style="position:absolute;left:0pt;margin-left:2.85pt;margin-top:13.9pt;height:45.2pt;width:0.05pt;z-index:251637760;mso-width-relative:page;mso-height-relative:page;" filled="f" stroked="t" coordsize="21600,21600" o:gfxdata="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uCjL1gAAAAYBAAAPAAAAAAAAAAEAIAAAACIAAABkcnMvZG93bnJldi54bWxQSwECFAAUAAAA&#10;CACHTuJAL4u6NfABAADgAwAADgAAAAAAAAABACAAAAAlAQAAZHJzL2Uyb0RvYy54bWxQSwUGAAAA&#10;AAYABgBZAQAAhwU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36736" behindDoc="0" locked="0" layoutInCell="1" allowOverlap="1">
                <wp:simplePos x="0" y="0"/>
                <wp:positionH relativeFrom="column">
                  <wp:posOffset>1347470</wp:posOffset>
                </wp:positionH>
                <wp:positionV relativeFrom="paragraph">
                  <wp:posOffset>180340</wp:posOffset>
                </wp:positionV>
                <wp:extent cx="635" cy="321310"/>
                <wp:effectExtent l="48895" t="0" r="64770" b="21590"/>
                <wp:wrapNone/>
                <wp:docPr id="134" name="直线 301"/>
                <wp:cNvGraphicFramePr/>
                <a:graphic xmlns:a="http://schemas.openxmlformats.org/drawingml/2006/main">
                  <a:graphicData uri="http://schemas.microsoft.com/office/word/2010/wordprocessingShape">
                    <wps:wsp>
                      <wps:cNvSpPr/>
                      <wps:spPr>
                        <a:xfrm flipV="1">
                          <a:off x="0" y="0"/>
                          <a:ext cx="635" cy="321310"/>
                        </a:xfrm>
                        <a:prstGeom prst="line">
                          <a:avLst/>
                        </a:prstGeom>
                        <a:ln w="9525" cap="sq" cmpd="sng">
                          <a:solidFill>
                            <a:srgbClr val="000000"/>
                          </a:solidFill>
                          <a:prstDash val="sysDot"/>
                          <a:headEnd type="none" w="med" len="med"/>
                          <a:tailEnd type="arrow" w="med" len="med"/>
                        </a:ln>
                      </wps:spPr>
                      <wps:bodyPr upright="1"/>
                    </wps:wsp>
                  </a:graphicData>
                </a:graphic>
              </wp:anchor>
            </w:drawing>
          </mc:Choice>
          <mc:Fallback>
            <w:pict>
              <v:line id="直线 301" o:spid="_x0000_s1026" o:spt="20" style="position:absolute;left:0pt;flip:y;margin-left:106.1pt;margin-top:14.2pt;height:25.3pt;width:0.05pt;z-index:251636736;mso-width-relative:page;mso-height-relative:page;" filled="f" stroked="t" coordsize="21600,21600" o:gfxdata="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6XlTNkAAAAJAQAADwAAAAAAAAABACAAAAAiAAAAZHJzL2Rvd25yZXYu&#10;eG1sUEsBAhQAFAAAAAgAh07iQGIYvcL6AQAA6gMAAA4AAAAAAAAAAQAgAAAAKAEAAGRycy9lMm9E&#10;b2MueG1sUEsFBgAAAAAGAAYAWQEAAJQFAAAAAA==&#10;">
                <v:fill on="f" focussize="0,0"/>
                <v:stroke color="#000000" joinstyle="round" dashstyle="1 1" endcap="square" endarrow="open"/>
                <v:imagedata o:title=""/>
                <o:lock v:ext="edit" aspectratio="f"/>
              </v:line>
            </w:pict>
          </mc:Fallback>
        </mc:AlternateContent>
      </w:r>
      <w:r>
        <w:rPr>
          <w:sz w:val="24"/>
        </w:rPr>
        <mc:AlternateContent>
          <mc:Choice Requires="wps">
            <w:drawing>
              <wp:anchor distT="0" distB="0" distL="114300" distR="114300" simplePos="0" relativeHeight="251635712" behindDoc="0" locked="0" layoutInCell="1" allowOverlap="1">
                <wp:simplePos x="0" y="0"/>
                <wp:positionH relativeFrom="column">
                  <wp:posOffset>231140</wp:posOffset>
                </wp:positionH>
                <wp:positionV relativeFrom="paragraph">
                  <wp:posOffset>176530</wp:posOffset>
                </wp:positionV>
                <wp:extent cx="635" cy="321310"/>
                <wp:effectExtent l="48895" t="0" r="64770" b="21590"/>
                <wp:wrapNone/>
                <wp:docPr id="133" name="直线 302"/>
                <wp:cNvGraphicFramePr/>
                <a:graphic xmlns:a="http://schemas.openxmlformats.org/drawingml/2006/main">
                  <a:graphicData uri="http://schemas.microsoft.com/office/word/2010/wordprocessingShape">
                    <wps:wsp>
                      <wps:cNvSpPr/>
                      <wps:spPr>
                        <a:xfrm flipV="1">
                          <a:off x="0" y="0"/>
                          <a:ext cx="635" cy="321310"/>
                        </a:xfrm>
                        <a:prstGeom prst="line">
                          <a:avLst/>
                        </a:prstGeom>
                        <a:ln w="9525" cap="sq" cmpd="sng">
                          <a:solidFill>
                            <a:srgbClr val="000000"/>
                          </a:solidFill>
                          <a:prstDash val="sysDot"/>
                          <a:headEnd type="none" w="med" len="med"/>
                          <a:tailEnd type="arrow" w="med" len="med"/>
                        </a:ln>
                      </wps:spPr>
                      <wps:bodyPr upright="1"/>
                    </wps:wsp>
                  </a:graphicData>
                </a:graphic>
              </wp:anchor>
            </w:drawing>
          </mc:Choice>
          <mc:Fallback>
            <w:pict>
              <v:line id="直线 302" o:spid="_x0000_s1026" o:spt="20" style="position:absolute;left:0pt;flip:y;margin-left:18.2pt;margin-top:13.9pt;height:25.3pt;width:0.05pt;z-index:251635712;mso-width-relative:page;mso-height-relative:page;" filled="f" stroked="t" coordsize="21600,21600" o:gfxdata="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iGVXU2AAAAAcBAAAPAAAAAAAAAAEAIAAAACIAAABkcnMvZG93bnJldi54&#10;bWxQSwECFAAUAAAACACHTuJA2ZRg7foBAADqAwAADgAAAAAAAAABACAAAAAnAQAAZHJzL2Uyb0Rv&#10;Yy54bWxQSwUGAAAAAAYABgBZAQAAkwUAAAAA&#10;">
                <v:fill on="f" focussize="0,0"/>
                <v:stroke color="#000000" joinstyle="round" dashstyle="1 1" endcap="square" endarrow="open"/>
                <v:imagedata o:title=""/>
                <o:lock v:ext="edit" aspectratio="f"/>
              </v:line>
            </w:pict>
          </mc:Fallback>
        </mc:AlternateContent>
      </w:r>
      <w:r>
        <w:rPr>
          <w:sz w:val="24"/>
        </w:rPr>
        <mc:AlternateContent>
          <mc:Choice Requires="wps">
            <w:drawing>
              <wp:anchor distT="0" distB="0" distL="114300" distR="114300" simplePos="0" relativeHeight="251614208" behindDoc="0" locked="0" layoutInCell="1" allowOverlap="1">
                <wp:simplePos x="0" y="0"/>
                <wp:positionH relativeFrom="column">
                  <wp:posOffset>3996055</wp:posOffset>
                </wp:positionH>
                <wp:positionV relativeFrom="paragraph">
                  <wp:posOffset>4445</wp:posOffset>
                </wp:positionV>
                <wp:extent cx="447675" cy="635"/>
                <wp:effectExtent l="0" t="48895" r="9525" b="64770"/>
                <wp:wrapNone/>
                <wp:docPr id="112" name="直线 303"/>
                <wp:cNvGraphicFramePr/>
                <a:graphic xmlns:a="http://schemas.openxmlformats.org/drawingml/2006/main">
                  <a:graphicData uri="http://schemas.microsoft.com/office/word/2010/wordprocessingShape">
                    <wps:wsp>
                      <wps:cNvSpPr/>
                      <wps:spPr>
                        <a:xfrm>
                          <a:off x="0" y="0"/>
                          <a:ext cx="4476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03" o:spid="_x0000_s1026" o:spt="20" style="position:absolute;left:0pt;margin-left:314.65pt;margin-top:0.35pt;height:0.05pt;width:35.25pt;z-index:251614208;mso-width-relative:page;mso-height-relative:page;" filled="f" stroked="t" coordsize="21600,21600" o:gfxdata="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SMpxdcAAAAFAQAADwAAAAAAAAABACAAAAAiAAAAZHJzL2Rvd25yZXYueG1sUEsBAhQAFAAA&#10;AAgAh07iQF+xScTwAQAA4QMAAA4AAAAAAAAAAQAgAAAAJgEAAGRycy9lMm9Eb2MueG1sUEsFBgAA&#10;AAAGAAYAWQEAAIg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13184" behindDoc="0" locked="0" layoutInCell="1" allowOverlap="1">
                <wp:simplePos x="0" y="0"/>
                <wp:positionH relativeFrom="column">
                  <wp:posOffset>2791460</wp:posOffset>
                </wp:positionH>
                <wp:positionV relativeFrom="paragraph">
                  <wp:posOffset>38735</wp:posOffset>
                </wp:positionV>
                <wp:extent cx="412750" cy="635"/>
                <wp:effectExtent l="0" t="48895" r="6350" b="64770"/>
                <wp:wrapNone/>
                <wp:docPr id="111" name="直线 304"/>
                <wp:cNvGraphicFramePr/>
                <a:graphic xmlns:a="http://schemas.openxmlformats.org/drawingml/2006/main">
                  <a:graphicData uri="http://schemas.microsoft.com/office/word/2010/wordprocessingShape">
                    <wps:wsp>
                      <wps:cNvSpPr/>
                      <wps:spPr>
                        <a:xfrm>
                          <a:off x="0" y="0"/>
                          <a:ext cx="4127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04" o:spid="_x0000_s1026" o:spt="20" style="position:absolute;left:0pt;margin-left:219.8pt;margin-top:3.05pt;height:0.05pt;width:32.5pt;z-index:251613184;mso-width-relative:page;mso-height-relative:page;" filled="f" stroked="t" coordsize="21600,21600" o:gfxdata="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cev61gAAAAcBAAAPAAAAAAAAAAEAIAAAACIAAABkcnMvZG93bnJldi54bWxQSwECFAAUAAAA&#10;CACHTuJAhdFQQvABAADhAwAADgAAAAAAAAABACAAAAAlAQAAZHJzL2Uyb0RvYy54bWxQSwUGAAAA&#10;AAYABgBZAQAAhwU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12160" behindDoc="0" locked="0" layoutInCell="1" allowOverlap="1">
                <wp:simplePos x="0" y="0"/>
                <wp:positionH relativeFrom="column">
                  <wp:posOffset>1654810</wp:posOffset>
                </wp:positionH>
                <wp:positionV relativeFrom="paragraph">
                  <wp:posOffset>27305</wp:posOffset>
                </wp:positionV>
                <wp:extent cx="390525" cy="635"/>
                <wp:effectExtent l="0" t="48895" r="9525" b="64770"/>
                <wp:wrapNone/>
                <wp:docPr id="110" name="直线 305"/>
                <wp:cNvGraphicFramePr/>
                <a:graphic xmlns:a="http://schemas.openxmlformats.org/drawingml/2006/main">
                  <a:graphicData uri="http://schemas.microsoft.com/office/word/2010/wordprocessingShape">
                    <wps:wsp>
                      <wps:cNvSpPr/>
                      <wps:spPr>
                        <a:xfrm>
                          <a:off x="0" y="0"/>
                          <a:ext cx="3905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05" o:spid="_x0000_s1026" o:spt="20" style="position:absolute;left:0pt;margin-left:130.3pt;margin-top:2.15pt;height:0.05pt;width:30.75pt;z-index:251612160;mso-width-relative:page;mso-height-relative:page;" filled="f" stroked="t" coordsize="21600,21600" o:gfxdata="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um1AdcAAAAHAQAADwAAAAAAAAABACAAAAAiAAAAZHJzL2Rvd25yZXYueG1sUEsBAhQAFAAA&#10;AAgAh07iQGbmembwAQAA4QMAAA4AAAAAAAAAAQAgAAAAJgEAAGRycy9lMm9Eb2MueG1sUEsFBgAA&#10;AAAGAAYAWQEAAIg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11136" behindDoc="0" locked="0" layoutInCell="1" allowOverlap="1">
                <wp:simplePos x="0" y="0"/>
                <wp:positionH relativeFrom="column">
                  <wp:posOffset>369570</wp:posOffset>
                </wp:positionH>
                <wp:positionV relativeFrom="paragraph">
                  <wp:posOffset>27305</wp:posOffset>
                </wp:positionV>
                <wp:extent cx="493395" cy="635"/>
                <wp:effectExtent l="0" t="48895" r="1905" b="64770"/>
                <wp:wrapNone/>
                <wp:docPr id="109" name="直线 306"/>
                <wp:cNvGraphicFramePr/>
                <a:graphic xmlns:a="http://schemas.openxmlformats.org/drawingml/2006/main">
                  <a:graphicData uri="http://schemas.microsoft.com/office/word/2010/wordprocessingShape">
                    <wps:wsp>
                      <wps:cNvSpPr/>
                      <wps:spPr>
                        <a:xfrm>
                          <a:off x="0" y="0"/>
                          <a:ext cx="4933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06" o:spid="_x0000_s1026" o:spt="20" style="position:absolute;left:0pt;margin-left:29.1pt;margin-top:2.15pt;height:0.05pt;width:38.85pt;z-index:251611136;mso-width-relative:page;mso-height-relative:page;" filled="f" stroked="t" coordsize="21600,21600" o:gfxdata="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BnWbNcAAAAGAQAADwAAAAAAAAABACAAAAAiAAAAZHJzL2Rvd25yZXYueG1sUEsBAhQAFAAA&#10;AAgAh07iQOz4eerwAQAA4QMAAA4AAAAAAAAAAQAgAAAAJgEAAGRycy9lMm9Eb2MueG1sUEsFBgAA&#10;AAAGAAYAWQEAAIgFAAAAAA==&#10;">
                <v:fill on="f" focussize="0,0"/>
                <v:stroke color="#000000" joinstyle="round" endarrow="open"/>
                <v:imagedata o:title=""/>
                <o:lock v:ext="edit" aspectratio="f"/>
              </v:line>
            </w:pict>
          </mc:Fallback>
        </mc:AlternateContent>
      </w:r>
    </w:p>
    <w:p>
      <w:pPr>
        <w:tabs>
          <w:tab w:val="left" w:pos="627"/>
        </w:tabs>
        <w:spacing w:line="360" w:lineRule="auto"/>
        <w:ind w:left="528"/>
        <w:jc w:val="left"/>
        <w:rPr>
          <w:sz w:val="24"/>
        </w:rPr>
      </w:pPr>
      <w:r>
        <w:rPr>
          <w:sz w:val="24"/>
        </w:rPr>
        <mc:AlternateContent>
          <mc:Choice Requires="wps">
            <w:drawing>
              <wp:anchor distT="0" distB="0" distL="114300" distR="114300" simplePos="0" relativeHeight="251650048" behindDoc="0" locked="0" layoutInCell="1" allowOverlap="1">
                <wp:simplePos x="0" y="0"/>
                <wp:positionH relativeFrom="column">
                  <wp:posOffset>1904365</wp:posOffset>
                </wp:positionH>
                <wp:positionV relativeFrom="paragraph">
                  <wp:posOffset>532130</wp:posOffset>
                </wp:positionV>
                <wp:extent cx="1342390" cy="297815"/>
                <wp:effectExtent l="0" t="0" r="0" b="0"/>
                <wp:wrapNone/>
                <wp:docPr id="147" name="矩形 307"/>
                <wp:cNvGraphicFramePr/>
                <a:graphic xmlns:a="http://schemas.openxmlformats.org/drawingml/2006/main">
                  <a:graphicData uri="http://schemas.microsoft.com/office/word/2010/wordprocessingShape">
                    <wps:wsp>
                      <wps:cNvSpPr/>
                      <wps:spPr>
                        <a:xfrm>
                          <a:off x="0" y="0"/>
                          <a:ext cx="1342390" cy="297815"/>
                        </a:xfrm>
                        <a:prstGeom prst="rect">
                          <a:avLst/>
                        </a:prstGeom>
                        <a:noFill/>
                        <a:ln>
                          <a:noFill/>
                        </a:ln>
                      </wps:spPr>
                      <wps:txbx>
                        <w:txbxContent>
                          <w:p>
                            <w:pPr>
                              <w:ind w:firstLine="420" w:firstLineChars="200"/>
                            </w:pPr>
                            <w:r>
                              <w:rPr>
                                <w:rFonts w:hint="eastAsia"/>
                              </w:rPr>
                              <w:t>粉尘、噪声</w:t>
                            </w:r>
                          </w:p>
                        </w:txbxContent>
                      </wps:txbx>
                      <wps:bodyPr upright="1"/>
                    </wps:wsp>
                  </a:graphicData>
                </a:graphic>
              </wp:anchor>
            </w:drawing>
          </mc:Choice>
          <mc:Fallback>
            <w:pict>
              <v:rect id="矩形 307" o:spid="_x0000_s1026" o:spt="1" style="position:absolute;left:0pt;margin-left:149.95pt;margin-top:41.9pt;height:23.45pt;width:105.7pt;z-index:251650048;mso-width-relative:page;mso-height-relative:page;" filled="f" stroked="f" coordsize="21600,21600" o:gfxdata="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iel1toAAAAKAQAA&#10;DwAAAAAAAAABACAAAAAiAAAAZHJzL2Rvd25yZXYueG1sUEsBAhQAFAAAAAgAh07iQLkAb0alAQAA&#10;RQMAAA4AAAAAAAAAAQAgAAAAKQEAAGRycy9lMm9Eb2MueG1sUEsFBgAAAAAGAAYAWQEAAEAFAAAA&#10;AA==&#10;">
                <v:fill on="f" focussize="0,0"/>
                <v:stroke on="f"/>
                <v:imagedata o:title=""/>
                <o:lock v:ext="edit" aspectratio="f"/>
                <v:textbox>
                  <w:txbxContent>
                    <w:p>
                      <w:pPr>
                        <w:ind w:firstLine="420" w:firstLineChars="200"/>
                      </w:pPr>
                      <w:r>
                        <w:rPr>
                          <w:rFonts w:hint="eastAsia"/>
                        </w:rPr>
                        <w:t>粉尘、噪声</w:t>
                      </w:r>
                    </w:p>
                  </w:txbxContent>
                </v:textbox>
              </v:rect>
            </w:pict>
          </mc:Fallback>
        </mc:AlternateContent>
      </w:r>
      <w:r>
        <w:rPr>
          <w:sz w:val="24"/>
        </w:rPr>
        <mc:AlternateContent>
          <mc:Choice Requires="wps">
            <w:drawing>
              <wp:anchor distT="0" distB="0" distL="114300" distR="114300" simplePos="0" relativeHeight="251649024" behindDoc="0" locked="0" layoutInCell="1" allowOverlap="1">
                <wp:simplePos x="0" y="0"/>
                <wp:positionH relativeFrom="column">
                  <wp:posOffset>685165</wp:posOffset>
                </wp:positionH>
                <wp:positionV relativeFrom="paragraph">
                  <wp:posOffset>506095</wp:posOffset>
                </wp:positionV>
                <wp:extent cx="1342390" cy="297815"/>
                <wp:effectExtent l="0" t="0" r="0" b="0"/>
                <wp:wrapNone/>
                <wp:docPr id="146" name="矩形 308"/>
                <wp:cNvGraphicFramePr/>
                <a:graphic xmlns:a="http://schemas.openxmlformats.org/drawingml/2006/main">
                  <a:graphicData uri="http://schemas.microsoft.com/office/word/2010/wordprocessingShape">
                    <wps:wsp>
                      <wps:cNvSpPr/>
                      <wps:spPr>
                        <a:xfrm>
                          <a:off x="0" y="0"/>
                          <a:ext cx="1342390" cy="297815"/>
                        </a:xfrm>
                        <a:prstGeom prst="rect">
                          <a:avLst/>
                        </a:prstGeom>
                        <a:noFill/>
                        <a:ln>
                          <a:noFill/>
                        </a:ln>
                      </wps:spPr>
                      <wps:txbx>
                        <w:txbxContent>
                          <w:p>
                            <w:r>
                              <w:rPr>
                                <w:rFonts w:hint="eastAsia"/>
                              </w:rPr>
                              <w:t>粉尘、噪声、粉矿</w:t>
                            </w:r>
                          </w:p>
                        </w:txbxContent>
                      </wps:txbx>
                      <wps:bodyPr upright="1"/>
                    </wps:wsp>
                  </a:graphicData>
                </a:graphic>
              </wp:anchor>
            </w:drawing>
          </mc:Choice>
          <mc:Fallback>
            <w:pict>
              <v:rect id="矩形 308" o:spid="_x0000_s1026" o:spt="1" style="position:absolute;left:0pt;margin-left:53.95pt;margin-top:39.85pt;height:23.45pt;width:105.7pt;z-index:251649024;mso-width-relative:page;mso-height-relative:page;" filled="f" stroked="f" coordsize="21600,21600" o:gfxdata="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EhZZ9oAAAAKAQAA&#10;DwAAAAAAAAABACAAAAAiAAAAZHJzL2Rvd25yZXYueG1sUEsBAhQAFAAAAAgAh07iQMfYYaKlAQAA&#10;RQMAAA4AAAAAAAAAAQAgAAAAKQEAAGRycy9lMm9Eb2MueG1sUEsFBgAAAAAGAAYAWQEAAEAFAAAA&#10;AA==&#10;">
                <v:fill on="f" focussize="0,0"/>
                <v:stroke on="f"/>
                <v:imagedata o:title=""/>
                <o:lock v:ext="edit" aspectratio="f"/>
                <v:textbox>
                  <w:txbxContent>
                    <w:p>
                      <w:r>
                        <w:rPr>
                          <w:rFonts w:hint="eastAsia"/>
                        </w:rPr>
                        <w:t>粉尘、噪声、粉矿</w:t>
                      </w:r>
                    </w:p>
                  </w:txbxContent>
                </v:textbox>
              </v:rect>
            </w:pict>
          </mc:Fallback>
        </mc:AlternateContent>
      </w:r>
      <w:r>
        <w:rPr>
          <w:sz w:val="24"/>
        </w:rPr>
        <mc:AlternateContent>
          <mc:Choice Requires="wps">
            <w:drawing>
              <wp:anchor distT="0" distB="0" distL="114300" distR="114300" simplePos="0" relativeHeight="251648000" behindDoc="0" locked="0" layoutInCell="1" allowOverlap="1">
                <wp:simplePos x="0" y="0"/>
                <wp:positionH relativeFrom="column">
                  <wp:posOffset>-612140</wp:posOffset>
                </wp:positionH>
                <wp:positionV relativeFrom="paragraph">
                  <wp:posOffset>551815</wp:posOffset>
                </wp:positionV>
                <wp:extent cx="1342390" cy="297815"/>
                <wp:effectExtent l="0" t="0" r="0" b="0"/>
                <wp:wrapNone/>
                <wp:docPr id="145" name="矩形 309"/>
                <wp:cNvGraphicFramePr/>
                <a:graphic xmlns:a="http://schemas.openxmlformats.org/drawingml/2006/main">
                  <a:graphicData uri="http://schemas.microsoft.com/office/word/2010/wordprocessingShape">
                    <wps:wsp>
                      <wps:cNvSpPr/>
                      <wps:spPr>
                        <a:xfrm>
                          <a:off x="0" y="0"/>
                          <a:ext cx="1342390" cy="297815"/>
                        </a:xfrm>
                        <a:prstGeom prst="rect">
                          <a:avLst/>
                        </a:prstGeom>
                        <a:noFill/>
                        <a:ln>
                          <a:noFill/>
                        </a:ln>
                      </wps:spPr>
                      <wps:txbx>
                        <w:txbxContent>
                          <w:p>
                            <w:pPr>
                              <w:ind w:firstLine="420" w:firstLineChars="200"/>
                            </w:pPr>
                            <w:r>
                              <w:rPr>
                                <w:rFonts w:hint="eastAsia"/>
                              </w:rPr>
                              <w:t>粉尘、噪声</w:t>
                            </w:r>
                          </w:p>
                        </w:txbxContent>
                      </wps:txbx>
                      <wps:bodyPr upright="1"/>
                    </wps:wsp>
                  </a:graphicData>
                </a:graphic>
              </wp:anchor>
            </w:drawing>
          </mc:Choice>
          <mc:Fallback>
            <w:pict>
              <v:rect id="矩形 309" o:spid="_x0000_s1026" o:spt="1" style="position:absolute;left:0pt;margin-left:-48.2pt;margin-top:43.45pt;height:23.45pt;width:105.7pt;z-index:251648000;mso-width-relative:page;mso-height-relative:page;" filled="f" stroked="f" coordsize="21600,21600" o:gfxdata="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Me1nbAAAACgEA&#10;AA8AAAAAAAAAAQAgAAAAIgAAAGRycy9kb3ducmV2LnhtbFBLAQIUABQAAAAIAIdO4kCQCpMlpQEA&#10;AEUDAAAOAAAAAAAAAAEAIAAAACoBAABkcnMvZTJvRG9jLnhtbFBLBQYAAAAABgAGAFkBAABBBQAA&#10;AAA=&#10;">
                <v:fill on="f" focussize="0,0"/>
                <v:stroke on="f"/>
                <v:imagedata o:title=""/>
                <o:lock v:ext="edit" aspectratio="f"/>
                <v:textbox>
                  <w:txbxContent>
                    <w:p>
                      <w:pPr>
                        <w:ind w:firstLine="420" w:firstLineChars="200"/>
                      </w:pPr>
                      <w:r>
                        <w:rPr>
                          <w:rFonts w:hint="eastAsia"/>
                        </w:rPr>
                        <w:t>粉尘、噪声</w:t>
                      </w:r>
                    </w:p>
                  </w:txbxContent>
                </v:textbox>
              </v:rect>
            </w:pict>
          </mc:Fallback>
        </mc:AlternateContent>
      </w:r>
      <w:r>
        <w:rPr>
          <w:sz w:val="24"/>
        </w:rPr>
        <mc:AlternateContent>
          <mc:Choice Requires="wps">
            <w:drawing>
              <wp:anchor distT="0" distB="0" distL="114300" distR="114300" simplePos="0" relativeHeight="251641856" behindDoc="0" locked="0" layoutInCell="1" allowOverlap="1">
                <wp:simplePos x="0" y="0"/>
                <wp:positionH relativeFrom="column">
                  <wp:posOffset>4787265</wp:posOffset>
                </wp:positionH>
                <wp:positionV relativeFrom="paragraph">
                  <wp:posOffset>132715</wp:posOffset>
                </wp:positionV>
                <wp:extent cx="837565" cy="549910"/>
                <wp:effectExtent l="0" t="0" r="0" b="0"/>
                <wp:wrapNone/>
                <wp:docPr id="139" name="矩形 310"/>
                <wp:cNvGraphicFramePr/>
                <a:graphic xmlns:a="http://schemas.openxmlformats.org/drawingml/2006/main">
                  <a:graphicData uri="http://schemas.microsoft.com/office/word/2010/wordprocessingShape">
                    <wps:wsp>
                      <wps:cNvSpPr/>
                      <wps:spPr>
                        <a:xfrm>
                          <a:off x="0" y="0"/>
                          <a:ext cx="837565" cy="549910"/>
                        </a:xfrm>
                        <a:prstGeom prst="rect">
                          <a:avLst/>
                        </a:prstGeom>
                        <a:noFill/>
                        <a:ln>
                          <a:noFill/>
                        </a:ln>
                      </wps:spPr>
                      <wps:txbx>
                        <w:txbxContent>
                          <w:p>
                            <w:r>
                              <w:rPr>
                                <w:rFonts w:hint="eastAsia"/>
                              </w:rPr>
                              <w:t>矿井涌水</w:t>
                            </w:r>
                          </w:p>
                          <w:p>
                            <w:r>
                              <w:rPr>
                                <w:rFonts w:hint="eastAsia"/>
                              </w:rPr>
                              <w:t>生产废水</w:t>
                            </w:r>
                          </w:p>
                        </w:txbxContent>
                      </wps:txbx>
                      <wps:bodyPr upright="1"/>
                    </wps:wsp>
                  </a:graphicData>
                </a:graphic>
              </wp:anchor>
            </w:drawing>
          </mc:Choice>
          <mc:Fallback>
            <w:pict>
              <v:rect id="矩形 310" o:spid="_x0000_s1026" o:spt="1" style="position:absolute;left:0pt;margin-left:376.95pt;margin-top:10.45pt;height:43.3pt;width:65.95pt;z-index:251641856;mso-width-relative:page;mso-height-relative:page;" filled="f" stroked="f" coordsize="21600,21600" o:gfxdata="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n6yCQ2gAAAAoBAAAP&#10;AAAAAAAAAAEAIAAAACIAAABkcnMvZG93bnJldi54bWxQSwECFAAUAAAACACHTuJAj0eH/aQBAABE&#10;AwAADgAAAAAAAAABACAAAAApAQAAZHJzL2Uyb0RvYy54bWxQSwUGAAAAAAYABgBZAQAAPwUAAAAA&#10;">
                <v:fill on="f" focussize="0,0"/>
                <v:stroke on="f"/>
                <v:imagedata o:title=""/>
                <o:lock v:ext="edit" aspectratio="f"/>
                <v:textbox>
                  <w:txbxContent>
                    <w:p>
                      <w:r>
                        <w:rPr>
                          <w:rFonts w:hint="eastAsia"/>
                        </w:rPr>
                        <w:t>矿井涌水</w:t>
                      </w:r>
                    </w:p>
                    <w:p>
                      <w:r>
                        <w:rPr>
                          <w:rFonts w:hint="eastAsia"/>
                        </w:rPr>
                        <w:t>生产废水</w:t>
                      </w:r>
                    </w:p>
                  </w:txbxContent>
                </v:textbox>
              </v:rect>
            </w:pict>
          </mc:Fallback>
        </mc:AlternateContent>
      </w:r>
      <w:r>
        <w:rPr>
          <w:sz w:val="24"/>
        </w:rPr>
        <mc:AlternateContent>
          <mc:Choice Requires="wps">
            <w:drawing>
              <wp:anchor distT="0" distB="0" distL="114300" distR="114300" simplePos="0" relativeHeight="251640832" behindDoc="0" locked="0" layoutInCell="1" allowOverlap="1">
                <wp:simplePos x="0" y="0"/>
                <wp:positionH relativeFrom="column">
                  <wp:posOffset>-78740</wp:posOffset>
                </wp:positionH>
                <wp:positionV relativeFrom="paragraph">
                  <wp:posOffset>430530</wp:posOffset>
                </wp:positionV>
                <wp:extent cx="4946015" cy="635"/>
                <wp:effectExtent l="0" t="48260" r="6985" b="65405"/>
                <wp:wrapNone/>
                <wp:docPr id="138" name="直线 311"/>
                <wp:cNvGraphicFramePr/>
                <a:graphic xmlns:a="http://schemas.openxmlformats.org/drawingml/2006/main">
                  <a:graphicData uri="http://schemas.microsoft.com/office/word/2010/wordprocessingShape">
                    <wps:wsp>
                      <wps:cNvSpPr/>
                      <wps:spPr>
                        <a:xfrm>
                          <a:off x="0" y="0"/>
                          <a:ext cx="4946015" cy="635"/>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311" o:spid="_x0000_s1026" o:spt="20" style="position:absolute;left:0pt;margin-left:-6.2pt;margin-top:33.9pt;height:0.05pt;width:389.45pt;z-index:251640832;mso-width-relative:page;mso-height-relative:page;" filled="f" stroked="t" coordsize="21600,21600" o:gfxdata="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H2vwDYAAAACQEAAA8AAAAAAAAAAQAgAAAAIgAAAGRycy9kb3ducmV2LnhtbFBLAQIUABQA&#10;AAAIAIdO4kAJh13T8AEAAOEDAAAOAAAAAAAAAAEAIAAAACcBAABkcnMvZTJvRG9jLnhtbFBLBQYA&#10;AAAABgAGAFkBAACJBQ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39808" behindDoc="0" locked="0" layoutInCell="1" allowOverlap="1">
                <wp:simplePos x="0" y="0"/>
                <wp:positionH relativeFrom="column">
                  <wp:posOffset>4159250</wp:posOffset>
                </wp:positionH>
                <wp:positionV relativeFrom="paragraph">
                  <wp:posOffset>20320</wp:posOffset>
                </wp:positionV>
                <wp:extent cx="635" cy="391160"/>
                <wp:effectExtent l="48895" t="0" r="64770" b="8890"/>
                <wp:wrapNone/>
                <wp:docPr id="137" name="直线 312"/>
                <wp:cNvGraphicFramePr/>
                <a:graphic xmlns:a="http://schemas.openxmlformats.org/drawingml/2006/main">
                  <a:graphicData uri="http://schemas.microsoft.com/office/word/2010/wordprocessingShape">
                    <wps:wsp>
                      <wps:cNvSpPr/>
                      <wps:spPr>
                        <a:xfrm>
                          <a:off x="0" y="0"/>
                          <a:ext cx="635" cy="39116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312" o:spid="_x0000_s1026" o:spt="20" style="position:absolute;left:0pt;margin-left:327.5pt;margin-top:1.6pt;height:30.8pt;width:0.05pt;z-index:251639808;mso-width-relative:page;mso-height-relative:page;" filled="f" stroked="t" coordsize="21600,21600" o:gfxdata="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GQ6Fo1wAAAAgBAAAPAAAAAAAAAAEAIAAAACIAAABkcnMvZG93bnJldi54bWxQSwECFAAU&#10;AAAACACHTuJA0lbFLPIBAADgAwAADgAAAAAAAAABACAAAAAmAQAAZHJzL2Uyb0RvYy54bWxQSwUG&#10;AAAAAAYABgBZAQAAigU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34688" behindDoc="0" locked="0" layoutInCell="1" allowOverlap="1">
                <wp:simplePos x="0" y="0"/>
                <wp:positionH relativeFrom="column">
                  <wp:posOffset>-961390</wp:posOffset>
                </wp:positionH>
                <wp:positionV relativeFrom="paragraph">
                  <wp:posOffset>27940</wp:posOffset>
                </wp:positionV>
                <wp:extent cx="894080" cy="321945"/>
                <wp:effectExtent l="0" t="0" r="0" b="0"/>
                <wp:wrapNone/>
                <wp:docPr id="132" name="矩形 313"/>
                <wp:cNvGraphicFramePr/>
                <a:graphic xmlns:a="http://schemas.openxmlformats.org/drawingml/2006/main">
                  <a:graphicData uri="http://schemas.microsoft.com/office/word/2010/wordprocessingShape">
                    <wps:wsp>
                      <wps:cNvSpPr/>
                      <wps:spPr>
                        <a:xfrm>
                          <a:off x="0" y="0"/>
                          <a:ext cx="894080" cy="321945"/>
                        </a:xfrm>
                        <a:prstGeom prst="rect">
                          <a:avLst/>
                        </a:prstGeom>
                        <a:noFill/>
                        <a:ln>
                          <a:noFill/>
                        </a:ln>
                      </wps:spPr>
                      <wps:txbx>
                        <w:txbxContent>
                          <w:p>
                            <w:pPr>
                              <w:jc w:val="center"/>
                            </w:pPr>
                            <w:r>
                              <w:rPr>
                                <w:rFonts w:hint="eastAsia"/>
                              </w:rPr>
                              <w:t>生产用水</w:t>
                            </w:r>
                          </w:p>
                        </w:txbxContent>
                      </wps:txbx>
                      <wps:bodyPr upright="1"/>
                    </wps:wsp>
                  </a:graphicData>
                </a:graphic>
              </wp:anchor>
            </w:drawing>
          </mc:Choice>
          <mc:Fallback>
            <w:pict>
              <v:rect id="矩形 313" o:spid="_x0000_s1026" o:spt="1" style="position:absolute;left:0pt;margin-left:-75.7pt;margin-top:2.2pt;height:25.35pt;width:70.4pt;z-index:251634688;mso-width-relative:page;mso-height-relative:page;" filled="f" stroked="f" coordsize="21600,21600" o:gfxdata="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OZBsnZAAAACQEAAA8A&#10;AAAAAAAAAQAgAAAAIgAAAGRycy9kb3ducmV2LnhtbFBLAQIUABQAAAAIAIdO4kCwAuTwpAEAAEQD&#10;AAAOAAAAAAAAAAEAIAAAACgBAABkcnMvZTJvRG9jLnhtbFBLBQYAAAAABgAGAFkBAAA+BQAAAAA=&#10;">
                <v:fill on="f" focussize="0,0"/>
                <v:stroke on="f"/>
                <v:imagedata o:title=""/>
                <o:lock v:ext="edit" aspectratio="f"/>
                <v:textbox>
                  <w:txbxContent>
                    <w:p>
                      <w:pPr>
                        <w:jc w:val="center"/>
                      </w:pPr>
                      <w:r>
                        <w:rPr>
                          <w:rFonts w:hint="eastAsia"/>
                        </w:rPr>
                        <w:t>生产用水</w:t>
                      </w:r>
                    </w:p>
                  </w:txbxContent>
                </v:textbox>
              </v:rect>
            </w:pict>
          </mc:Fallback>
        </mc:AlternateContent>
      </w:r>
      <w:r>
        <w:rPr>
          <w:sz w:val="24"/>
        </w:rPr>
        <mc:AlternateContent>
          <mc:Choice Requires="wps">
            <w:drawing>
              <wp:anchor distT="0" distB="0" distL="114300" distR="114300" simplePos="0" relativeHeight="251631616" behindDoc="0" locked="0" layoutInCell="1" allowOverlap="1">
                <wp:simplePos x="0" y="0"/>
                <wp:positionH relativeFrom="column">
                  <wp:posOffset>-318770</wp:posOffset>
                </wp:positionH>
                <wp:positionV relativeFrom="paragraph">
                  <wp:posOffset>223520</wp:posOffset>
                </wp:positionV>
                <wp:extent cx="2777490" cy="635"/>
                <wp:effectExtent l="0" t="0" r="0" b="0"/>
                <wp:wrapNone/>
                <wp:docPr id="129" name="直线 314"/>
                <wp:cNvGraphicFramePr/>
                <a:graphic xmlns:a="http://schemas.openxmlformats.org/drawingml/2006/main">
                  <a:graphicData uri="http://schemas.microsoft.com/office/word/2010/wordprocessingShape">
                    <wps:wsp>
                      <wps:cNvSpPr/>
                      <wps:spPr>
                        <a:xfrm>
                          <a:off x="0" y="0"/>
                          <a:ext cx="2777490" cy="635"/>
                        </a:xfrm>
                        <a:prstGeom prst="line">
                          <a:avLst/>
                        </a:prstGeom>
                        <a:ln w="9525" cap="sq" cmpd="sng">
                          <a:solidFill>
                            <a:srgbClr val="000000"/>
                          </a:solidFill>
                          <a:prstDash val="sysDot"/>
                          <a:headEnd type="none" w="med" len="med"/>
                          <a:tailEnd type="none" w="med" len="med"/>
                        </a:ln>
                      </wps:spPr>
                      <wps:bodyPr upright="1"/>
                    </wps:wsp>
                  </a:graphicData>
                </a:graphic>
              </wp:anchor>
            </w:drawing>
          </mc:Choice>
          <mc:Fallback>
            <w:pict>
              <v:line id="直线 314" o:spid="_x0000_s1026" o:spt="20" style="position:absolute;left:0pt;margin-left:-25.1pt;margin-top:17.6pt;height:0.05pt;width:218.7pt;z-index:251631616;mso-width-relative:page;mso-height-relative:page;" filled="f" stroked="t" coordsize="21600,21600" o:gfxdata="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Re5+9kAAAAJAQAADwAAAAAAAAABACAAAAAiAAAAZHJzL2Rvd25yZXYueG1sUEsBAhQAFAAA&#10;AAgAh07iQEprM3vuAQAA4AMAAA4AAAAAAAAAAQAgAAAAKAEAAGRycy9lMm9Eb2MueG1sUEsFBgAA&#10;AAAGAAYAWQEAAIgFAAAAAA==&#10;">
                <v:fill on="f" focussize="0,0"/>
                <v:stroke color="#000000" joinstyle="round" dashstyle="1 1" endcap="square"/>
                <v:imagedata o:title=""/>
                <o:lock v:ext="edit" aspectratio="f"/>
              </v:line>
            </w:pict>
          </mc:Fallback>
        </mc:AlternateContent>
      </w:r>
      <w:r>
        <w:rPr>
          <w:sz w:val="24"/>
        </w:rPr>
        <mc:AlternateContent>
          <mc:Choice Requires="wps">
            <w:drawing>
              <wp:anchor distT="0" distB="0" distL="114300" distR="114300" simplePos="0" relativeHeight="251632640" behindDoc="0" locked="0" layoutInCell="1" allowOverlap="1">
                <wp:simplePos x="0" y="0"/>
                <wp:positionH relativeFrom="column">
                  <wp:posOffset>2493010</wp:posOffset>
                </wp:positionH>
                <wp:positionV relativeFrom="paragraph">
                  <wp:posOffset>28575</wp:posOffset>
                </wp:positionV>
                <wp:extent cx="11430" cy="195580"/>
                <wp:effectExtent l="42545" t="0" r="60325" b="13970"/>
                <wp:wrapNone/>
                <wp:docPr id="130" name="直线 315"/>
                <wp:cNvGraphicFramePr/>
                <a:graphic xmlns:a="http://schemas.openxmlformats.org/drawingml/2006/main">
                  <a:graphicData uri="http://schemas.microsoft.com/office/word/2010/wordprocessingShape">
                    <wps:wsp>
                      <wps:cNvSpPr/>
                      <wps:spPr>
                        <a:xfrm flipV="1">
                          <a:off x="0" y="0"/>
                          <a:ext cx="11430" cy="195580"/>
                        </a:xfrm>
                        <a:prstGeom prst="line">
                          <a:avLst/>
                        </a:prstGeom>
                        <a:ln w="9525" cap="sq" cmpd="sng">
                          <a:solidFill>
                            <a:srgbClr val="000000"/>
                          </a:solidFill>
                          <a:prstDash val="sysDot"/>
                          <a:headEnd type="none" w="med" len="med"/>
                          <a:tailEnd type="arrow" w="med" len="med"/>
                        </a:ln>
                      </wps:spPr>
                      <wps:bodyPr upright="1"/>
                    </wps:wsp>
                  </a:graphicData>
                </a:graphic>
              </wp:anchor>
            </w:drawing>
          </mc:Choice>
          <mc:Fallback>
            <w:pict>
              <v:line id="直线 315" o:spid="_x0000_s1026" o:spt="20" style="position:absolute;left:0pt;flip:y;margin-left:196.3pt;margin-top:2.25pt;height:15.4pt;width:0.9pt;z-index:251632640;mso-width-relative:page;mso-height-relative:page;" filled="f" stroked="t" coordsize="21600,21600" o:gfxdata="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zhUj2gAAAAgBAAAPAAAAAAAAAAEAIAAAACIAAABkcnMvZG93bnJl&#10;di54bWxQSwECFAAUAAAACACHTuJAbjd0MvsBAADsAwAADgAAAAAAAAABACAAAAApAQAAZHJzL2Uy&#10;b0RvYy54bWxQSwUGAAAAAAYABgBZAQAAlgUAAAAA&#10;">
                <v:fill on="f" focussize="0,0"/>
                <v:stroke color="#000000" joinstyle="round" dashstyle="1 1" endcap="square" endarrow="open"/>
                <v:imagedata o:title=""/>
                <o:lock v:ext="edit" aspectratio="f"/>
              </v:line>
            </w:pict>
          </mc:Fallback>
        </mc:AlternateContent>
      </w:r>
      <w:r>
        <w:rPr>
          <w:sz w:val="24"/>
        </w:rPr>
        <mc:AlternateContent>
          <mc:Choice Requires="wps">
            <w:drawing>
              <wp:anchor distT="0" distB="0" distL="114300" distR="114300" simplePos="0" relativeHeight="251628544" behindDoc="0" locked="0" layoutInCell="1" allowOverlap="1">
                <wp:simplePos x="0" y="0"/>
                <wp:positionH relativeFrom="column">
                  <wp:posOffset>46355</wp:posOffset>
                </wp:positionH>
                <wp:positionV relativeFrom="paragraph">
                  <wp:posOffset>807085</wp:posOffset>
                </wp:positionV>
                <wp:extent cx="635" cy="275590"/>
                <wp:effectExtent l="48895" t="0" r="64770" b="10160"/>
                <wp:wrapNone/>
                <wp:docPr id="126" name="直线 316"/>
                <wp:cNvGraphicFramePr/>
                <a:graphic xmlns:a="http://schemas.openxmlformats.org/drawingml/2006/main">
                  <a:graphicData uri="http://schemas.microsoft.com/office/word/2010/wordprocessingShape">
                    <wps:wsp>
                      <wps:cNvSpPr/>
                      <wps:spPr>
                        <a:xfrm flipV="1">
                          <a:off x="0" y="0"/>
                          <a:ext cx="635" cy="27559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316" o:spid="_x0000_s1026" o:spt="20" style="position:absolute;left:0pt;flip:y;margin-left:3.65pt;margin-top:63.55pt;height:21.7pt;width:0.05pt;z-index:251628544;mso-width-relative:page;mso-height-relative:page;" filled="f" stroked="t" coordsize="21600,21600" o:gfxdata="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puCxtMAAAAHAQAADwAAAAAAAAABACAAAAAiAAAAZHJzL2Rvd25yZXYueG1sUEsB&#10;AhQAFAAAAAgAh07iQMLtPhr6AQAA6gMAAA4AAAAAAAAAAQAgAAAAIgEAAGRycy9lMm9Eb2MueG1s&#10;UEsFBgAAAAAGAAYAWQEAAI4FA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29568" behindDoc="0" locked="0" layoutInCell="1" allowOverlap="1">
                <wp:simplePos x="0" y="0"/>
                <wp:positionH relativeFrom="column">
                  <wp:posOffset>1289050</wp:posOffset>
                </wp:positionH>
                <wp:positionV relativeFrom="paragraph">
                  <wp:posOffset>787400</wp:posOffset>
                </wp:positionV>
                <wp:extent cx="635" cy="275590"/>
                <wp:effectExtent l="48895" t="0" r="64770" b="10160"/>
                <wp:wrapNone/>
                <wp:docPr id="127" name="直线 317"/>
                <wp:cNvGraphicFramePr/>
                <a:graphic xmlns:a="http://schemas.openxmlformats.org/drawingml/2006/main">
                  <a:graphicData uri="http://schemas.microsoft.com/office/word/2010/wordprocessingShape">
                    <wps:wsp>
                      <wps:cNvSpPr/>
                      <wps:spPr>
                        <a:xfrm flipV="1">
                          <a:off x="0" y="0"/>
                          <a:ext cx="635" cy="27559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317" o:spid="_x0000_s1026" o:spt="20" style="position:absolute;left:0pt;flip:y;margin-left:101.5pt;margin-top:62pt;height:21.7pt;width:0.05pt;z-index:251629568;mso-width-relative:page;mso-height-relative:page;" filled="f" stroked="t" coordsize="21600,21600" o:gfxdata="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5sVnh1QAAAAsBAAAPAAAAAAAAAAEAIAAAACIAAABkcnMvZG93bnJldi54bWxQ&#10;SwECFAAUAAAACACHTuJAnNyxq/oBAADqAwAADgAAAAAAAAABACAAAAAkAQAAZHJzL2Uyb0RvYy54&#10;bWxQSwUGAAAAAAYABgBZAQAAkAU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30592" behindDoc="0" locked="0" layoutInCell="1" allowOverlap="1">
                <wp:simplePos x="0" y="0"/>
                <wp:positionH relativeFrom="column">
                  <wp:posOffset>2566035</wp:posOffset>
                </wp:positionH>
                <wp:positionV relativeFrom="paragraph">
                  <wp:posOffset>767715</wp:posOffset>
                </wp:positionV>
                <wp:extent cx="635" cy="275590"/>
                <wp:effectExtent l="48895" t="0" r="64770" b="10160"/>
                <wp:wrapNone/>
                <wp:docPr id="128" name="直线 318"/>
                <wp:cNvGraphicFramePr/>
                <a:graphic xmlns:a="http://schemas.openxmlformats.org/drawingml/2006/main">
                  <a:graphicData uri="http://schemas.microsoft.com/office/word/2010/wordprocessingShape">
                    <wps:wsp>
                      <wps:cNvSpPr/>
                      <wps:spPr>
                        <a:xfrm flipV="1">
                          <a:off x="0" y="0"/>
                          <a:ext cx="635" cy="27559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318" o:spid="_x0000_s1026" o:spt="20" style="position:absolute;left:0pt;flip:y;margin-left:202.05pt;margin-top:60.45pt;height:21.7pt;width:0.05pt;z-index:251630592;mso-width-relative:page;mso-height-relative:page;" filled="f" stroked="t" coordsize="21600,21600" o:gfxdata="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w8l+tYAAAALAQAADwAAAAAAAAABACAAAAAiAAAAZHJzL2Rvd25yZXYueG1s&#10;UEsBAhQAFAAAAAgAh07iQLPf0IX6AQAA6gMAAA4AAAAAAAAAAQAgAAAAJQEAAGRycy9lMm9Eb2Mu&#10;eG1sUEsFBgAAAAAGAAYAWQEAAJEFA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1622400" behindDoc="0" locked="0" layoutInCell="1" allowOverlap="1">
                <wp:simplePos x="0" y="0"/>
                <wp:positionH relativeFrom="column">
                  <wp:posOffset>-708660</wp:posOffset>
                </wp:positionH>
                <wp:positionV relativeFrom="paragraph">
                  <wp:posOffset>1256665</wp:posOffset>
                </wp:positionV>
                <wp:extent cx="389890" cy="635"/>
                <wp:effectExtent l="0" t="48895" r="10160" b="64770"/>
                <wp:wrapNone/>
                <wp:docPr id="120" name="直线 319"/>
                <wp:cNvGraphicFramePr/>
                <a:graphic xmlns:a="http://schemas.openxmlformats.org/drawingml/2006/main">
                  <a:graphicData uri="http://schemas.microsoft.com/office/word/2010/wordprocessingShape">
                    <wps:wsp>
                      <wps:cNvSpPr/>
                      <wps:spPr>
                        <a:xfrm>
                          <a:off x="0" y="0"/>
                          <a:ext cx="3898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19" o:spid="_x0000_s1026" o:spt="20" style="position:absolute;left:0pt;margin-left:-55.8pt;margin-top:98.95pt;height:0.05pt;width:30.7pt;z-index:251622400;mso-width-relative:page;mso-height-relative:page;" filled="f" stroked="t" coordsize="21600,21600" o:gfxdata="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xA09sAAAAMAQAADwAAAAAAAAABACAAAAAiAAAAZHJzL2Rvd25yZXYueG1sUEsBAhQA&#10;FAAAAAgAh07iQPunXgrvAQAA4QMAAA4AAAAAAAAAAQAgAAAAKgEAAGRycy9lMm9Eb2MueG1sUEsF&#10;BgAAAAAGAAYAWQEAAIs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21376" behindDoc="0" locked="0" layoutInCell="1" allowOverlap="1">
                <wp:simplePos x="0" y="0"/>
                <wp:positionH relativeFrom="column">
                  <wp:posOffset>-720725</wp:posOffset>
                </wp:positionH>
                <wp:positionV relativeFrom="paragraph">
                  <wp:posOffset>544830</wp:posOffset>
                </wp:positionV>
                <wp:extent cx="635" cy="711835"/>
                <wp:effectExtent l="4445" t="0" r="13970" b="12065"/>
                <wp:wrapNone/>
                <wp:docPr id="119" name="直线 320"/>
                <wp:cNvGraphicFramePr/>
                <a:graphic xmlns:a="http://schemas.openxmlformats.org/drawingml/2006/main">
                  <a:graphicData uri="http://schemas.microsoft.com/office/word/2010/wordprocessingShape">
                    <wps:wsp>
                      <wps:cNvSpPr/>
                      <wps:spPr>
                        <a:xfrm>
                          <a:off x="0" y="0"/>
                          <a:ext cx="635" cy="7118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20" o:spid="_x0000_s1026" o:spt="20" style="position:absolute;left:0pt;margin-left:-56.75pt;margin-top:42.9pt;height:56.05pt;width:0.05pt;z-index:251621376;mso-width-relative:page;mso-height-relative:page;" filled="f" stroked="t" coordsize="21600,21600" o:gfxdata="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3D&#10;gz/ZAAAADAEAAA8AAAAAAAAAAQAgAAAAIgAAAGRycy9kb3ducmV2LnhtbFBLAQIUABQAAAAIAIdO&#10;4kBUs1wY6QEAAOADAAAOAAAAAAAAAAEAIAAAACgBAABkcnMvZTJvRG9jLnhtbFBLBQYAAAAABgAG&#10;AFkBAACD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20352" behindDoc="0" locked="0" layoutInCell="1" allowOverlap="1">
                <wp:simplePos x="0" y="0"/>
                <wp:positionH relativeFrom="column">
                  <wp:posOffset>-732155</wp:posOffset>
                </wp:positionH>
                <wp:positionV relativeFrom="paragraph">
                  <wp:posOffset>544830</wp:posOffset>
                </wp:positionV>
                <wp:extent cx="6289040" cy="635"/>
                <wp:effectExtent l="0" t="0" r="0" b="0"/>
                <wp:wrapNone/>
                <wp:docPr id="118" name="直线 321"/>
                <wp:cNvGraphicFramePr/>
                <a:graphic xmlns:a="http://schemas.openxmlformats.org/drawingml/2006/main">
                  <a:graphicData uri="http://schemas.microsoft.com/office/word/2010/wordprocessingShape">
                    <wps:wsp>
                      <wps:cNvSpPr/>
                      <wps:spPr>
                        <a:xfrm>
                          <a:off x="0" y="0"/>
                          <a:ext cx="62890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21" o:spid="_x0000_s1026" o:spt="20" style="position:absolute;left:0pt;margin-left:-57.65pt;margin-top:42.9pt;height:0.05pt;width:495.2pt;z-index:251620352;mso-width-relative:page;mso-height-relative:page;" filled="f" stroked="t" coordsize="21600,21600" o:gfxdata="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kwbu2AAAAAoBAAAPAAAAAAAAAAEAIAAAACIAAABkcnMvZG93bnJldi54bWxQSwECFAAUAAAACACH&#10;TuJA9yELL+sBAADhAwAADgAAAAAAAAABACAAAAAnAQAAZHJzL2Uyb0RvYy54bWxQSwUGAAAAAAYA&#10;BgBZAQAAhA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07040" behindDoc="0" locked="0" layoutInCell="1" allowOverlap="1">
                <wp:simplePos x="0" y="0"/>
                <wp:positionH relativeFrom="column">
                  <wp:posOffset>-335280</wp:posOffset>
                </wp:positionH>
                <wp:positionV relativeFrom="paragraph">
                  <wp:posOffset>1099185</wp:posOffset>
                </wp:positionV>
                <wp:extent cx="780415" cy="321310"/>
                <wp:effectExtent l="4445" t="4445" r="15240" b="17145"/>
                <wp:wrapNone/>
                <wp:docPr id="105" name="矩形 322"/>
                <wp:cNvGraphicFramePr/>
                <a:graphic xmlns:a="http://schemas.openxmlformats.org/drawingml/2006/main">
                  <a:graphicData uri="http://schemas.microsoft.com/office/word/2010/wordprocessingShape">
                    <wps:wsp>
                      <wps:cNvSpPr/>
                      <wps:spPr>
                        <a:xfrm>
                          <a:off x="0" y="0"/>
                          <a:ext cx="780415" cy="32131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电耙出矿</w:t>
                            </w:r>
                          </w:p>
                        </w:txbxContent>
                      </wps:txbx>
                      <wps:bodyPr upright="1"/>
                    </wps:wsp>
                  </a:graphicData>
                </a:graphic>
              </wp:anchor>
            </w:drawing>
          </mc:Choice>
          <mc:Fallback>
            <w:pict>
              <v:rect id="矩形 322" o:spid="_x0000_s1026" o:spt="1" style="position:absolute;left:0pt;margin-left:-26.4pt;margin-top:86.55pt;height:25.3pt;width:61.45pt;z-index:251607040;mso-width-relative:page;mso-height-relative:page;" filled="f" stroked="t" coordsize="21600,21600" o:gfxdata="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tciRfYAAAACgEAAA8AAAAAAAAAAQAgAAAAIgAAAGRycy9kb3du&#10;cmV2LnhtbFBLAQIUABQAAAAIAIdO4kC+78+W/wEAAAMEAAAOAAAAAAAAAAEAIAAAACcBAABkcnMv&#10;ZTJvRG9jLnhtbFBLBQYAAAAABgAGAFkBAACYBQAAAAA=&#10;">
                <v:fill on="f" focussize="0,0"/>
                <v:stroke color="#000000" joinstyle="miter"/>
                <v:imagedata o:title=""/>
                <o:lock v:ext="edit" aspectratio="f"/>
                <v:textbox>
                  <w:txbxContent>
                    <w:p>
                      <w:pPr>
                        <w:jc w:val="center"/>
                      </w:pPr>
                      <w:r>
                        <w:rPr>
                          <w:rFonts w:hint="eastAsia"/>
                        </w:rPr>
                        <w:t>电耙出矿</w:t>
                      </w:r>
                    </w:p>
                  </w:txbxContent>
                </v:textbox>
              </v:rect>
            </w:pict>
          </mc:Fallback>
        </mc:AlternateContent>
      </w:r>
      <w:r>
        <w:rPr>
          <w:sz w:val="24"/>
        </w:rPr>
        <mc:AlternateContent>
          <mc:Choice Requires="wps">
            <w:drawing>
              <wp:anchor distT="0" distB="0" distL="114300" distR="114300" simplePos="0" relativeHeight="251617280" behindDoc="0" locked="0" layoutInCell="1" allowOverlap="1">
                <wp:simplePos x="0" y="0"/>
                <wp:positionH relativeFrom="column">
                  <wp:posOffset>487680</wp:posOffset>
                </wp:positionH>
                <wp:positionV relativeFrom="paragraph">
                  <wp:posOffset>1248410</wp:posOffset>
                </wp:positionV>
                <wp:extent cx="426085" cy="635"/>
                <wp:effectExtent l="0" t="48895" r="12065" b="64770"/>
                <wp:wrapNone/>
                <wp:docPr id="115" name="直线 323"/>
                <wp:cNvGraphicFramePr/>
                <a:graphic xmlns:a="http://schemas.openxmlformats.org/drawingml/2006/main">
                  <a:graphicData uri="http://schemas.microsoft.com/office/word/2010/wordprocessingShape">
                    <wps:wsp>
                      <wps:cNvSpPr/>
                      <wps:spPr>
                        <a:xfrm>
                          <a:off x="0" y="0"/>
                          <a:ext cx="42608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23" o:spid="_x0000_s1026" o:spt="20" style="position:absolute;left:0pt;margin-left:38.4pt;margin-top:98.3pt;height:0.05pt;width:33.55pt;z-index:251617280;mso-width-relative:page;mso-height-relative:page;" filled="f" stroked="t" coordsize="21600,21600" o:gfxdata="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jratkAAAAKAQAADwAAAAAAAAABACAAAAAiAAAAZHJzL2Rvd25yZXYueG1sUEsBAhQAFAAA&#10;AAgAh07iQHQ8ll7uAQAA4QMAAA4AAAAAAAAAAQAgAAAAKAEAAGRycy9lMm9Eb2MueG1sUEsFBgAA&#10;AAAGAAYAWQEAAIg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16256" behindDoc="0" locked="0" layoutInCell="1" allowOverlap="1">
                <wp:simplePos x="0" y="0"/>
                <wp:positionH relativeFrom="column">
                  <wp:posOffset>2974975</wp:posOffset>
                </wp:positionH>
                <wp:positionV relativeFrom="paragraph">
                  <wp:posOffset>1268095</wp:posOffset>
                </wp:positionV>
                <wp:extent cx="389890" cy="635"/>
                <wp:effectExtent l="0" t="48895" r="10160" b="64770"/>
                <wp:wrapNone/>
                <wp:docPr id="114" name="直线 324"/>
                <wp:cNvGraphicFramePr/>
                <a:graphic xmlns:a="http://schemas.openxmlformats.org/drawingml/2006/main">
                  <a:graphicData uri="http://schemas.microsoft.com/office/word/2010/wordprocessingShape">
                    <wps:wsp>
                      <wps:cNvSpPr/>
                      <wps:spPr>
                        <a:xfrm>
                          <a:off x="0" y="0"/>
                          <a:ext cx="3898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24" o:spid="_x0000_s1026" o:spt="20" style="position:absolute;left:0pt;margin-left:234.25pt;margin-top:99.85pt;height:0.05pt;width:30.7pt;z-index:251616256;mso-width-relative:page;mso-height-relative:page;" filled="f" stroked="t" coordsize="21600,21600" o:gfxdata="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WE0qdoAAAALAQAADwAAAAAAAAABACAAAAAiAAAAZHJzL2Rvd25yZXYueG1sUEsBAhQA&#10;FAAAAAgAh07iQChk9LfwAQAA4QMAAA4AAAAAAAAAAQAgAAAAKQEAAGRycy9lMm9Eb2MueG1sUEsF&#10;BgAAAAAGAAYAWQEAAIs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15232" behindDoc="0" locked="0" layoutInCell="1" allowOverlap="1">
                <wp:simplePos x="0" y="0"/>
                <wp:positionH relativeFrom="column">
                  <wp:posOffset>1666240</wp:posOffset>
                </wp:positionH>
                <wp:positionV relativeFrom="paragraph">
                  <wp:posOffset>1268095</wp:posOffset>
                </wp:positionV>
                <wp:extent cx="528320" cy="635"/>
                <wp:effectExtent l="0" t="48895" r="5080" b="64770"/>
                <wp:wrapNone/>
                <wp:docPr id="113" name="直线 325"/>
                <wp:cNvGraphicFramePr/>
                <a:graphic xmlns:a="http://schemas.openxmlformats.org/drawingml/2006/main">
                  <a:graphicData uri="http://schemas.microsoft.com/office/word/2010/wordprocessingShape">
                    <wps:wsp>
                      <wps:cNvSpPr/>
                      <wps:spPr>
                        <a:xfrm>
                          <a:off x="0" y="0"/>
                          <a:ext cx="5283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25" o:spid="_x0000_s1026" o:spt="20" style="position:absolute;left:0pt;margin-left:131.2pt;margin-top:99.85pt;height:0.05pt;width:41.6pt;z-index:251615232;mso-width-relative:page;mso-height-relative:page;" filled="f" stroked="t" coordsize="21600,21600" o:gfxdata="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NERM9sAAAALAQAADwAAAAAAAAABACAAAAAiAAAAZHJzL2Rvd25yZXYueG1sUEsB&#10;AhQAFAAAAAgAh07iQPXy93TyAQAA4QMAAA4AAAAAAAAAAQAgAAAAKgEAAGRycy9lMm9Eb2MueG1s&#10;UEsFBgAAAAAGAAYAWQEAAI4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09088" behindDoc="0" locked="0" layoutInCell="1" allowOverlap="1">
                <wp:simplePos x="0" y="0"/>
                <wp:positionH relativeFrom="column">
                  <wp:posOffset>2188845</wp:posOffset>
                </wp:positionH>
                <wp:positionV relativeFrom="paragraph">
                  <wp:posOffset>1099185</wp:posOffset>
                </wp:positionV>
                <wp:extent cx="780415" cy="321310"/>
                <wp:effectExtent l="4445" t="4445" r="15240" b="17145"/>
                <wp:wrapNone/>
                <wp:docPr id="107" name="矩形 327"/>
                <wp:cNvGraphicFramePr/>
                <a:graphic xmlns:a="http://schemas.openxmlformats.org/drawingml/2006/main">
                  <a:graphicData uri="http://schemas.microsoft.com/office/word/2010/wordprocessingShape">
                    <wps:wsp>
                      <wps:cNvSpPr/>
                      <wps:spPr>
                        <a:xfrm>
                          <a:off x="0" y="0"/>
                          <a:ext cx="780415" cy="32131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原矿仓</w:t>
                            </w:r>
                          </w:p>
                        </w:txbxContent>
                      </wps:txbx>
                      <wps:bodyPr upright="1"/>
                    </wps:wsp>
                  </a:graphicData>
                </a:graphic>
              </wp:anchor>
            </w:drawing>
          </mc:Choice>
          <mc:Fallback>
            <w:pict>
              <v:rect id="矩形 327" o:spid="_x0000_s1026" o:spt="1" style="position:absolute;left:0pt;margin-left:172.35pt;margin-top:86.55pt;height:25.3pt;width:61.45pt;z-index:251609088;mso-width-relative:page;mso-height-relative:page;" filled="f" stroked="t" coordsize="21600,21600" o:gfxdata="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xTyV2QAAAAsBAAAPAAAAAAAAAAEAIAAAACIAAABkcnMvZG93&#10;bnJldi54bWxQSwECFAAUAAAACACHTuJA2dGTt/8BAAADBAAADgAAAAAAAAABACAAAAAoAQAAZHJz&#10;L2Uyb0RvYy54bWxQSwUGAAAAAAYABgBZAQAAmQUAAAAA&#10;">
                <v:fill on="f" focussize="0,0"/>
                <v:stroke color="#000000" joinstyle="miter"/>
                <v:imagedata o:title=""/>
                <o:lock v:ext="edit" aspectratio="f"/>
                <v:textbox>
                  <w:txbxContent>
                    <w:p>
                      <w:pPr>
                        <w:jc w:val="center"/>
                      </w:pPr>
                      <w:r>
                        <w:rPr>
                          <w:rFonts w:hint="eastAsia"/>
                        </w:rPr>
                        <w:t>原矿仓</w:t>
                      </w:r>
                    </w:p>
                  </w:txbxContent>
                </v:textbox>
              </v:rect>
            </w:pict>
          </mc:Fallback>
        </mc:AlternateContent>
      </w:r>
      <w:r>
        <w:rPr>
          <w:sz w:val="24"/>
        </w:rPr>
        <mc:AlternateContent>
          <mc:Choice Requires="wps">
            <w:drawing>
              <wp:anchor distT="0" distB="0" distL="114300" distR="114300" simplePos="0" relativeHeight="251608064" behindDoc="0" locked="0" layoutInCell="1" allowOverlap="1">
                <wp:simplePos x="0" y="0"/>
                <wp:positionH relativeFrom="column">
                  <wp:posOffset>915035</wp:posOffset>
                </wp:positionH>
                <wp:positionV relativeFrom="paragraph">
                  <wp:posOffset>1098550</wp:posOffset>
                </wp:positionV>
                <wp:extent cx="780415" cy="321310"/>
                <wp:effectExtent l="4445" t="4445" r="15240" b="17145"/>
                <wp:wrapNone/>
                <wp:docPr id="106" name="矩形 328"/>
                <wp:cNvGraphicFramePr/>
                <a:graphic xmlns:a="http://schemas.openxmlformats.org/drawingml/2006/main">
                  <a:graphicData uri="http://schemas.microsoft.com/office/word/2010/wordprocessingShape">
                    <wps:wsp>
                      <wps:cNvSpPr/>
                      <wps:spPr>
                        <a:xfrm>
                          <a:off x="0" y="0"/>
                          <a:ext cx="780415" cy="32131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竖井提升</w:t>
                            </w:r>
                          </w:p>
                        </w:txbxContent>
                      </wps:txbx>
                      <wps:bodyPr upright="1"/>
                    </wps:wsp>
                  </a:graphicData>
                </a:graphic>
              </wp:anchor>
            </w:drawing>
          </mc:Choice>
          <mc:Fallback>
            <w:pict>
              <v:rect id="矩形 328" o:spid="_x0000_s1026" o:spt="1" style="position:absolute;left:0pt;margin-left:72.05pt;margin-top:86.5pt;height:25.3pt;width:61.45pt;z-index:251608064;mso-width-relative:page;mso-height-relative:page;" filled="f" stroked="t" coordsize="21600,21600" o:gfxdata="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H/9cAAAALAQAADwAAAAAAAAABACAAAAAiAAAAZHJzL2Rvd25y&#10;ZXYueG1sUEsBAhQAFAAAAAgAh07iQFva3bn/AQAAAwQAAA4AAAAAAAAAAQAgAAAAJgEAAGRycy9l&#10;Mm9Eb2MueG1sUEsFBgAAAAAGAAYAWQEAAJcFAAAAAA==&#10;">
                <v:fill on="f" focussize="0,0"/>
                <v:stroke color="#000000" joinstyle="miter"/>
                <v:imagedata o:title=""/>
                <o:lock v:ext="edit" aspectratio="f"/>
                <v:textbox>
                  <w:txbxContent>
                    <w:p>
                      <w:pPr>
                        <w:jc w:val="center"/>
                      </w:pPr>
                      <w:r>
                        <w:rPr>
                          <w:rFonts w:hint="eastAsia"/>
                        </w:rPr>
                        <w:t>竖井提升</w:t>
                      </w:r>
                    </w:p>
                  </w:txbxContent>
                </v:textbox>
              </v:rect>
            </w:pict>
          </mc:Fallback>
        </mc:AlternateContent>
      </w:r>
    </w:p>
    <w:p>
      <w:pPr>
        <w:rPr>
          <w:sz w:val="24"/>
        </w:rPr>
      </w:pPr>
    </w:p>
    <w:p>
      <w:pPr>
        <w:rPr>
          <w:sz w:val="24"/>
        </w:rPr>
      </w:pPr>
    </w:p>
    <w:p>
      <w:pPr>
        <w:rPr>
          <w:sz w:val="24"/>
        </w:rPr>
      </w:pPr>
    </w:p>
    <w:p>
      <w:pPr>
        <w:rPr>
          <w:sz w:val="24"/>
        </w:rPr>
      </w:pPr>
    </w:p>
    <w:p>
      <w:pPr>
        <w:rPr>
          <w:sz w:val="24"/>
        </w:rPr>
      </w:pPr>
      <w:r>
        <w:rPr>
          <w:sz w:val="24"/>
        </w:rPr>
        <mc:AlternateContent>
          <mc:Choice Requires="wps">
            <w:drawing>
              <wp:anchor distT="0" distB="0" distL="114300" distR="114300" simplePos="0" relativeHeight="251610112" behindDoc="0" locked="0" layoutInCell="1" allowOverlap="1">
                <wp:simplePos x="0" y="0"/>
                <wp:positionH relativeFrom="column">
                  <wp:posOffset>3357880</wp:posOffset>
                </wp:positionH>
                <wp:positionV relativeFrom="paragraph">
                  <wp:posOffset>15240</wp:posOffset>
                </wp:positionV>
                <wp:extent cx="1103630" cy="321310"/>
                <wp:effectExtent l="4445" t="4445" r="15875" b="17145"/>
                <wp:wrapNone/>
                <wp:docPr id="108" name="矩形 326"/>
                <wp:cNvGraphicFramePr/>
                <a:graphic xmlns:a="http://schemas.openxmlformats.org/drawingml/2006/main">
                  <a:graphicData uri="http://schemas.microsoft.com/office/word/2010/wordprocessingShape">
                    <wps:wsp>
                      <wps:cNvSpPr/>
                      <wps:spPr>
                        <a:xfrm>
                          <a:off x="0" y="0"/>
                          <a:ext cx="1103630" cy="32131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选矿厂或外卖</w:t>
                            </w:r>
                          </w:p>
                        </w:txbxContent>
                      </wps:txbx>
                      <wps:bodyPr upright="1"/>
                    </wps:wsp>
                  </a:graphicData>
                </a:graphic>
              </wp:anchor>
            </w:drawing>
          </mc:Choice>
          <mc:Fallback>
            <w:pict>
              <v:rect id="矩形 326" o:spid="_x0000_s1026" o:spt="1" style="position:absolute;left:0pt;margin-left:264.4pt;margin-top:1.2pt;height:25.3pt;width:86.9pt;z-index:251610112;mso-width-relative:page;mso-height-relative:page;" filled="f" stroked="t" coordsize="21600,21600" o:gfxdata="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eno1gAAAAgBAAAPAAAAAAAAAAEAIAAAACIAAABkcnMvZG93bnJl&#10;di54bWxQSwECFAAUAAAACACHTuJAfs/Jpf8BAAAEBAAADgAAAAAAAAABACAAAAAlAQAAZHJzL2Uy&#10;b0RvYy54bWxQSwUGAAAAAAYABgBZAQAAlgUAAAAA&#10;">
                <v:fill on="f" focussize="0,0"/>
                <v:stroke color="#000000" joinstyle="miter"/>
                <v:imagedata o:title=""/>
                <o:lock v:ext="edit" aspectratio="f"/>
                <v:textbox>
                  <w:txbxContent>
                    <w:p>
                      <w:pPr>
                        <w:jc w:val="center"/>
                      </w:pPr>
                      <w:r>
                        <w:rPr>
                          <w:rFonts w:hint="eastAsia"/>
                        </w:rPr>
                        <w:t>选矿厂或外卖</w:t>
                      </w:r>
                    </w:p>
                  </w:txbxContent>
                </v:textbox>
              </v:rect>
            </w:pict>
          </mc:Fallback>
        </mc:AlternateContent>
      </w:r>
    </w:p>
    <w:p>
      <w:pPr>
        <w:rPr>
          <w:sz w:val="24"/>
        </w:rPr>
      </w:pPr>
    </w:p>
    <w:p>
      <w:pPr>
        <w:tabs>
          <w:tab w:val="left" w:pos="1629"/>
        </w:tabs>
        <w:jc w:val="left"/>
        <w:rPr>
          <w:b/>
          <w:bCs/>
          <w:sz w:val="24"/>
        </w:rPr>
      </w:pPr>
      <w:r>
        <w:rPr>
          <w:rFonts w:hint="eastAsia"/>
          <w:sz w:val="24"/>
        </w:rPr>
        <w:tab/>
      </w:r>
      <w:r>
        <w:rPr>
          <w:rFonts w:hint="eastAsia"/>
          <w:sz w:val="24"/>
        </w:rPr>
        <w:t xml:space="preserve">    </w:t>
      </w:r>
      <w:r>
        <w:rPr>
          <w:rFonts w:hint="eastAsia"/>
          <w:b/>
          <w:bCs/>
          <w:sz w:val="24"/>
        </w:rPr>
        <w:t>图3-3 采矿工艺及污染物排放节点图</w:t>
      </w:r>
    </w:p>
    <w:p>
      <w:pPr>
        <w:spacing w:line="360" w:lineRule="auto"/>
        <w:jc w:val="left"/>
        <w:outlineLvl w:val="0"/>
        <w:rPr>
          <w:sz w:val="24"/>
        </w:rPr>
      </w:pPr>
      <w:r>
        <w:rPr>
          <w:rFonts w:hint="eastAsia"/>
          <w:sz w:val="24"/>
        </w:rPr>
        <w:t>2、现有选矿工艺</w:t>
      </w:r>
    </w:p>
    <w:p>
      <w:pPr>
        <w:spacing w:line="360" w:lineRule="auto"/>
        <w:ind w:firstLine="480" w:firstLineChars="200"/>
        <w:jc w:val="left"/>
        <w:rPr>
          <w:sz w:val="24"/>
        </w:rPr>
      </w:pPr>
      <w:r>
        <w:rPr>
          <w:rFonts w:hint="eastAsia"/>
          <w:sz w:val="24"/>
        </w:rPr>
        <w:t>选矿采用单一磁选工艺，主要工艺流程碎矿、磨矿分级、选别及脱水工序等。</w:t>
      </w:r>
    </w:p>
    <w:p>
      <w:pPr>
        <w:spacing w:line="360" w:lineRule="auto"/>
        <w:ind w:firstLine="480" w:firstLineChars="200"/>
        <w:jc w:val="left"/>
        <w:rPr>
          <w:sz w:val="24"/>
        </w:rPr>
      </w:pPr>
      <w:r>
        <w:rPr>
          <w:rFonts w:hint="eastAsia"/>
          <w:sz w:val="24"/>
        </w:rPr>
        <w:t>主要工艺过程简述如下：</w:t>
      </w:r>
    </w:p>
    <w:p>
      <w:pPr>
        <w:spacing w:line="360" w:lineRule="auto"/>
        <w:ind w:firstLine="480" w:firstLineChars="200"/>
        <w:jc w:val="left"/>
        <w:rPr>
          <w:sz w:val="24"/>
        </w:rPr>
      </w:pPr>
      <w:r>
        <w:rPr>
          <w:rFonts w:hint="eastAsia"/>
          <w:sz w:val="24"/>
        </w:rPr>
        <w:t>（1）碎矿：采用二段一闭路流程。原矿在原矿仓用棒条式振动给料机送入颚式破碎机进行粗碎，再由带式输送机送入圆振动筛，筛上产品送入圆锥破碎机进行细碎，筛上矿石再经带式输送机送回振动筛形成闭路，筛下产品通过磁滚筒进行预选，预选产品送入粉矿仓，所得废石进入废石仓。</w:t>
      </w:r>
    </w:p>
    <w:p>
      <w:pPr>
        <w:spacing w:line="360" w:lineRule="auto"/>
        <w:ind w:firstLine="480" w:firstLineChars="200"/>
        <w:jc w:val="left"/>
        <w:rPr>
          <w:sz w:val="24"/>
        </w:rPr>
      </w:pPr>
      <w:r>
        <w:rPr>
          <w:rFonts w:hint="eastAsia"/>
          <w:sz w:val="24"/>
        </w:rPr>
        <w:t>（2）磨矿分级：采用一段闭路流程。粉矿仓的碎矿石用皮带给料机输送到格子式球磨机中进行研磨，所得细粉矿再经双螺旋分级机分级，球磨机与分级机组成闭路系统，产品由分级机溢流口自流至选别工序。</w:t>
      </w:r>
    </w:p>
    <w:p>
      <w:pPr>
        <w:spacing w:line="360" w:lineRule="auto"/>
        <w:ind w:firstLine="480" w:firstLineChars="200"/>
        <w:jc w:val="left"/>
        <w:rPr>
          <w:sz w:val="24"/>
        </w:rPr>
      </w:pPr>
      <w:r>
        <w:rPr>
          <w:rFonts w:hint="eastAsia"/>
          <w:sz w:val="24"/>
        </w:rPr>
        <w:t>（3）选别及脱水：选别是采用单一磁选工艺，脱水采用一段过滤脱水流程。经球磨分级加工的细矿粉自分级机溢流至CTB1024型磁选机进行粗选，甩掉部分尾矿，所得粗精矿用高频筛分级，筛上物返回球磨机，筛下产品进入双筒磁选机进行两侧精选后得到铁精矿，最后经一次过滤脱水得到最终产品铁精粉。</w:t>
      </w:r>
    </w:p>
    <w:p>
      <w:pPr>
        <w:spacing w:line="360" w:lineRule="auto"/>
        <w:ind w:firstLine="480" w:firstLineChars="200"/>
        <w:jc w:val="left"/>
        <w:rPr>
          <w:sz w:val="24"/>
        </w:rPr>
      </w:pPr>
      <w:r>
        <w:rPr>
          <w:rFonts w:hint="eastAsia"/>
          <w:sz w:val="24"/>
        </w:rPr>
        <w:t>选矿工艺流程详见下图。</w:t>
      </w:r>
    </w:p>
    <w:p>
      <w:pPr>
        <w:pStyle w:val="2"/>
        <w:rPr>
          <w:sz w:val="24"/>
        </w:rPr>
      </w:pPr>
    </w:p>
    <w:p>
      <w:pPr>
        <w:pStyle w:val="2"/>
        <w:rPr>
          <w:sz w:val="24"/>
        </w:rPr>
      </w:pPr>
    </w:p>
    <w:p>
      <w:pPr>
        <w:pStyle w:val="2"/>
        <w:rPr>
          <w:sz w:val="24"/>
        </w:rPr>
      </w:pPr>
    </w:p>
    <w:p>
      <w:pPr>
        <w:pStyle w:val="2"/>
        <w:rPr>
          <w:sz w:val="24"/>
        </w:rPr>
      </w:pPr>
    </w:p>
    <w:p>
      <w:pPr>
        <w:pStyle w:val="2"/>
        <w:rPr>
          <w:sz w:val="24"/>
        </w:rPr>
      </w:pPr>
      <w:r>
        <w:rPr>
          <w:sz w:val="24"/>
        </w:rPr>
        <mc:AlternateContent>
          <mc:Choice Requires="wps">
            <w:drawing>
              <wp:anchor distT="0" distB="0" distL="114300" distR="114300" simplePos="0" relativeHeight="251692032" behindDoc="0" locked="0" layoutInCell="1" allowOverlap="1">
                <wp:simplePos x="0" y="0"/>
                <wp:positionH relativeFrom="column">
                  <wp:posOffset>1410970</wp:posOffset>
                </wp:positionH>
                <wp:positionV relativeFrom="paragraph">
                  <wp:posOffset>-37465</wp:posOffset>
                </wp:positionV>
                <wp:extent cx="1543685" cy="326390"/>
                <wp:effectExtent l="0" t="0" r="0" b="0"/>
                <wp:wrapNone/>
                <wp:docPr id="200" name="矩形 329"/>
                <wp:cNvGraphicFramePr/>
                <a:graphic xmlns:a="http://schemas.openxmlformats.org/drawingml/2006/main">
                  <a:graphicData uri="http://schemas.microsoft.com/office/word/2010/wordprocessingShape">
                    <wps:wsp>
                      <wps:cNvSpPr/>
                      <wps:spPr>
                        <a:xfrm>
                          <a:off x="0" y="0"/>
                          <a:ext cx="1543685" cy="326390"/>
                        </a:xfrm>
                        <a:prstGeom prst="rect">
                          <a:avLst/>
                        </a:prstGeom>
                        <a:noFill/>
                        <a:ln>
                          <a:noFill/>
                        </a:ln>
                      </wps:spPr>
                      <wps:txbx>
                        <w:txbxContent>
                          <w:p>
                            <w:pPr>
                              <w:jc w:val="center"/>
                              <w:rPr>
                                <w:szCs w:val="21"/>
                              </w:rPr>
                            </w:pPr>
                            <w:r>
                              <w:rPr>
                                <w:rFonts w:hint="eastAsia"/>
                                <w:szCs w:val="21"/>
                              </w:rPr>
                              <w:t>原矿</w:t>
                            </w:r>
                          </w:p>
                        </w:txbxContent>
                      </wps:txbx>
                      <wps:bodyPr upright="1"/>
                    </wps:wsp>
                  </a:graphicData>
                </a:graphic>
              </wp:anchor>
            </w:drawing>
          </mc:Choice>
          <mc:Fallback>
            <w:pict>
              <v:rect id="矩形 329" o:spid="_x0000_s1026" o:spt="1" style="position:absolute;left:0pt;margin-left:111.1pt;margin-top:-2.95pt;height:25.7pt;width:121.55pt;z-index:251692032;mso-width-relative:page;mso-height-relative:page;" filled="f" stroked="f" coordsize="21600,21600" o:gfxdata="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N77djaAAAACQEA&#10;AA8AAAAAAAAAAQAgAAAAIgAAAGRycy9kb3ducmV2LnhtbFBLAQIUABQAAAAIAIdO4kDCKOwCpgEA&#10;AEUDAAAOAAAAAAAAAAEAIAAAACkBAABkcnMvZTJvRG9jLnhtbFBLBQYAAAAABgAGAFkBAABBBQAA&#10;AAA=&#10;">
                <v:fill on="f" focussize="0,0"/>
                <v:stroke on="f"/>
                <v:imagedata o:title=""/>
                <o:lock v:ext="edit" aspectratio="f"/>
                <v:textbox>
                  <w:txbxContent>
                    <w:p>
                      <w:pPr>
                        <w:jc w:val="center"/>
                        <w:rPr>
                          <w:szCs w:val="21"/>
                        </w:rPr>
                      </w:pPr>
                      <w:r>
                        <w:rPr>
                          <w:rFonts w:hint="eastAsia"/>
                          <w:szCs w:val="21"/>
                        </w:rPr>
                        <w:t>原矿</w:t>
                      </w:r>
                    </w:p>
                  </w:txbxContent>
                </v:textbox>
              </v:rect>
            </w:pict>
          </mc:Fallback>
        </mc:AlternateContent>
      </w:r>
      <w:r>
        <w:rPr>
          <w:sz w:val="24"/>
        </w:rPr>
        <mc:AlternateContent>
          <mc:Choice Requires="wps">
            <w:drawing>
              <wp:anchor distT="0" distB="0" distL="114300" distR="114300" simplePos="0" relativeHeight="251652096" behindDoc="0" locked="0" layoutInCell="1" allowOverlap="1">
                <wp:simplePos x="0" y="0"/>
                <wp:positionH relativeFrom="column">
                  <wp:posOffset>2181860</wp:posOffset>
                </wp:positionH>
                <wp:positionV relativeFrom="paragraph">
                  <wp:posOffset>315595</wp:posOffset>
                </wp:positionV>
                <wp:extent cx="635" cy="234950"/>
                <wp:effectExtent l="48895" t="0" r="64770" b="12700"/>
                <wp:wrapNone/>
                <wp:docPr id="151" name="直线 330"/>
                <wp:cNvGraphicFramePr/>
                <a:graphic xmlns:a="http://schemas.openxmlformats.org/drawingml/2006/main">
                  <a:graphicData uri="http://schemas.microsoft.com/office/word/2010/wordprocessingShape">
                    <wps:wsp>
                      <wps:cNvSpPr/>
                      <wps:spPr>
                        <a:xfrm>
                          <a:off x="0" y="0"/>
                          <a:ext cx="635" cy="234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30" o:spid="_x0000_s1026" o:spt="20" style="position:absolute;left:0pt;margin-left:171.8pt;margin-top:24.85pt;height:18.5pt;width:0.05pt;z-index:251652096;mso-width-relative:page;mso-height-relative:page;" filled="f" stroked="t" coordsize="21600,21600" o:gfxdata="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NluUXaAAAACQEAAA8AAAAAAAAAAQAgAAAAIgAAAGRycy9kb3ducmV2LnhtbFBLAQIU&#10;ABQAAAAIAIdO4kAMg4uq8QEAAOEDAAAOAAAAAAAAAAEAIAAAACkBAABkcnMvZTJvRG9jLnhtbFBL&#10;BQYAAAAABgAGAFkBAACMBQAAAAA=&#10;">
                <v:fill on="f" focussize="0,0"/>
                <v:stroke color="#000000" joinstyle="round" endarrow="open"/>
                <v:imagedata o:title=""/>
                <o:lock v:ext="edit" aspectratio="f"/>
              </v:line>
            </w:pict>
          </mc:Fallback>
        </mc:AlternateContent>
      </w:r>
      <w:r>
        <w:rPr>
          <w:sz w:val="24"/>
        </w:rPr>
        <mc:AlternateContent>
          <mc:Choice Requires="wpg">
            <w:drawing>
              <wp:anchor distT="0" distB="0" distL="114300" distR="114300" simplePos="0" relativeHeight="251651072" behindDoc="0" locked="0" layoutInCell="1" allowOverlap="1">
                <wp:simplePos x="0" y="0"/>
                <wp:positionH relativeFrom="column">
                  <wp:posOffset>1485265</wp:posOffset>
                </wp:positionH>
                <wp:positionV relativeFrom="paragraph">
                  <wp:posOffset>269875</wp:posOffset>
                </wp:positionV>
                <wp:extent cx="1442085" cy="72390"/>
                <wp:effectExtent l="0" t="13970" r="5715" b="0"/>
                <wp:wrapNone/>
                <wp:docPr id="150" name="组合 331"/>
                <wp:cNvGraphicFramePr/>
                <a:graphic xmlns:a="http://schemas.openxmlformats.org/drawingml/2006/main">
                  <a:graphicData uri="http://schemas.microsoft.com/office/word/2010/wordprocessingGroup">
                    <wpg:wgp>
                      <wpg:cNvGrpSpPr/>
                      <wpg:grpSpPr>
                        <a:xfrm>
                          <a:off x="0" y="0"/>
                          <a:ext cx="1442085" cy="72390"/>
                          <a:chOff x="4422" y="413520"/>
                          <a:chExt cx="2271" cy="114"/>
                        </a:xfrm>
                      </wpg:grpSpPr>
                      <wps:wsp>
                        <wps:cNvPr id="148" name="直线 332"/>
                        <wps:cNvSpPr/>
                        <wps:spPr>
                          <a:xfrm>
                            <a:off x="4435" y="413520"/>
                            <a:ext cx="2259" cy="1"/>
                          </a:xfrm>
                          <a:prstGeom prst="line">
                            <a:avLst/>
                          </a:prstGeom>
                          <a:ln w="28575" cap="flat" cmpd="sng">
                            <a:solidFill>
                              <a:srgbClr val="000000"/>
                            </a:solidFill>
                            <a:prstDash val="solid"/>
                            <a:headEnd type="none" w="med" len="med"/>
                            <a:tailEnd type="none" w="med" len="med"/>
                          </a:ln>
                        </wps:spPr>
                        <wps:bodyPr upright="1"/>
                      </wps:wsp>
                      <wps:wsp>
                        <wps:cNvPr id="149" name="直线 333"/>
                        <wps:cNvSpPr/>
                        <wps:spPr>
                          <a:xfrm>
                            <a:off x="4422" y="413634"/>
                            <a:ext cx="2259"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331" o:spid="_x0000_s1026" o:spt="203" style="position:absolute;left:0pt;margin-left:116.95pt;margin-top:21.25pt;height:5.7pt;width:113.55pt;z-index:251651072;mso-width-relative:page;mso-height-relative:page;" coordorigin="4422,413520" coordsize="2271,114" o:gfxdata="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06VBU9kAAAAJAQAA&#10;DwAAAAAAAAABACAAAAAiAAAAZHJzL2Rvd25yZXYueG1sUEsBAhQAFAAAAAgAh07iQG6+72WKAgAA&#10;HwcAAA4AAAAAAAAAAQAgAAAAKAEAAGRycy9lMm9Eb2MueG1sUEsFBgAAAAAGAAYAWQEAACQGAAAA&#10;AA==&#10;">
                <o:lock v:ext="edit" aspectratio="f"/>
                <v:line id="直线 332" o:spid="_x0000_s1026" o:spt="20" style="position:absolute;left:4435;top:413520;height:1;width:2259;" filled="f" stroked="t" coordsize="21600,21600" o:gfxdata="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66Xr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直线 333" o:spid="_x0000_s1026" o:spt="20" style="position:absolute;left:4422;top:413634;height:1;width:2259;" filled="f" stroked="t" coordsize="21600,21600" o:gfxdata="UEsDBAoAAAAAAIdO4kAAAAAAAAAAAAAAAAAEAAAAZHJzL1BLAwQUAAAACACHTuJA462Jer0AAADc&#10;AAAADwAAAGRycy9kb3ducmV2LnhtbEVPyWrDMBC9F/IPYgK9hESyW0L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Yl6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p>
      <w:pPr>
        <w:rPr>
          <w:sz w:val="24"/>
        </w:rPr>
      </w:pPr>
    </w:p>
    <w:p>
      <w:pPr>
        <w:rPr>
          <w:sz w:val="24"/>
        </w:rPr>
      </w:pPr>
      <w:r>
        <w:rPr>
          <w:sz w:val="24"/>
        </w:rPr>
        <mc:AlternateContent>
          <mc:Choice Requires="wps">
            <w:drawing>
              <wp:anchor distT="0" distB="0" distL="114300" distR="114300" simplePos="0" relativeHeight="251693056" behindDoc="0" locked="0" layoutInCell="1" allowOverlap="1">
                <wp:simplePos x="0" y="0"/>
                <wp:positionH relativeFrom="column">
                  <wp:posOffset>1529080</wp:posOffset>
                </wp:positionH>
                <wp:positionV relativeFrom="paragraph">
                  <wp:posOffset>40005</wp:posOffset>
                </wp:positionV>
                <wp:extent cx="528955" cy="298450"/>
                <wp:effectExtent l="0" t="0" r="0" b="0"/>
                <wp:wrapNone/>
                <wp:docPr id="201" name="矩形 334"/>
                <wp:cNvGraphicFramePr/>
                <a:graphic xmlns:a="http://schemas.openxmlformats.org/drawingml/2006/main">
                  <a:graphicData uri="http://schemas.microsoft.com/office/word/2010/wordprocessingShape">
                    <wps:wsp>
                      <wps:cNvSpPr/>
                      <wps:spPr>
                        <a:xfrm>
                          <a:off x="0" y="0"/>
                          <a:ext cx="528955" cy="298450"/>
                        </a:xfrm>
                        <a:prstGeom prst="rect">
                          <a:avLst/>
                        </a:prstGeom>
                        <a:noFill/>
                        <a:ln>
                          <a:noFill/>
                        </a:ln>
                      </wps:spPr>
                      <wps:txbx>
                        <w:txbxContent>
                          <w:p>
                            <w:r>
                              <w:rPr>
                                <w:rFonts w:hint="eastAsia"/>
                              </w:rPr>
                              <w:t>粗碎</w:t>
                            </w:r>
                          </w:p>
                        </w:txbxContent>
                      </wps:txbx>
                      <wps:bodyPr upright="1"/>
                    </wps:wsp>
                  </a:graphicData>
                </a:graphic>
              </wp:anchor>
            </w:drawing>
          </mc:Choice>
          <mc:Fallback>
            <w:pict>
              <v:rect id="矩形 334" o:spid="_x0000_s1026" o:spt="1" style="position:absolute;left:0pt;margin-left:120.4pt;margin-top:3.15pt;height:23.5pt;width:41.65pt;z-index:251693056;mso-width-relative:page;mso-height-relative:page;" filled="f" stroked="f" coordsize="21600,21600" o:gfxdata="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OABRI2QAAAAgBAAAP&#10;AAAAAAAAAAEAIAAAACIAAABkcnMvZG93bnJldi54bWxQSwECFAAUAAAACACHTuJAdVFYo6UBAABE&#10;AwAADgAAAAAAAAABACAAAAAoAQAAZHJzL2Uyb0RvYy54bWxQSwUGAAAAAAYABgBZAQAAPwUAAAAA&#10;">
                <v:fill on="f" focussize="0,0"/>
                <v:stroke on="f"/>
                <v:imagedata o:title=""/>
                <o:lock v:ext="edit" aspectratio="f"/>
                <v:textbox>
                  <w:txbxContent>
                    <w:p>
                      <w:r>
                        <w:rPr>
                          <w:rFonts w:hint="eastAsia"/>
                        </w:rPr>
                        <w:t>粗碎</w:t>
                      </w:r>
                    </w:p>
                  </w:txbxContent>
                </v:textbox>
              </v:rect>
            </w:pict>
          </mc:Fallback>
        </mc:AlternateContent>
      </w:r>
      <w:r>
        <w:rPr>
          <w:sz w:val="24"/>
        </w:rPr>
        <mc:AlternateContent>
          <mc:Choice Requires="wps">
            <w:drawing>
              <wp:anchor distT="0" distB="0" distL="114300" distR="114300" simplePos="0" relativeHeight="251653120" behindDoc="0" locked="0" layoutInCell="1" allowOverlap="1">
                <wp:simplePos x="0" y="0"/>
                <wp:positionH relativeFrom="column">
                  <wp:posOffset>1931035</wp:posOffset>
                </wp:positionH>
                <wp:positionV relativeFrom="paragraph">
                  <wp:posOffset>77470</wp:posOffset>
                </wp:positionV>
                <wp:extent cx="505460" cy="229870"/>
                <wp:effectExtent l="4445" t="4445" r="23495" b="13335"/>
                <wp:wrapNone/>
                <wp:docPr id="152" name="自选图形 335"/>
                <wp:cNvGraphicFramePr/>
                <a:graphic xmlns:a="http://schemas.openxmlformats.org/drawingml/2006/main">
                  <a:graphicData uri="http://schemas.microsoft.com/office/word/2010/wordprocessingShape">
                    <wps:wsp>
                      <wps:cNvSpPr/>
                      <wps:spPr>
                        <a:xfrm>
                          <a:off x="0" y="0"/>
                          <a:ext cx="505460" cy="22987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自选图形 335" o:spid="_x0000_s1026" o:spt="100" style="position:absolute;left:0pt;margin-left:152.05pt;margin-top:6.1pt;height:18.1pt;width:39.8pt;z-index:251653120;mso-width-relative:page;mso-height-relative:page;" filled="f" stroked="t" coordsize="21600,21600" o:gfxdata="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SMdo3&#10;2AAAAAkBAAAPAAAAAAAAAAEAIAAAACIAAABkcnMvZG93bnJldi54bWxQSwECFAAUAAAACACHTuJA&#10;+1NtNT4DAAAfCQAADgAAAAAAAAABACAAAAAnAQAAZHJzL2Uyb0RvYy54bWxQSwUGAAAAAAYABgBZ&#10;AQAA1wY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color="#000000" joinstyle="round"/>
                <v:imagedata o:title=""/>
                <o:lock v:ext="edit" aspectratio="f"/>
              </v:shape>
            </w:pict>
          </mc:Fallback>
        </mc:AlternateContent>
      </w:r>
    </w:p>
    <w:p>
      <w:pPr>
        <w:rPr>
          <w:sz w:val="24"/>
        </w:rPr>
      </w:pPr>
      <w:r>
        <w:rPr>
          <w:sz w:val="24"/>
        </w:rPr>
        <mc:AlternateContent>
          <mc:Choice Requires="wps">
            <w:drawing>
              <wp:anchor distT="0" distB="0" distL="114300" distR="114300" simplePos="0" relativeHeight="251654144" behindDoc="0" locked="0" layoutInCell="1" allowOverlap="1">
                <wp:simplePos x="0" y="0"/>
                <wp:positionH relativeFrom="column">
                  <wp:posOffset>2193290</wp:posOffset>
                </wp:positionH>
                <wp:positionV relativeFrom="paragraph">
                  <wp:posOffset>129540</wp:posOffset>
                </wp:positionV>
                <wp:extent cx="635" cy="243840"/>
                <wp:effectExtent l="48895" t="0" r="64770" b="3810"/>
                <wp:wrapNone/>
                <wp:docPr id="153" name="直线 336"/>
                <wp:cNvGraphicFramePr/>
                <a:graphic xmlns:a="http://schemas.openxmlformats.org/drawingml/2006/main">
                  <a:graphicData uri="http://schemas.microsoft.com/office/word/2010/wordprocessingShape">
                    <wps:wsp>
                      <wps:cNvSpPr/>
                      <wps:spPr>
                        <a:xfrm>
                          <a:off x="0" y="0"/>
                          <a:ext cx="635" cy="2438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36" o:spid="_x0000_s1026" o:spt="20" style="position:absolute;left:0pt;margin-left:172.7pt;margin-top:10.2pt;height:19.2pt;width:0.05pt;z-index:251654144;mso-width-relative:page;mso-height-relative:page;" filled="f" stroked="t" coordsize="21600,21600" o:gfxdata="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Qgvn2QAAAAkBAAAPAAAAAAAAAAEAIAAAACIAAABkcnMvZG93bnJldi54bWxQSwEC&#10;FAAUAAAACACHTuJA3t7JDvMBAADhAwAADgAAAAAAAAABACAAAAAoAQAAZHJzL2Uyb0RvYy54bWxQ&#10;SwUGAAAAAAYABgBZAQAAjQUAAAAA&#10;">
                <v:fill on="f" focussize="0,0"/>
                <v:stroke color="#000000" joinstyle="round" endarrow="open"/>
                <v:imagedata o:title=""/>
                <o:lock v:ext="edit" aspectratio="f"/>
              </v:line>
            </w:pict>
          </mc:Fallback>
        </mc:AlternateContent>
      </w:r>
    </w:p>
    <w:p>
      <w:pPr>
        <w:rPr>
          <w:sz w:val="24"/>
        </w:rPr>
      </w:pPr>
      <w:r>
        <w:rPr>
          <w:sz w:val="24"/>
        </w:rPr>
        <mc:AlternateContent>
          <mc:Choice Requires="wps">
            <w:drawing>
              <wp:anchor distT="0" distB="0" distL="114300" distR="114300" simplePos="0" relativeHeight="251657216" behindDoc="0" locked="0" layoutInCell="1" allowOverlap="1">
                <wp:simplePos x="0" y="0"/>
                <wp:positionH relativeFrom="column">
                  <wp:posOffset>1477645</wp:posOffset>
                </wp:positionH>
                <wp:positionV relativeFrom="paragraph">
                  <wp:posOffset>184785</wp:posOffset>
                </wp:positionV>
                <wp:extent cx="7620" cy="773430"/>
                <wp:effectExtent l="48260" t="0" r="58420" b="7620"/>
                <wp:wrapNone/>
                <wp:docPr id="158" name="直线 337"/>
                <wp:cNvGraphicFramePr/>
                <a:graphic xmlns:a="http://schemas.openxmlformats.org/drawingml/2006/main">
                  <a:graphicData uri="http://schemas.microsoft.com/office/word/2010/wordprocessingShape">
                    <wps:wsp>
                      <wps:cNvSpPr/>
                      <wps:spPr>
                        <a:xfrm flipH="1">
                          <a:off x="0" y="0"/>
                          <a:ext cx="7620" cy="773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37" o:spid="_x0000_s1026" o:spt="20" style="position:absolute;left:0pt;flip:x;margin-left:116.35pt;margin-top:14.55pt;height:60.9pt;width:0.6pt;z-index:251657216;mso-width-relative:page;mso-height-relative:page;" filled="f" stroked="t" coordsize="21600,21600" o:gfxdata="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yOdizZAAAACgEAAA8AAAAAAAAAAQAgAAAAIgAAAGRycy9kb3ducmV2&#10;LnhtbFBLAQIUABQAAAAIAIdO4kCXzftH+wEAAOwDAAAOAAAAAAAAAAEAIAAAACgBAABkcnMvZTJv&#10;RG9jLnhtbFBLBQYAAAAABgAGAFkBAACVBQ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3799840</wp:posOffset>
                </wp:positionH>
                <wp:positionV relativeFrom="paragraph">
                  <wp:posOffset>31115</wp:posOffset>
                </wp:positionV>
                <wp:extent cx="635" cy="923290"/>
                <wp:effectExtent l="4445" t="0" r="13970" b="10160"/>
                <wp:wrapNone/>
                <wp:docPr id="162" name="直线 338"/>
                <wp:cNvGraphicFramePr/>
                <a:graphic xmlns:a="http://schemas.openxmlformats.org/drawingml/2006/main">
                  <a:graphicData uri="http://schemas.microsoft.com/office/word/2010/wordprocessingShape">
                    <wps:wsp>
                      <wps:cNvSpPr/>
                      <wps:spPr>
                        <a:xfrm flipV="1">
                          <a:off x="0" y="0"/>
                          <a:ext cx="635" cy="9232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38" o:spid="_x0000_s1026" o:spt="20" style="position:absolute;left:0pt;flip:y;margin-left:299.2pt;margin-top:2.45pt;height:72.7pt;width:0.05pt;z-index:251661312;mso-width-relative:page;mso-height-relative:page;" filled="f" stroked="t" coordsize="21600,21600" o:gfxdata="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xjx11gAAAAkBAAAPAAAAAAAAAAEAIAAAACIAAABkcnMvZG93bnJldi54bWxQSwECFAAU&#10;AAAACACHTuJACjSXj/MBAADqAwAADgAAAAAAAAABACAAAAAlAQAAZHJzL2Uyb0RvYy54bWxQSwUG&#10;AAAAAAYABgBZAQAAig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56192" behindDoc="0" locked="0" layoutInCell="1" allowOverlap="1">
                <wp:simplePos x="0" y="0"/>
                <wp:positionH relativeFrom="column">
                  <wp:posOffset>2877820</wp:posOffset>
                </wp:positionH>
                <wp:positionV relativeFrom="paragraph">
                  <wp:posOffset>181610</wp:posOffset>
                </wp:positionV>
                <wp:extent cx="635" cy="298450"/>
                <wp:effectExtent l="48895" t="0" r="64770" b="6350"/>
                <wp:wrapNone/>
                <wp:docPr id="157" name="直线 339"/>
                <wp:cNvGraphicFramePr/>
                <a:graphic xmlns:a="http://schemas.openxmlformats.org/drawingml/2006/main">
                  <a:graphicData uri="http://schemas.microsoft.com/office/word/2010/wordprocessingShape">
                    <wps:wsp>
                      <wps:cNvSpPr/>
                      <wps:spPr>
                        <a:xfrm>
                          <a:off x="0" y="0"/>
                          <a:ext cx="635" cy="298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39" o:spid="_x0000_s1026" o:spt="20" style="position:absolute;left:0pt;margin-left:226.6pt;margin-top:14.3pt;height:23.5pt;width:0.05pt;z-index:251656192;mso-width-relative:page;mso-height-relative:page;" filled="f" stroked="t" coordsize="21600,21600" o:gfxdata="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s6Ra2QAAAAkBAAAPAAAAAAAAAAEAIAAAACIAAABkcnMvZG93bnJldi54bWxQSwEC&#10;FAAUAAAACACHTuJAmGEZg/MBAADhAwAADgAAAAAAAAABACAAAAAoAQAAZHJzL2Uyb0RvYy54bWxQ&#10;SwUGAAAAAAYABgBZAQAAjQUAAAAA&#10;">
                <v:fill on="f" focussize="0,0"/>
                <v:stroke color="#000000" joinstyle="round" endarrow="open"/>
                <v:imagedata o:title=""/>
                <o:lock v:ext="edit" aspectratio="f"/>
              </v:line>
            </w:pict>
          </mc:Fallback>
        </mc:AlternateContent>
      </w:r>
      <w:r>
        <w:rPr>
          <w:sz w:val="24"/>
        </w:rPr>
        <mc:AlternateContent>
          <mc:Choice Requires="wpg">
            <w:drawing>
              <wp:anchor distT="0" distB="0" distL="114300" distR="114300" simplePos="0" relativeHeight="251655168" behindDoc="0" locked="0" layoutInCell="1" allowOverlap="1">
                <wp:simplePos x="0" y="0"/>
                <wp:positionH relativeFrom="column">
                  <wp:posOffset>1463675</wp:posOffset>
                </wp:positionH>
                <wp:positionV relativeFrom="paragraph">
                  <wp:posOffset>180340</wp:posOffset>
                </wp:positionV>
                <wp:extent cx="1442085" cy="72390"/>
                <wp:effectExtent l="0" t="13970" r="5715" b="0"/>
                <wp:wrapNone/>
                <wp:docPr id="156" name="组合 340"/>
                <wp:cNvGraphicFramePr/>
                <a:graphic xmlns:a="http://schemas.openxmlformats.org/drawingml/2006/main">
                  <a:graphicData uri="http://schemas.microsoft.com/office/word/2010/wordprocessingGroup">
                    <wpg:wgp>
                      <wpg:cNvGrpSpPr/>
                      <wpg:grpSpPr>
                        <a:xfrm>
                          <a:off x="0" y="0"/>
                          <a:ext cx="1442085" cy="72390"/>
                          <a:chOff x="4422" y="413520"/>
                          <a:chExt cx="2271" cy="114"/>
                        </a:xfrm>
                      </wpg:grpSpPr>
                      <wps:wsp>
                        <wps:cNvPr id="154" name="直线 341"/>
                        <wps:cNvSpPr/>
                        <wps:spPr>
                          <a:xfrm>
                            <a:off x="4435" y="413520"/>
                            <a:ext cx="2259" cy="1"/>
                          </a:xfrm>
                          <a:prstGeom prst="line">
                            <a:avLst/>
                          </a:prstGeom>
                          <a:ln w="28575" cap="flat" cmpd="sng">
                            <a:solidFill>
                              <a:srgbClr val="000000"/>
                            </a:solidFill>
                            <a:prstDash val="solid"/>
                            <a:headEnd type="none" w="med" len="med"/>
                            <a:tailEnd type="none" w="med" len="med"/>
                          </a:ln>
                        </wps:spPr>
                        <wps:bodyPr upright="1"/>
                      </wps:wsp>
                      <wps:wsp>
                        <wps:cNvPr id="155" name="直线 342"/>
                        <wps:cNvSpPr/>
                        <wps:spPr>
                          <a:xfrm>
                            <a:off x="4422" y="413634"/>
                            <a:ext cx="2259"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340" o:spid="_x0000_s1026" o:spt="203" style="position:absolute;left:0pt;margin-left:115.25pt;margin-top:14.2pt;height:5.7pt;width:113.55pt;z-index:251655168;mso-width-relative:page;mso-height-relative:page;" coordorigin="4422,413520" coordsize="2271,114" o:gfxdata="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LOqLNoAAAAJAQAADwAA&#10;AAAAAAABACAAAAAiAAAAZHJzL2Rvd25yZXYueG1sUEsBAhQAFAAAAAgAh07iQE2kDWWGAgAAHwcA&#10;AA4AAAAAAAAAAQAgAAAAKQEAAGRycy9lMm9Eb2MueG1sUEsFBgAAAAAGAAYAWQEAACEGAAAAAA==&#10;">
                <o:lock v:ext="edit" aspectratio="f"/>
                <v:line id="直线 341" o:spid="_x0000_s1026" o:spt="20" style="position:absolute;left:4435;top:413520;height:1;width:2259;" filled="f" stroked="t" coordsize="21600,21600" o:gfxdata="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omhrsAAADc&#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line id="直线 342" o:spid="_x0000_s1026" o:spt="20" style="position:absolute;left:4422;top:413634;height:1;width:2259;"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2195195</wp:posOffset>
                </wp:positionH>
                <wp:positionV relativeFrom="paragraph">
                  <wp:posOffset>52070</wp:posOffset>
                </wp:positionV>
                <wp:extent cx="1617345" cy="635"/>
                <wp:effectExtent l="0" t="48260" r="1905" b="65405"/>
                <wp:wrapNone/>
                <wp:docPr id="163" name="直线 343"/>
                <wp:cNvGraphicFramePr/>
                <a:graphic xmlns:a="http://schemas.openxmlformats.org/drawingml/2006/main">
                  <a:graphicData uri="http://schemas.microsoft.com/office/word/2010/wordprocessingShape">
                    <wps:wsp>
                      <wps:cNvSpPr/>
                      <wps:spPr>
                        <a:xfrm flipH="1">
                          <a:off x="0" y="0"/>
                          <a:ext cx="16173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43" o:spid="_x0000_s1026" o:spt="20" style="position:absolute;left:0pt;flip:x;margin-left:172.85pt;margin-top:4.1pt;height:0.05pt;width:127.35pt;z-index:251662336;mso-width-relative:page;mso-height-relative:page;" filled="f" stroked="t" coordsize="21600,21600" o:gfxdata="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TP4ufWAAAABwEAAA8AAAAAAAAAAQAgAAAAIgAAAGRycy9kb3ducmV2LnhtbFBL&#10;AQIUABQAAAAIAIdO4kDh688W+AEAAOwDAAAOAAAAAAAAAAEAIAAAACUBAABkcnMvZTJvRG9jLnht&#10;bFBLBQYAAAAABgAGAFkBAACPBQAAAAA=&#10;">
                <v:fill on="f" focussize="0,0"/>
                <v:stroke color="#000000" joinstyle="round" endarrow="open"/>
                <v:imagedata o:title=""/>
                <o:lock v:ext="edit" aspectratio="f"/>
              </v:line>
            </w:pict>
          </mc:Fallback>
        </mc:AlternateContent>
      </w:r>
    </w:p>
    <w:p>
      <w:pPr>
        <w:rPr>
          <w:sz w:val="24"/>
        </w:rPr>
      </w:pPr>
      <w:r>
        <w:rPr>
          <w:sz w:val="24"/>
        </w:rPr>
        <mc:AlternateContent>
          <mc:Choice Requires="wps">
            <w:drawing>
              <wp:anchor distT="0" distB="0" distL="114300" distR="114300" simplePos="0" relativeHeight="251694080" behindDoc="0" locked="0" layoutInCell="1" allowOverlap="1">
                <wp:simplePos x="0" y="0"/>
                <wp:positionH relativeFrom="column">
                  <wp:posOffset>1894840</wp:posOffset>
                </wp:positionH>
                <wp:positionV relativeFrom="paragraph">
                  <wp:posOffset>24130</wp:posOffset>
                </wp:positionV>
                <wp:extent cx="653415" cy="298450"/>
                <wp:effectExtent l="0" t="0" r="0" b="0"/>
                <wp:wrapNone/>
                <wp:docPr id="202" name="矩形 344"/>
                <wp:cNvGraphicFramePr/>
                <a:graphic xmlns:a="http://schemas.openxmlformats.org/drawingml/2006/main">
                  <a:graphicData uri="http://schemas.microsoft.com/office/word/2010/wordprocessingShape">
                    <wps:wsp>
                      <wps:cNvSpPr/>
                      <wps:spPr>
                        <a:xfrm>
                          <a:off x="0" y="0"/>
                          <a:ext cx="653415" cy="298450"/>
                        </a:xfrm>
                        <a:prstGeom prst="rect">
                          <a:avLst/>
                        </a:prstGeom>
                        <a:noFill/>
                        <a:ln>
                          <a:noFill/>
                        </a:ln>
                      </wps:spPr>
                      <wps:txbx>
                        <w:txbxContent>
                          <w:p>
                            <w:pPr>
                              <w:jc w:val="center"/>
                            </w:pPr>
                            <w:r>
                              <w:rPr>
                                <w:rFonts w:hint="eastAsia"/>
                              </w:rPr>
                              <w:t>筛分</w:t>
                            </w:r>
                          </w:p>
                        </w:txbxContent>
                      </wps:txbx>
                      <wps:bodyPr upright="1"/>
                    </wps:wsp>
                  </a:graphicData>
                </a:graphic>
              </wp:anchor>
            </w:drawing>
          </mc:Choice>
          <mc:Fallback>
            <w:pict>
              <v:rect id="矩形 344" o:spid="_x0000_s1026" o:spt="1" style="position:absolute;left:0pt;margin-left:149.2pt;margin-top:1.9pt;height:23.5pt;width:51.45pt;z-index:251694080;mso-width-relative:page;mso-height-relative:page;" filled="f" stroked="f" coordsize="21600,21600" o:gfxdata="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A5HWtkAAAAIAQAA&#10;DwAAAAAAAAABACAAAAAiAAAAZHJzL2Rvd25yZXYueG1sUEsBAhQAFAAAAAgAh07iQI07o+KmAQAA&#10;RAMAAA4AAAAAAAAAAQAgAAAAKAEAAGRycy9lMm9Eb2MueG1sUEsFBgAAAAAGAAYAWQEAAEAFAAAA&#10;AA==&#10;">
                <v:fill on="f" focussize="0,0"/>
                <v:stroke on="f"/>
                <v:imagedata o:title=""/>
                <o:lock v:ext="edit" aspectratio="f"/>
                <v:textbox>
                  <w:txbxContent>
                    <w:p>
                      <w:pPr>
                        <w:jc w:val="center"/>
                      </w:pPr>
                      <w:r>
                        <w:rPr>
                          <w:rFonts w:hint="eastAsia"/>
                        </w:rPr>
                        <w:t>筛分</w:t>
                      </w:r>
                    </w:p>
                  </w:txbxContent>
                </v:textbox>
              </v:rect>
            </w:pict>
          </mc:Fallback>
        </mc:AlternateContent>
      </w:r>
    </w:p>
    <w:p>
      <w:pPr>
        <w:rPr>
          <w:sz w:val="24"/>
        </w:rPr>
      </w:pPr>
      <w:r>
        <w:rPr>
          <w:sz w:val="24"/>
        </w:rPr>
        <mc:AlternateContent>
          <mc:Choice Requires="wps">
            <w:drawing>
              <wp:anchor distT="0" distB="0" distL="114300" distR="114300" simplePos="0" relativeHeight="251695104" behindDoc="0" locked="0" layoutInCell="1" allowOverlap="1">
                <wp:simplePos x="0" y="0"/>
                <wp:positionH relativeFrom="column">
                  <wp:posOffset>3055620</wp:posOffset>
                </wp:positionH>
                <wp:positionV relativeFrom="paragraph">
                  <wp:posOffset>19685</wp:posOffset>
                </wp:positionV>
                <wp:extent cx="653415" cy="298450"/>
                <wp:effectExtent l="0" t="0" r="0" b="0"/>
                <wp:wrapNone/>
                <wp:docPr id="203" name="矩形 345"/>
                <wp:cNvGraphicFramePr/>
                <a:graphic xmlns:a="http://schemas.openxmlformats.org/drawingml/2006/main">
                  <a:graphicData uri="http://schemas.microsoft.com/office/word/2010/wordprocessingShape">
                    <wps:wsp>
                      <wps:cNvSpPr/>
                      <wps:spPr>
                        <a:xfrm>
                          <a:off x="0" y="0"/>
                          <a:ext cx="653415" cy="298450"/>
                        </a:xfrm>
                        <a:prstGeom prst="rect">
                          <a:avLst/>
                        </a:prstGeom>
                        <a:noFill/>
                        <a:ln>
                          <a:noFill/>
                        </a:ln>
                      </wps:spPr>
                      <wps:txbx>
                        <w:txbxContent>
                          <w:p>
                            <w:r>
                              <w:rPr>
                                <w:rFonts w:hint="eastAsia"/>
                              </w:rPr>
                              <w:t>细碎</w:t>
                            </w:r>
                          </w:p>
                        </w:txbxContent>
                      </wps:txbx>
                      <wps:bodyPr upright="1"/>
                    </wps:wsp>
                  </a:graphicData>
                </a:graphic>
              </wp:anchor>
            </w:drawing>
          </mc:Choice>
          <mc:Fallback>
            <w:pict>
              <v:rect id="矩形 345" o:spid="_x0000_s1026" o:spt="1" style="position:absolute;left:0pt;margin-left:240.6pt;margin-top:1.55pt;height:23.5pt;width:51.45pt;z-index:251695104;mso-width-relative:page;mso-height-relative:page;" filled="f" stroked="f" coordsize="21600,21600" o:gfxdata="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RVQbjYAAAACAEAAA8A&#10;AAAAAAAAAQAgAAAAIgAAAGRycy9kb3ducmV2LnhtbFBLAQIUABQAAAAIAIdO4kB6J/nzpQEAAEQD&#10;AAAOAAAAAAAAAAEAIAAAACcBAABkcnMvZTJvRG9jLnhtbFBLBQYAAAAABgAGAFkBAAA+BQAAAAA=&#10;">
                <v:fill on="f" focussize="0,0"/>
                <v:stroke on="f"/>
                <v:imagedata o:title=""/>
                <o:lock v:ext="edit" aspectratio="f"/>
                <v:textbox>
                  <w:txbxContent>
                    <w:p>
                      <w:r>
                        <w:rPr>
                          <w:rFonts w:hint="eastAsia"/>
                        </w:rPr>
                        <w:t>细碎</w:t>
                      </w:r>
                    </w:p>
                  </w:txbxContent>
                </v:textbox>
              </v:rect>
            </w:pict>
          </mc:Fallback>
        </mc:AlternateContent>
      </w:r>
      <w:r>
        <w:rPr>
          <w:sz w:val="24"/>
        </w:rPr>
        <mc:AlternateContent>
          <mc:Choice Requires="wps">
            <w:drawing>
              <wp:anchor distT="0" distB="0" distL="114300" distR="114300" simplePos="0" relativeHeight="251658240" behindDoc="0" locked="0" layoutInCell="1" allowOverlap="1">
                <wp:simplePos x="0" y="0"/>
                <wp:positionH relativeFrom="column">
                  <wp:posOffset>2624455</wp:posOffset>
                </wp:positionH>
                <wp:positionV relativeFrom="paragraph">
                  <wp:posOffset>78740</wp:posOffset>
                </wp:positionV>
                <wp:extent cx="505460" cy="229870"/>
                <wp:effectExtent l="4445" t="4445" r="23495" b="13335"/>
                <wp:wrapNone/>
                <wp:docPr id="159" name="自选图形 346"/>
                <wp:cNvGraphicFramePr/>
                <a:graphic xmlns:a="http://schemas.openxmlformats.org/drawingml/2006/main">
                  <a:graphicData uri="http://schemas.microsoft.com/office/word/2010/wordprocessingShape">
                    <wps:wsp>
                      <wps:cNvSpPr/>
                      <wps:spPr>
                        <a:xfrm>
                          <a:off x="0" y="0"/>
                          <a:ext cx="505460" cy="22987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自选图形 346" o:spid="_x0000_s1026" o:spt="100" style="position:absolute;left:0pt;margin-left:206.65pt;margin-top:6.2pt;height:18.1pt;width:39.8pt;z-index:251658240;mso-width-relative:page;mso-height-relative:page;" filled="f" stroked="t" coordsize="21600,21600" o:gfxdata="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JjOYhHX&#10;AAAACQEAAA8AAAAAAAAAAQAgAAAAIgAAAGRycy9kb3ducmV2LnhtbFBLAQIUABQAAAAIAIdO4kDW&#10;PMtwPgMAAB8JAAAOAAAAAAAAAAEAIAAAACYBAABkcnMvZTJvRG9jLnhtbFBLBQYAAAAABgAGAFkB&#10;AADWBg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color="#000000" joinstyle="round"/>
                <v:imagedata o:title=""/>
                <o:lock v:ext="edit" aspectratio="f"/>
              </v:shape>
            </w:pict>
          </mc:Fallback>
        </mc:AlternateContent>
      </w:r>
    </w:p>
    <w:p>
      <w:pPr>
        <w:rPr>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2874010</wp:posOffset>
                </wp:positionH>
                <wp:positionV relativeFrom="paragraph">
                  <wp:posOffset>105410</wp:posOffset>
                </wp:positionV>
                <wp:extent cx="635" cy="252095"/>
                <wp:effectExtent l="4445" t="0" r="13970" b="14605"/>
                <wp:wrapNone/>
                <wp:docPr id="160" name="直线 347"/>
                <wp:cNvGraphicFramePr/>
                <a:graphic xmlns:a="http://schemas.openxmlformats.org/drawingml/2006/main">
                  <a:graphicData uri="http://schemas.microsoft.com/office/word/2010/wordprocessingShape">
                    <wps:wsp>
                      <wps:cNvSpPr/>
                      <wps:spPr>
                        <a:xfrm>
                          <a:off x="0" y="0"/>
                          <a:ext cx="635" cy="2520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7" o:spid="_x0000_s1026" o:spt="20" style="position:absolute;left:0pt;margin-left:226.3pt;margin-top:8.3pt;height:19.85pt;width:0.05pt;z-index:251659264;mso-width-relative:page;mso-height-relative:page;" filled="f" stroked="t" coordsize="21600,21600" o:gfxdata="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oB&#10;QdcAAAAJAQAADwAAAAAAAAABACAAAAAiAAAAZHJzL2Rvd25yZXYueG1sUEsBAhQAFAAAAAgAh07i&#10;QGkroULqAQAA4AMAAA4AAAAAAAAAAQAgAAAAJgEAAGRycy9lMm9Eb2MueG1sUEsFBgAAAAAGAAYA&#10;WQEAAIIFAAAAAA==&#10;">
                <v:fill on="f" focussize="0,0"/>
                <v:stroke color="#000000" joinstyle="round"/>
                <v:imagedata o:title=""/>
                <o:lock v:ext="edit" aspectratio="f"/>
              </v:line>
            </w:pict>
          </mc:Fallback>
        </mc:AlternateContent>
      </w:r>
    </w:p>
    <w:p>
      <w:pPr>
        <w:rPr>
          <w:sz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787400</wp:posOffset>
                </wp:positionH>
                <wp:positionV relativeFrom="paragraph">
                  <wp:posOffset>168275</wp:posOffset>
                </wp:positionV>
                <wp:extent cx="635" cy="332105"/>
                <wp:effectExtent l="48895" t="0" r="64770" b="10795"/>
                <wp:wrapNone/>
                <wp:docPr id="167" name="直线 348"/>
                <wp:cNvGraphicFramePr/>
                <a:graphic xmlns:a="http://schemas.openxmlformats.org/drawingml/2006/main">
                  <a:graphicData uri="http://schemas.microsoft.com/office/word/2010/wordprocessingShape">
                    <wps:wsp>
                      <wps:cNvSpPr/>
                      <wps:spPr>
                        <a:xfrm>
                          <a:off x="0" y="0"/>
                          <a:ext cx="635" cy="3321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48" o:spid="_x0000_s1026" o:spt="20" style="position:absolute;left:0pt;margin-left:62pt;margin-top:13.25pt;height:26.15pt;width:0.05pt;z-index:251664384;mso-width-relative:page;mso-height-relative:page;" filled="f" stroked="t" coordsize="21600,21600" o:gfxdata="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6Smp2QAAAAkBAAAPAAAAAAAAAAEAIAAAACIAAABkcnMvZG93bnJldi54bWxQSwECFAAU&#10;AAAACACHTuJAQXfSI/ABAADhAwAADgAAAAAAAAABACAAAAAoAQAAZHJzL2Uyb0RvYy54bWxQSwUG&#10;AAAAAAYABgBZAQAAigU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2187575</wp:posOffset>
                </wp:positionH>
                <wp:positionV relativeFrom="paragraph">
                  <wp:posOffset>191135</wp:posOffset>
                </wp:positionV>
                <wp:extent cx="635" cy="780415"/>
                <wp:effectExtent l="48895" t="0" r="64770" b="635"/>
                <wp:wrapNone/>
                <wp:docPr id="168" name="直线 349"/>
                <wp:cNvGraphicFramePr/>
                <a:graphic xmlns:a="http://schemas.openxmlformats.org/drawingml/2006/main">
                  <a:graphicData uri="http://schemas.microsoft.com/office/word/2010/wordprocessingShape">
                    <wps:wsp>
                      <wps:cNvSpPr/>
                      <wps:spPr>
                        <a:xfrm>
                          <a:off x="0" y="0"/>
                          <a:ext cx="635" cy="780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49" o:spid="_x0000_s1026" o:spt="20" style="position:absolute;left:0pt;margin-left:172.25pt;margin-top:15.05pt;height:61.45pt;width:0.05pt;z-index:251665408;mso-width-relative:page;mso-height-relative:page;" filled="f" stroked="t" coordsize="21600,21600" o:gfxdata="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iRrRjYAAAACgEAAA8AAAAAAAAAAQAgAAAAIgAAAGRycy9kb3ducmV2LnhtbFBLAQIUABQA&#10;AAAIAIdO4kA/67kv8AEAAOEDAAAOAAAAAAAAAAEAIAAAACcBAABkcnMvZTJvRG9jLnhtbFBLBQYA&#10;AAAABgAGAFkBAACJBQAAAAA=&#10;">
                <v:fill on="f" focussize="0,0"/>
                <v:stroke color="#000000" joinstyle="round" endarrow="open"/>
                <v:imagedata o:title=""/>
                <o:lock v:ext="edit" aspectratio="f"/>
              </v:line>
            </w:pict>
          </mc:Fallback>
        </mc:AlternateContent>
      </w:r>
      <w:r>
        <w:rPr>
          <w:sz w:val="24"/>
        </w:rPr>
        <mc:AlternateContent>
          <mc:Choice Requires="wpg">
            <w:drawing>
              <wp:anchor distT="0" distB="0" distL="114300" distR="114300" simplePos="0" relativeHeight="251663360" behindDoc="0" locked="0" layoutInCell="1" allowOverlap="1">
                <wp:simplePos x="0" y="0"/>
                <wp:positionH relativeFrom="column">
                  <wp:posOffset>764540</wp:posOffset>
                </wp:positionH>
                <wp:positionV relativeFrom="paragraph">
                  <wp:posOffset>187325</wp:posOffset>
                </wp:positionV>
                <wp:extent cx="1442085" cy="72390"/>
                <wp:effectExtent l="0" t="13970" r="5715" b="0"/>
                <wp:wrapNone/>
                <wp:docPr id="166" name="组合 350"/>
                <wp:cNvGraphicFramePr/>
                <a:graphic xmlns:a="http://schemas.openxmlformats.org/drawingml/2006/main">
                  <a:graphicData uri="http://schemas.microsoft.com/office/word/2010/wordprocessingGroup">
                    <wpg:wgp>
                      <wpg:cNvGrpSpPr/>
                      <wpg:grpSpPr>
                        <a:xfrm>
                          <a:off x="0" y="0"/>
                          <a:ext cx="1442085" cy="72390"/>
                          <a:chOff x="4422" y="413520"/>
                          <a:chExt cx="2271" cy="114"/>
                        </a:xfrm>
                      </wpg:grpSpPr>
                      <wps:wsp>
                        <wps:cNvPr id="164" name="直线 351"/>
                        <wps:cNvSpPr/>
                        <wps:spPr>
                          <a:xfrm>
                            <a:off x="4435" y="413520"/>
                            <a:ext cx="2259" cy="1"/>
                          </a:xfrm>
                          <a:prstGeom prst="line">
                            <a:avLst/>
                          </a:prstGeom>
                          <a:ln w="28575" cap="flat" cmpd="sng">
                            <a:solidFill>
                              <a:srgbClr val="000000"/>
                            </a:solidFill>
                            <a:prstDash val="solid"/>
                            <a:headEnd type="none" w="med" len="med"/>
                            <a:tailEnd type="none" w="med" len="med"/>
                          </a:ln>
                        </wps:spPr>
                        <wps:bodyPr upright="1"/>
                      </wps:wsp>
                      <wps:wsp>
                        <wps:cNvPr id="165" name="直线 352"/>
                        <wps:cNvSpPr/>
                        <wps:spPr>
                          <a:xfrm>
                            <a:off x="4422" y="413634"/>
                            <a:ext cx="2259"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350" o:spid="_x0000_s1026" o:spt="203" style="position:absolute;left:0pt;margin-left:60.2pt;margin-top:14.75pt;height:5.7pt;width:113.55pt;z-index:251663360;mso-width-relative:page;mso-height-relative:page;" coordorigin="4422,413520" coordsize="2271,114" o:gfxdata="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3hI9NkAAAAJAQAADwAA&#10;AAAAAAABACAAAAAiAAAAZHJzL2Rvd25yZXYueG1sUEsBAhQAFAAAAAgAh07iQN1WPMiHAgAAHwcA&#10;AA4AAAAAAAAAAQAgAAAAKAEAAGRycy9lMm9Eb2MueG1sUEsFBgAAAAAGAAYAWQEAACEGAAAAAA==&#10;">
                <o:lock v:ext="edit" aspectratio="f"/>
                <v:line id="直线 351" o:spid="_x0000_s1026" o:spt="20" style="position:absolute;left:4435;top:413520;height:1;width:2259;" filled="f" stroked="t" coordsize="21600,21600" o:gfxdata="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sO7sAAADc&#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line id="直线 352" o:spid="_x0000_s1026" o:spt="20" style="position:absolute;left:4422;top:413634;height:1;width:2259;" filled="f" stroked="t" coordsize="21600,21600" o:gfxdata="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Vd8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2862580</wp:posOffset>
                </wp:positionH>
                <wp:positionV relativeFrom="paragraph">
                  <wp:posOffset>168910</wp:posOffset>
                </wp:positionV>
                <wp:extent cx="955675" cy="635"/>
                <wp:effectExtent l="0" t="0" r="0" b="0"/>
                <wp:wrapNone/>
                <wp:docPr id="161" name="直线 353"/>
                <wp:cNvGraphicFramePr/>
                <a:graphic xmlns:a="http://schemas.openxmlformats.org/drawingml/2006/main">
                  <a:graphicData uri="http://schemas.microsoft.com/office/word/2010/wordprocessingShape">
                    <wps:wsp>
                      <wps:cNvSpPr/>
                      <wps:spPr>
                        <a:xfrm>
                          <a:off x="0" y="0"/>
                          <a:ext cx="9556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53" o:spid="_x0000_s1026" o:spt="20" style="position:absolute;left:0pt;margin-left:225.4pt;margin-top:13.3pt;height:0.05pt;width:75.25pt;z-index:251660288;mso-width-relative:page;mso-height-relative:page;" filled="f" stroked="t" coordsize="21600,21600" o:gfxdata="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1yzEnX&#10;AAAACQEAAA8AAAAAAAAAAQAgAAAAIgAAAGRycy9kb3ducmV2LnhtbFBLAQIUABQAAAAIAIdO4kB5&#10;Ub5n6AEAAOADAAAOAAAAAAAAAAEAIAAAACYBAABkcnMvZTJvRG9jLnhtbFBLBQYAAAAABgAGAFkB&#10;AACABQAAAAA=&#10;">
                <v:fill on="f" focussize="0,0"/>
                <v:stroke color="#000000" joinstyle="round"/>
                <v:imagedata o:title=""/>
                <o:lock v:ext="edit" aspectratio="f"/>
              </v:line>
            </w:pict>
          </mc:Fallback>
        </mc:AlternateContent>
      </w:r>
    </w:p>
    <w:p>
      <w:pPr>
        <w:rPr>
          <w:sz w:val="24"/>
        </w:rPr>
      </w:pPr>
    </w:p>
    <w:p>
      <w:pPr>
        <w:rPr>
          <w:sz w:val="24"/>
        </w:rPr>
      </w:pPr>
      <w:r>
        <w:rPr>
          <w:sz w:val="24"/>
        </w:rPr>
        <mc:AlternateContent>
          <mc:Choice Requires="wps">
            <w:drawing>
              <wp:anchor distT="0" distB="0" distL="114300" distR="114300" simplePos="0" relativeHeight="251696128" behindDoc="0" locked="0" layoutInCell="1" allowOverlap="1">
                <wp:simplePos x="0" y="0"/>
                <wp:positionH relativeFrom="column">
                  <wp:posOffset>382905</wp:posOffset>
                </wp:positionH>
                <wp:positionV relativeFrom="paragraph">
                  <wp:posOffset>56515</wp:posOffset>
                </wp:positionV>
                <wp:extent cx="1221740" cy="298450"/>
                <wp:effectExtent l="0" t="0" r="0" b="0"/>
                <wp:wrapNone/>
                <wp:docPr id="204" name="矩形 354"/>
                <wp:cNvGraphicFramePr/>
                <a:graphic xmlns:a="http://schemas.openxmlformats.org/drawingml/2006/main">
                  <a:graphicData uri="http://schemas.microsoft.com/office/word/2010/wordprocessingShape">
                    <wps:wsp>
                      <wps:cNvSpPr/>
                      <wps:spPr>
                        <a:xfrm>
                          <a:off x="0" y="0"/>
                          <a:ext cx="1221740" cy="298450"/>
                        </a:xfrm>
                        <a:prstGeom prst="rect">
                          <a:avLst/>
                        </a:prstGeom>
                        <a:noFill/>
                        <a:ln>
                          <a:noFill/>
                        </a:ln>
                      </wps:spPr>
                      <wps:txbx>
                        <w:txbxContent>
                          <w:p>
                            <w:r>
                              <w:rPr>
                                <w:rFonts w:hint="eastAsia"/>
                              </w:rPr>
                              <w:t>废石（64t/d）</w:t>
                            </w:r>
                          </w:p>
                        </w:txbxContent>
                      </wps:txbx>
                      <wps:bodyPr upright="1"/>
                    </wps:wsp>
                  </a:graphicData>
                </a:graphic>
              </wp:anchor>
            </w:drawing>
          </mc:Choice>
          <mc:Fallback>
            <w:pict>
              <v:rect id="矩形 354" o:spid="_x0000_s1026" o:spt="1" style="position:absolute;left:0pt;margin-left:30.15pt;margin-top:4.45pt;height:23.5pt;width:96.2pt;z-index:251696128;mso-width-relative:page;mso-height-relative:page;" filled="f" stroked="f" coordsize="21600,21600" o:gfxdata="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7ZnJNkAAAAHAQAA&#10;DwAAAAAAAAABACAAAAAiAAAAZHJzL2Rvd25yZXYueG1sUEsBAhQAFAAAAAgAh07iQHnevVCmAQAA&#10;RQMAAA4AAAAAAAAAAQAgAAAAKAEAAGRycy9lMm9Eb2MueG1sUEsFBgAAAAAGAAYAWQEAAEAFAAAA&#10;AA==&#10;">
                <v:fill on="f" focussize="0,0"/>
                <v:stroke on="f"/>
                <v:imagedata o:title=""/>
                <o:lock v:ext="edit" aspectratio="f"/>
                <v:textbox>
                  <w:txbxContent>
                    <w:p>
                      <w:r>
                        <w:rPr>
                          <w:rFonts w:hint="eastAsia"/>
                        </w:rPr>
                        <w:t>废石（64t/d）</w:t>
                      </w:r>
                    </w:p>
                  </w:txbxContent>
                </v:textbox>
              </v:rect>
            </w:pict>
          </mc:Fallback>
        </mc:AlternateContent>
      </w:r>
    </w:p>
    <w:p>
      <w:pPr>
        <w:rPr>
          <w:sz w:val="24"/>
        </w:rPr>
      </w:pPr>
      <w:r>
        <w:rPr>
          <w:sz w:val="24"/>
        </w:rPr>
        <mc:AlternateContent>
          <mc:Choice Requires="wps">
            <w:drawing>
              <wp:anchor distT="0" distB="0" distL="114300" distR="114300" simplePos="0" relativeHeight="251685888" behindDoc="0" locked="0" layoutInCell="1" allowOverlap="1">
                <wp:simplePos x="0" y="0"/>
                <wp:positionH relativeFrom="column">
                  <wp:posOffset>-372110</wp:posOffset>
                </wp:positionH>
                <wp:positionV relativeFrom="paragraph">
                  <wp:posOffset>128905</wp:posOffset>
                </wp:positionV>
                <wp:extent cx="635" cy="2514600"/>
                <wp:effectExtent l="4445" t="0" r="13970" b="0"/>
                <wp:wrapNone/>
                <wp:docPr id="194" name="直线 355"/>
                <wp:cNvGraphicFramePr/>
                <a:graphic xmlns:a="http://schemas.openxmlformats.org/drawingml/2006/main">
                  <a:graphicData uri="http://schemas.microsoft.com/office/word/2010/wordprocessingShape">
                    <wps:wsp>
                      <wps:cNvSpPr/>
                      <wps:spPr>
                        <a:xfrm>
                          <a:off x="0" y="0"/>
                          <a:ext cx="635" cy="2514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55" o:spid="_x0000_s1026" o:spt="20" style="position:absolute;left:0pt;margin-left:-29.3pt;margin-top:10.15pt;height:198pt;width:0.05pt;z-index:251685888;mso-width-relative:page;mso-height-relative:page;" filled="f" stroked="t" coordsize="21600,21600" o:gfxdata="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DqCK2AAAAAoBAAAPAAAAAAAAAAEAIAAAACIAAABkcnMvZG93bnJldi54bWxQSwECFAAUAAAA&#10;CACHTuJAPFmss+4BAADhAwAADgAAAAAAAAABACAAAAAnAQAAZHJzL2Uyb0RvYy54bWxQSwUGAAAA&#10;AAYABgBZAQAAhw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4585970</wp:posOffset>
                </wp:positionH>
                <wp:positionV relativeFrom="paragraph">
                  <wp:posOffset>109855</wp:posOffset>
                </wp:positionV>
                <wp:extent cx="635" cy="1216025"/>
                <wp:effectExtent l="4445" t="0" r="13970" b="3175"/>
                <wp:wrapNone/>
                <wp:docPr id="173" name="直线 356"/>
                <wp:cNvGraphicFramePr/>
                <a:graphic xmlns:a="http://schemas.openxmlformats.org/drawingml/2006/main">
                  <a:graphicData uri="http://schemas.microsoft.com/office/word/2010/wordprocessingShape">
                    <wps:wsp>
                      <wps:cNvSpPr/>
                      <wps:spPr>
                        <a:xfrm flipV="1">
                          <a:off x="0" y="0"/>
                          <a:ext cx="635" cy="12160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56" o:spid="_x0000_s1026" o:spt="20" style="position:absolute;left:0pt;flip:y;margin-left:361.1pt;margin-top:8.65pt;height:95.75pt;width:0.05pt;z-index:251670528;mso-width-relative:page;mso-height-relative:page;" filled="f" stroked="t" coordsize="21600,21600" o:gfxdata="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yZdfWAAAACgEAAA8AAAAAAAAAAQAgAAAAIgAAAGRycy9kb3ducmV2LnhtbFBLAQIUABQA&#10;AAAIAIdO4kCP668G8gEAAOsDAAAOAAAAAAAAAAEAIAAAACUBAABkcnMvZTJvRG9jLnhtbFBLBQYA&#10;AAAABgAGAFkBAACJ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2218055</wp:posOffset>
                </wp:positionH>
                <wp:positionV relativeFrom="paragraph">
                  <wp:posOffset>133985</wp:posOffset>
                </wp:positionV>
                <wp:extent cx="2386965" cy="635"/>
                <wp:effectExtent l="0" t="48260" r="13335" b="65405"/>
                <wp:wrapNone/>
                <wp:docPr id="174" name="直线 357"/>
                <wp:cNvGraphicFramePr/>
                <a:graphic xmlns:a="http://schemas.openxmlformats.org/drawingml/2006/main">
                  <a:graphicData uri="http://schemas.microsoft.com/office/word/2010/wordprocessingShape">
                    <wps:wsp>
                      <wps:cNvSpPr/>
                      <wps:spPr>
                        <a:xfrm flipH="1">
                          <a:off x="0" y="0"/>
                          <a:ext cx="23869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57" o:spid="_x0000_s1026" o:spt="20" style="position:absolute;left:0pt;flip:x;margin-left:174.65pt;margin-top:10.55pt;height:0.05pt;width:187.95pt;z-index:251671552;mso-width-relative:page;mso-height-relative:page;" filled="f" stroked="t" coordsize="21600,21600" o:gfxdata="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0K8L7YAAAACQEAAA8AAAAAAAAAAQAgAAAAIgAAAGRycy9kb3ducmV2Lnht&#10;bFBLAQIUABQAAAAIAIdO4kAvibbf+QEAAOwDAAAOAAAAAAAAAAEAIAAAACcBAABkcnMvZTJvRG9j&#10;LnhtbFBLBQYAAAAABgAGAFkBAACSBQ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-361950</wp:posOffset>
                </wp:positionH>
                <wp:positionV relativeFrom="paragraph">
                  <wp:posOffset>134620</wp:posOffset>
                </wp:positionV>
                <wp:extent cx="2487295" cy="635"/>
                <wp:effectExtent l="0" t="48260" r="8255" b="65405"/>
                <wp:wrapNone/>
                <wp:docPr id="195" name="直线 358"/>
                <wp:cNvGraphicFramePr/>
                <a:graphic xmlns:a="http://schemas.openxmlformats.org/drawingml/2006/main">
                  <a:graphicData uri="http://schemas.microsoft.com/office/word/2010/wordprocessingShape">
                    <wps:wsp>
                      <wps:cNvSpPr/>
                      <wps:spPr>
                        <a:xfrm>
                          <a:off x="0" y="0"/>
                          <a:ext cx="24872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58" o:spid="_x0000_s1026" o:spt="20" style="position:absolute;left:0pt;margin-left:-28.5pt;margin-top:10.6pt;height:0.05pt;width:195.85pt;z-index:251686912;mso-width-relative:page;mso-height-relative:page;" filled="f" stroked="t" coordsize="21600,21600" o:gfxdata="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fwCA2gAAAAkBAAAPAAAAAAAAAAEAIAAAACIAAABkcnMvZG93bnJldi54bWxQSwECFAAU&#10;AAAACACHTuJA78opce8BAADiAwAADgAAAAAAAAABACAAAAApAQAAZHJzL2Uyb0RvYy54bWxQSwUG&#10;AAAAAAYABgBZAQAAigUAAAAA&#10;">
                <v:fill on="f" focussize="0,0"/>
                <v:stroke color="#000000" joinstyle="round" endarrow="open"/>
                <v:imagedata o:title=""/>
                <o:lock v:ext="edit" aspectratio="f"/>
              </v:line>
            </w:pict>
          </mc:Fallback>
        </mc:AlternateContent>
      </w:r>
    </w:p>
    <w:p>
      <w:pPr>
        <w:rPr>
          <w:sz w:val="24"/>
        </w:rPr>
      </w:pPr>
      <w:r>
        <w:rPr>
          <w:sz w:val="24"/>
        </w:rPr>
        <mc:AlternateContent>
          <mc:Choice Requires="wps">
            <w:drawing>
              <wp:anchor distT="0" distB="0" distL="114300" distR="114300" simplePos="0" relativeHeight="251697152" behindDoc="0" locked="0" layoutInCell="1" allowOverlap="1">
                <wp:simplePos x="0" y="0"/>
                <wp:positionH relativeFrom="column">
                  <wp:posOffset>2444115</wp:posOffset>
                </wp:positionH>
                <wp:positionV relativeFrom="paragraph">
                  <wp:posOffset>177165</wp:posOffset>
                </wp:positionV>
                <wp:extent cx="653415" cy="298450"/>
                <wp:effectExtent l="0" t="0" r="0" b="0"/>
                <wp:wrapNone/>
                <wp:docPr id="205" name="矩形 359"/>
                <wp:cNvGraphicFramePr/>
                <a:graphic xmlns:a="http://schemas.openxmlformats.org/drawingml/2006/main">
                  <a:graphicData uri="http://schemas.microsoft.com/office/word/2010/wordprocessingShape">
                    <wps:wsp>
                      <wps:cNvSpPr/>
                      <wps:spPr>
                        <a:xfrm>
                          <a:off x="0" y="0"/>
                          <a:ext cx="653415" cy="298450"/>
                        </a:xfrm>
                        <a:prstGeom prst="rect">
                          <a:avLst/>
                        </a:prstGeom>
                        <a:noFill/>
                        <a:ln>
                          <a:noFill/>
                        </a:ln>
                      </wps:spPr>
                      <wps:txbx>
                        <w:txbxContent>
                          <w:p>
                            <w:r>
                              <w:rPr>
                                <w:rFonts w:hint="eastAsia"/>
                              </w:rPr>
                              <w:t>磨矿</w:t>
                            </w:r>
                          </w:p>
                        </w:txbxContent>
                      </wps:txbx>
                      <wps:bodyPr upright="1"/>
                    </wps:wsp>
                  </a:graphicData>
                </a:graphic>
              </wp:anchor>
            </w:drawing>
          </mc:Choice>
          <mc:Fallback>
            <w:pict>
              <v:rect id="矩形 359" o:spid="_x0000_s1026" o:spt="1" style="position:absolute;left:0pt;margin-left:192.45pt;margin-top:13.95pt;height:23.5pt;width:51.45pt;z-index:251697152;mso-width-relative:page;mso-height-relative:page;" filled="f" stroked="f" coordsize="21600,21600" o:gfxdata="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YYd8NkAAAAJAQAA&#10;DwAAAAAAAAABACAAAAAiAAAAZHJzL2Rvd25yZXYueG1sUEsBAhQAFAAAAAgAh07iQDsJ87ymAQAA&#10;RAMAAA4AAAAAAAAAAQAgAAAAKAEAAGRycy9lMm9Eb2MueG1sUEsFBgAAAAAGAAYAWQEAAEAFAAAA&#10;AA==&#10;">
                <v:fill on="f" focussize="0,0"/>
                <v:stroke on="f"/>
                <v:imagedata o:title=""/>
                <o:lock v:ext="edit" aspectratio="f"/>
                <v:textbox>
                  <w:txbxContent>
                    <w:p>
                      <w:r>
                        <w:rPr>
                          <w:rFonts w:hint="eastAsia"/>
                        </w:rPr>
                        <w:t>磨矿</w:t>
                      </w:r>
                    </w:p>
                  </w:txbxContent>
                </v:textbox>
              </v:rect>
            </w:pict>
          </mc:Fallback>
        </mc:AlternateContent>
      </w:r>
    </w:p>
    <w:p>
      <w:pPr>
        <w:rPr>
          <w:sz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1954530</wp:posOffset>
                </wp:positionH>
                <wp:positionV relativeFrom="paragraph">
                  <wp:posOffset>28575</wp:posOffset>
                </wp:positionV>
                <wp:extent cx="505460" cy="229870"/>
                <wp:effectExtent l="4445" t="4445" r="23495" b="13335"/>
                <wp:wrapNone/>
                <wp:docPr id="169" name="自选图形 360"/>
                <wp:cNvGraphicFramePr/>
                <a:graphic xmlns:a="http://schemas.openxmlformats.org/drawingml/2006/main">
                  <a:graphicData uri="http://schemas.microsoft.com/office/word/2010/wordprocessingShape">
                    <wps:wsp>
                      <wps:cNvSpPr/>
                      <wps:spPr>
                        <a:xfrm>
                          <a:off x="0" y="0"/>
                          <a:ext cx="505460" cy="22987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自选图形 360" o:spid="_x0000_s1026" o:spt="100" style="position:absolute;left:0pt;margin-left:153.9pt;margin-top:2.25pt;height:18.1pt;width:39.8pt;z-index:251666432;mso-width-relative:page;mso-height-relative:page;" filled="f" stroked="t" coordsize="21600,21600" o:gfxdata="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IQBg4NcA&#10;AAAIAQAADwAAAAAAAAABACAAAAAiAAAAZHJzL2Rvd25yZXYueG1sUEsBAhQAFAAAAAgAh07iQFDK&#10;M209AwAAHwkAAA4AAAAAAAAAAQAgAAAAJgEAAGRycy9lMm9Eb2MueG1sUEsFBgAAAAAGAAYAWQEA&#10;ANUG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color="#000000" joinstyle="round"/>
                <v:imagedata o:title=""/>
                <o:lock v:ext="edit" aspectratio="f"/>
              </v:shape>
            </w:pict>
          </mc:Fallback>
        </mc:AlternateContent>
      </w:r>
    </w:p>
    <w:p>
      <w:pPr>
        <w:rPr>
          <w:sz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2202815</wp:posOffset>
                </wp:positionH>
                <wp:positionV relativeFrom="paragraph">
                  <wp:posOffset>66040</wp:posOffset>
                </wp:positionV>
                <wp:extent cx="635" cy="367030"/>
                <wp:effectExtent l="48895" t="0" r="64770" b="13970"/>
                <wp:wrapNone/>
                <wp:docPr id="170" name="直线 361"/>
                <wp:cNvGraphicFramePr/>
                <a:graphic xmlns:a="http://schemas.openxmlformats.org/drawingml/2006/main">
                  <a:graphicData uri="http://schemas.microsoft.com/office/word/2010/wordprocessingShape">
                    <wps:wsp>
                      <wps:cNvSpPr/>
                      <wps:spPr>
                        <a:xfrm>
                          <a:off x="0" y="0"/>
                          <a:ext cx="635"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61" o:spid="_x0000_s1026" o:spt="20" style="position:absolute;left:0pt;margin-left:173.45pt;margin-top:5.2pt;height:28.9pt;width:0.05pt;z-index:251667456;mso-width-relative:page;mso-height-relative:page;" filled="f" stroked="t" coordsize="21600,21600" o:gfxdata="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ozPZfaAAAACQEAAA8AAAAAAAAAAQAgAAAAIgAAAGRycy9kb3ducmV2LnhtbFBLAQIU&#10;ABQAAAAIAIdO4kDBwXX+8QEAAOEDAAAOAAAAAAAAAAEAIAAAACkBAABkcnMvZTJvRG9jLnhtbFBL&#10;BQYAAAAABgAGAFkBAACMBQAAAAA=&#10;">
                <v:fill on="f" focussize="0,0"/>
                <v:stroke color="#000000" joinstyle="round" endarrow="open"/>
                <v:imagedata o:title=""/>
                <o:lock v:ext="edit" aspectratio="f"/>
              </v:line>
            </w:pict>
          </mc:Fallback>
        </mc:AlternateContent>
      </w:r>
    </w:p>
    <w:p>
      <w:pPr>
        <w:rPr>
          <w:sz w:val="24"/>
        </w:rPr>
      </w:pPr>
    </w:p>
    <w:p>
      <w:pPr>
        <w:rPr>
          <w:sz w:val="24"/>
        </w:rPr>
      </w:pPr>
      <w:r>
        <w:rPr>
          <w:sz w:val="24"/>
        </w:rPr>
        <mc:AlternateContent>
          <mc:Choice Requires="wps">
            <w:drawing>
              <wp:anchor distT="0" distB="0" distL="114300" distR="114300" simplePos="0" relativeHeight="251698176" behindDoc="0" locked="0" layoutInCell="1" allowOverlap="1">
                <wp:simplePos x="0" y="0"/>
                <wp:positionH relativeFrom="column">
                  <wp:posOffset>1951355</wp:posOffset>
                </wp:positionH>
                <wp:positionV relativeFrom="paragraph">
                  <wp:posOffset>85090</wp:posOffset>
                </wp:positionV>
                <wp:extent cx="653415" cy="298450"/>
                <wp:effectExtent l="0" t="0" r="0" b="0"/>
                <wp:wrapNone/>
                <wp:docPr id="206" name="矩形 362"/>
                <wp:cNvGraphicFramePr/>
                <a:graphic xmlns:a="http://schemas.openxmlformats.org/drawingml/2006/main">
                  <a:graphicData uri="http://schemas.microsoft.com/office/word/2010/wordprocessingShape">
                    <wps:wsp>
                      <wps:cNvSpPr/>
                      <wps:spPr>
                        <a:xfrm>
                          <a:off x="0" y="0"/>
                          <a:ext cx="653415" cy="298450"/>
                        </a:xfrm>
                        <a:prstGeom prst="rect">
                          <a:avLst/>
                        </a:prstGeom>
                        <a:noFill/>
                        <a:ln>
                          <a:noFill/>
                        </a:ln>
                      </wps:spPr>
                      <wps:txbx>
                        <w:txbxContent>
                          <w:p>
                            <w:r>
                              <w:rPr>
                                <w:rFonts w:hint="eastAsia"/>
                              </w:rPr>
                              <w:t>分级</w:t>
                            </w:r>
                          </w:p>
                        </w:txbxContent>
                      </wps:txbx>
                      <wps:bodyPr upright="1"/>
                    </wps:wsp>
                  </a:graphicData>
                </a:graphic>
              </wp:anchor>
            </w:drawing>
          </mc:Choice>
          <mc:Fallback>
            <w:pict>
              <v:rect id="矩形 362" o:spid="_x0000_s1026" o:spt="1" style="position:absolute;left:0pt;margin-left:153.65pt;margin-top:6.7pt;height:23.5pt;width:51.45pt;z-index:251698176;mso-width-relative:page;mso-height-relative:page;" filled="f" stroked="f" coordsize="21600,21600" o:gfxdata="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DgF3l9kAAAAJAQAA&#10;DwAAAAAAAAABACAAAAAiAAAAZHJzL2Rvd25yZXYueG1sUEsBAhQAFAAAAAgAh07iQGt8/o2mAQAA&#10;RAMAAA4AAAAAAAAAAQAgAAAAKAEAAGRycy9lMm9Eb2MueG1sUEsFBgAAAAAGAAYAWQEAAEAFAAAA&#10;AA==&#10;">
                <v:fill on="f" focussize="0,0"/>
                <v:stroke on="f"/>
                <v:imagedata o:title=""/>
                <o:lock v:ext="edit" aspectratio="f"/>
                <v:textbox>
                  <w:txbxContent>
                    <w:p>
                      <w:r>
                        <w:rPr>
                          <w:rFonts w:hint="eastAsia"/>
                        </w:rPr>
                        <w:t>分级</w:t>
                      </w:r>
                    </w:p>
                  </w:txbxContent>
                </v:textbox>
              </v:rect>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1489710</wp:posOffset>
                </wp:positionH>
                <wp:positionV relativeFrom="paragraph">
                  <wp:posOffset>55880</wp:posOffset>
                </wp:positionV>
                <wp:extent cx="635" cy="550545"/>
                <wp:effectExtent l="48895" t="0" r="64770" b="1905"/>
                <wp:wrapNone/>
                <wp:docPr id="175" name="直线 363"/>
                <wp:cNvGraphicFramePr/>
                <a:graphic xmlns:a="http://schemas.openxmlformats.org/drawingml/2006/main">
                  <a:graphicData uri="http://schemas.microsoft.com/office/word/2010/wordprocessingShape">
                    <wps:wsp>
                      <wps:cNvSpPr/>
                      <wps:spPr>
                        <a:xfrm>
                          <a:off x="0" y="0"/>
                          <a:ext cx="635" cy="5505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63" o:spid="_x0000_s1026" o:spt="20" style="position:absolute;left:0pt;margin-left:117.3pt;margin-top:4.4pt;height:43.35pt;width:0.05pt;z-index:251672576;mso-width-relative:page;mso-height-relative:page;" filled="f" stroked="t" coordsize="21600,21600" o:gfxdata="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RjBOY2AAAAAgBAAAPAAAAAAAAAAEAIAAAACIAAABkcnMvZG93bnJldi54bWxQSwECFAAUAAAA&#10;CACHTuJAuIzfsO4BAADhAwAADgAAAAAAAAABACAAAAAnAQAAZHJzL2Uyb0RvYy54bWxQSwUGAAAA&#10;AAYABgBZAQAAhwU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2903220</wp:posOffset>
                </wp:positionH>
                <wp:positionV relativeFrom="paragraph">
                  <wp:posOffset>44450</wp:posOffset>
                </wp:positionV>
                <wp:extent cx="635" cy="269240"/>
                <wp:effectExtent l="4445" t="0" r="13970" b="16510"/>
                <wp:wrapNone/>
                <wp:docPr id="171" name="直线 364"/>
                <wp:cNvGraphicFramePr/>
                <a:graphic xmlns:a="http://schemas.openxmlformats.org/drawingml/2006/main">
                  <a:graphicData uri="http://schemas.microsoft.com/office/word/2010/wordprocessingShape">
                    <wps:wsp>
                      <wps:cNvSpPr/>
                      <wps:spPr>
                        <a:xfrm>
                          <a:off x="0" y="0"/>
                          <a:ext cx="635" cy="269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64" o:spid="_x0000_s1026" o:spt="20" style="position:absolute;left:0pt;margin-left:228.6pt;margin-top:3.5pt;height:21.2pt;width:0.05pt;z-index:251668480;mso-width-relative:page;mso-height-relative:page;" filled="f" stroked="t" coordsize="21600,21600" o:gfxdata="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tAbqdYAAAAIAQAADwAAAAAAAAABACAAAAAiAAAAZHJzL2Rvd25yZXYueG1sUEsBAhQAFAAAAAgA&#10;h07iQNCdP5juAQAA4AMAAA4AAAAAAAAAAQAgAAAAJQEAAGRycy9lMm9Eb2MueG1sUEsFBgAAAAAG&#10;AAYAWQEAAIUFAAAAAA==&#10;">
                <v:fill on="f" focussize="0,0"/>
                <v:stroke color="#000000" joinstyle="round"/>
                <v:imagedata o:title=""/>
                <o:lock v:ext="edit" aspectratio="f"/>
              </v:line>
            </w:pict>
          </mc:Fallback>
        </mc:AlternateContent>
      </w:r>
      <w:r>
        <w:rPr>
          <w:sz w:val="24"/>
        </w:rPr>
        <mc:AlternateContent>
          <mc:Choice Requires="wpg">
            <w:drawing>
              <wp:anchor distT="0" distB="0" distL="114300" distR="114300" simplePos="0" relativeHeight="251702272" behindDoc="0" locked="0" layoutInCell="1" allowOverlap="1">
                <wp:simplePos x="0" y="0"/>
                <wp:positionH relativeFrom="column">
                  <wp:posOffset>1458595</wp:posOffset>
                </wp:positionH>
                <wp:positionV relativeFrom="paragraph">
                  <wp:posOffset>46355</wp:posOffset>
                </wp:positionV>
                <wp:extent cx="1461135" cy="72390"/>
                <wp:effectExtent l="0" t="13970" r="5715" b="0"/>
                <wp:wrapNone/>
                <wp:docPr id="212" name="组合 365"/>
                <wp:cNvGraphicFramePr/>
                <a:graphic xmlns:a="http://schemas.openxmlformats.org/drawingml/2006/main">
                  <a:graphicData uri="http://schemas.microsoft.com/office/word/2010/wordprocessingGroup">
                    <wpg:wgp>
                      <wpg:cNvGrpSpPr/>
                      <wpg:grpSpPr>
                        <a:xfrm>
                          <a:off x="0" y="0"/>
                          <a:ext cx="1461135" cy="72390"/>
                          <a:chOff x="7691" y="422162"/>
                          <a:chExt cx="2301" cy="114"/>
                        </a:xfrm>
                      </wpg:grpSpPr>
                      <wps:wsp>
                        <wps:cNvPr id="210" name="直线 366"/>
                        <wps:cNvSpPr/>
                        <wps:spPr>
                          <a:xfrm>
                            <a:off x="7734" y="422162"/>
                            <a:ext cx="2259" cy="1"/>
                          </a:xfrm>
                          <a:prstGeom prst="line">
                            <a:avLst/>
                          </a:prstGeom>
                          <a:ln w="28575" cap="flat" cmpd="sng">
                            <a:solidFill>
                              <a:srgbClr val="000000"/>
                            </a:solidFill>
                            <a:prstDash val="solid"/>
                            <a:headEnd type="none" w="med" len="med"/>
                            <a:tailEnd type="none" w="med" len="med"/>
                          </a:ln>
                        </wps:spPr>
                        <wps:bodyPr upright="1"/>
                      </wps:wsp>
                      <wps:wsp>
                        <wps:cNvPr id="211" name="直线 367"/>
                        <wps:cNvSpPr/>
                        <wps:spPr>
                          <a:xfrm>
                            <a:off x="7691" y="422276"/>
                            <a:ext cx="2259"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365" o:spid="_x0000_s1026" o:spt="203" style="position:absolute;left:0pt;margin-left:114.85pt;margin-top:3.65pt;height:5.7pt;width:115.05pt;z-index:251702272;mso-width-relative:page;mso-height-relative:page;" coordorigin="7691,422162" coordsize="2301,114" o:gfxdata="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9muTTZAAAACAEA&#10;AA8AAAAAAAAAAQAgAAAAIgAAAGRycy9kb3ducmV2LnhtbFBLAQIUABQAAAAIAIdO4kAy+nZdiwIA&#10;AB8HAAAOAAAAAAAAAAEAIAAAACgBAABkcnMvZTJvRG9jLnhtbFBLBQYAAAAABgAGAFkBAAAlBgAA&#10;AAA=&#10;">
                <o:lock v:ext="edit" aspectratio="f"/>
                <v:line id="直线 366" o:spid="_x0000_s1026" o:spt="20" style="position:absolute;left:7734;top:422162;height:1;width:2259;" filled="f" stroked="t" coordsize="21600,21600" o:gfxdata="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vg5ugAAANw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line>
                <v:line id="直线 367" o:spid="_x0000_s1026" o:spt="20" style="position:absolute;left:7691;top:422276;height:1;width:2259;" filled="f" stroked="t" coordsize="21600,21600" o:gfxdata="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cs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p>
      <w:pPr>
        <w:rPr>
          <w:sz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2893695</wp:posOffset>
                </wp:positionH>
                <wp:positionV relativeFrom="paragraph">
                  <wp:posOffset>109220</wp:posOffset>
                </wp:positionV>
                <wp:extent cx="1682750" cy="635"/>
                <wp:effectExtent l="0" t="0" r="0" b="0"/>
                <wp:wrapNone/>
                <wp:docPr id="172" name="直线 368"/>
                <wp:cNvGraphicFramePr/>
                <a:graphic xmlns:a="http://schemas.openxmlformats.org/drawingml/2006/main">
                  <a:graphicData uri="http://schemas.microsoft.com/office/word/2010/wordprocessingShape">
                    <wps:wsp>
                      <wps:cNvSpPr/>
                      <wps:spPr>
                        <a:xfrm flipV="1">
                          <a:off x="0" y="0"/>
                          <a:ext cx="16827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68" o:spid="_x0000_s1026" o:spt="20" style="position:absolute;left:0pt;flip:y;margin-left:227.85pt;margin-top:8.6pt;height:0.05pt;width:132.5pt;z-index:251669504;mso-width-relative:page;mso-height-relative:page;" filled="f" stroked="t" coordsize="21600,21600" o:gfxdata="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cVfRHWAAAACQEAAA8AAAAAAAAAAQAgAAAAIgAAAGRycy9kb3ducmV2LnhtbFBLAQIUABQA&#10;AAAIAIdO4kDi04Sm8gEAAOsDAAAOAAAAAAAAAAEAIAAAACUBAABkcnMvZTJvRG9jLnhtbFBLBQYA&#10;AAAABgAGAFkBAACJBQAAAAA=&#10;">
                <v:fill on="f" focussize="0,0"/>
                <v:stroke color="#000000" joinstyle="round"/>
                <v:imagedata o:title=""/>
                <o:lock v:ext="edit" aspectratio="f"/>
              </v:line>
            </w:pict>
          </mc:Fallback>
        </mc:AlternateContent>
      </w:r>
    </w:p>
    <w:p>
      <w:pPr>
        <w:rPr>
          <w:sz w:val="24"/>
        </w:rPr>
      </w:pPr>
    </w:p>
    <w:p>
      <w:pPr>
        <w:rPr>
          <w:sz w:val="24"/>
        </w:rPr>
      </w:pPr>
      <w:r>
        <w:rPr>
          <w:sz w:val="24"/>
        </w:rPr>
        <mc:AlternateContent>
          <mc:Choice Requires="wps">
            <w:drawing>
              <wp:anchor distT="0" distB="0" distL="114300" distR="114300" simplePos="0" relativeHeight="251699200" behindDoc="0" locked="0" layoutInCell="1" allowOverlap="1">
                <wp:simplePos x="0" y="0"/>
                <wp:positionH relativeFrom="column">
                  <wp:posOffset>1240790</wp:posOffset>
                </wp:positionH>
                <wp:positionV relativeFrom="paragraph">
                  <wp:posOffset>21590</wp:posOffset>
                </wp:positionV>
                <wp:extent cx="653415" cy="298450"/>
                <wp:effectExtent l="0" t="0" r="0" b="0"/>
                <wp:wrapNone/>
                <wp:docPr id="207" name="矩形 369"/>
                <wp:cNvGraphicFramePr/>
                <a:graphic xmlns:a="http://schemas.openxmlformats.org/drawingml/2006/main">
                  <a:graphicData uri="http://schemas.microsoft.com/office/word/2010/wordprocessingShape">
                    <wps:wsp>
                      <wps:cNvSpPr/>
                      <wps:spPr>
                        <a:xfrm>
                          <a:off x="0" y="0"/>
                          <a:ext cx="653415" cy="298450"/>
                        </a:xfrm>
                        <a:prstGeom prst="rect">
                          <a:avLst/>
                        </a:prstGeom>
                        <a:noFill/>
                        <a:ln>
                          <a:noFill/>
                        </a:ln>
                      </wps:spPr>
                      <wps:txbx>
                        <w:txbxContent>
                          <w:p>
                            <w:r>
                              <w:rPr>
                                <w:rFonts w:hint="eastAsia"/>
                              </w:rPr>
                              <w:t>磁选</w:t>
                            </w:r>
                          </w:p>
                        </w:txbxContent>
                      </wps:txbx>
                      <wps:bodyPr upright="1"/>
                    </wps:wsp>
                  </a:graphicData>
                </a:graphic>
              </wp:anchor>
            </w:drawing>
          </mc:Choice>
          <mc:Fallback>
            <w:pict>
              <v:rect id="矩形 369" o:spid="_x0000_s1026" o:spt="1" style="position:absolute;left:0pt;margin-left:97.7pt;margin-top:1.7pt;height:23.5pt;width:51.45pt;z-index:251699200;mso-width-relative:page;mso-height-relative:page;" filled="f" stroked="f" coordsize="21600,21600" o:gfxdata="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8EHzLZAAAACAEA&#10;AA8AAAAAAAAAAQAgAAAAIgAAAGRycy9kb3ducmV2LnhtbFBLAQIUABQAAAAIAIdO4kC2TqfFpwEA&#10;AEQDAAAOAAAAAAAAAAEAIAAAACgBAABkcnMvZTJvRG9jLnhtbFBLBQYAAAAABgAGAFkBAABBBQAA&#10;AAA=&#10;">
                <v:fill on="f" focussize="0,0"/>
                <v:stroke on="f"/>
                <v:imagedata o:title=""/>
                <o:lock v:ext="edit" aspectratio="f"/>
                <v:textbox>
                  <w:txbxContent>
                    <w:p>
                      <w:r>
                        <w:rPr>
                          <w:rFonts w:hint="eastAsia"/>
                        </w:rPr>
                        <w:t>磁选</w:t>
                      </w:r>
                    </w:p>
                  </w:txbxContent>
                </v:textbox>
              </v:rect>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2471420</wp:posOffset>
                </wp:positionH>
                <wp:positionV relativeFrom="paragraph">
                  <wp:posOffset>12700</wp:posOffset>
                </wp:positionV>
                <wp:extent cx="635" cy="379095"/>
                <wp:effectExtent l="48895" t="0" r="64770" b="1905"/>
                <wp:wrapNone/>
                <wp:docPr id="183" name="直线 370"/>
                <wp:cNvGraphicFramePr/>
                <a:graphic xmlns:a="http://schemas.openxmlformats.org/drawingml/2006/main">
                  <a:graphicData uri="http://schemas.microsoft.com/office/word/2010/wordprocessingShape">
                    <wps:wsp>
                      <wps:cNvSpPr/>
                      <wps:spPr>
                        <a:xfrm>
                          <a:off x="0" y="0"/>
                          <a:ext cx="635" cy="3790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70" o:spid="_x0000_s1026" o:spt="20" style="position:absolute;left:0pt;margin-left:194.6pt;margin-top:1pt;height:29.85pt;width:0.05pt;z-index:251676672;mso-width-relative:page;mso-height-relative:page;" filled="f" stroked="t" coordsize="21600,21600" o:gfxdata="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WiSV9gAAAAIAQAADwAAAAAAAAABACAAAAAiAAAAZHJzL2Rvd25yZXYueG1sUEsBAhQAFAAA&#10;AAgAh07iQNDtvZHvAQAA4QMAAA4AAAAAAAAAAQAgAAAAJwEAAGRycy9lMm9Eb2MueG1sUEsFBgAA&#10;AAAGAAYAWQEAAIg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751840</wp:posOffset>
                </wp:positionH>
                <wp:positionV relativeFrom="paragraph">
                  <wp:posOffset>3175</wp:posOffset>
                </wp:positionV>
                <wp:extent cx="635" cy="551180"/>
                <wp:effectExtent l="48895" t="0" r="64770" b="1270"/>
                <wp:wrapNone/>
                <wp:docPr id="182" name="直线 371"/>
                <wp:cNvGraphicFramePr/>
                <a:graphic xmlns:a="http://schemas.openxmlformats.org/drawingml/2006/main">
                  <a:graphicData uri="http://schemas.microsoft.com/office/word/2010/wordprocessingShape">
                    <wps:wsp>
                      <wps:cNvSpPr/>
                      <wps:spPr>
                        <a:xfrm>
                          <a:off x="0" y="0"/>
                          <a:ext cx="635" cy="5511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71" o:spid="_x0000_s1026" o:spt="20" style="position:absolute;left:0pt;margin-left:59.2pt;margin-top:0.25pt;height:43.4pt;width:0.05pt;z-index:251675648;mso-width-relative:page;mso-height-relative:page;" filled="f" stroked="t" coordsize="21600,21600" o:gfxdata="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vWDfPWAAAABwEAAA8AAAAAAAAAAQAgAAAAIgAAAGRycy9kb3ducmV2LnhtbFBLAQIUABQA&#10;AAAIAIdO4kAQ8x7I8gEAAOEDAAAOAAAAAAAAAAEAIAAAACUBAABkcnMvZTJvRG9jLnhtbFBLBQYA&#10;AAAABgAGAFkBAACJBQAAAAA=&#10;">
                <v:fill on="f" focussize="0,0"/>
                <v:stroke color="#000000" joinstyle="round" endarrow="open"/>
                <v:imagedata o:title=""/>
                <o:lock v:ext="edit" aspectratio="f"/>
              </v:line>
            </w:pict>
          </mc:Fallback>
        </mc:AlternateContent>
      </w:r>
      <w:r>
        <w:rPr>
          <w:sz w:val="24"/>
        </w:rPr>
        <mc:AlternateContent>
          <mc:Choice Requires="wpg">
            <w:drawing>
              <wp:anchor distT="0" distB="0" distL="114300" distR="114300" simplePos="0" relativeHeight="251673600" behindDoc="0" locked="0" layoutInCell="1" allowOverlap="1">
                <wp:simplePos x="0" y="0"/>
                <wp:positionH relativeFrom="column">
                  <wp:posOffset>721995</wp:posOffset>
                </wp:positionH>
                <wp:positionV relativeFrom="paragraph">
                  <wp:posOffset>15240</wp:posOffset>
                </wp:positionV>
                <wp:extent cx="1753870" cy="76200"/>
                <wp:effectExtent l="0" t="0" r="0" b="0"/>
                <wp:wrapNone/>
                <wp:docPr id="178" name="组合 372"/>
                <wp:cNvGraphicFramePr/>
                <a:graphic xmlns:a="http://schemas.openxmlformats.org/drawingml/2006/main">
                  <a:graphicData uri="http://schemas.microsoft.com/office/word/2010/wordprocessingGroup">
                    <wpg:wgp>
                      <wpg:cNvGrpSpPr/>
                      <wpg:grpSpPr>
                        <a:xfrm>
                          <a:off x="0" y="0"/>
                          <a:ext cx="1753870" cy="76200"/>
                          <a:chOff x="4422" y="413520"/>
                          <a:chExt cx="2271" cy="114"/>
                        </a:xfrm>
                      </wpg:grpSpPr>
                      <wps:wsp>
                        <wps:cNvPr id="176" name="直线 373"/>
                        <wps:cNvSpPr/>
                        <wps:spPr>
                          <a:xfrm>
                            <a:off x="4435" y="413520"/>
                            <a:ext cx="2259" cy="1"/>
                          </a:xfrm>
                          <a:prstGeom prst="line">
                            <a:avLst/>
                          </a:prstGeom>
                          <a:ln w="28575" cap="flat" cmpd="sng">
                            <a:solidFill>
                              <a:srgbClr val="000000"/>
                            </a:solidFill>
                            <a:prstDash val="solid"/>
                            <a:headEnd type="none" w="med" len="med"/>
                            <a:tailEnd type="none" w="med" len="med"/>
                          </a:ln>
                        </wps:spPr>
                        <wps:bodyPr upright="1"/>
                      </wps:wsp>
                      <wps:wsp>
                        <wps:cNvPr id="177" name="直线 374"/>
                        <wps:cNvSpPr/>
                        <wps:spPr>
                          <a:xfrm>
                            <a:off x="4422" y="413634"/>
                            <a:ext cx="2259"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372" o:spid="_x0000_s1026" o:spt="203" style="position:absolute;left:0pt;margin-left:56.85pt;margin-top:1.2pt;height:6pt;width:138.1pt;z-index:251673600;mso-width-relative:page;mso-height-relative:page;" coordorigin="4422,413520" coordsize="2271,114" o:gfxdata="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8UINbYAAAACAEAAA8AAAAAAAAA&#10;AQAgAAAAIgAAAGRycy9kb3ducmV2LnhtbFBLAQIUABQAAAAIAIdO4kDCHyvFgwIAAB8HAAAOAAAA&#10;AAAAAAEAIAAAACcBAABkcnMvZTJvRG9jLnhtbFBLBQYAAAAABgAGAFkBAAAcBgAAAAA=&#10;">
                <o:lock v:ext="edit" aspectratio="f"/>
                <v:line id="直线 373" o:spid="_x0000_s1026" o:spt="20" style="position:absolute;left:4435;top:413520;height:1;width:2259;" filled="f" stroked="t" coordsize="21600,21600" o:gfxdata="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oUEKugAAANw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line>
                <v:line id="直线 374" o:spid="_x0000_s1026" o:spt="20" style="position:absolute;left:4422;top:413634;height:1;width:2259;" filled="f" stroked="t" coordsize="21600,21600" o:gfxdata="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EnI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p>
    <w:p>
      <w:pPr>
        <w:rPr>
          <w:sz w:val="24"/>
        </w:rPr>
      </w:pPr>
      <w:r>
        <w:rPr>
          <w:sz w:val="24"/>
        </w:rPr>
        <mc:AlternateContent>
          <mc:Choice Requires="wps">
            <w:drawing>
              <wp:anchor distT="0" distB="0" distL="114300" distR="114300" simplePos="0" relativeHeight="251689984" behindDoc="0" locked="0" layoutInCell="1" allowOverlap="1">
                <wp:simplePos x="0" y="0"/>
                <wp:positionH relativeFrom="column">
                  <wp:posOffset>3381375</wp:posOffset>
                </wp:positionH>
                <wp:positionV relativeFrom="paragraph">
                  <wp:posOffset>154940</wp:posOffset>
                </wp:positionV>
                <wp:extent cx="635" cy="1080135"/>
                <wp:effectExtent l="4445" t="0" r="13970" b="5715"/>
                <wp:wrapNone/>
                <wp:docPr id="198" name="直线 375"/>
                <wp:cNvGraphicFramePr/>
                <a:graphic xmlns:a="http://schemas.openxmlformats.org/drawingml/2006/main">
                  <a:graphicData uri="http://schemas.microsoft.com/office/word/2010/wordprocessingShape">
                    <wps:wsp>
                      <wps:cNvSpPr/>
                      <wps:spPr>
                        <a:xfrm>
                          <a:off x="0" y="0"/>
                          <a:ext cx="635" cy="10801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75" o:spid="_x0000_s1026" o:spt="20" style="position:absolute;left:0pt;margin-left:266.25pt;margin-top:12.2pt;height:85.05pt;width:0.05pt;z-index:251689984;mso-width-relative:page;mso-height-relative:page;" filled="f" stroked="t" coordsize="21600,21600" o:gfxdata="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7t&#10;1tnXAAAACgEAAA8AAAAAAAAAAQAgAAAAIgAAAGRycy9kb3ducmV2LnhtbFBLAQIUABQAAAAIAIdO&#10;4kBxB1PV6wEAAOEDAAAOAAAAAAAAAAEAIAAAACYBAABkcnMvZTJvRG9jLnhtbFBLBQYAAAAABgAG&#10;AFkBAACD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2414905</wp:posOffset>
                </wp:positionH>
                <wp:positionV relativeFrom="paragraph">
                  <wp:posOffset>168910</wp:posOffset>
                </wp:positionV>
                <wp:extent cx="952500" cy="635"/>
                <wp:effectExtent l="0" t="0" r="0" b="0"/>
                <wp:wrapNone/>
                <wp:docPr id="196" name="直线 376"/>
                <wp:cNvGraphicFramePr/>
                <a:graphic xmlns:a="http://schemas.openxmlformats.org/drawingml/2006/main">
                  <a:graphicData uri="http://schemas.microsoft.com/office/word/2010/wordprocessingShape">
                    <wps:wsp>
                      <wps:cNvSpPr/>
                      <wps:spPr>
                        <a:xfrm>
                          <a:off x="0" y="0"/>
                          <a:ext cx="952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76" o:spid="_x0000_s1026" o:spt="20" style="position:absolute;left:0pt;margin-left:190.15pt;margin-top:13.3pt;height:0.05pt;width:75pt;z-index:251687936;mso-width-relative:page;mso-height-relative:page;" filled="f" stroked="t" coordsize="21600,21600" o:gfxdata="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Vm2i9YA&#10;AAAJAQAADwAAAAAAAAABACAAAAAiAAAAZHJzL2Rvd25yZXYueG1sUEsBAhQAFAAAAAgAh07iQMuw&#10;5GHoAQAA4AMAAA4AAAAAAAAAAQAgAAAAJQEAAGRycy9lMm9Eb2MueG1sUEsFBgAAAAAGAAYAWQEA&#10;AH8FAAAAAA==&#10;">
                <v:fill on="f" focussize="0,0"/>
                <v:stroke color="#000000" joinstyle="round"/>
                <v:imagedata o:title=""/>
                <o:lock v:ext="edit" aspectratio="f"/>
              </v:line>
            </w:pict>
          </mc:Fallback>
        </mc:AlternateContent>
      </w:r>
    </w:p>
    <w:p>
      <w:pPr>
        <w:rPr>
          <w:sz w:val="24"/>
        </w:rPr>
      </w:pPr>
      <w:r>
        <w:rPr>
          <w:sz w:val="24"/>
        </w:rPr>
        <mc:AlternateContent>
          <mc:Choice Requires="wps">
            <w:drawing>
              <wp:anchor distT="0" distB="0" distL="114300" distR="114300" simplePos="0" relativeHeight="251700224" behindDoc="0" locked="0" layoutInCell="1" allowOverlap="1">
                <wp:simplePos x="0" y="0"/>
                <wp:positionH relativeFrom="column">
                  <wp:posOffset>548005</wp:posOffset>
                </wp:positionH>
                <wp:positionV relativeFrom="paragraph">
                  <wp:posOffset>160655</wp:posOffset>
                </wp:positionV>
                <wp:extent cx="653415" cy="298450"/>
                <wp:effectExtent l="0" t="0" r="0" b="0"/>
                <wp:wrapNone/>
                <wp:docPr id="208" name="矩形 377"/>
                <wp:cNvGraphicFramePr/>
                <a:graphic xmlns:a="http://schemas.openxmlformats.org/drawingml/2006/main">
                  <a:graphicData uri="http://schemas.microsoft.com/office/word/2010/wordprocessingShape">
                    <wps:wsp>
                      <wps:cNvSpPr/>
                      <wps:spPr>
                        <a:xfrm>
                          <a:off x="0" y="0"/>
                          <a:ext cx="653415" cy="298450"/>
                        </a:xfrm>
                        <a:prstGeom prst="rect">
                          <a:avLst/>
                        </a:prstGeom>
                        <a:noFill/>
                        <a:ln>
                          <a:noFill/>
                        </a:ln>
                      </wps:spPr>
                      <wps:txbx>
                        <w:txbxContent>
                          <w:p>
                            <w:r>
                              <w:rPr>
                                <w:rFonts w:hint="eastAsia"/>
                              </w:rPr>
                              <w:t>细筛</w:t>
                            </w:r>
                          </w:p>
                        </w:txbxContent>
                      </wps:txbx>
                      <wps:bodyPr upright="1"/>
                    </wps:wsp>
                  </a:graphicData>
                </a:graphic>
              </wp:anchor>
            </w:drawing>
          </mc:Choice>
          <mc:Fallback>
            <w:pict>
              <v:rect id="矩形 377" o:spid="_x0000_s1026" o:spt="1" style="position:absolute;left:0pt;margin-left:43.15pt;margin-top:12.65pt;height:23.5pt;width:51.45pt;z-index:251700224;mso-width-relative:page;mso-height-relative:page;" filled="f" stroked="f" coordsize="21600,21600" o:gfxdata="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sbFWbaAAAACAEA&#10;AA8AAAAAAAAAAQAgAAAAIgAAAGRycy9kb3ducmV2LnhtbFBLAQIUABQAAAAIAIdO4kDWZesspgEA&#10;AEQDAAAOAAAAAAAAAAEAIAAAACkBAABkcnMvZTJvRG9jLnhtbFBLBQYAAAAABgAGAFkBAABBBQAA&#10;AAA=&#10;">
                <v:fill on="f" focussize="0,0"/>
                <v:stroke on="f"/>
                <v:imagedata o:title=""/>
                <o:lock v:ext="edit" aspectratio="f"/>
                <v:textbox>
                  <w:txbxContent>
                    <w:p>
                      <w:r>
                        <w:rPr>
                          <w:rFonts w:hint="eastAsia"/>
                        </w:rPr>
                        <w:t>细筛</w:t>
                      </w:r>
                    </w:p>
                  </w:txbxContent>
                </v:textbox>
              </v:rect>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1564640</wp:posOffset>
                </wp:positionH>
                <wp:positionV relativeFrom="paragraph">
                  <wp:posOffset>161925</wp:posOffset>
                </wp:positionV>
                <wp:extent cx="635" cy="344170"/>
                <wp:effectExtent l="48895" t="0" r="64770" b="17780"/>
                <wp:wrapNone/>
                <wp:docPr id="188" name="直线 378"/>
                <wp:cNvGraphicFramePr/>
                <a:graphic xmlns:a="http://schemas.openxmlformats.org/drawingml/2006/main">
                  <a:graphicData uri="http://schemas.microsoft.com/office/word/2010/wordprocessingShape">
                    <wps:wsp>
                      <wps:cNvSpPr/>
                      <wps:spPr>
                        <a:xfrm>
                          <a:off x="0" y="0"/>
                          <a:ext cx="635" cy="3441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78" o:spid="_x0000_s1026" o:spt="20" style="position:absolute;left:0pt;margin-left:123.2pt;margin-top:12.75pt;height:27.1pt;width:0.05pt;z-index:251679744;mso-width-relative:page;mso-height-relative:page;" filled="f" stroked="t" coordsize="21600,21600" o:gfxdata="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16ug22QAAAAkBAAAPAAAAAAAAAAEAIAAAACIAAABkcnMvZG93bnJldi54bWxQSwEC&#10;FAAUAAAACACHTuJAhKjwl/MBAADhAwAADgAAAAAAAAABACAAAAAoAQAAZHJzL2Uyb0RvYy54bWxQ&#10;SwUGAAAAAAYABgBZAQAAjQU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124460</wp:posOffset>
                </wp:positionH>
                <wp:positionV relativeFrom="paragraph">
                  <wp:posOffset>168910</wp:posOffset>
                </wp:positionV>
                <wp:extent cx="635" cy="505460"/>
                <wp:effectExtent l="48895" t="0" r="64770" b="8890"/>
                <wp:wrapNone/>
                <wp:docPr id="187" name="直线 379"/>
                <wp:cNvGraphicFramePr/>
                <a:graphic xmlns:a="http://schemas.openxmlformats.org/drawingml/2006/main">
                  <a:graphicData uri="http://schemas.microsoft.com/office/word/2010/wordprocessingShape">
                    <wps:wsp>
                      <wps:cNvSpPr/>
                      <wps:spPr>
                        <a:xfrm>
                          <a:off x="0" y="0"/>
                          <a:ext cx="635"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79" o:spid="_x0000_s1026" o:spt="20" style="position:absolute;left:0pt;margin-left:9.8pt;margin-top:13.3pt;height:39.8pt;width:0.05pt;z-index:251678720;mso-width-relative:page;mso-height-relative:page;" filled="f" stroked="t" coordsize="21600,21600" o:gfxdata="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dXXS9cAAAAIAQAADwAAAAAAAAABACAAAAAiAAAAZHJzL2Rvd25yZXYueG1sUEsBAhQA&#10;FAAAAAgAh07iQPdjEEjzAQAA4QMAAA4AAAAAAAAAAQAgAAAAJgEAAGRycy9lMm9Eb2MueG1sUEsF&#10;BgAAAAAGAAYAWQEAAIsFAAAAAA==&#10;">
                <v:fill on="f" focussize="0,0"/>
                <v:stroke color="#000000" joinstyle="round" endarrow="open"/>
                <v:imagedata o:title=""/>
                <o:lock v:ext="edit" aspectratio="f"/>
              </v:line>
            </w:pict>
          </mc:Fallback>
        </mc:AlternateContent>
      </w:r>
      <w:r>
        <w:rPr>
          <w:sz w:val="24"/>
        </w:rPr>
        <mc:AlternateContent>
          <mc:Choice Requires="wpg">
            <w:drawing>
              <wp:anchor distT="0" distB="0" distL="114300" distR="114300" simplePos="0" relativeHeight="251674624" behindDoc="0" locked="0" layoutInCell="1" allowOverlap="1">
                <wp:simplePos x="0" y="0"/>
                <wp:positionH relativeFrom="column">
                  <wp:posOffset>113665</wp:posOffset>
                </wp:positionH>
                <wp:positionV relativeFrom="paragraph">
                  <wp:posOffset>168275</wp:posOffset>
                </wp:positionV>
                <wp:extent cx="1442085" cy="72390"/>
                <wp:effectExtent l="0" t="13970" r="5715" b="0"/>
                <wp:wrapNone/>
                <wp:docPr id="181" name="组合 380"/>
                <wp:cNvGraphicFramePr/>
                <a:graphic xmlns:a="http://schemas.openxmlformats.org/drawingml/2006/main">
                  <a:graphicData uri="http://schemas.microsoft.com/office/word/2010/wordprocessingGroup">
                    <wpg:wgp>
                      <wpg:cNvGrpSpPr/>
                      <wpg:grpSpPr>
                        <a:xfrm>
                          <a:off x="0" y="0"/>
                          <a:ext cx="1442085" cy="72390"/>
                          <a:chOff x="4422" y="413520"/>
                          <a:chExt cx="2271" cy="114"/>
                        </a:xfrm>
                      </wpg:grpSpPr>
                      <wps:wsp>
                        <wps:cNvPr id="179" name="直线 381"/>
                        <wps:cNvSpPr/>
                        <wps:spPr>
                          <a:xfrm>
                            <a:off x="4435" y="413520"/>
                            <a:ext cx="2259" cy="1"/>
                          </a:xfrm>
                          <a:prstGeom prst="line">
                            <a:avLst/>
                          </a:prstGeom>
                          <a:ln w="28575" cap="flat" cmpd="sng">
                            <a:solidFill>
                              <a:srgbClr val="000000"/>
                            </a:solidFill>
                            <a:prstDash val="solid"/>
                            <a:headEnd type="none" w="med" len="med"/>
                            <a:tailEnd type="none" w="med" len="med"/>
                          </a:ln>
                        </wps:spPr>
                        <wps:bodyPr upright="1"/>
                      </wps:wsp>
                      <wps:wsp>
                        <wps:cNvPr id="180" name="直线 382"/>
                        <wps:cNvSpPr/>
                        <wps:spPr>
                          <a:xfrm>
                            <a:off x="4422" y="413634"/>
                            <a:ext cx="2259"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380" o:spid="_x0000_s1026" o:spt="203" style="position:absolute;left:0pt;margin-left:8.95pt;margin-top:13.25pt;height:5.7pt;width:113.55pt;z-index:251674624;mso-width-relative:page;mso-height-relative:page;" coordorigin="4422,413520" coordsize="2271,114" o:gfxdata="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AHaBwNcAAAAIAQAADwAA&#10;AAAAAAABACAAAAAiAAAAZHJzL2Rvd25yZXYueG1sUEsBAhQAFAAAAAgAh07iQBLQhYCJAgAAHwcA&#10;AA4AAAAAAAAAAQAgAAAAJgEAAGRycy9lMm9Eb2MueG1sUEsFBgAAAAAGAAYAWQEAACEGAAAAAA==&#10;">
                <o:lock v:ext="edit" aspectratio="f"/>
                <v:line id="直线 381" o:spid="_x0000_s1026" o:spt="20" style="position:absolute;left:4435;top:413520;height:1;width:2259;" filled="f" stroked="t" coordsize="21600,21600" o:gfxdata="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tV4ugAAANw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line>
                <v:line id="直线 382" o:spid="_x0000_s1026" o:spt="20" style="position:absolute;left:4422;top:413634;height:1;width:2259;" filled="f" stroked="t" coordsize="21600,21600" o:gfxdata="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umn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p>
    <w:p>
      <w:pPr>
        <w:rPr>
          <w:sz w:val="24"/>
        </w:rPr>
      </w:pPr>
      <w:r>
        <w:rPr>
          <w:sz w:val="24"/>
        </w:rPr>
        <mc:AlternateContent>
          <mc:Choice Requires="wps">
            <w:drawing>
              <wp:anchor distT="0" distB="0" distL="114300" distR="114300" simplePos="0" relativeHeight="251706368" behindDoc="0" locked="0" layoutInCell="1" allowOverlap="1">
                <wp:simplePos x="0" y="0"/>
                <wp:positionH relativeFrom="column">
                  <wp:posOffset>4149090</wp:posOffset>
                </wp:positionH>
                <wp:positionV relativeFrom="paragraph">
                  <wp:posOffset>78105</wp:posOffset>
                </wp:positionV>
                <wp:extent cx="957580" cy="298450"/>
                <wp:effectExtent l="0" t="0" r="0" b="0"/>
                <wp:wrapNone/>
                <wp:docPr id="216" name="矩形 383"/>
                <wp:cNvGraphicFramePr/>
                <a:graphic xmlns:a="http://schemas.openxmlformats.org/drawingml/2006/main">
                  <a:graphicData uri="http://schemas.microsoft.com/office/word/2010/wordprocessingShape">
                    <wps:wsp>
                      <wps:cNvSpPr/>
                      <wps:spPr>
                        <a:xfrm>
                          <a:off x="0" y="0"/>
                          <a:ext cx="957580" cy="298450"/>
                        </a:xfrm>
                        <a:prstGeom prst="rect">
                          <a:avLst/>
                        </a:prstGeom>
                        <a:noFill/>
                        <a:ln>
                          <a:noFill/>
                        </a:ln>
                      </wps:spPr>
                      <wps:txbx>
                        <w:txbxContent>
                          <w:p>
                            <w:r>
                              <w:rPr>
                                <w:rFonts w:hint="eastAsia"/>
                              </w:rPr>
                              <w:t>送尾矿库</w:t>
                            </w:r>
                          </w:p>
                        </w:txbxContent>
                      </wps:txbx>
                      <wps:bodyPr upright="1"/>
                    </wps:wsp>
                  </a:graphicData>
                </a:graphic>
              </wp:anchor>
            </w:drawing>
          </mc:Choice>
          <mc:Fallback>
            <w:pict>
              <v:rect id="矩形 383" o:spid="_x0000_s1026" o:spt="1" style="position:absolute;left:0pt;margin-left:326.7pt;margin-top:6.15pt;height:23.5pt;width:75.4pt;z-index:251706368;mso-width-relative:page;mso-height-relative:page;" filled="f" stroked="f" coordsize="21600,21600" o:gfxdata="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a/71faAAAACQEA&#10;AA8AAAAAAAAAAQAgAAAAIgAAAGRycy9kb3ducmV2LnhtbFBLAQIUABQAAAAIAIdO4kAwdg5ipgEA&#10;AEQDAAAOAAAAAAAAAAEAIAAAACkBAABkcnMvZTJvRG9jLnhtbFBLBQYAAAAABgAGAFkBAABBBQAA&#10;AAA=&#10;">
                <v:fill on="f" focussize="0,0"/>
                <v:stroke on="f"/>
                <v:imagedata o:title=""/>
                <o:lock v:ext="edit" aspectratio="f"/>
                <v:textbox>
                  <w:txbxContent>
                    <w:p>
                      <w:r>
                        <w:rPr>
                          <w:rFonts w:hint="eastAsia"/>
                        </w:rPr>
                        <w:t>送尾矿库</w:t>
                      </w:r>
                    </w:p>
                  </w:txbxContent>
                </v:textbox>
              </v:rect>
            </w:pict>
          </mc:Fallback>
        </mc:AlternateContent>
      </w:r>
    </w:p>
    <w:p>
      <w:pPr>
        <w:rPr>
          <w:sz w:val="24"/>
        </w:rPr>
      </w:pPr>
      <w:r>
        <w:rPr>
          <w:sz w:val="24"/>
        </w:rPr>
        <mc:AlternateContent>
          <mc:Choice Requires="wps">
            <w:drawing>
              <wp:anchor distT="0" distB="0" distL="114300" distR="114300" simplePos="0" relativeHeight="251691008" behindDoc="0" locked="0" layoutInCell="1" allowOverlap="1">
                <wp:simplePos x="0" y="0"/>
                <wp:positionH relativeFrom="column">
                  <wp:posOffset>3395345</wp:posOffset>
                </wp:positionH>
                <wp:positionV relativeFrom="paragraph">
                  <wp:posOffset>53340</wp:posOffset>
                </wp:positionV>
                <wp:extent cx="810260" cy="635"/>
                <wp:effectExtent l="0" t="48260" r="8890" b="65405"/>
                <wp:wrapNone/>
                <wp:docPr id="199" name="直线 384"/>
                <wp:cNvGraphicFramePr/>
                <a:graphic xmlns:a="http://schemas.openxmlformats.org/drawingml/2006/main">
                  <a:graphicData uri="http://schemas.microsoft.com/office/word/2010/wordprocessingShape">
                    <wps:wsp>
                      <wps:cNvSpPr/>
                      <wps:spPr>
                        <a:xfrm>
                          <a:off x="0" y="0"/>
                          <a:ext cx="8102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84" o:spid="_x0000_s1026" o:spt="20" style="position:absolute;left:0pt;margin-left:267.35pt;margin-top:4.2pt;height:0.05pt;width:63.8pt;z-index:251691008;mso-width-relative:page;mso-height-relative:page;" filled="f" stroked="t" coordsize="21600,21600" o:gfxdata="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qBo1HYAAAABwEAAA8AAAAAAAAAAQAgAAAAIgAAAGRycy9kb3ducmV2LnhtbFBLAQIUABQA&#10;AAAIAIdO4kDmM2Ni8AEAAOEDAAAOAAAAAAAAAAEAIAAAACcBAABkcnMvZTJvRG9jLnhtbFBLBQYA&#10;AAAABgAGAFkBAACJBQ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1290955</wp:posOffset>
                </wp:positionH>
                <wp:positionV relativeFrom="paragraph">
                  <wp:posOffset>175260</wp:posOffset>
                </wp:positionV>
                <wp:extent cx="653415" cy="298450"/>
                <wp:effectExtent l="0" t="0" r="0" b="0"/>
                <wp:wrapNone/>
                <wp:docPr id="209" name="矩形 385"/>
                <wp:cNvGraphicFramePr/>
                <a:graphic xmlns:a="http://schemas.openxmlformats.org/drawingml/2006/main">
                  <a:graphicData uri="http://schemas.microsoft.com/office/word/2010/wordprocessingShape">
                    <wps:wsp>
                      <wps:cNvSpPr/>
                      <wps:spPr>
                        <a:xfrm>
                          <a:off x="0" y="0"/>
                          <a:ext cx="653415" cy="298450"/>
                        </a:xfrm>
                        <a:prstGeom prst="rect">
                          <a:avLst/>
                        </a:prstGeom>
                        <a:noFill/>
                        <a:ln>
                          <a:noFill/>
                        </a:ln>
                      </wps:spPr>
                      <wps:txbx>
                        <w:txbxContent>
                          <w:p>
                            <w:r>
                              <w:rPr>
                                <w:rFonts w:hint="eastAsia"/>
                              </w:rPr>
                              <w:t>磁选</w:t>
                            </w:r>
                          </w:p>
                        </w:txbxContent>
                      </wps:txbx>
                      <wps:bodyPr upright="1"/>
                    </wps:wsp>
                  </a:graphicData>
                </a:graphic>
              </wp:anchor>
            </w:drawing>
          </mc:Choice>
          <mc:Fallback>
            <w:pict>
              <v:rect id="矩形 385" o:spid="_x0000_s1026" o:spt="1" style="position:absolute;left:0pt;margin-left:101.65pt;margin-top:13.8pt;height:23.5pt;width:51.45pt;z-index:251701248;mso-width-relative:page;mso-height-relative:page;" filled="f" stroked="f" coordsize="21600,21600" o:gfxdata="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9I9LnaAAAACQEA&#10;AA8AAAAAAAAAAQAgAAAAIgAAAGRycy9kb3ducmV2LnhtbFBLAQIUABQAAAAIAIdO4kBppvImpgEA&#10;AEQDAAAOAAAAAAAAAAEAIAAAACkBAABkcnMvZTJvRG9jLnhtbFBLBQYAAAAABgAGAFkBAABBBQAA&#10;AAA=&#10;">
                <v:fill on="f" focussize="0,0"/>
                <v:stroke on="f"/>
                <v:imagedata o:title=""/>
                <o:lock v:ext="edit" aspectratio="f"/>
                <v:textbox>
                  <w:txbxContent>
                    <w:p>
                      <w:r>
                        <w:rPr>
                          <w:rFonts w:hint="eastAsia"/>
                        </w:rPr>
                        <w:t>磁选</w:t>
                      </w:r>
                    </w:p>
                  </w:txbxContent>
                </v:textbox>
              </v:rect>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2258060</wp:posOffset>
                </wp:positionH>
                <wp:positionV relativeFrom="paragraph">
                  <wp:posOffset>145415</wp:posOffset>
                </wp:positionV>
                <wp:extent cx="635" cy="504825"/>
                <wp:effectExtent l="48895" t="0" r="64770" b="9525"/>
                <wp:wrapNone/>
                <wp:docPr id="191" name="直线 386"/>
                <wp:cNvGraphicFramePr/>
                <a:graphic xmlns:a="http://schemas.openxmlformats.org/drawingml/2006/main">
                  <a:graphicData uri="http://schemas.microsoft.com/office/word/2010/wordprocessingShape">
                    <wps:wsp>
                      <wps:cNvSpPr/>
                      <wps:spPr>
                        <a:xfrm>
                          <a:off x="0" y="0"/>
                          <a:ext cx="635" cy="504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86" o:spid="_x0000_s1026" o:spt="20" style="position:absolute;left:0pt;margin-left:177.8pt;margin-top:11.45pt;height:39.75pt;width:0.05pt;z-index:251682816;mso-width-relative:page;mso-height-relative:page;" filled="f" stroked="t" coordsize="21600,21600" o:gfxdata="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VJnPNoAAAAKAQAADwAAAAAAAAABACAAAAAiAAAAZHJzL2Rvd25yZXYueG1sUEsBAhQA&#10;FAAAAAgAh07iQOJAyWjwAQAA4QMAAA4AAAAAAAAAAQAgAAAAKQEAAGRycy9lMm9Eb2MueG1sUEsF&#10;BgAAAAAGAAYAWQEAAIs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862965</wp:posOffset>
                </wp:positionH>
                <wp:positionV relativeFrom="paragraph">
                  <wp:posOffset>127635</wp:posOffset>
                </wp:positionV>
                <wp:extent cx="635" cy="493395"/>
                <wp:effectExtent l="48895" t="0" r="64770" b="1905"/>
                <wp:wrapNone/>
                <wp:docPr id="189" name="直线 387"/>
                <wp:cNvGraphicFramePr/>
                <a:graphic xmlns:a="http://schemas.openxmlformats.org/drawingml/2006/main">
                  <a:graphicData uri="http://schemas.microsoft.com/office/word/2010/wordprocessingShape">
                    <wps:wsp>
                      <wps:cNvSpPr/>
                      <wps:spPr>
                        <a:xfrm>
                          <a:off x="0" y="0"/>
                          <a:ext cx="635" cy="4933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87" o:spid="_x0000_s1026" o:spt="20" style="position:absolute;left:0pt;margin-left:67.95pt;margin-top:10.05pt;height:38.85pt;width:0.05pt;z-index:251680768;mso-width-relative:page;mso-height-relative:page;" filled="f" stroked="t" coordsize="21600,21600" o:gfxdata="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xUz42QAAAAkBAAAPAAAAAAAAAAEAIAAAACIAAABkcnMvZG93bnJldi54bWxQSwECFAAU&#10;AAAACACHTuJA4XjTqPABAADhAwAADgAAAAAAAAABACAAAAAoAQAAZHJzL2Uyb0RvYy54bWxQSwUG&#10;AAAAAAYABgBZAQAAigUAAAAA&#10;">
                <v:fill on="f" focussize="0,0"/>
                <v:stroke color="#000000" joinstyle="round" endarrow="open"/>
                <v:imagedata o:title=""/>
                <o:lock v:ext="edit" aspectratio="f"/>
              </v:line>
            </w:pict>
          </mc:Fallback>
        </mc:AlternateContent>
      </w:r>
      <w:r>
        <w:rPr>
          <w:sz w:val="24"/>
        </w:rPr>
        <mc:AlternateContent>
          <mc:Choice Requires="wpg">
            <w:drawing>
              <wp:anchor distT="0" distB="0" distL="114300" distR="114300" simplePos="0" relativeHeight="251553792" behindDoc="1" locked="0" layoutInCell="1" allowOverlap="1">
                <wp:simplePos x="0" y="0"/>
                <wp:positionH relativeFrom="column">
                  <wp:posOffset>826135</wp:posOffset>
                </wp:positionH>
                <wp:positionV relativeFrom="paragraph">
                  <wp:posOffset>131445</wp:posOffset>
                </wp:positionV>
                <wp:extent cx="1442085" cy="72390"/>
                <wp:effectExtent l="0" t="13970" r="5715" b="0"/>
                <wp:wrapNone/>
                <wp:docPr id="19" name="组合 388"/>
                <wp:cNvGraphicFramePr/>
                <a:graphic xmlns:a="http://schemas.openxmlformats.org/drawingml/2006/main">
                  <a:graphicData uri="http://schemas.microsoft.com/office/word/2010/wordprocessingGroup">
                    <wpg:wgp>
                      <wpg:cNvGrpSpPr/>
                      <wpg:grpSpPr>
                        <a:xfrm>
                          <a:off x="0" y="0"/>
                          <a:ext cx="1442085" cy="72390"/>
                          <a:chOff x="4422" y="413520"/>
                          <a:chExt cx="2271" cy="114"/>
                        </a:xfrm>
                      </wpg:grpSpPr>
                      <wps:wsp>
                        <wps:cNvPr id="8" name="直线 389"/>
                        <wps:cNvSpPr/>
                        <wps:spPr>
                          <a:xfrm>
                            <a:off x="4435" y="413520"/>
                            <a:ext cx="2259" cy="1"/>
                          </a:xfrm>
                          <a:prstGeom prst="line">
                            <a:avLst/>
                          </a:prstGeom>
                          <a:ln w="28575" cap="flat" cmpd="sng">
                            <a:solidFill>
                              <a:srgbClr val="000000"/>
                            </a:solidFill>
                            <a:prstDash val="solid"/>
                            <a:headEnd type="none" w="med" len="med"/>
                            <a:tailEnd type="none" w="med" len="med"/>
                          </a:ln>
                        </wps:spPr>
                        <wps:bodyPr upright="1"/>
                      </wps:wsp>
                      <wps:wsp>
                        <wps:cNvPr id="18" name="直线 390"/>
                        <wps:cNvSpPr/>
                        <wps:spPr>
                          <a:xfrm>
                            <a:off x="4422" y="413634"/>
                            <a:ext cx="2259"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388" o:spid="_x0000_s1026" o:spt="203" style="position:absolute;left:0pt;margin-left:65.05pt;margin-top:10.35pt;height:5.7pt;width:113.55pt;z-index:-251762688;mso-width-relative:page;mso-height-relative:page;" coordorigin="4422,413520" coordsize="2271,114" o:gfxdata="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XZW/2AAAAAkBAAAPAAAA&#10;AAAAAAEAIAAAACIAAABkcnMvZG93bnJldi54bWxQSwECFAAUAAAACACHTuJAGfKTNIcCAAAbBwAA&#10;DgAAAAAAAAABACAAAAAnAQAAZHJzL2Uyb0RvYy54bWxQSwUGAAAAAAYABgBZAQAAIAYAAAAA&#10;">
                <o:lock v:ext="edit" aspectratio="f"/>
                <v:line id="直线 389" o:spid="_x0000_s1026" o:spt="20" style="position:absolute;left:4435;top:413520;height:1;width:2259;" filled="f" stroked="t" coordsize="21600,21600" o:gfxdata="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Vwr+62AAAA2g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直线 390" o:spid="_x0000_s1026" o:spt="20" style="position:absolute;left:4422;top:413634;height:1;width:2259;"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p>
    <w:p>
      <w:pPr>
        <w:rPr>
          <w:sz w:val="24"/>
        </w:rPr>
      </w:pPr>
      <w:r>
        <w:rPr>
          <w:sz w:val="24"/>
        </w:rPr>
        <mc:AlternateContent>
          <mc:Choice Requires="wps">
            <w:drawing>
              <wp:anchor distT="0" distB="0" distL="114300" distR="114300" simplePos="0" relativeHeight="251684864" behindDoc="0" locked="0" layoutInCell="1" allowOverlap="1">
                <wp:simplePos x="0" y="0"/>
                <wp:positionH relativeFrom="column">
                  <wp:posOffset>-386080</wp:posOffset>
                </wp:positionH>
                <wp:positionV relativeFrom="paragraph">
                  <wp:posOffset>74930</wp:posOffset>
                </wp:positionV>
                <wp:extent cx="584200" cy="635"/>
                <wp:effectExtent l="0" t="0" r="0" b="0"/>
                <wp:wrapNone/>
                <wp:docPr id="193" name="直线 391"/>
                <wp:cNvGraphicFramePr/>
                <a:graphic xmlns:a="http://schemas.openxmlformats.org/drawingml/2006/main">
                  <a:graphicData uri="http://schemas.microsoft.com/office/word/2010/wordprocessingShape">
                    <wps:wsp>
                      <wps:cNvSpPr/>
                      <wps:spPr>
                        <a:xfrm>
                          <a:off x="0" y="0"/>
                          <a:ext cx="5842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1" o:spid="_x0000_s1026" o:spt="20" style="position:absolute;left:0pt;margin-left:-30.4pt;margin-top:5.9pt;height:0.05pt;width:46pt;z-index:251684864;mso-width-relative:page;mso-height-relative:page;" filled="f" stroked="t" coordsize="21600,21600" o:gfxdata="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aDStUA&#10;AAAIAQAADwAAAAAAAAABACAAAAAiAAAAZHJzL2Rvd25yZXYueG1sUEsBAhQAFAAAAAgAh07iQCor&#10;QSXpAQAA4AMAAA4AAAAAAAAAAQAgAAAAJAEAAGRycy9lMm9Eb2MueG1sUEsFBgAAAAAGAAYAWQEA&#10;AH8FAAAAAA==&#10;">
                <v:fill on="f" focussize="0,0"/>
                <v:stroke color="#000000" joinstyle="round"/>
                <v:imagedata o:title=""/>
                <o:lock v:ext="edit" aspectratio="f"/>
              </v:line>
            </w:pict>
          </mc:Fallback>
        </mc:AlternateContent>
      </w:r>
    </w:p>
    <w:p>
      <w:pPr>
        <w:rPr>
          <w:sz w:val="24"/>
        </w:rPr>
      </w:pPr>
    </w:p>
    <w:p>
      <w:pPr>
        <w:rPr>
          <w:sz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2205990</wp:posOffset>
                </wp:positionH>
                <wp:positionV relativeFrom="paragraph">
                  <wp:posOffset>50800</wp:posOffset>
                </wp:positionV>
                <wp:extent cx="1195070" cy="635"/>
                <wp:effectExtent l="0" t="0" r="0" b="0"/>
                <wp:wrapNone/>
                <wp:docPr id="197" name="直线 392"/>
                <wp:cNvGraphicFramePr/>
                <a:graphic xmlns:a="http://schemas.openxmlformats.org/drawingml/2006/main">
                  <a:graphicData uri="http://schemas.microsoft.com/office/word/2010/wordprocessingShape">
                    <wps:wsp>
                      <wps:cNvSpPr/>
                      <wps:spPr>
                        <a:xfrm>
                          <a:off x="0" y="0"/>
                          <a:ext cx="11950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2" o:spid="_x0000_s1026" o:spt="20" style="position:absolute;left:0pt;margin-left:173.7pt;margin-top:4pt;height:0.05pt;width:94.1pt;z-index:251688960;mso-width-relative:page;mso-height-relative:page;" filled="f" stroked="t" coordsize="21600,21600" o:gfxdata="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6OR&#10;QtUAAAAHAQAADwAAAAAAAAABACAAAAAiAAAAZHJzL2Rvd25yZXYueG1sUEsBAhQAFAAAAAgAh07i&#10;QK/CynzsAQAA4QMAAA4AAAAAAAAAAQAgAAAAJAEAAGRycy9lMm9Eb2MueG1sUEsFBgAAAAAGAAYA&#10;WQEAAIIFA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614680</wp:posOffset>
                </wp:positionH>
                <wp:positionV relativeFrom="paragraph">
                  <wp:posOffset>57150</wp:posOffset>
                </wp:positionV>
                <wp:extent cx="653415" cy="298450"/>
                <wp:effectExtent l="0" t="0" r="0" b="0"/>
                <wp:wrapNone/>
                <wp:docPr id="213" name="矩形 393"/>
                <wp:cNvGraphicFramePr/>
                <a:graphic xmlns:a="http://schemas.openxmlformats.org/drawingml/2006/main">
                  <a:graphicData uri="http://schemas.microsoft.com/office/word/2010/wordprocessingShape">
                    <wps:wsp>
                      <wps:cNvSpPr/>
                      <wps:spPr>
                        <a:xfrm>
                          <a:off x="0" y="0"/>
                          <a:ext cx="653415" cy="298450"/>
                        </a:xfrm>
                        <a:prstGeom prst="rect">
                          <a:avLst/>
                        </a:prstGeom>
                        <a:noFill/>
                        <a:ln>
                          <a:noFill/>
                        </a:ln>
                      </wps:spPr>
                      <wps:txbx>
                        <w:txbxContent>
                          <w:p>
                            <w:r>
                              <w:rPr>
                                <w:rFonts w:hint="eastAsia"/>
                              </w:rPr>
                              <w:t>过滤</w:t>
                            </w:r>
                          </w:p>
                        </w:txbxContent>
                      </wps:txbx>
                      <wps:bodyPr upright="1"/>
                    </wps:wsp>
                  </a:graphicData>
                </a:graphic>
              </wp:anchor>
            </w:drawing>
          </mc:Choice>
          <mc:Fallback>
            <w:pict>
              <v:rect id="矩形 393" o:spid="_x0000_s1026" o:spt="1" style="position:absolute;left:0pt;margin-left:48.4pt;margin-top:4.5pt;height:23.5pt;width:51.45pt;z-index:251703296;mso-width-relative:page;mso-height-relative:page;" filled="f" stroked="f" coordsize="21600,21600" o:gfxdata="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TyuEi2AAAAAcBAAAP&#10;AAAAAAAAAAEAIAAAACIAAABkcnMvZG93bnJldi54bWxQSwECFAAUAAAACACHTuJAb4yMdaYBAABE&#10;AwAADgAAAAAAAAABACAAAAAnAQAAZHJzL2Uyb0RvYy54bWxQSwUGAAAAAAYABgBZAQAAPwUAAAAA&#10;">
                <v:fill on="f" focussize="0,0"/>
                <v:stroke on="f"/>
                <v:imagedata o:title=""/>
                <o:lock v:ext="edit" aspectratio="f"/>
                <v:textbox>
                  <w:txbxContent>
                    <w:p>
                      <w:r>
                        <w:rPr>
                          <w:rFonts w:hint="eastAsia"/>
                        </w:rPr>
                        <w:t>过滤</w:t>
                      </w:r>
                    </w:p>
                  </w:txbxContent>
                </v:textbox>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249555</wp:posOffset>
                </wp:positionH>
                <wp:positionV relativeFrom="paragraph">
                  <wp:posOffset>20320</wp:posOffset>
                </wp:positionV>
                <wp:extent cx="635" cy="564515"/>
                <wp:effectExtent l="48895" t="0" r="64770" b="6985"/>
                <wp:wrapNone/>
                <wp:docPr id="190" name="直线 394"/>
                <wp:cNvGraphicFramePr/>
                <a:graphic xmlns:a="http://schemas.openxmlformats.org/drawingml/2006/main">
                  <a:graphicData uri="http://schemas.microsoft.com/office/word/2010/wordprocessingShape">
                    <wps:wsp>
                      <wps:cNvSpPr/>
                      <wps:spPr>
                        <a:xfrm>
                          <a:off x="0" y="0"/>
                          <a:ext cx="635" cy="564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94" o:spid="_x0000_s1026" o:spt="20" style="position:absolute;left:0pt;margin-left:19.65pt;margin-top:1.6pt;height:44.45pt;width:0.05pt;z-index:251681792;mso-width-relative:page;mso-height-relative:page;" filled="f" stroked="t" coordsize="21600,21600" o:gfxdata="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2G8idcAAAAGAQAADwAAAAAAAAABACAAAAAiAAAAZHJzL2Rvd25yZXYueG1sUEsBAhQAFAAA&#10;AAgAh07iQBZKZL3wAQAA4QMAAA4AAAAAAAAAAQAgAAAAJgEAAGRycy9lMm9Eb2MueG1sUEsFBgAA&#10;AAAGAAYAWQEAAIg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1673225</wp:posOffset>
                </wp:positionH>
                <wp:positionV relativeFrom="paragraph">
                  <wp:posOffset>29845</wp:posOffset>
                </wp:positionV>
                <wp:extent cx="635" cy="539115"/>
                <wp:effectExtent l="48895" t="0" r="64770" b="13335"/>
                <wp:wrapNone/>
                <wp:docPr id="192" name="直线 395"/>
                <wp:cNvGraphicFramePr/>
                <a:graphic xmlns:a="http://schemas.openxmlformats.org/drawingml/2006/main">
                  <a:graphicData uri="http://schemas.microsoft.com/office/word/2010/wordprocessingShape">
                    <wps:wsp>
                      <wps:cNvSpPr/>
                      <wps:spPr>
                        <a:xfrm>
                          <a:off x="0" y="0"/>
                          <a:ext cx="635" cy="5391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95" o:spid="_x0000_s1026" o:spt="20" style="position:absolute;left:0pt;margin-left:131.75pt;margin-top:2.35pt;height:42.45pt;width:0.05pt;z-index:251683840;mso-width-relative:page;mso-height-relative:page;" filled="f" stroked="t" coordsize="21600,21600" o:gfxdata="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8R6NgAAAAIAQAADwAAAAAAAAABACAAAAAiAAAAZHJzL2Rvd25yZXYueG1sUEsBAhQA&#10;FAAAAAgAh07iQBBupVryAQAA4QMAAA4AAAAAAAAAAQAgAAAAJwEAAGRycy9lMm9Eb2MueG1sUEsF&#10;BgAAAAAGAAYAWQEAAIsFAAAAAA==&#10;">
                <v:fill on="f" focussize="0,0"/>
                <v:stroke color="#000000" joinstyle="round" endarrow="open"/>
                <v:imagedata o:title=""/>
                <o:lock v:ext="edit" aspectratio="f"/>
              </v:line>
            </w:pict>
          </mc:Fallback>
        </mc:AlternateContent>
      </w:r>
      <w:r>
        <w:rPr>
          <w:sz w:val="24"/>
        </w:rPr>
        <mc:AlternateContent>
          <mc:Choice Requires="wpg">
            <w:drawing>
              <wp:anchor distT="0" distB="0" distL="114300" distR="114300" simplePos="0" relativeHeight="251677696" behindDoc="0" locked="0" layoutInCell="1" allowOverlap="1">
                <wp:simplePos x="0" y="0"/>
                <wp:positionH relativeFrom="column">
                  <wp:posOffset>240665</wp:posOffset>
                </wp:positionH>
                <wp:positionV relativeFrom="paragraph">
                  <wp:posOffset>31750</wp:posOffset>
                </wp:positionV>
                <wp:extent cx="1442085" cy="72390"/>
                <wp:effectExtent l="0" t="13970" r="5715" b="0"/>
                <wp:wrapNone/>
                <wp:docPr id="186" name="组合 396"/>
                <wp:cNvGraphicFramePr/>
                <a:graphic xmlns:a="http://schemas.openxmlformats.org/drawingml/2006/main">
                  <a:graphicData uri="http://schemas.microsoft.com/office/word/2010/wordprocessingGroup">
                    <wpg:wgp>
                      <wpg:cNvGrpSpPr/>
                      <wpg:grpSpPr>
                        <a:xfrm>
                          <a:off x="0" y="0"/>
                          <a:ext cx="1442085" cy="72390"/>
                          <a:chOff x="4422" y="413520"/>
                          <a:chExt cx="2271" cy="114"/>
                        </a:xfrm>
                      </wpg:grpSpPr>
                      <wps:wsp>
                        <wps:cNvPr id="184" name="直线 397"/>
                        <wps:cNvSpPr/>
                        <wps:spPr>
                          <a:xfrm>
                            <a:off x="4435" y="413520"/>
                            <a:ext cx="2259" cy="1"/>
                          </a:xfrm>
                          <a:prstGeom prst="line">
                            <a:avLst/>
                          </a:prstGeom>
                          <a:ln w="28575" cap="flat" cmpd="sng">
                            <a:solidFill>
                              <a:srgbClr val="000000"/>
                            </a:solidFill>
                            <a:prstDash val="solid"/>
                            <a:headEnd type="none" w="med" len="med"/>
                            <a:tailEnd type="none" w="med" len="med"/>
                          </a:ln>
                        </wps:spPr>
                        <wps:bodyPr upright="1"/>
                      </wps:wsp>
                      <wps:wsp>
                        <wps:cNvPr id="185" name="直线 398"/>
                        <wps:cNvSpPr/>
                        <wps:spPr>
                          <a:xfrm>
                            <a:off x="4422" y="413634"/>
                            <a:ext cx="2259"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396" o:spid="_x0000_s1026" o:spt="203" style="position:absolute;left:0pt;margin-left:18.95pt;margin-top:2.5pt;height:5.7pt;width:113.55pt;z-index:251677696;mso-width-relative:page;mso-height-relative:page;" coordorigin="4422,413520" coordsize="2271,114" o:gfxdata="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Hs1vPXAAAABwEAAA8A&#10;AAAAAAAAAQAgAAAAIgAAAGRycy9kb3ducmV2LnhtbFBLAQIUABQAAAAIAIdO4kAMjOERigIAAB8H&#10;AAAOAAAAAAAAAAEAIAAAACYBAABkcnMvZTJvRG9jLnhtbFBLBQYAAAAABgAGAFkBAAAiBgAAAAA=&#10;">
                <o:lock v:ext="edit" aspectratio="f"/>
                <v:line id="直线 397" o:spid="_x0000_s1026" o:spt="20" style="position:absolute;left:4435;top:413520;height:1;width:2259;" filled="f" stroked="t" coordsize="21600,21600" o:gfxdata="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KwbsAAADc&#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line id="直线 398" o:spid="_x0000_s1026" o:spt="20" style="position:absolute;left:4422;top:413634;height:1;width:2259;" filled="f" stroked="t" coordsize="21600,21600" o:gfxdata="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Tn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p>
    <w:p>
      <w:pPr>
        <w:rPr>
          <w:sz w:val="24"/>
        </w:rPr>
      </w:pPr>
    </w:p>
    <w:p>
      <w:pPr>
        <w:rPr>
          <w:sz w:val="24"/>
        </w:rPr>
      </w:pPr>
      <w:r>
        <w:rPr>
          <w:sz w:val="24"/>
        </w:rPr>
        <mc:AlternateContent>
          <mc:Choice Requires="wps">
            <w:drawing>
              <wp:anchor distT="0" distB="0" distL="114300" distR="114300" simplePos="0" relativeHeight="251705344" behindDoc="0" locked="0" layoutInCell="1" allowOverlap="1">
                <wp:simplePos x="0" y="0"/>
                <wp:positionH relativeFrom="column">
                  <wp:posOffset>1339215</wp:posOffset>
                </wp:positionH>
                <wp:positionV relativeFrom="paragraph">
                  <wp:posOffset>137160</wp:posOffset>
                </wp:positionV>
                <wp:extent cx="709930" cy="298450"/>
                <wp:effectExtent l="0" t="0" r="0" b="0"/>
                <wp:wrapNone/>
                <wp:docPr id="215" name="矩形 399"/>
                <wp:cNvGraphicFramePr/>
                <a:graphic xmlns:a="http://schemas.openxmlformats.org/drawingml/2006/main">
                  <a:graphicData uri="http://schemas.microsoft.com/office/word/2010/wordprocessingShape">
                    <wps:wsp>
                      <wps:cNvSpPr/>
                      <wps:spPr>
                        <a:xfrm>
                          <a:off x="0" y="0"/>
                          <a:ext cx="709930" cy="298450"/>
                        </a:xfrm>
                        <a:prstGeom prst="rect">
                          <a:avLst/>
                        </a:prstGeom>
                        <a:noFill/>
                        <a:ln>
                          <a:noFill/>
                        </a:ln>
                      </wps:spPr>
                      <wps:txbx>
                        <w:txbxContent>
                          <w:p>
                            <w:r>
                              <w:rPr>
                                <w:rFonts w:hint="eastAsia"/>
                              </w:rPr>
                              <w:t>铁精粉</w:t>
                            </w:r>
                          </w:p>
                        </w:txbxContent>
                      </wps:txbx>
                      <wps:bodyPr upright="1"/>
                    </wps:wsp>
                  </a:graphicData>
                </a:graphic>
              </wp:anchor>
            </w:drawing>
          </mc:Choice>
          <mc:Fallback>
            <w:pict>
              <v:rect id="矩形 399" o:spid="_x0000_s1026" o:spt="1" style="position:absolute;left:0pt;margin-left:105.45pt;margin-top:10.8pt;height:23.5pt;width:55.9pt;z-index:251705344;mso-width-relative:page;mso-height-relative:page;" filled="f" stroked="f" coordsize="21600,21600" o:gfxdata="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e6tENoAAAAJAQAA&#10;DwAAAAAAAAABACAAAAAiAAAAZHJzL2Rvd25yZXYueG1sUEsBAhQAFAAAAAgAh07iQGcad9ylAQAA&#10;RAMAAA4AAAAAAAAAAQAgAAAAKQEAAGRycy9lMm9Eb2MueG1sUEsFBgAAAAAGAAYAWQEAAEAFAAAA&#10;AA==&#10;">
                <v:fill on="f" focussize="0,0"/>
                <v:stroke on="f"/>
                <v:imagedata o:title=""/>
                <o:lock v:ext="edit" aspectratio="f"/>
                <v:textbox>
                  <w:txbxContent>
                    <w:p>
                      <w:r>
                        <w:rPr>
                          <w:rFonts w:hint="eastAsia"/>
                        </w:rPr>
                        <w:t>铁精粉</w:t>
                      </w:r>
                    </w:p>
                  </w:txbxContent>
                </v:textbox>
              </v:rect>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-52070</wp:posOffset>
                </wp:positionH>
                <wp:positionV relativeFrom="paragraph">
                  <wp:posOffset>127635</wp:posOffset>
                </wp:positionV>
                <wp:extent cx="653415" cy="298450"/>
                <wp:effectExtent l="0" t="0" r="0" b="0"/>
                <wp:wrapNone/>
                <wp:docPr id="214" name="矩形 400"/>
                <wp:cNvGraphicFramePr/>
                <a:graphic xmlns:a="http://schemas.openxmlformats.org/drawingml/2006/main">
                  <a:graphicData uri="http://schemas.microsoft.com/office/word/2010/wordprocessingShape">
                    <wps:wsp>
                      <wps:cNvSpPr/>
                      <wps:spPr>
                        <a:xfrm>
                          <a:off x="0" y="0"/>
                          <a:ext cx="653415" cy="298450"/>
                        </a:xfrm>
                        <a:prstGeom prst="rect">
                          <a:avLst/>
                        </a:prstGeom>
                        <a:noFill/>
                        <a:ln>
                          <a:noFill/>
                        </a:ln>
                      </wps:spPr>
                      <wps:txbx>
                        <w:txbxContent>
                          <w:p>
                            <w:pPr>
                              <w:jc w:val="center"/>
                            </w:pPr>
                            <w:r>
                              <w:rPr>
                                <w:rFonts w:hint="eastAsia"/>
                              </w:rPr>
                              <w:t>滤液</w:t>
                            </w:r>
                          </w:p>
                        </w:txbxContent>
                      </wps:txbx>
                      <wps:bodyPr upright="1"/>
                    </wps:wsp>
                  </a:graphicData>
                </a:graphic>
              </wp:anchor>
            </w:drawing>
          </mc:Choice>
          <mc:Fallback>
            <w:pict>
              <v:rect id="矩形 400" o:spid="_x0000_s1026" o:spt="1" style="position:absolute;left:0pt;margin-left:-4.1pt;margin-top:10.05pt;height:23.5pt;width:51.45pt;z-index:251704320;mso-width-relative:page;mso-height-relative:page;" filled="f" stroked="f" coordsize="21600,21600" o:gfxdata="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KEOU9gAAAAHAQAADwAA&#10;AAAAAAABACAAAAAiAAAAZHJzL2Rvd25yZXYueG1sUEsBAhQAFAAAAAgAh07iQK49i36kAQAARAMA&#10;AA4AAAAAAAAAAQAgAAAAJwEAAGRycy9lMm9Eb2MueG1sUEsFBgAAAAAGAAYAWQEAAD0FAAAAAA==&#10;">
                <v:fill on="f" focussize="0,0"/>
                <v:stroke on="f"/>
                <v:imagedata o:title=""/>
                <o:lock v:ext="edit" aspectratio="f"/>
                <v:textbox>
                  <w:txbxContent>
                    <w:p>
                      <w:pPr>
                        <w:jc w:val="center"/>
                      </w:pPr>
                      <w:r>
                        <w:rPr>
                          <w:rFonts w:hint="eastAsia"/>
                        </w:rPr>
                        <w:t>滤液</w:t>
                      </w:r>
                    </w:p>
                  </w:txbxContent>
                </v:textbox>
              </v:rect>
            </w:pict>
          </mc:Fallback>
        </mc:AlternateContent>
      </w:r>
    </w:p>
    <w:p>
      <w:pPr>
        <w:rPr>
          <w:sz w:val="24"/>
        </w:rPr>
      </w:pPr>
    </w:p>
    <w:p>
      <w:pPr>
        <w:tabs>
          <w:tab w:val="left" w:pos="2872"/>
        </w:tabs>
        <w:jc w:val="left"/>
        <w:rPr>
          <w:b/>
          <w:bCs/>
          <w:sz w:val="24"/>
        </w:rPr>
      </w:pPr>
      <w:r>
        <w:rPr>
          <w:rFonts w:hint="eastAsia"/>
          <w:sz w:val="24"/>
        </w:rPr>
        <w:tab/>
      </w:r>
      <w:r>
        <w:rPr>
          <w:rFonts w:hint="eastAsia"/>
          <w:b/>
          <w:bCs/>
          <w:sz w:val="24"/>
        </w:rPr>
        <w:t>图3-4 现有选矿工艺流程示意图</w:t>
      </w:r>
    </w:p>
    <w:p>
      <w:pPr>
        <w:spacing w:line="360" w:lineRule="auto"/>
        <w:ind w:firstLine="480" w:firstLineChars="200"/>
        <w:rPr>
          <w:rFonts w:ascii="Times New Roman" w:hAnsi="Times New Roman"/>
          <w:b/>
          <w:bCs/>
          <w:sz w:val="24"/>
          <w:szCs w:val="24"/>
        </w:rPr>
      </w:pPr>
      <w:r>
        <w:rPr>
          <w:rFonts w:ascii="Times New Roman" w:hAnsi="Times New Roman"/>
          <w:sz w:val="24"/>
          <w:szCs w:val="24"/>
        </w:rPr>
        <w:t>尾矿浆</w:t>
      </w:r>
      <w:r>
        <w:rPr>
          <w:rFonts w:hint="eastAsia" w:ascii="Times New Roman" w:hAnsi="Times New Roman"/>
          <w:sz w:val="24"/>
          <w:szCs w:val="24"/>
        </w:rPr>
        <w:t>直接通过管道排入尾矿库。</w:t>
      </w:r>
    </w:p>
    <w:p>
      <w:pPr>
        <w:pStyle w:val="5"/>
        <w:spacing w:beforeLines="50" w:after="0" w:line="360" w:lineRule="auto"/>
        <w:rPr>
          <w:color w:val="000000"/>
          <w:sz w:val="24"/>
          <w:szCs w:val="24"/>
        </w:rPr>
      </w:pPr>
      <w:bookmarkStart w:id="147" w:name="_Toc19149"/>
      <w:bookmarkStart w:id="148" w:name="_Toc23948"/>
      <w:bookmarkStart w:id="149" w:name="_Toc634"/>
      <w:r>
        <w:rPr>
          <w:rFonts w:hint="eastAsia"/>
          <w:color w:val="000000"/>
          <w:sz w:val="24"/>
          <w:szCs w:val="24"/>
        </w:rPr>
        <w:t>3.1.9现有项目污染源调查与污染物排放情况</w:t>
      </w:r>
      <w:bookmarkEnd w:id="147"/>
      <w:bookmarkEnd w:id="148"/>
      <w:bookmarkEnd w:id="149"/>
    </w:p>
    <w:p>
      <w:pPr>
        <w:tabs>
          <w:tab w:val="left" w:pos="1958"/>
        </w:tabs>
        <w:spacing w:line="360" w:lineRule="auto"/>
        <w:jc w:val="left"/>
        <w:rPr>
          <w:sz w:val="24"/>
        </w:rPr>
      </w:pPr>
      <w:r>
        <w:rPr>
          <w:rFonts w:hint="eastAsia"/>
          <w:sz w:val="24"/>
        </w:rPr>
        <w:t>1、废气</w:t>
      </w:r>
    </w:p>
    <w:p>
      <w:pPr>
        <w:spacing w:line="360" w:lineRule="auto"/>
        <w:ind w:firstLine="480" w:firstLineChars="200"/>
        <w:jc w:val="left"/>
        <w:rPr>
          <w:sz w:val="24"/>
        </w:rPr>
      </w:pPr>
      <w:r>
        <w:rPr>
          <w:rFonts w:hint="eastAsia"/>
          <w:sz w:val="24"/>
        </w:rPr>
        <w:t>现有项目废气污染物主要有：现有采场区矿井通风粉尘、工业广场粉尘、矿石运输粉尘、井下爆破废气；现有选矿区选矿车间的工艺粉尘、锅炉烟气、尾矿库扬尘等。</w:t>
      </w:r>
    </w:p>
    <w:p>
      <w:pPr>
        <w:spacing w:line="360" w:lineRule="auto"/>
        <w:ind w:firstLine="480" w:firstLineChars="200"/>
        <w:jc w:val="left"/>
        <w:outlineLvl w:val="0"/>
        <w:rPr>
          <w:sz w:val="24"/>
        </w:rPr>
      </w:pPr>
      <w:r>
        <w:rPr>
          <w:rFonts w:hint="eastAsia"/>
          <w:sz w:val="24"/>
        </w:rPr>
        <w:t>一、现有采场区：</w:t>
      </w:r>
    </w:p>
    <w:p>
      <w:pPr>
        <w:spacing w:line="360" w:lineRule="auto"/>
        <w:ind w:firstLine="480" w:firstLineChars="200"/>
        <w:jc w:val="left"/>
        <w:rPr>
          <w:sz w:val="24"/>
        </w:rPr>
      </w:pPr>
      <w:r>
        <w:rPr>
          <w:rFonts w:hint="eastAsia"/>
          <w:sz w:val="24"/>
        </w:rPr>
        <w:t>（1）矿井通风粉尘</w:t>
      </w:r>
    </w:p>
    <w:p>
      <w:pPr>
        <w:spacing w:line="360" w:lineRule="auto"/>
        <w:ind w:firstLine="480" w:firstLineChars="200"/>
        <w:jc w:val="left"/>
        <w:rPr>
          <w:sz w:val="24"/>
        </w:rPr>
      </w:pPr>
      <w:r>
        <w:rPr>
          <w:rFonts w:hint="eastAsia"/>
          <w:sz w:val="24"/>
        </w:rPr>
        <w:t>井下粉尘主要产生于岩矿爆破、铲装和运输，其产生量为0.109t/a。粉尘通过矿井通风的形式排入大气环境。为了有效地控制粉尘的排放，企业已经采取了以下措施：湿式凿岩，炮后喷雾、出渣洒水、冲洗岩部，掘进工作面和局部硐室设置局扇以加强通风。采取措施后，井下粉尘对大气的环境影响较小。</w:t>
      </w:r>
    </w:p>
    <w:p>
      <w:pPr>
        <w:spacing w:line="360" w:lineRule="auto"/>
        <w:ind w:firstLine="480" w:firstLineChars="200"/>
        <w:jc w:val="left"/>
        <w:rPr>
          <w:sz w:val="24"/>
        </w:rPr>
      </w:pPr>
      <w:r>
        <w:rPr>
          <w:rFonts w:hint="eastAsia"/>
          <w:sz w:val="24"/>
        </w:rPr>
        <w:t>（2）工业广场粉尘</w:t>
      </w:r>
    </w:p>
    <w:p>
      <w:pPr>
        <w:spacing w:line="360" w:lineRule="auto"/>
        <w:ind w:firstLine="480" w:firstLineChars="200"/>
        <w:jc w:val="left"/>
        <w:rPr>
          <w:sz w:val="24"/>
        </w:rPr>
      </w:pPr>
      <w:r>
        <w:rPr>
          <w:rFonts w:hint="eastAsia"/>
          <w:sz w:val="24"/>
        </w:rPr>
        <w:t>工业广场产生的粉尘主要为装卸扬尘及临时废石场风蚀扬尘（矿石进入矿仓，基本无风蚀扬尘产生），均为无组织排放。</w:t>
      </w:r>
    </w:p>
    <w:p>
      <w:pPr>
        <w:spacing w:line="360" w:lineRule="auto"/>
        <w:ind w:firstLine="480" w:firstLineChars="200"/>
        <w:jc w:val="left"/>
        <w:rPr>
          <w:sz w:val="24"/>
        </w:rPr>
      </w:pPr>
      <w:r>
        <w:rPr>
          <w:rFonts w:hint="eastAsia"/>
          <w:sz w:val="24"/>
        </w:rPr>
        <w:t>企业在废石装卸过程中采用了喷雾洒水方式抑尘，同时在废石堆场表面覆盖苫布，挡风网等措施。</w:t>
      </w:r>
    </w:p>
    <w:p>
      <w:pPr>
        <w:spacing w:line="360" w:lineRule="auto"/>
        <w:ind w:firstLine="480" w:firstLineChars="200"/>
        <w:jc w:val="left"/>
        <w:rPr>
          <w:sz w:val="24"/>
        </w:rPr>
      </w:pPr>
      <w:r>
        <w:rPr>
          <w:rFonts w:hint="eastAsia"/>
          <w:sz w:val="24"/>
        </w:rPr>
        <w:t>（3）矿石运输粉尘</w:t>
      </w:r>
    </w:p>
    <w:p>
      <w:pPr>
        <w:spacing w:line="360" w:lineRule="auto"/>
        <w:ind w:firstLine="480" w:firstLineChars="200"/>
        <w:jc w:val="left"/>
        <w:rPr>
          <w:sz w:val="24"/>
        </w:rPr>
      </w:pPr>
      <w:r>
        <w:rPr>
          <w:rFonts w:hint="eastAsia"/>
          <w:sz w:val="24"/>
        </w:rPr>
        <w:t>矿石运输过程中产生无组织粉尘，矿石运输车辆采用了带顶盖的车辆，同时在物料上加盖篷布等防尘措施，运输过程中物料随风起尘的影响降至最低，对大气环境的影响较小。</w:t>
      </w:r>
    </w:p>
    <w:p>
      <w:pPr>
        <w:spacing w:line="360" w:lineRule="auto"/>
        <w:ind w:firstLine="480" w:firstLineChars="200"/>
        <w:jc w:val="left"/>
        <w:rPr>
          <w:sz w:val="24"/>
        </w:rPr>
      </w:pPr>
      <w:r>
        <w:rPr>
          <w:rFonts w:hint="eastAsia"/>
          <w:sz w:val="24"/>
        </w:rPr>
        <w:t>（4）井下爆破产生的废气</w:t>
      </w:r>
    </w:p>
    <w:p>
      <w:pPr>
        <w:spacing w:line="360" w:lineRule="auto"/>
        <w:ind w:firstLine="480" w:firstLineChars="200"/>
        <w:jc w:val="left"/>
        <w:rPr>
          <w:sz w:val="24"/>
        </w:rPr>
      </w:pPr>
      <w:r>
        <w:rPr>
          <w:rFonts w:hint="eastAsia"/>
          <w:sz w:val="24"/>
        </w:rPr>
        <w:t>现有工程所用炸药为2#岩石硝铵炸药，其成分为：NH</w:t>
      </w:r>
      <w:r>
        <w:rPr>
          <w:rFonts w:hint="eastAsia"/>
          <w:sz w:val="24"/>
          <w:vertAlign w:val="subscript"/>
        </w:rPr>
        <w:t>4</w:t>
      </w:r>
      <w:r>
        <w:rPr>
          <w:rFonts w:hint="eastAsia"/>
          <w:sz w:val="24"/>
        </w:rPr>
        <w:t>NO</w:t>
      </w:r>
      <w:r>
        <w:rPr>
          <w:rFonts w:hint="eastAsia"/>
          <w:sz w:val="24"/>
          <w:vertAlign w:val="subscript"/>
        </w:rPr>
        <w:t>3</w:t>
      </w:r>
      <w:r>
        <w:rPr>
          <w:rFonts w:hint="eastAsia"/>
          <w:sz w:val="24"/>
        </w:rPr>
        <w:t>89.85%、复合油4.7%、木粉5.2%。</w:t>
      </w:r>
    </w:p>
    <w:p>
      <w:pPr>
        <w:spacing w:line="360" w:lineRule="auto"/>
        <w:ind w:firstLine="480" w:firstLineChars="200"/>
        <w:jc w:val="left"/>
        <w:rPr>
          <w:sz w:val="24"/>
        </w:rPr>
      </w:pPr>
      <w:r>
        <w:rPr>
          <w:rFonts w:hint="eastAsia"/>
          <w:sz w:val="24"/>
        </w:rPr>
        <w:t>爆破产生的废气污染物主要为氮氧化物，根据有关资料，每吨炸药可产生氮氧化物气体（以NO</w:t>
      </w:r>
      <w:r>
        <w:rPr>
          <w:rFonts w:hint="eastAsia"/>
          <w:sz w:val="24"/>
          <w:vertAlign w:val="subscript"/>
        </w:rPr>
        <w:t>2</w:t>
      </w:r>
      <w:r>
        <w:rPr>
          <w:rFonts w:hint="eastAsia"/>
          <w:sz w:val="24"/>
        </w:rPr>
        <w:t>计）。现有项目炸药用量为500t/a，则NO</w:t>
      </w:r>
      <w:r>
        <w:rPr>
          <w:rFonts w:hint="eastAsia"/>
          <w:sz w:val="24"/>
          <w:vertAlign w:val="subscript"/>
        </w:rPr>
        <w:t>2</w:t>
      </w:r>
      <w:r>
        <w:rPr>
          <w:rFonts w:hint="eastAsia"/>
          <w:sz w:val="24"/>
        </w:rPr>
        <w:t>的产生量为4.0t/a。由于其爆破产生的废气为瞬时产生的，其产生时间较短，对周围大气环境的影响较小。</w:t>
      </w:r>
    </w:p>
    <w:p>
      <w:pPr>
        <w:spacing w:line="360" w:lineRule="auto"/>
        <w:ind w:firstLine="480" w:firstLineChars="200"/>
        <w:jc w:val="left"/>
        <w:outlineLvl w:val="0"/>
        <w:rPr>
          <w:rFonts w:ascii="Times New Roman" w:hAnsi="Times New Roman"/>
          <w:sz w:val="24"/>
        </w:rPr>
      </w:pPr>
      <w:r>
        <w:rPr>
          <w:rFonts w:hint="eastAsia" w:ascii="Times New Roman" w:hAnsi="Times New Roman"/>
          <w:sz w:val="24"/>
        </w:rPr>
        <w:t>二、现有选矿区：</w:t>
      </w:r>
    </w:p>
    <w:p>
      <w:pPr>
        <w:spacing w:line="360" w:lineRule="auto"/>
        <w:ind w:firstLine="480" w:firstLineChars="200"/>
        <w:jc w:val="left"/>
        <w:rPr>
          <w:rFonts w:ascii="Times New Roman" w:hAnsi="Times New Roman"/>
          <w:sz w:val="24"/>
        </w:rPr>
      </w:pPr>
      <w:r>
        <w:rPr>
          <w:rFonts w:ascii="Times New Roman" w:hAnsi="Times New Roman"/>
          <w:sz w:val="24"/>
        </w:rPr>
        <w:t>（</w:t>
      </w:r>
      <w:r>
        <w:rPr>
          <w:rFonts w:hint="eastAsia" w:ascii="Times New Roman" w:hAnsi="Times New Roman"/>
          <w:sz w:val="24"/>
        </w:rPr>
        <w:t>1</w:t>
      </w:r>
      <w:r>
        <w:rPr>
          <w:rFonts w:ascii="Times New Roman" w:hAnsi="Times New Roman"/>
          <w:sz w:val="24"/>
        </w:rPr>
        <w:t>）选矿</w:t>
      </w:r>
      <w:r>
        <w:rPr>
          <w:rFonts w:hint="eastAsia" w:ascii="Times New Roman" w:hAnsi="Times New Roman"/>
          <w:sz w:val="24"/>
        </w:rPr>
        <w:t>工艺以及尾矿库扬尘</w:t>
      </w:r>
    </w:p>
    <w:p>
      <w:pPr>
        <w:spacing w:line="360" w:lineRule="auto"/>
        <w:ind w:firstLine="480" w:firstLineChars="200"/>
        <w:jc w:val="left"/>
        <w:rPr>
          <w:rFonts w:ascii="Times New Roman" w:hAnsi="Times New Roman"/>
          <w:sz w:val="24"/>
        </w:rPr>
      </w:pPr>
      <w:r>
        <w:rPr>
          <w:rFonts w:ascii="Times New Roman" w:hAnsi="Times New Roman"/>
          <w:sz w:val="24"/>
        </w:rPr>
        <w:t>选矿作业中颚式破碎机、振动筛、球磨、细碎工序产生的粉尘、胶带输送中产生的粉尘等</w:t>
      </w:r>
      <w:r>
        <w:rPr>
          <w:rFonts w:hint="eastAsia" w:ascii="Times New Roman" w:hAnsi="Times New Roman"/>
          <w:sz w:val="24"/>
        </w:rPr>
        <w:t>。厂区东部现有尾矿库将产生扬尘。</w:t>
      </w:r>
    </w:p>
    <w:p>
      <w:pPr>
        <w:spacing w:line="360" w:lineRule="auto"/>
        <w:ind w:firstLine="480" w:firstLineChars="200"/>
        <w:jc w:val="left"/>
        <w:rPr>
          <w:sz w:val="24"/>
        </w:rPr>
      </w:pPr>
      <w:r>
        <w:rPr>
          <w:rFonts w:ascii="Times New Roman" w:hAnsi="Times New Roman"/>
          <w:sz w:val="24"/>
        </w:rPr>
        <w:t>由于本公司验收时间较长，其监测数据不具有代表性，为了了解现有选矿厂区污染物周周围环境影响的情况，吉林省国安环境检测有限公司于2018年11月12日</w:t>
      </w:r>
      <w:r>
        <w:rPr>
          <w:rFonts w:hint="eastAsia" w:ascii="Times New Roman" w:hAnsi="Times New Roman"/>
          <w:sz w:val="24"/>
        </w:rPr>
        <w:t>对</w:t>
      </w:r>
      <w:r>
        <w:rPr>
          <w:rFonts w:ascii="Times New Roman" w:hAnsi="Times New Roman"/>
          <w:sz w:val="24"/>
        </w:rPr>
        <w:t>现有尾选矿区厂界进行监测。监测项目：TSP。</w:t>
      </w:r>
      <w:r>
        <w:rPr>
          <w:rFonts w:hint="eastAsia"/>
          <w:sz w:val="24"/>
        </w:rPr>
        <w:t>监测结果详见下表。</w:t>
      </w:r>
    </w:p>
    <w:p>
      <w:pPr>
        <w:spacing w:beforeLines="50"/>
        <w:jc w:val="center"/>
        <w:rPr>
          <w:rFonts w:ascii="Times New Roman" w:hAnsi="Times New Roman"/>
          <w:b/>
          <w:bCs/>
          <w:sz w:val="24"/>
        </w:rPr>
      </w:pPr>
    </w:p>
    <w:p>
      <w:pPr>
        <w:spacing w:beforeLines="50"/>
        <w:jc w:val="center"/>
        <w:rPr>
          <w:rFonts w:ascii="Times New Roman" w:hAnsi="Times New Roman"/>
          <w:b/>
          <w:bCs/>
          <w:sz w:val="24"/>
        </w:rPr>
      </w:pPr>
      <w:r>
        <w:rPr>
          <w:rFonts w:hint="eastAsia" w:ascii="Times New Roman" w:hAnsi="Times New Roman"/>
          <w:b/>
          <w:bCs/>
          <w:sz w:val="24"/>
        </w:rPr>
        <w:t>表3-7 现有选矿厂厂界污无组织排放情况表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3546"/>
        <w:gridCol w:w="2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7"/>
            </w:pPr>
            <w:r>
              <w:t>序号</w:t>
            </w:r>
          </w:p>
        </w:tc>
        <w:tc>
          <w:tcPr>
            <w:tcW w:w="3546" w:type="dxa"/>
            <w:vAlign w:val="center"/>
          </w:tcPr>
          <w:p>
            <w:pPr>
              <w:pStyle w:val="67"/>
            </w:pPr>
            <w:r>
              <w:t>监测地点</w:t>
            </w:r>
          </w:p>
        </w:tc>
        <w:tc>
          <w:tcPr>
            <w:tcW w:w="2908" w:type="dxa"/>
            <w:vAlign w:val="center"/>
          </w:tcPr>
          <w:p>
            <w:pPr>
              <w:pStyle w:val="67"/>
            </w:pPr>
            <w:r>
              <w:t>浓度（mg/m³）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7" w:type="dxa"/>
            <w:vAlign w:val="center"/>
          </w:tcPr>
          <w:p>
            <w:pPr>
              <w:pStyle w:val="67"/>
            </w:pPr>
            <w:r>
              <w:t>1#</w:t>
            </w:r>
          </w:p>
        </w:tc>
        <w:tc>
          <w:tcPr>
            <w:tcW w:w="3546" w:type="dxa"/>
            <w:vAlign w:val="center"/>
          </w:tcPr>
          <w:p>
            <w:pPr>
              <w:adjustRightInd w:val="0"/>
              <w:snapToGrid w:val="0"/>
              <w:spacing w:before="100" w:after="100"/>
              <w:ind w:right="-31" w:rightChars="-15"/>
              <w:jc w:val="center"/>
              <w:rPr>
                <w:rFonts w:ascii="Times New Roman" w:hAnsi="Times New Roman"/>
              </w:rPr>
            </w:pPr>
            <w:r>
              <w:rPr>
                <w:rFonts w:ascii="Times New Roman" w:hAnsi="Times New Roman"/>
                <w:color w:val="000000"/>
              </w:rPr>
              <w:t>厂界上风向</w:t>
            </w:r>
          </w:p>
        </w:tc>
        <w:tc>
          <w:tcPr>
            <w:tcW w:w="2908" w:type="dxa"/>
            <w:vAlign w:val="center"/>
          </w:tcPr>
          <w:p>
            <w:pPr>
              <w:jc w:val="center"/>
              <w:rPr>
                <w:rFonts w:ascii="Times New Roman" w:hAnsi="Times New Roman"/>
              </w:rPr>
            </w:pPr>
            <w:r>
              <w:rPr>
                <w:rFonts w:hint="eastAsia" w:ascii="Times New Roman" w:hAnsi="Times New Roman"/>
              </w:rPr>
              <w:t>0.241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7" w:type="dxa"/>
            <w:vAlign w:val="center"/>
          </w:tcPr>
          <w:p>
            <w:pPr>
              <w:pStyle w:val="67"/>
            </w:pPr>
            <w:r>
              <w:t>2#</w:t>
            </w:r>
          </w:p>
        </w:tc>
        <w:tc>
          <w:tcPr>
            <w:tcW w:w="3546" w:type="dxa"/>
            <w:vAlign w:val="center"/>
          </w:tcPr>
          <w:p>
            <w:pPr>
              <w:adjustRightInd w:val="0"/>
              <w:snapToGrid w:val="0"/>
              <w:spacing w:before="100" w:after="100"/>
              <w:ind w:right="-31" w:rightChars="-15"/>
              <w:jc w:val="center"/>
              <w:rPr>
                <w:rFonts w:ascii="Times New Roman" w:hAnsi="Times New Roman"/>
              </w:rPr>
            </w:pPr>
            <w:r>
              <w:rPr>
                <w:rFonts w:ascii="Times New Roman" w:hAnsi="Times New Roman"/>
                <w:color w:val="000000"/>
              </w:rPr>
              <w:t>厂界下风向</w:t>
            </w:r>
          </w:p>
        </w:tc>
        <w:tc>
          <w:tcPr>
            <w:tcW w:w="2908" w:type="dxa"/>
            <w:vAlign w:val="center"/>
          </w:tcPr>
          <w:p>
            <w:pPr>
              <w:jc w:val="center"/>
              <w:rPr>
                <w:rFonts w:ascii="Times New Roman" w:hAnsi="Times New Roman"/>
              </w:rPr>
            </w:pPr>
            <w:r>
              <w:rPr>
                <w:rFonts w:hint="eastAsia" w:ascii="Times New Roman" w:hAnsi="Times New Roman"/>
              </w:rPr>
              <w:t>0.545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7"/>
            </w:pPr>
            <w:r>
              <w:t>3#</w:t>
            </w:r>
          </w:p>
        </w:tc>
        <w:tc>
          <w:tcPr>
            <w:tcW w:w="3546" w:type="dxa"/>
            <w:vAlign w:val="center"/>
          </w:tcPr>
          <w:p>
            <w:pPr>
              <w:adjustRightInd w:val="0"/>
              <w:snapToGrid w:val="0"/>
              <w:spacing w:before="100" w:after="100"/>
              <w:ind w:right="-31" w:rightChars="-15"/>
              <w:jc w:val="center"/>
              <w:rPr>
                <w:rFonts w:ascii="Times New Roman" w:hAnsi="Times New Roman"/>
              </w:rPr>
            </w:pPr>
            <w:r>
              <w:rPr>
                <w:rFonts w:ascii="Times New Roman" w:hAnsi="Times New Roman"/>
                <w:color w:val="000000"/>
              </w:rPr>
              <w:t>厂界</w:t>
            </w:r>
            <w:r>
              <w:rPr>
                <w:rFonts w:ascii="Times New Roman" w:hAnsi="Times New Roman"/>
                <w:lang w:val="zh-CN"/>
              </w:rPr>
              <w:t>下侧风向</w:t>
            </w:r>
          </w:p>
        </w:tc>
        <w:tc>
          <w:tcPr>
            <w:tcW w:w="2908" w:type="dxa"/>
            <w:vAlign w:val="center"/>
          </w:tcPr>
          <w:p>
            <w:pPr>
              <w:jc w:val="center"/>
              <w:rPr>
                <w:rFonts w:ascii="Times New Roman" w:hAnsi="Times New Roman"/>
              </w:rPr>
            </w:pPr>
            <w:r>
              <w:rPr>
                <w:rFonts w:hint="eastAsia" w:ascii="Times New Roman" w:hAnsi="Times New Roman"/>
              </w:rPr>
              <w:t>0.545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7"/>
            </w:pPr>
            <w:r>
              <w:t>4#</w:t>
            </w:r>
          </w:p>
        </w:tc>
        <w:tc>
          <w:tcPr>
            <w:tcW w:w="3546" w:type="dxa"/>
            <w:vAlign w:val="center"/>
          </w:tcPr>
          <w:p>
            <w:pPr>
              <w:adjustRightInd w:val="0"/>
              <w:snapToGrid w:val="0"/>
              <w:spacing w:before="100" w:after="100"/>
              <w:ind w:right="-31" w:rightChars="-15"/>
              <w:jc w:val="center"/>
              <w:rPr>
                <w:rFonts w:ascii="Times New Roman" w:hAnsi="Times New Roman"/>
              </w:rPr>
            </w:pPr>
            <w:r>
              <w:rPr>
                <w:rFonts w:ascii="Times New Roman" w:hAnsi="Times New Roman"/>
                <w:color w:val="000000"/>
              </w:rPr>
              <w:t>厂界</w:t>
            </w:r>
            <w:r>
              <w:rPr>
                <w:rFonts w:ascii="Times New Roman" w:hAnsi="Times New Roman"/>
                <w:lang w:val="zh-CN"/>
              </w:rPr>
              <w:t>下侧风向</w:t>
            </w:r>
          </w:p>
        </w:tc>
        <w:tc>
          <w:tcPr>
            <w:tcW w:w="2908" w:type="dxa"/>
            <w:vAlign w:val="center"/>
          </w:tcPr>
          <w:p>
            <w:pPr>
              <w:jc w:val="center"/>
              <w:rPr>
                <w:rFonts w:ascii="Times New Roman" w:hAnsi="Times New Roman"/>
              </w:rPr>
            </w:pPr>
            <w:r>
              <w:rPr>
                <w:rFonts w:hint="eastAsia" w:ascii="Times New Roman" w:hAnsi="Times New Roman"/>
              </w:rPr>
              <w:t>0.585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7"/>
            </w:pPr>
            <w:r>
              <w:t>5#</w:t>
            </w:r>
          </w:p>
        </w:tc>
        <w:tc>
          <w:tcPr>
            <w:tcW w:w="3546" w:type="dxa"/>
            <w:vAlign w:val="center"/>
          </w:tcPr>
          <w:p>
            <w:pPr>
              <w:adjustRightInd w:val="0"/>
              <w:snapToGrid w:val="0"/>
              <w:spacing w:before="100" w:after="100"/>
              <w:ind w:right="-31" w:rightChars="-15"/>
              <w:jc w:val="center"/>
              <w:rPr>
                <w:rFonts w:ascii="Times New Roman" w:hAnsi="Times New Roman"/>
              </w:rPr>
            </w:pPr>
            <w:r>
              <w:rPr>
                <w:rFonts w:ascii="Times New Roman" w:hAnsi="Times New Roman"/>
                <w:color w:val="000000"/>
              </w:rPr>
              <w:t>厂界</w:t>
            </w:r>
            <w:r>
              <w:rPr>
                <w:rFonts w:ascii="Times New Roman" w:hAnsi="Times New Roman"/>
                <w:lang w:val="zh-CN"/>
              </w:rPr>
              <w:t>下侧风向</w:t>
            </w:r>
          </w:p>
        </w:tc>
        <w:tc>
          <w:tcPr>
            <w:tcW w:w="2908" w:type="dxa"/>
            <w:vAlign w:val="center"/>
          </w:tcPr>
          <w:p>
            <w:pPr>
              <w:jc w:val="center"/>
              <w:rPr>
                <w:rFonts w:ascii="Times New Roman" w:hAnsi="Times New Roman"/>
                <w:color w:val="000000"/>
              </w:rPr>
            </w:pPr>
            <w:r>
              <w:rPr>
                <w:rFonts w:hint="eastAsia" w:ascii="Times New Roman" w:hAnsi="Times New Roman"/>
                <w:color w:val="000000"/>
              </w:rPr>
              <w:t>0.526</w:t>
            </w:r>
          </w:p>
        </w:tc>
      </w:tr>
    </w:tbl>
    <w:p>
      <w:pPr>
        <w:tabs>
          <w:tab w:val="left" w:pos="422"/>
        </w:tabs>
        <w:spacing w:beforeLines="50" w:line="360" w:lineRule="auto"/>
        <w:ind w:firstLine="480" w:firstLineChars="200"/>
        <w:jc w:val="left"/>
        <w:rPr>
          <w:rFonts w:ascii="Times New Roman" w:hAnsi="Times New Roman"/>
          <w:sz w:val="24"/>
          <w:szCs w:val="24"/>
        </w:rPr>
      </w:pPr>
      <w:r>
        <w:rPr>
          <w:rFonts w:hint="eastAsia" w:ascii="Times New Roman" w:hAnsi="Times New Roman"/>
          <w:sz w:val="24"/>
          <w:szCs w:val="24"/>
        </w:rPr>
        <w:t>根据监测数据可知，现有厂界无组织均达标，无现有污染</w:t>
      </w:r>
      <w:r>
        <w:rPr>
          <w:rFonts w:ascii="Times New Roman" w:hAnsi="Times New Roman"/>
          <w:sz w:val="24"/>
          <w:szCs w:val="24"/>
        </w:rPr>
        <w:t>。</w:t>
      </w:r>
    </w:p>
    <w:p>
      <w:pPr>
        <w:tabs>
          <w:tab w:val="left" w:pos="422"/>
        </w:tabs>
        <w:spacing w:line="360" w:lineRule="auto"/>
        <w:ind w:firstLine="480" w:firstLineChars="200"/>
        <w:jc w:val="left"/>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2</w:t>
      </w:r>
      <w:r>
        <w:rPr>
          <w:rFonts w:ascii="Times New Roman" w:hAnsi="Times New Roman"/>
          <w:sz w:val="24"/>
          <w:szCs w:val="24"/>
        </w:rPr>
        <w:t>）锅炉烟气</w:t>
      </w:r>
    </w:p>
    <w:p>
      <w:pPr>
        <w:tabs>
          <w:tab w:val="left" w:pos="422"/>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现有项目生活供热采用一台0.6t/h燃煤锅炉</w:t>
      </w:r>
      <w:r>
        <w:rPr>
          <w:rFonts w:ascii="Times New Roman" w:hAnsi="Times New Roman"/>
          <w:sz w:val="24"/>
          <w:szCs w:val="24"/>
        </w:rPr>
        <w:t>。</w:t>
      </w:r>
      <w:r>
        <w:rPr>
          <w:rFonts w:hint="eastAsia" w:ascii="Times New Roman" w:hAnsi="Times New Roman"/>
          <w:sz w:val="24"/>
          <w:szCs w:val="24"/>
        </w:rPr>
        <w:t>根据现场调查，现有锅炉未上任何除尘措施等，通过8m高排气筒直接排入大气中。</w:t>
      </w:r>
    </w:p>
    <w:p>
      <w:pPr>
        <w:tabs>
          <w:tab w:val="left" w:pos="422"/>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为了了解现有选矿厂区污染物对周周围环境影响的情况，</w:t>
      </w:r>
      <w:r>
        <w:rPr>
          <w:rFonts w:ascii="Times New Roman" w:hAnsi="Times New Roman"/>
          <w:sz w:val="24"/>
        </w:rPr>
        <w:t>吉林省国安环境检测有限公司于2018年11月12日</w:t>
      </w:r>
      <w:r>
        <w:rPr>
          <w:rFonts w:hint="eastAsia" w:ascii="Times New Roman" w:hAnsi="Times New Roman"/>
          <w:sz w:val="24"/>
          <w:szCs w:val="24"/>
        </w:rPr>
        <w:t>对该锅炉烟气处理进行监测。详见下表。</w:t>
      </w:r>
    </w:p>
    <w:p>
      <w:pPr>
        <w:tabs>
          <w:tab w:val="left" w:pos="422"/>
        </w:tabs>
        <w:spacing w:line="360" w:lineRule="auto"/>
        <w:jc w:val="center"/>
        <w:rPr>
          <w:rFonts w:ascii="Times New Roman" w:hAnsi="Times New Roman"/>
          <w:b/>
          <w:bCs/>
          <w:sz w:val="24"/>
          <w:szCs w:val="24"/>
        </w:rPr>
      </w:pPr>
      <w:r>
        <w:rPr>
          <w:rFonts w:hint="eastAsia" w:ascii="Times New Roman" w:hAnsi="Times New Roman"/>
          <w:b/>
          <w:bCs/>
          <w:sz w:val="24"/>
          <w:szCs w:val="24"/>
        </w:rPr>
        <w:t>表3-8 燃煤锅炉烟尘、SO</w:t>
      </w:r>
      <w:r>
        <w:rPr>
          <w:rFonts w:hint="eastAsia" w:ascii="Times New Roman" w:hAnsi="Times New Roman"/>
          <w:b/>
          <w:bCs/>
          <w:sz w:val="24"/>
          <w:szCs w:val="24"/>
          <w:vertAlign w:val="subscript"/>
        </w:rPr>
        <w:t>2</w:t>
      </w:r>
      <w:r>
        <w:rPr>
          <w:rFonts w:hint="eastAsia" w:ascii="Times New Roman" w:hAnsi="Times New Roman"/>
          <w:b/>
          <w:bCs/>
          <w:sz w:val="24"/>
          <w:szCs w:val="24"/>
        </w:rPr>
        <w:t>、NO</w:t>
      </w:r>
      <w:r>
        <w:rPr>
          <w:rFonts w:hint="eastAsia" w:ascii="Times New Roman" w:hAnsi="Times New Roman"/>
          <w:b/>
          <w:bCs/>
          <w:sz w:val="24"/>
          <w:szCs w:val="24"/>
          <w:vertAlign w:val="subscript"/>
        </w:rPr>
        <w:t>x</w:t>
      </w:r>
      <w:r>
        <w:rPr>
          <w:rFonts w:hint="eastAsia" w:ascii="Times New Roman" w:hAnsi="Times New Roman"/>
          <w:b/>
          <w:bCs/>
          <w:sz w:val="24"/>
          <w:szCs w:val="24"/>
        </w:rPr>
        <w:t>排放情况一览表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37"/>
        <w:gridCol w:w="738"/>
        <w:gridCol w:w="735"/>
        <w:gridCol w:w="735"/>
        <w:gridCol w:w="738"/>
        <w:gridCol w:w="739"/>
        <w:gridCol w:w="738"/>
        <w:gridCol w:w="738"/>
        <w:gridCol w:w="775"/>
        <w:gridCol w:w="1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37" w:type="dxa"/>
            <w:vMerge w:val="restart"/>
            <w:vAlign w:val="center"/>
          </w:tcPr>
          <w:p>
            <w:pPr>
              <w:tabs>
                <w:tab w:val="left" w:pos="422"/>
              </w:tabs>
              <w:jc w:val="right"/>
              <w:rPr>
                <w:rFonts w:ascii="Times New Roman" w:hAnsi="Times New Roman"/>
                <w:szCs w:val="21"/>
              </w:rPr>
            </w:pPr>
            <w:r>
              <mc:AlternateContent>
                <mc:Choice Requires="wps">
                  <w:drawing>
                    <wp:anchor distT="0" distB="0" distL="114300" distR="114300" simplePos="0" relativeHeight="251600896" behindDoc="0" locked="0" layoutInCell="1" allowOverlap="1">
                      <wp:simplePos x="0" y="0"/>
                      <wp:positionH relativeFrom="column">
                        <wp:posOffset>-38735</wp:posOffset>
                      </wp:positionH>
                      <wp:positionV relativeFrom="paragraph">
                        <wp:posOffset>0</wp:posOffset>
                      </wp:positionV>
                      <wp:extent cx="818515" cy="600075"/>
                      <wp:effectExtent l="2540" t="3810" r="17145" b="5715"/>
                      <wp:wrapNone/>
                      <wp:docPr id="99" name="直线 278"/>
                      <wp:cNvGraphicFramePr/>
                      <a:graphic xmlns:a="http://schemas.openxmlformats.org/drawingml/2006/main">
                        <a:graphicData uri="http://schemas.microsoft.com/office/word/2010/wordprocessingShape">
                          <wps:wsp>
                            <wps:cNvSpPr/>
                            <wps:spPr>
                              <a:xfrm>
                                <a:off x="0" y="0"/>
                                <a:ext cx="818515" cy="6000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78" o:spid="_x0000_s1026" o:spt="20" style="position:absolute;left:0pt;margin-left:-3.05pt;margin-top:0pt;height:47.25pt;width:64.45pt;z-index:251600896;mso-width-relative:page;mso-height-relative:page;" filled="f" stroked="t" coordsize="21600,21600" o:gfxdata="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grQpnU&#10;AAAABgEAAA8AAAAAAAAAAQAgAAAAIgAAAGRycy9kb3ducmV2LnhtbFBLAQIUABQAAAAIAIdO4kBw&#10;DNOb6wEAAOIDAAAOAAAAAAAAAAEAIAAAACMBAABkcnMvZTJvRG9jLnhtbFBLBQYAAAAABgAGAFkB&#10;AACABQAAAAA=&#10;">
                      <v:fill on="f" focussize="0,0"/>
                      <v:stroke color="#000000" joinstyle="round"/>
                      <v:imagedata o:title=""/>
                      <o:lock v:ext="edit" aspectratio="f"/>
                    </v:line>
                  </w:pict>
                </mc:Fallback>
              </mc:AlternateContent>
            </w:r>
            <w:r>
              <w:rPr>
                <w:rFonts w:hint="eastAsia" w:ascii="Times New Roman" w:hAnsi="Times New Roman"/>
                <w:szCs w:val="21"/>
              </w:rPr>
              <w:t>监测项目</w:t>
            </w:r>
          </w:p>
          <w:p>
            <w:pPr>
              <w:tabs>
                <w:tab w:val="left" w:pos="422"/>
              </w:tabs>
              <w:rPr>
                <w:rFonts w:ascii="Times New Roman" w:hAnsi="Times New Roman"/>
                <w:szCs w:val="21"/>
              </w:rPr>
            </w:pPr>
          </w:p>
          <w:p>
            <w:pPr>
              <w:tabs>
                <w:tab w:val="left" w:pos="422"/>
              </w:tabs>
              <w:rPr>
                <w:rFonts w:ascii="Times New Roman" w:hAnsi="Times New Roman"/>
                <w:szCs w:val="21"/>
              </w:rPr>
            </w:pPr>
            <w:r>
              <w:rPr>
                <w:rFonts w:hint="eastAsia" w:ascii="Times New Roman" w:hAnsi="Times New Roman"/>
                <w:szCs w:val="21"/>
              </w:rPr>
              <w:t>监测日期</w:t>
            </w:r>
          </w:p>
        </w:tc>
        <w:tc>
          <w:tcPr>
            <w:tcW w:w="2210" w:type="dxa"/>
            <w:gridSpan w:val="3"/>
            <w:vAlign w:val="center"/>
          </w:tcPr>
          <w:p>
            <w:pPr>
              <w:tabs>
                <w:tab w:val="left" w:pos="422"/>
              </w:tabs>
              <w:jc w:val="center"/>
              <w:rPr>
                <w:rFonts w:ascii="Times New Roman" w:hAnsi="Times New Roman"/>
                <w:szCs w:val="21"/>
              </w:rPr>
            </w:pPr>
            <w:r>
              <w:rPr>
                <w:rFonts w:hint="eastAsia" w:ascii="Times New Roman" w:hAnsi="Times New Roman"/>
                <w:szCs w:val="21"/>
              </w:rPr>
              <w:t>实际浓度（mg/m</w:t>
            </w:r>
            <w:r>
              <w:rPr>
                <w:rFonts w:hint="eastAsia" w:ascii="Times New Roman" w:hAnsi="Times New Roman"/>
                <w:szCs w:val="21"/>
                <w:vertAlign w:val="superscript"/>
              </w:rPr>
              <w:t>3</w:t>
            </w:r>
            <w:r>
              <w:rPr>
                <w:rFonts w:hint="eastAsia" w:ascii="Times New Roman" w:hAnsi="Times New Roman"/>
                <w:szCs w:val="21"/>
              </w:rPr>
              <w:t>）</w:t>
            </w:r>
          </w:p>
        </w:tc>
        <w:tc>
          <w:tcPr>
            <w:tcW w:w="2212" w:type="dxa"/>
            <w:gridSpan w:val="3"/>
            <w:vAlign w:val="center"/>
          </w:tcPr>
          <w:p>
            <w:pPr>
              <w:tabs>
                <w:tab w:val="left" w:pos="422"/>
              </w:tabs>
              <w:jc w:val="center"/>
              <w:rPr>
                <w:rFonts w:ascii="Times New Roman" w:hAnsi="Times New Roman"/>
                <w:szCs w:val="21"/>
              </w:rPr>
            </w:pPr>
            <w:r>
              <w:rPr>
                <w:rFonts w:hint="eastAsia" w:ascii="Times New Roman" w:hAnsi="Times New Roman"/>
                <w:szCs w:val="21"/>
              </w:rPr>
              <w:t>折算浓度（mg/m</w:t>
            </w:r>
            <w:r>
              <w:rPr>
                <w:rFonts w:hint="eastAsia" w:ascii="Times New Roman" w:hAnsi="Times New Roman"/>
                <w:szCs w:val="21"/>
                <w:vertAlign w:val="superscript"/>
              </w:rPr>
              <w:t>3</w:t>
            </w:r>
            <w:r>
              <w:rPr>
                <w:rFonts w:hint="eastAsia" w:ascii="Times New Roman" w:hAnsi="Times New Roman"/>
                <w:szCs w:val="21"/>
              </w:rPr>
              <w:t>）</w:t>
            </w:r>
          </w:p>
        </w:tc>
        <w:tc>
          <w:tcPr>
            <w:tcW w:w="2251" w:type="dxa"/>
            <w:gridSpan w:val="3"/>
            <w:vAlign w:val="center"/>
          </w:tcPr>
          <w:p>
            <w:pPr>
              <w:tabs>
                <w:tab w:val="left" w:pos="422"/>
              </w:tabs>
              <w:jc w:val="center"/>
              <w:rPr>
                <w:rFonts w:ascii="Times New Roman" w:hAnsi="Times New Roman"/>
                <w:szCs w:val="21"/>
              </w:rPr>
            </w:pPr>
            <w:r>
              <w:rPr>
                <w:rFonts w:hint="eastAsia" w:ascii="Times New Roman" w:hAnsi="Times New Roman"/>
                <w:szCs w:val="21"/>
              </w:rPr>
              <w:t>排放速率（kg/h）</w:t>
            </w:r>
          </w:p>
        </w:tc>
        <w:tc>
          <w:tcPr>
            <w:tcW w:w="1112" w:type="dxa"/>
            <w:vMerge w:val="restart"/>
            <w:vAlign w:val="center"/>
          </w:tcPr>
          <w:p>
            <w:pPr>
              <w:tabs>
                <w:tab w:val="left" w:pos="422"/>
              </w:tabs>
              <w:jc w:val="center"/>
              <w:rPr>
                <w:rFonts w:ascii="Times New Roman" w:hAnsi="Times New Roman"/>
                <w:szCs w:val="21"/>
              </w:rPr>
            </w:pPr>
            <w:r>
              <w:rPr>
                <w:rFonts w:hint="eastAsia" w:ascii="Times New Roman" w:hAnsi="Times New Roman"/>
                <w:szCs w:val="21"/>
              </w:rPr>
              <w:t>含氧量（%）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37" w:type="dxa"/>
            <w:vMerge w:val="continue"/>
            <w:vAlign w:val="center"/>
          </w:tcPr>
          <w:p>
            <w:pPr>
              <w:tabs>
                <w:tab w:val="left" w:pos="422"/>
              </w:tabs>
              <w:jc w:val="center"/>
              <w:rPr>
                <w:rFonts w:ascii="Times New Roman" w:hAnsi="Times New Roman"/>
                <w:szCs w:val="21"/>
              </w:rPr>
            </w:pPr>
          </w:p>
        </w:tc>
        <w:tc>
          <w:tcPr>
            <w:tcW w:w="737" w:type="dxa"/>
            <w:vAlign w:val="center"/>
          </w:tcPr>
          <w:p>
            <w:pPr>
              <w:tabs>
                <w:tab w:val="left" w:pos="422"/>
              </w:tabs>
              <w:jc w:val="center"/>
              <w:rPr>
                <w:rFonts w:ascii="Times New Roman" w:hAnsi="Times New Roman"/>
                <w:szCs w:val="21"/>
              </w:rPr>
            </w:pPr>
            <w:r>
              <w:rPr>
                <w:rFonts w:hint="eastAsia" w:ascii="Times New Roman" w:hAnsi="Times New Roman"/>
                <w:szCs w:val="21"/>
              </w:rPr>
              <w:t>烟尘</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p>
        </w:tc>
        <w:tc>
          <w:tcPr>
            <w:tcW w:w="735" w:type="dxa"/>
            <w:vAlign w:val="center"/>
          </w:tcPr>
          <w:p>
            <w:pPr>
              <w:tabs>
                <w:tab w:val="left" w:pos="422"/>
              </w:tabs>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x</w:t>
            </w:r>
          </w:p>
        </w:tc>
        <w:tc>
          <w:tcPr>
            <w:tcW w:w="735" w:type="dxa"/>
            <w:vAlign w:val="center"/>
          </w:tcPr>
          <w:p>
            <w:pPr>
              <w:tabs>
                <w:tab w:val="left" w:pos="422"/>
              </w:tabs>
              <w:jc w:val="center"/>
              <w:rPr>
                <w:rFonts w:ascii="Times New Roman" w:hAnsi="Times New Roman"/>
                <w:szCs w:val="21"/>
              </w:rPr>
            </w:pPr>
            <w:r>
              <w:rPr>
                <w:rFonts w:hint="eastAsia" w:ascii="Times New Roman" w:hAnsi="Times New Roman"/>
                <w:szCs w:val="21"/>
              </w:rPr>
              <w:t>烟尘</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p>
        </w:tc>
        <w:tc>
          <w:tcPr>
            <w:tcW w:w="739" w:type="dxa"/>
            <w:vAlign w:val="center"/>
          </w:tcPr>
          <w:p>
            <w:pPr>
              <w:tabs>
                <w:tab w:val="left" w:pos="422"/>
              </w:tabs>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x</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烟尘</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SO</w:t>
            </w:r>
            <w:r>
              <w:rPr>
                <w:rFonts w:hint="eastAsia" w:ascii="Times New Roman" w:hAnsi="Times New Roman"/>
                <w:szCs w:val="21"/>
                <w:vertAlign w:val="subscript"/>
              </w:rPr>
              <w:t>2</w:t>
            </w:r>
          </w:p>
        </w:tc>
        <w:tc>
          <w:tcPr>
            <w:tcW w:w="775" w:type="dxa"/>
            <w:vAlign w:val="center"/>
          </w:tcPr>
          <w:p>
            <w:pPr>
              <w:tabs>
                <w:tab w:val="left" w:pos="422"/>
              </w:tabs>
              <w:jc w:val="center"/>
              <w:rPr>
                <w:rFonts w:ascii="Times New Roman" w:hAnsi="Times New Roman"/>
                <w:szCs w:val="21"/>
              </w:rPr>
            </w:pPr>
            <w:r>
              <w:rPr>
                <w:rFonts w:hint="eastAsia" w:ascii="Times New Roman" w:hAnsi="Times New Roman"/>
                <w:szCs w:val="21"/>
              </w:rPr>
              <w:t>NO</w:t>
            </w:r>
            <w:r>
              <w:rPr>
                <w:rFonts w:hint="eastAsia" w:ascii="Times New Roman" w:hAnsi="Times New Roman"/>
                <w:szCs w:val="21"/>
                <w:vertAlign w:val="subscript"/>
              </w:rPr>
              <w:t>x</w:t>
            </w:r>
          </w:p>
        </w:tc>
        <w:tc>
          <w:tcPr>
            <w:tcW w:w="1112" w:type="dxa"/>
            <w:vMerge w:val="continue"/>
            <w:vAlign w:val="center"/>
          </w:tcPr>
          <w:p>
            <w:pPr>
              <w:tabs>
                <w:tab w:val="left" w:pos="422"/>
              </w:tabs>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37" w:type="dxa"/>
            <w:vMerge w:val="restart"/>
            <w:vAlign w:val="center"/>
          </w:tcPr>
          <w:p>
            <w:pPr>
              <w:tabs>
                <w:tab w:val="left" w:pos="422"/>
              </w:tabs>
              <w:jc w:val="center"/>
              <w:rPr>
                <w:rFonts w:ascii="Times New Roman" w:hAnsi="Times New Roman"/>
                <w:szCs w:val="21"/>
              </w:rPr>
            </w:pPr>
            <w:r>
              <w:rPr>
                <w:rFonts w:hint="eastAsia" w:ascii="Times New Roman" w:hAnsi="Times New Roman"/>
                <w:szCs w:val="21"/>
              </w:rPr>
              <w:t>2018.11.12</w:t>
            </w:r>
          </w:p>
        </w:tc>
        <w:tc>
          <w:tcPr>
            <w:tcW w:w="737" w:type="dxa"/>
            <w:vAlign w:val="center"/>
          </w:tcPr>
          <w:p>
            <w:pPr>
              <w:tabs>
                <w:tab w:val="left" w:pos="422"/>
              </w:tabs>
              <w:jc w:val="center"/>
              <w:rPr>
                <w:rFonts w:ascii="Times New Roman" w:hAnsi="Times New Roman"/>
                <w:szCs w:val="21"/>
              </w:rPr>
            </w:pPr>
            <w:r>
              <w:rPr>
                <w:rFonts w:hint="eastAsia" w:ascii="Times New Roman" w:hAnsi="Times New Roman"/>
                <w:szCs w:val="21"/>
              </w:rPr>
              <w:t>69</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272</w:t>
            </w:r>
          </w:p>
        </w:tc>
        <w:tc>
          <w:tcPr>
            <w:tcW w:w="735" w:type="dxa"/>
            <w:vAlign w:val="center"/>
          </w:tcPr>
          <w:p>
            <w:pPr>
              <w:tabs>
                <w:tab w:val="left" w:pos="422"/>
              </w:tabs>
              <w:jc w:val="center"/>
              <w:rPr>
                <w:rFonts w:ascii="Times New Roman" w:hAnsi="Times New Roman"/>
                <w:szCs w:val="21"/>
              </w:rPr>
            </w:pPr>
            <w:r>
              <w:rPr>
                <w:rFonts w:hint="eastAsia" w:ascii="Times New Roman" w:hAnsi="Times New Roman"/>
                <w:szCs w:val="21"/>
              </w:rPr>
              <w:t>251</w:t>
            </w:r>
          </w:p>
        </w:tc>
        <w:tc>
          <w:tcPr>
            <w:tcW w:w="735" w:type="dxa"/>
            <w:vAlign w:val="center"/>
          </w:tcPr>
          <w:p>
            <w:pPr>
              <w:tabs>
                <w:tab w:val="left" w:pos="422"/>
              </w:tabs>
              <w:jc w:val="center"/>
              <w:rPr>
                <w:rFonts w:ascii="Times New Roman" w:hAnsi="Times New Roman"/>
                <w:szCs w:val="21"/>
              </w:rPr>
            </w:pPr>
            <w:r>
              <w:rPr>
                <w:rFonts w:hint="eastAsia" w:ascii="Times New Roman" w:hAnsi="Times New Roman"/>
                <w:szCs w:val="21"/>
              </w:rPr>
              <w:t>131.4</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518</w:t>
            </w:r>
          </w:p>
        </w:tc>
        <w:tc>
          <w:tcPr>
            <w:tcW w:w="739" w:type="dxa"/>
            <w:vAlign w:val="center"/>
          </w:tcPr>
          <w:p>
            <w:pPr>
              <w:tabs>
                <w:tab w:val="left" w:pos="422"/>
              </w:tabs>
              <w:jc w:val="center"/>
              <w:rPr>
                <w:rFonts w:ascii="Times New Roman" w:hAnsi="Times New Roman"/>
                <w:szCs w:val="21"/>
              </w:rPr>
            </w:pPr>
            <w:r>
              <w:rPr>
                <w:rFonts w:hint="eastAsia" w:ascii="Times New Roman" w:hAnsi="Times New Roman"/>
                <w:szCs w:val="21"/>
              </w:rPr>
              <w:t>479</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0.089</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0.353</w:t>
            </w:r>
          </w:p>
        </w:tc>
        <w:tc>
          <w:tcPr>
            <w:tcW w:w="775" w:type="dxa"/>
            <w:vAlign w:val="center"/>
          </w:tcPr>
          <w:p>
            <w:pPr>
              <w:tabs>
                <w:tab w:val="left" w:pos="422"/>
              </w:tabs>
              <w:jc w:val="center"/>
              <w:rPr>
                <w:rFonts w:ascii="Times New Roman" w:hAnsi="Times New Roman"/>
                <w:szCs w:val="21"/>
              </w:rPr>
            </w:pPr>
            <w:r>
              <w:rPr>
                <w:rFonts w:hint="eastAsia" w:ascii="Times New Roman" w:hAnsi="Times New Roman"/>
                <w:szCs w:val="21"/>
              </w:rPr>
              <w:t>0.325</w:t>
            </w:r>
          </w:p>
        </w:tc>
        <w:tc>
          <w:tcPr>
            <w:tcW w:w="1112" w:type="dxa"/>
            <w:vAlign w:val="center"/>
          </w:tcPr>
          <w:p>
            <w:pPr>
              <w:tabs>
                <w:tab w:val="left" w:pos="422"/>
              </w:tabs>
              <w:jc w:val="center"/>
              <w:rPr>
                <w:rFonts w:ascii="Times New Roman" w:hAnsi="Times New Roman"/>
                <w:szCs w:val="21"/>
              </w:rPr>
            </w:pPr>
            <w:r>
              <w:rPr>
                <w:rFonts w:hint="eastAsia" w:ascii="Times New Roman" w:hAnsi="Times New Roman"/>
                <w:szCs w:val="21"/>
              </w:rPr>
              <w:t>14.7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37" w:type="dxa"/>
            <w:vMerge w:val="continue"/>
            <w:vAlign w:val="center"/>
          </w:tcPr>
          <w:p>
            <w:pPr>
              <w:tabs>
                <w:tab w:val="left" w:pos="422"/>
              </w:tabs>
              <w:jc w:val="center"/>
              <w:rPr>
                <w:rFonts w:ascii="Times New Roman" w:hAnsi="Times New Roman"/>
                <w:szCs w:val="21"/>
              </w:rPr>
            </w:pPr>
          </w:p>
        </w:tc>
        <w:tc>
          <w:tcPr>
            <w:tcW w:w="737" w:type="dxa"/>
            <w:vAlign w:val="center"/>
          </w:tcPr>
          <w:p>
            <w:pPr>
              <w:tabs>
                <w:tab w:val="left" w:pos="422"/>
              </w:tabs>
              <w:jc w:val="center"/>
              <w:rPr>
                <w:rFonts w:ascii="Times New Roman" w:hAnsi="Times New Roman"/>
                <w:szCs w:val="21"/>
              </w:rPr>
            </w:pPr>
            <w:r>
              <w:rPr>
                <w:rFonts w:hint="eastAsia" w:ascii="Times New Roman" w:hAnsi="Times New Roman"/>
                <w:szCs w:val="21"/>
              </w:rPr>
              <w:t>62.8</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244</w:t>
            </w:r>
          </w:p>
        </w:tc>
        <w:tc>
          <w:tcPr>
            <w:tcW w:w="735" w:type="dxa"/>
            <w:vAlign w:val="center"/>
          </w:tcPr>
          <w:p>
            <w:pPr>
              <w:tabs>
                <w:tab w:val="left" w:pos="422"/>
              </w:tabs>
              <w:jc w:val="center"/>
              <w:rPr>
                <w:rFonts w:ascii="Times New Roman" w:hAnsi="Times New Roman"/>
                <w:szCs w:val="21"/>
              </w:rPr>
            </w:pPr>
            <w:r>
              <w:rPr>
                <w:rFonts w:hint="eastAsia" w:ascii="Times New Roman" w:hAnsi="Times New Roman"/>
                <w:szCs w:val="21"/>
              </w:rPr>
              <w:t>247</w:t>
            </w:r>
          </w:p>
        </w:tc>
        <w:tc>
          <w:tcPr>
            <w:tcW w:w="735" w:type="dxa"/>
            <w:vAlign w:val="center"/>
          </w:tcPr>
          <w:p>
            <w:pPr>
              <w:tabs>
                <w:tab w:val="left" w:pos="422"/>
              </w:tabs>
              <w:jc w:val="center"/>
              <w:rPr>
                <w:rFonts w:ascii="Times New Roman" w:hAnsi="Times New Roman"/>
                <w:szCs w:val="21"/>
              </w:rPr>
            </w:pPr>
            <w:r>
              <w:rPr>
                <w:rFonts w:hint="eastAsia" w:ascii="Times New Roman" w:hAnsi="Times New Roman"/>
                <w:szCs w:val="21"/>
              </w:rPr>
              <w:t>127.8</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497</w:t>
            </w:r>
          </w:p>
        </w:tc>
        <w:tc>
          <w:tcPr>
            <w:tcW w:w="739" w:type="dxa"/>
            <w:vAlign w:val="center"/>
          </w:tcPr>
          <w:p>
            <w:pPr>
              <w:tabs>
                <w:tab w:val="left" w:pos="422"/>
              </w:tabs>
              <w:jc w:val="center"/>
              <w:rPr>
                <w:rFonts w:ascii="Times New Roman" w:hAnsi="Times New Roman"/>
                <w:szCs w:val="21"/>
              </w:rPr>
            </w:pPr>
            <w:r>
              <w:rPr>
                <w:rFonts w:hint="eastAsia" w:ascii="Times New Roman" w:hAnsi="Times New Roman"/>
                <w:szCs w:val="21"/>
              </w:rPr>
              <w:t>503</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0.09</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0.348</w:t>
            </w:r>
          </w:p>
        </w:tc>
        <w:tc>
          <w:tcPr>
            <w:tcW w:w="775" w:type="dxa"/>
            <w:vAlign w:val="center"/>
          </w:tcPr>
          <w:p>
            <w:pPr>
              <w:tabs>
                <w:tab w:val="left" w:pos="422"/>
              </w:tabs>
              <w:jc w:val="center"/>
              <w:rPr>
                <w:rFonts w:ascii="Times New Roman" w:hAnsi="Times New Roman"/>
                <w:szCs w:val="21"/>
              </w:rPr>
            </w:pPr>
            <w:r>
              <w:rPr>
                <w:rFonts w:hint="eastAsia" w:ascii="Times New Roman" w:hAnsi="Times New Roman"/>
                <w:szCs w:val="21"/>
              </w:rPr>
              <w:t>0.353</w:t>
            </w:r>
          </w:p>
        </w:tc>
        <w:tc>
          <w:tcPr>
            <w:tcW w:w="1112" w:type="dxa"/>
            <w:vAlign w:val="center"/>
          </w:tcPr>
          <w:p>
            <w:pPr>
              <w:tabs>
                <w:tab w:val="left" w:pos="422"/>
              </w:tabs>
              <w:jc w:val="center"/>
              <w:rPr>
                <w:rFonts w:ascii="Times New Roman" w:hAnsi="Times New Roman"/>
                <w:szCs w:val="21"/>
              </w:rPr>
            </w:pPr>
            <w:r>
              <w:rPr>
                <w:rFonts w:hint="eastAsia" w:ascii="Times New Roman" w:hAnsi="Times New Roman"/>
                <w:szCs w:val="21"/>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37" w:type="dxa"/>
            <w:vMerge w:val="continue"/>
            <w:vAlign w:val="center"/>
          </w:tcPr>
          <w:p>
            <w:pPr>
              <w:tabs>
                <w:tab w:val="left" w:pos="422"/>
              </w:tabs>
              <w:jc w:val="center"/>
              <w:rPr>
                <w:rFonts w:ascii="Times New Roman" w:hAnsi="Times New Roman"/>
                <w:szCs w:val="21"/>
              </w:rPr>
            </w:pPr>
          </w:p>
        </w:tc>
        <w:tc>
          <w:tcPr>
            <w:tcW w:w="737" w:type="dxa"/>
            <w:vAlign w:val="center"/>
          </w:tcPr>
          <w:p>
            <w:pPr>
              <w:tabs>
                <w:tab w:val="left" w:pos="422"/>
              </w:tabs>
              <w:jc w:val="center"/>
              <w:rPr>
                <w:rFonts w:ascii="Times New Roman" w:hAnsi="Times New Roman"/>
                <w:szCs w:val="21"/>
              </w:rPr>
            </w:pPr>
            <w:r>
              <w:rPr>
                <w:rFonts w:hint="eastAsia" w:ascii="Times New Roman" w:hAnsi="Times New Roman"/>
                <w:szCs w:val="21"/>
              </w:rPr>
              <w:t>70.4</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274</w:t>
            </w:r>
          </w:p>
        </w:tc>
        <w:tc>
          <w:tcPr>
            <w:tcW w:w="735" w:type="dxa"/>
            <w:vAlign w:val="center"/>
          </w:tcPr>
          <w:p>
            <w:pPr>
              <w:tabs>
                <w:tab w:val="left" w:pos="422"/>
              </w:tabs>
              <w:jc w:val="center"/>
              <w:rPr>
                <w:rFonts w:ascii="Times New Roman" w:hAnsi="Times New Roman"/>
                <w:szCs w:val="21"/>
              </w:rPr>
            </w:pPr>
            <w:r>
              <w:rPr>
                <w:rFonts w:hint="eastAsia" w:ascii="Times New Roman" w:hAnsi="Times New Roman"/>
                <w:szCs w:val="21"/>
              </w:rPr>
              <w:t>250</w:t>
            </w:r>
          </w:p>
        </w:tc>
        <w:tc>
          <w:tcPr>
            <w:tcW w:w="735" w:type="dxa"/>
            <w:vAlign w:val="center"/>
          </w:tcPr>
          <w:p>
            <w:pPr>
              <w:tabs>
                <w:tab w:val="left" w:pos="422"/>
              </w:tabs>
              <w:jc w:val="center"/>
              <w:rPr>
                <w:rFonts w:ascii="Times New Roman" w:hAnsi="Times New Roman"/>
                <w:szCs w:val="21"/>
              </w:rPr>
            </w:pPr>
            <w:r>
              <w:rPr>
                <w:rFonts w:hint="eastAsia" w:ascii="Times New Roman" w:hAnsi="Times New Roman"/>
                <w:szCs w:val="21"/>
              </w:rPr>
              <w:t>138.5</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539</w:t>
            </w:r>
          </w:p>
        </w:tc>
        <w:tc>
          <w:tcPr>
            <w:tcW w:w="739" w:type="dxa"/>
            <w:vAlign w:val="center"/>
          </w:tcPr>
          <w:p>
            <w:pPr>
              <w:tabs>
                <w:tab w:val="left" w:pos="422"/>
              </w:tabs>
              <w:jc w:val="center"/>
              <w:rPr>
                <w:rFonts w:ascii="Times New Roman" w:hAnsi="Times New Roman"/>
                <w:szCs w:val="21"/>
              </w:rPr>
            </w:pPr>
            <w:r>
              <w:rPr>
                <w:rFonts w:hint="eastAsia" w:ascii="Times New Roman" w:hAnsi="Times New Roman"/>
                <w:szCs w:val="21"/>
              </w:rPr>
              <w:t>492</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0.096</w:t>
            </w:r>
          </w:p>
        </w:tc>
        <w:tc>
          <w:tcPr>
            <w:tcW w:w="738" w:type="dxa"/>
            <w:vAlign w:val="center"/>
          </w:tcPr>
          <w:p>
            <w:pPr>
              <w:tabs>
                <w:tab w:val="left" w:pos="422"/>
              </w:tabs>
              <w:jc w:val="center"/>
              <w:rPr>
                <w:rFonts w:ascii="Times New Roman" w:hAnsi="Times New Roman"/>
                <w:szCs w:val="21"/>
              </w:rPr>
            </w:pPr>
            <w:r>
              <w:rPr>
                <w:rFonts w:hint="eastAsia" w:ascii="Times New Roman" w:hAnsi="Times New Roman"/>
                <w:szCs w:val="21"/>
              </w:rPr>
              <w:t>0.372</w:t>
            </w:r>
          </w:p>
        </w:tc>
        <w:tc>
          <w:tcPr>
            <w:tcW w:w="775" w:type="dxa"/>
            <w:vAlign w:val="center"/>
          </w:tcPr>
          <w:p>
            <w:pPr>
              <w:tabs>
                <w:tab w:val="left" w:pos="422"/>
              </w:tabs>
              <w:jc w:val="center"/>
              <w:rPr>
                <w:rFonts w:ascii="Times New Roman" w:hAnsi="Times New Roman"/>
                <w:szCs w:val="21"/>
              </w:rPr>
            </w:pPr>
            <w:r>
              <w:rPr>
                <w:rFonts w:hint="eastAsia" w:ascii="Times New Roman" w:hAnsi="Times New Roman"/>
                <w:szCs w:val="21"/>
              </w:rPr>
              <w:t>0.339</w:t>
            </w:r>
          </w:p>
        </w:tc>
        <w:tc>
          <w:tcPr>
            <w:tcW w:w="1112" w:type="dxa"/>
            <w:vAlign w:val="center"/>
          </w:tcPr>
          <w:p>
            <w:pPr>
              <w:tabs>
                <w:tab w:val="left" w:pos="422"/>
              </w:tabs>
              <w:jc w:val="center"/>
              <w:rPr>
                <w:rFonts w:ascii="Times New Roman" w:hAnsi="Times New Roman"/>
                <w:szCs w:val="21"/>
              </w:rPr>
            </w:pPr>
            <w:r>
              <w:rPr>
                <w:rFonts w:hint="eastAsia" w:ascii="Times New Roman" w:hAnsi="Times New Roman"/>
                <w:szCs w:val="21"/>
              </w:rPr>
              <w:t>14.9</w:t>
            </w:r>
          </w:p>
        </w:tc>
      </w:tr>
    </w:tbl>
    <w:p>
      <w:pPr>
        <w:tabs>
          <w:tab w:val="left" w:pos="627"/>
        </w:tabs>
        <w:spacing w:beforeLines="50" w:line="360" w:lineRule="auto"/>
        <w:ind w:firstLine="480" w:firstLineChars="200"/>
        <w:jc w:val="left"/>
        <w:rPr>
          <w:color w:val="000000"/>
          <w:sz w:val="24"/>
        </w:rPr>
      </w:pPr>
      <w:r>
        <w:rPr>
          <w:rFonts w:hint="eastAsia" w:ascii="Times New Roman" w:hAnsi="Times New Roman"/>
          <w:color w:val="000000"/>
          <w:sz w:val="24"/>
          <w:szCs w:val="24"/>
        </w:rPr>
        <w:t>由上表可以看出，现有项目锅炉最大烟尘、SO</w:t>
      </w:r>
      <w:r>
        <w:rPr>
          <w:rFonts w:hint="eastAsia" w:ascii="Times New Roman" w:hAnsi="Times New Roman"/>
          <w:color w:val="000000"/>
          <w:sz w:val="24"/>
          <w:szCs w:val="24"/>
          <w:vertAlign w:val="subscript"/>
        </w:rPr>
        <w:t>2</w:t>
      </w:r>
      <w:r>
        <w:rPr>
          <w:rFonts w:hint="eastAsia" w:ascii="Times New Roman" w:hAnsi="Times New Roman"/>
          <w:color w:val="000000"/>
          <w:sz w:val="24"/>
          <w:szCs w:val="24"/>
        </w:rPr>
        <w:t>、NO</w:t>
      </w:r>
      <w:r>
        <w:rPr>
          <w:rFonts w:hint="eastAsia" w:ascii="Times New Roman" w:hAnsi="Times New Roman"/>
          <w:color w:val="000000"/>
          <w:sz w:val="24"/>
          <w:szCs w:val="24"/>
          <w:vertAlign w:val="subscript"/>
        </w:rPr>
        <w:t>x</w:t>
      </w:r>
      <w:r>
        <w:rPr>
          <w:rFonts w:hint="eastAsia" w:ascii="Times New Roman" w:hAnsi="Times New Roman"/>
          <w:color w:val="000000"/>
          <w:sz w:val="24"/>
          <w:szCs w:val="24"/>
        </w:rPr>
        <w:t>排放浓度分别为70.4</w:t>
      </w:r>
      <w:r>
        <w:rPr>
          <w:rFonts w:hint="eastAsia" w:ascii="Times New Roman" w:hAnsi="Times New Roman"/>
          <w:szCs w:val="21"/>
        </w:rPr>
        <w:t>mg/m</w:t>
      </w:r>
      <w:r>
        <w:rPr>
          <w:rFonts w:hint="eastAsia" w:ascii="Times New Roman" w:hAnsi="Times New Roman"/>
          <w:szCs w:val="21"/>
          <w:vertAlign w:val="superscript"/>
        </w:rPr>
        <w:t>3</w:t>
      </w:r>
      <w:r>
        <w:rPr>
          <w:rFonts w:hint="eastAsia" w:ascii="Times New Roman" w:hAnsi="Times New Roman"/>
          <w:color w:val="000000"/>
          <w:sz w:val="24"/>
          <w:szCs w:val="24"/>
        </w:rPr>
        <w:t>、274</w:t>
      </w:r>
      <w:r>
        <w:rPr>
          <w:rFonts w:hint="eastAsia" w:ascii="Times New Roman" w:hAnsi="Times New Roman"/>
          <w:szCs w:val="21"/>
        </w:rPr>
        <w:t>mg/m</w:t>
      </w:r>
      <w:r>
        <w:rPr>
          <w:rFonts w:hint="eastAsia" w:ascii="Times New Roman" w:hAnsi="Times New Roman"/>
          <w:szCs w:val="21"/>
          <w:vertAlign w:val="superscript"/>
        </w:rPr>
        <w:t>3</w:t>
      </w:r>
      <w:r>
        <w:rPr>
          <w:rFonts w:hint="eastAsia" w:ascii="Times New Roman" w:hAnsi="Times New Roman"/>
          <w:color w:val="000000"/>
          <w:sz w:val="24"/>
          <w:szCs w:val="24"/>
        </w:rPr>
        <w:t>、251</w:t>
      </w:r>
      <w:r>
        <w:rPr>
          <w:rFonts w:hint="eastAsia" w:ascii="Times New Roman" w:hAnsi="Times New Roman"/>
          <w:szCs w:val="21"/>
        </w:rPr>
        <w:t>mg/m</w:t>
      </w:r>
      <w:r>
        <w:rPr>
          <w:rFonts w:hint="eastAsia" w:ascii="Times New Roman" w:hAnsi="Times New Roman"/>
          <w:szCs w:val="21"/>
          <w:vertAlign w:val="superscript"/>
        </w:rPr>
        <w:t>3</w:t>
      </w:r>
      <w:r>
        <w:rPr>
          <w:rFonts w:hint="eastAsia" w:ascii="Times New Roman" w:hAnsi="Times New Roman"/>
          <w:color w:val="000000"/>
          <w:sz w:val="24"/>
          <w:szCs w:val="24"/>
        </w:rPr>
        <w:t>。锅炉烟气中主要污染物除烟尘外均能满足GB13271-2014《锅炉大气污染物排放标准》要求，按照大气污染防治相关文件要求。说明锅炉烟尘不达标，建议企业对其进行整改。</w:t>
      </w:r>
    </w:p>
    <w:p>
      <w:pPr>
        <w:tabs>
          <w:tab w:val="left" w:pos="627"/>
        </w:tabs>
        <w:spacing w:line="360" w:lineRule="auto"/>
        <w:jc w:val="left"/>
        <w:outlineLvl w:val="0"/>
        <w:rPr>
          <w:rFonts w:ascii="Times New Roman" w:hAnsi="Times New Roman"/>
          <w:sz w:val="24"/>
          <w:szCs w:val="24"/>
        </w:rPr>
      </w:pPr>
      <w:r>
        <w:rPr>
          <w:rFonts w:hint="eastAsia" w:ascii="Times New Roman" w:hAnsi="Times New Roman"/>
          <w:sz w:val="24"/>
          <w:szCs w:val="24"/>
        </w:rPr>
        <w:t>2、废水</w:t>
      </w:r>
      <w:r>
        <w:rPr>
          <w:rFonts w:ascii="Times New Roman" w:hAnsi="Times New Roman"/>
          <w:sz w:val="24"/>
          <w:szCs w:val="24"/>
        </w:rPr>
        <w:t xml:space="preserve"> </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①现有采场区</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现有</w:t>
      </w:r>
      <w:r>
        <w:rPr>
          <w:rFonts w:hint="eastAsia" w:ascii="Times New Roman" w:hAnsi="Times New Roman"/>
          <w:color w:val="000000"/>
          <w:sz w:val="24"/>
          <w:szCs w:val="24"/>
        </w:rPr>
        <w:t>采场涌水一部分用于</w:t>
      </w:r>
      <w:r>
        <w:rPr>
          <w:rFonts w:ascii="Times New Roman" w:hAnsi="Times New Roman"/>
          <w:color w:val="000000"/>
          <w:sz w:val="24"/>
          <w:szCs w:val="24"/>
        </w:rPr>
        <w:t>矿凿岩用水，生产降尘用水，</w:t>
      </w:r>
      <w:r>
        <w:rPr>
          <w:rFonts w:hint="eastAsia" w:ascii="Times New Roman" w:hAnsi="Times New Roman"/>
          <w:color w:val="000000"/>
          <w:sz w:val="24"/>
          <w:szCs w:val="24"/>
        </w:rPr>
        <w:t>剩余部分随地表径流流入西北岔河最终汇入浑江。</w:t>
      </w:r>
      <w:r>
        <w:rPr>
          <w:rFonts w:ascii="Times New Roman" w:hAnsi="Times New Roman"/>
          <w:color w:val="000000"/>
          <w:sz w:val="24"/>
          <w:szCs w:val="24"/>
        </w:rPr>
        <w:t>生活</w:t>
      </w:r>
      <w:r>
        <w:rPr>
          <w:rFonts w:hint="eastAsia" w:ascii="Times New Roman" w:hAnsi="Times New Roman"/>
          <w:color w:val="000000"/>
          <w:sz w:val="24"/>
          <w:szCs w:val="24"/>
        </w:rPr>
        <w:t>污水排入防渗旱厕，定期清掏不外排</w:t>
      </w:r>
      <w:r>
        <w:rPr>
          <w:rFonts w:ascii="Times New Roman" w:hAnsi="Times New Roman"/>
          <w:color w:val="000000"/>
          <w:sz w:val="24"/>
          <w:szCs w:val="24"/>
        </w:rPr>
        <w:t>。</w:t>
      </w:r>
    </w:p>
    <w:p>
      <w:pPr>
        <w:pStyle w:val="13"/>
        <w:spacing w:line="360" w:lineRule="auto"/>
        <w:ind w:left="0" w:firstLine="480" w:firstLineChars="200"/>
        <w:rPr>
          <w:rFonts w:ascii="Times New Roman" w:hAnsi="Times New Roman"/>
          <w:color w:val="000000"/>
          <w:sz w:val="24"/>
          <w:szCs w:val="24"/>
        </w:rPr>
      </w:pPr>
      <w:r>
        <w:rPr>
          <w:rFonts w:ascii="Times New Roman" w:hAnsi="Times New Roman"/>
          <w:color w:val="000000"/>
          <w:sz w:val="24"/>
          <w:szCs w:val="24"/>
        </w:rPr>
        <w:t>②现有选矿区</w:t>
      </w:r>
    </w:p>
    <w:p>
      <w:pPr>
        <w:spacing w:line="360" w:lineRule="auto"/>
        <w:ind w:firstLine="480" w:firstLineChars="200"/>
        <w:jc w:val="left"/>
        <w:rPr>
          <w:rFonts w:ascii="Times New Roman" w:hAnsi="Times New Roman"/>
          <w:sz w:val="24"/>
          <w:szCs w:val="24"/>
        </w:rPr>
      </w:pPr>
      <w:r>
        <w:rPr>
          <w:rFonts w:ascii="Times New Roman" w:hAnsi="Times New Roman"/>
          <w:color w:val="000000"/>
          <w:sz w:val="24"/>
          <w:szCs w:val="24"/>
        </w:rPr>
        <w:t>现有选矿区用水主要为生活用水和选矿用水和锅炉用水。</w:t>
      </w:r>
      <w:r>
        <w:rPr>
          <w:rFonts w:ascii="Times New Roman" w:hAnsi="Times New Roman"/>
          <w:sz w:val="24"/>
          <w:szCs w:val="24"/>
        </w:rPr>
        <w:t>选矿废水排入厂区内现有尾矿库内。经沉淀后全部回用于选矿工序。锅炉</w:t>
      </w:r>
      <w:r>
        <w:rPr>
          <w:rFonts w:hint="eastAsia" w:ascii="Times New Roman" w:hAnsi="Times New Roman"/>
          <w:sz w:val="24"/>
          <w:szCs w:val="24"/>
        </w:rPr>
        <w:t>排污水</w:t>
      </w:r>
      <w:r>
        <w:rPr>
          <w:rFonts w:ascii="Times New Roman" w:hAnsi="Times New Roman"/>
          <w:sz w:val="24"/>
          <w:szCs w:val="24"/>
        </w:rPr>
        <w:t>与生活废水一同排入现有防渗旱厕，不外排。</w:t>
      </w:r>
    </w:p>
    <w:p>
      <w:pPr>
        <w:spacing w:line="360" w:lineRule="auto"/>
        <w:jc w:val="left"/>
        <w:outlineLvl w:val="0"/>
        <w:rPr>
          <w:rFonts w:ascii="Times New Roman" w:hAnsi="Times New Roman"/>
          <w:color w:val="000000"/>
          <w:sz w:val="24"/>
          <w:szCs w:val="24"/>
        </w:rPr>
      </w:pPr>
      <w:r>
        <w:rPr>
          <w:rFonts w:hint="eastAsia" w:ascii="Times New Roman" w:hAnsi="Times New Roman"/>
          <w:color w:val="000000"/>
          <w:sz w:val="24"/>
          <w:szCs w:val="24"/>
        </w:rPr>
        <w:t>3、噪声</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①现有采矿区：</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现有矿山运营期噪声主要来自空压机、卷扬机、载重汽车等机械设备产生的连续噪声，以及矿石开采爆破产生的瞬间噪声。各种设备噪声级在65dB（A）~100dB（A）之间。</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矿山开采过程中，凿岩、爆破、矿石铲装、装在机械运转均产生噪声。由于该矿为井下深部开采，井下爆破和设备运行噪声经矿井隔声减振后，对地表声环境基本无影响。</w:t>
      </w:r>
    </w:p>
    <w:p>
      <w:pPr>
        <w:pStyle w:val="2"/>
        <w:spacing w:line="360" w:lineRule="auto"/>
        <w:ind w:firstLine="480" w:firstLineChars="200"/>
        <w:rPr>
          <w:sz w:val="24"/>
          <w:szCs w:val="24"/>
        </w:rPr>
      </w:pPr>
      <w:r>
        <w:rPr>
          <w:rFonts w:hint="eastAsia" w:ascii="Times New Roman" w:hAnsi="Times New Roman"/>
          <w:sz w:val="24"/>
          <w:szCs w:val="24"/>
        </w:rPr>
        <w:t>②现有选矿区</w:t>
      </w:r>
    </w:p>
    <w:p>
      <w:pPr>
        <w:pStyle w:val="2"/>
        <w:spacing w:line="360" w:lineRule="auto"/>
        <w:ind w:firstLine="480" w:firstLineChars="200"/>
        <w:rPr>
          <w:rFonts w:ascii="Times New Roman" w:hAnsi="Times New Roman"/>
          <w:sz w:val="24"/>
          <w:szCs w:val="24"/>
        </w:rPr>
      </w:pPr>
      <w:r>
        <w:rPr>
          <w:rFonts w:hint="eastAsia" w:ascii="Times New Roman" w:hAnsi="Times New Roman"/>
          <w:sz w:val="24"/>
          <w:szCs w:val="24"/>
        </w:rPr>
        <w:t>现有项目选矿区选矿区噪声主要来自破碎机、振动筛、球磨机、传送机、提升机、磁选机等设备等设备，为了解厂区内噪声对周围环境的影响。吉林省国安环境检测有限公司于2018年11月12日对厂界进行监测。详见下表。</w:t>
      </w:r>
    </w:p>
    <w:p>
      <w:pPr>
        <w:ind w:firstLine="482"/>
        <w:jc w:val="center"/>
        <w:rPr>
          <w:rFonts w:ascii="Times New Roman" w:hAnsi="Times New Roman"/>
          <w:b/>
          <w:sz w:val="24"/>
          <w:szCs w:val="24"/>
        </w:rPr>
      </w:pPr>
      <w:bookmarkStart w:id="150" w:name="_Toc197672559"/>
      <w:bookmarkStart w:id="151" w:name="_Toc186268288"/>
      <w:bookmarkStart w:id="152" w:name="_Toc196822768"/>
      <w:bookmarkStart w:id="153" w:name="_Toc197303931"/>
      <w:bookmarkStart w:id="154" w:name="_Toc198368936"/>
      <w:bookmarkStart w:id="155" w:name="_Toc187483972"/>
      <w:bookmarkStart w:id="156" w:name="_Toc189627744"/>
      <w:bookmarkStart w:id="157" w:name="_Toc195680687"/>
      <w:r>
        <w:rPr>
          <w:rFonts w:ascii="Times New Roman" w:hAnsi="Times New Roman"/>
          <w:b/>
          <w:sz w:val="24"/>
          <w:szCs w:val="24"/>
        </w:rPr>
        <w:t>表</w:t>
      </w:r>
      <w:r>
        <w:rPr>
          <w:rFonts w:hint="eastAsia" w:ascii="Times New Roman" w:hAnsi="Times New Roman"/>
          <w:b/>
          <w:sz w:val="24"/>
          <w:szCs w:val="24"/>
        </w:rPr>
        <w:t>3-9</w:t>
      </w:r>
      <w:r>
        <w:rPr>
          <w:rFonts w:ascii="Times New Roman" w:hAnsi="Times New Roman"/>
          <w:b/>
          <w:sz w:val="24"/>
          <w:szCs w:val="24"/>
        </w:rPr>
        <w:t xml:space="preserve">  </w:t>
      </w:r>
      <w:r>
        <w:rPr>
          <w:rFonts w:hint="eastAsia" w:ascii="Times New Roman" w:hAnsi="Times New Roman"/>
          <w:b/>
          <w:sz w:val="24"/>
          <w:szCs w:val="24"/>
        </w:rPr>
        <w:t>现有选矿厂区</w:t>
      </w:r>
      <w:r>
        <w:rPr>
          <w:rFonts w:ascii="Times New Roman" w:hAnsi="Times New Roman"/>
          <w:b/>
          <w:sz w:val="24"/>
          <w:szCs w:val="24"/>
        </w:rPr>
        <w:t xml:space="preserve">噪声监测及评价结果 </w:t>
      </w:r>
      <w:bookmarkEnd w:id="150"/>
      <w:bookmarkEnd w:id="151"/>
      <w:bookmarkEnd w:id="152"/>
      <w:bookmarkEnd w:id="153"/>
      <w:bookmarkEnd w:id="154"/>
      <w:bookmarkEnd w:id="155"/>
      <w:bookmarkEnd w:id="156"/>
      <w:bookmarkEnd w:id="157"/>
      <w:r>
        <w:rPr>
          <w:rFonts w:ascii="Times New Roman" w:hAnsi="Times New Roman"/>
          <w:b/>
          <w:sz w:val="24"/>
          <w:szCs w:val="24"/>
        </w:rPr>
        <w:t xml:space="preserve">  单位：dB（A）</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408"/>
        <w:gridCol w:w="1706"/>
        <w:gridCol w:w="1706"/>
        <w:gridCol w:w="170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08" w:type="dxa"/>
            <w:vMerge w:val="restart"/>
            <w:vAlign w:val="center"/>
          </w:tcPr>
          <w:p>
            <w:pPr>
              <w:adjustRightInd w:val="0"/>
              <w:snapToGrid w:val="0"/>
              <w:jc w:val="center"/>
              <w:rPr>
                <w:rFonts w:ascii="Times New Roman" w:hAnsi="Times New Roman"/>
              </w:rPr>
            </w:pPr>
            <w:r>
              <w:rPr>
                <w:rFonts w:ascii="Times New Roman" w:hAnsi="Times New Roman"/>
              </w:rPr>
              <w:t>监测点位</w:t>
            </w:r>
          </w:p>
        </w:tc>
        <w:tc>
          <w:tcPr>
            <w:tcW w:w="1706" w:type="dxa"/>
            <w:vMerge w:val="restart"/>
            <w:vAlign w:val="center"/>
          </w:tcPr>
          <w:p>
            <w:pPr>
              <w:adjustRightInd w:val="0"/>
              <w:snapToGrid w:val="0"/>
              <w:jc w:val="center"/>
              <w:rPr>
                <w:rFonts w:ascii="Times New Roman" w:hAnsi="Times New Roman"/>
              </w:rPr>
            </w:pPr>
            <w:r>
              <w:rPr>
                <w:rFonts w:ascii="Times New Roman" w:hAnsi="Times New Roman"/>
              </w:rPr>
              <w:t>监测项目</w:t>
            </w:r>
          </w:p>
        </w:tc>
        <w:tc>
          <w:tcPr>
            <w:tcW w:w="3408" w:type="dxa"/>
            <w:gridSpan w:val="2"/>
            <w:vAlign w:val="center"/>
          </w:tcPr>
          <w:p>
            <w:pPr>
              <w:adjustRightInd w:val="0"/>
              <w:snapToGrid w:val="0"/>
              <w:jc w:val="center"/>
              <w:rPr>
                <w:rFonts w:ascii="Times New Roman" w:hAnsi="Times New Roman"/>
              </w:rPr>
            </w:pPr>
            <w:r>
              <w:rPr>
                <w:rFonts w:ascii="Times New Roman" w:hAnsi="Times New Roman"/>
              </w:rPr>
              <w:t>13日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08" w:type="dxa"/>
            <w:vMerge w:val="continue"/>
            <w:vAlign w:val="center"/>
          </w:tcPr>
          <w:p>
            <w:pPr>
              <w:adjustRightInd w:val="0"/>
              <w:snapToGrid w:val="0"/>
              <w:jc w:val="center"/>
              <w:rPr>
                <w:rFonts w:ascii="Times New Roman" w:hAnsi="Times New Roman"/>
              </w:rPr>
            </w:pPr>
          </w:p>
        </w:tc>
        <w:tc>
          <w:tcPr>
            <w:tcW w:w="1706" w:type="dxa"/>
            <w:vMerge w:val="continue"/>
            <w:vAlign w:val="center"/>
          </w:tcPr>
          <w:p>
            <w:pPr>
              <w:adjustRightInd w:val="0"/>
              <w:snapToGrid w:val="0"/>
              <w:jc w:val="center"/>
              <w:rPr>
                <w:rFonts w:ascii="Times New Roman" w:hAnsi="Times New Roman"/>
              </w:rPr>
            </w:pPr>
          </w:p>
        </w:tc>
        <w:tc>
          <w:tcPr>
            <w:tcW w:w="1706" w:type="dxa"/>
            <w:vAlign w:val="center"/>
          </w:tcPr>
          <w:p>
            <w:pPr>
              <w:adjustRightInd w:val="0"/>
              <w:snapToGrid w:val="0"/>
              <w:jc w:val="center"/>
              <w:rPr>
                <w:rFonts w:ascii="Times New Roman" w:hAnsi="Times New Roman"/>
              </w:rPr>
            </w:pPr>
            <w:r>
              <w:rPr>
                <w:rFonts w:ascii="Times New Roman" w:hAnsi="Times New Roman"/>
              </w:rPr>
              <w:t>昼间</w:t>
            </w:r>
          </w:p>
        </w:tc>
        <w:tc>
          <w:tcPr>
            <w:tcW w:w="1702" w:type="dxa"/>
            <w:vAlign w:val="center"/>
          </w:tcPr>
          <w:p>
            <w:pPr>
              <w:adjustRightInd w:val="0"/>
              <w:snapToGrid w:val="0"/>
              <w:jc w:val="center"/>
              <w:rPr>
                <w:rFonts w:ascii="Times New Roman" w:hAnsi="Times New Roman"/>
              </w:rPr>
            </w:pPr>
            <w:r>
              <w:rPr>
                <w:rFonts w:ascii="Times New Roman" w:hAnsi="Times New Roman"/>
              </w:rPr>
              <w:t>夜间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08" w:type="dxa"/>
            <w:vAlign w:val="center"/>
          </w:tcPr>
          <w:p>
            <w:pPr>
              <w:adjustRightInd w:val="0"/>
              <w:snapToGrid w:val="0"/>
              <w:jc w:val="center"/>
              <w:rPr>
                <w:rFonts w:ascii="Times New Roman" w:hAnsi="Times New Roman"/>
              </w:rPr>
            </w:pPr>
            <w:r>
              <w:rPr>
                <w:rFonts w:ascii="Times New Roman" w:hAnsi="Times New Roman"/>
              </w:rPr>
              <w:t>厂界东</w:t>
            </w:r>
          </w:p>
        </w:tc>
        <w:tc>
          <w:tcPr>
            <w:tcW w:w="1706" w:type="dxa"/>
            <w:vMerge w:val="restart"/>
            <w:vAlign w:val="center"/>
          </w:tcPr>
          <w:p>
            <w:pPr>
              <w:adjustRightInd w:val="0"/>
              <w:snapToGrid w:val="0"/>
              <w:jc w:val="center"/>
              <w:rPr>
                <w:rFonts w:ascii="Times New Roman" w:hAnsi="Times New Roman"/>
              </w:rPr>
            </w:pPr>
            <w:r>
              <w:rPr>
                <w:rFonts w:ascii="Times New Roman" w:hAnsi="Times New Roman"/>
              </w:rPr>
              <w:t>连续等效</w:t>
            </w:r>
          </w:p>
          <w:p>
            <w:pPr>
              <w:adjustRightInd w:val="0"/>
              <w:snapToGrid w:val="0"/>
              <w:jc w:val="center"/>
              <w:rPr>
                <w:rFonts w:ascii="Times New Roman" w:hAnsi="Times New Roman"/>
              </w:rPr>
            </w:pPr>
            <w:r>
              <w:rPr>
                <w:rFonts w:ascii="Times New Roman" w:hAnsi="Times New Roman"/>
              </w:rPr>
              <w:t>A声级</w:t>
            </w:r>
          </w:p>
        </w:tc>
        <w:tc>
          <w:tcPr>
            <w:tcW w:w="1706" w:type="dxa"/>
            <w:vAlign w:val="center"/>
          </w:tcPr>
          <w:p>
            <w:pPr>
              <w:pStyle w:val="80"/>
              <w:rPr>
                <w:rFonts w:ascii="Times New Roman" w:hAnsi="Times New Roman"/>
              </w:rPr>
            </w:pPr>
            <w:r>
              <w:rPr>
                <w:rFonts w:hint="eastAsia" w:ascii="Times New Roman" w:hAnsi="Times New Roman"/>
                <w:szCs w:val="21"/>
              </w:rPr>
              <w:t>50.6</w:t>
            </w:r>
          </w:p>
        </w:tc>
        <w:tc>
          <w:tcPr>
            <w:tcW w:w="1702" w:type="dxa"/>
            <w:vAlign w:val="center"/>
          </w:tcPr>
          <w:p>
            <w:pPr>
              <w:pStyle w:val="80"/>
              <w:rPr>
                <w:rFonts w:ascii="Times New Roman" w:hAnsi="Times New Roman"/>
              </w:rPr>
            </w:pPr>
            <w:r>
              <w:rPr>
                <w:rFonts w:hint="eastAsia" w:ascii="Times New Roman" w:hAnsi="Times New Roman"/>
                <w:szCs w:val="21"/>
              </w:rPr>
              <w:t>42.3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08" w:type="dxa"/>
            <w:vAlign w:val="center"/>
          </w:tcPr>
          <w:p>
            <w:pPr>
              <w:adjustRightInd w:val="0"/>
              <w:snapToGrid w:val="0"/>
              <w:jc w:val="center"/>
              <w:rPr>
                <w:rFonts w:ascii="Times New Roman" w:hAnsi="Times New Roman"/>
              </w:rPr>
            </w:pPr>
            <w:r>
              <w:rPr>
                <w:rFonts w:ascii="Times New Roman" w:hAnsi="Times New Roman"/>
              </w:rPr>
              <w:t>厂界南</w:t>
            </w:r>
          </w:p>
        </w:tc>
        <w:tc>
          <w:tcPr>
            <w:tcW w:w="1706" w:type="dxa"/>
            <w:vMerge w:val="continue"/>
            <w:vAlign w:val="center"/>
          </w:tcPr>
          <w:p>
            <w:pPr>
              <w:adjustRightInd w:val="0"/>
              <w:snapToGrid w:val="0"/>
              <w:jc w:val="center"/>
              <w:rPr>
                <w:rFonts w:ascii="Times New Roman" w:hAnsi="Times New Roman"/>
              </w:rPr>
            </w:pPr>
          </w:p>
        </w:tc>
        <w:tc>
          <w:tcPr>
            <w:tcW w:w="1706" w:type="dxa"/>
            <w:vAlign w:val="center"/>
          </w:tcPr>
          <w:p>
            <w:pPr>
              <w:pStyle w:val="80"/>
              <w:rPr>
                <w:rFonts w:ascii="Times New Roman" w:hAnsi="Times New Roman"/>
              </w:rPr>
            </w:pPr>
            <w:r>
              <w:rPr>
                <w:rFonts w:hint="eastAsia" w:ascii="Times New Roman" w:hAnsi="Times New Roman"/>
                <w:szCs w:val="21"/>
              </w:rPr>
              <w:t>51.6</w:t>
            </w:r>
          </w:p>
        </w:tc>
        <w:tc>
          <w:tcPr>
            <w:tcW w:w="1702" w:type="dxa"/>
            <w:vAlign w:val="center"/>
          </w:tcPr>
          <w:p>
            <w:pPr>
              <w:pStyle w:val="80"/>
              <w:rPr>
                <w:rFonts w:ascii="Times New Roman" w:hAnsi="Times New Roman"/>
              </w:rPr>
            </w:pPr>
            <w:r>
              <w:rPr>
                <w:rFonts w:hint="eastAsia" w:ascii="Times New Roman" w:hAnsi="Times New Roman"/>
                <w:szCs w:val="21"/>
              </w:rPr>
              <w:t>41.8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08" w:type="dxa"/>
            <w:vAlign w:val="center"/>
          </w:tcPr>
          <w:p>
            <w:pPr>
              <w:adjustRightInd w:val="0"/>
              <w:snapToGrid w:val="0"/>
              <w:jc w:val="center"/>
              <w:rPr>
                <w:rFonts w:ascii="Times New Roman" w:hAnsi="Times New Roman"/>
              </w:rPr>
            </w:pPr>
            <w:r>
              <w:rPr>
                <w:rFonts w:ascii="Times New Roman" w:hAnsi="Times New Roman"/>
              </w:rPr>
              <w:t>厂界西</w:t>
            </w:r>
          </w:p>
        </w:tc>
        <w:tc>
          <w:tcPr>
            <w:tcW w:w="1706" w:type="dxa"/>
            <w:vMerge w:val="continue"/>
            <w:vAlign w:val="center"/>
          </w:tcPr>
          <w:p>
            <w:pPr>
              <w:adjustRightInd w:val="0"/>
              <w:snapToGrid w:val="0"/>
              <w:jc w:val="center"/>
              <w:rPr>
                <w:rFonts w:ascii="Times New Roman" w:hAnsi="Times New Roman"/>
              </w:rPr>
            </w:pPr>
          </w:p>
        </w:tc>
        <w:tc>
          <w:tcPr>
            <w:tcW w:w="1706" w:type="dxa"/>
            <w:vAlign w:val="center"/>
          </w:tcPr>
          <w:p>
            <w:pPr>
              <w:pStyle w:val="80"/>
              <w:rPr>
                <w:rFonts w:ascii="Times New Roman" w:hAnsi="Times New Roman"/>
              </w:rPr>
            </w:pPr>
            <w:r>
              <w:rPr>
                <w:rFonts w:hint="eastAsia" w:ascii="Times New Roman" w:hAnsi="Times New Roman"/>
                <w:szCs w:val="21"/>
              </w:rPr>
              <w:t>52.9</w:t>
            </w:r>
          </w:p>
        </w:tc>
        <w:tc>
          <w:tcPr>
            <w:tcW w:w="1702" w:type="dxa"/>
            <w:vAlign w:val="center"/>
          </w:tcPr>
          <w:p>
            <w:pPr>
              <w:pStyle w:val="80"/>
              <w:rPr>
                <w:rFonts w:ascii="Times New Roman" w:hAnsi="Times New Roman"/>
              </w:rPr>
            </w:pPr>
            <w:r>
              <w:rPr>
                <w:rFonts w:hint="eastAsia" w:ascii="Times New Roman" w:hAnsi="Times New Roman"/>
                <w:szCs w:val="21"/>
              </w:rPr>
              <w:t>42.3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08" w:type="dxa"/>
            <w:vAlign w:val="center"/>
          </w:tcPr>
          <w:p>
            <w:pPr>
              <w:adjustRightInd w:val="0"/>
              <w:snapToGrid w:val="0"/>
              <w:jc w:val="center"/>
              <w:rPr>
                <w:rFonts w:ascii="Times New Roman" w:hAnsi="Times New Roman"/>
              </w:rPr>
            </w:pPr>
            <w:r>
              <w:rPr>
                <w:rFonts w:ascii="Times New Roman" w:hAnsi="Times New Roman"/>
              </w:rPr>
              <w:t>厂界北</w:t>
            </w:r>
          </w:p>
        </w:tc>
        <w:tc>
          <w:tcPr>
            <w:tcW w:w="1706" w:type="dxa"/>
            <w:vMerge w:val="continue"/>
            <w:vAlign w:val="center"/>
          </w:tcPr>
          <w:p>
            <w:pPr>
              <w:adjustRightInd w:val="0"/>
              <w:snapToGrid w:val="0"/>
              <w:jc w:val="center"/>
              <w:rPr>
                <w:rFonts w:ascii="Times New Roman" w:hAnsi="Times New Roman"/>
              </w:rPr>
            </w:pPr>
          </w:p>
        </w:tc>
        <w:tc>
          <w:tcPr>
            <w:tcW w:w="1706" w:type="dxa"/>
            <w:vAlign w:val="center"/>
          </w:tcPr>
          <w:p>
            <w:pPr>
              <w:pStyle w:val="80"/>
              <w:rPr>
                <w:rFonts w:ascii="Times New Roman" w:hAnsi="Times New Roman"/>
              </w:rPr>
            </w:pPr>
            <w:r>
              <w:rPr>
                <w:rFonts w:hint="eastAsia" w:ascii="Times New Roman" w:hAnsi="Times New Roman"/>
                <w:szCs w:val="21"/>
              </w:rPr>
              <w:t>52.1</w:t>
            </w:r>
          </w:p>
        </w:tc>
        <w:tc>
          <w:tcPr>
            <w:tcW w:w="1702" w:type="dxa"/>
            <w:vAlign w:val="center"/>
          </w:tcPr>
          <w:p>
            <w:pPr>
              <w:pStyle w:val="80"/>
              <w:rPr>
                <w:rFonts w:ascii="Times New Roman" w:hAnsi="Times New Roman"/>
              </w:rPr>
            </w:pPr>
            <w:r>
              <w:rPr>
                <w:rFonts w:hint="eastAsia" w:ascii="Times New Roman" w:hAnsi="Times New Roman"/>
                <w:szCs w:val="21"/>
              </w:rPr>
              <w:t>41.7</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08" w:type="dxa"/>
            <w:vAlign w:val="center"/>
          </w:tcPr>
          <w:p>
            <w:pPr>
              <w:adjustRightInd w:val="0"/>
              <w:snapToGrid w:val="0"/>
              <w:jc w:val="center"/>
              <w:rPr>
                <w:rFonts w:ascii="Times New Roman" w:hAnsi="Times New Roman"/>
              </w:rPr>
            </w:pPr>
            <w:r>
              <w:rPr>
                <w:rFonts w:ascii="Times New Roman" w:hAnsi="Times New Roman"/>
              </w:rPr>
              <w:t>评价标准</w:t>
            </w:r>
          </w:p>
        </w:tc>
        <w:tc>
          <w:tcPr>
            <w:tcW w:w="1706" w:type="dxa"/>
            <w:vMerge w:val="continue"/>
            <w:vAlign w:val="center"/>
          </w:tcPr>
          <w:p>
            <w:pPr>
              <w:adjustRightInd w:val="0"/>
              <w:snapToGrid w:val="0"/>
              <w:jc w:val="center"/>
              <w:rPr>
                <w:rFonts w:ascii="Times New Roman" w:hAnsi="Times New Roman"/>
              </w:rPr>
            </w:pPr>
          </w:p>
        </w:tc>
        <w:tc>
          <w:tcPr>
            <w:tcW w:w="1706" w:type="dxa"/>
            <w:vAlign w:val="center"/>
          </w:tcPr>
          <w:p>
            <w:pPr>
              <w:adjustRightInd w:val="0"/>
              <w:snapToGrid w:val="0"/>
              <w:jc w:val="center"/>
              <w:rPr>
                <w:rFonts w:ascii="Times New Roman" w:hAnsi="Times New Roman"/>
              </w:rPr>
            </w:pPr>
            <w:r>
              <w:rPr>
                <w:rFonts w:ascii="Times New Roman" w:hAnsi="Times New Roman"/>
              </w:rPr>
              <w:t>65</w:t>
            </w:r>
          </w:p>
        </w:tc>
        <w:tc>
          <w:tcPr>
            <w:tcW w:w="1702" w:type="dxa"/>
            <w:vAlign w:val="center"/>
          </w:tcPr>
          <w:p>
            <w:pPr>
              <w:adjustRightInd w:val="0"/>
              <w:snapToGrid w:val="0"/>
              <w:jc w:val="center"/>
              <w:rPr>
                <w:rFonts w:ascii="Times New Roman" w:hAnsi="Times New Roman"/>
              </w:rPr>
            </w:pPr>
            <w:r>
              <w:rPr>
                <w:rFonts w:ascii="Times New Roman" w:hAnsi="Times New Roman"/>
              </w:rPr>
              <w:t>55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408" w:type="dxa"/>
            <w:vAlign w:val="center"/>
          </w:tcPr>
          <w:p>
            <w:pPr>
              <w:adjustRightInd w:val="0"/>
              <w:snapToGrid w:val="0"/>
              <w:jc w:val="center"/>
              <w:rPr>
                <w:rFonts w:ascii="Times New Roman" w:hAnsi="Times New Roman"/>
              </w:rPr>
            </w:pPr>
            <w:r>
              <w:rPr>
                <w:rFonts w:ascii="Times New Roman" w:hAnsi="Times New Roman"/>
              </w:rPr>
              <w:t>评价结果</w:t>
            </w:r>
          </w:p>
        </w:tc>
        <w:tc>
          <w:tcPr>
            <w:tcW w:w="1706" w:type="dxa"/>
            <w:vMerge w:val="continue"/>
            <w:vAlign w:val="center"/>
          </w:tcPr>
          <w:p>
            <w:pPr>
              <w:adjustRightInd w:val="0"/>
              <w:snapToGrid w:val="0"/>
              <w:jc w:val="center"/>
              <w:rPr>
                <w:rFonts w:ascii="Times New Roman" w:hAnsi="Times New Roman"/>
              </w:rPr>
            </w:pPr>
          </w:p>
        </w:tc>
        <w:tc>
          <w:tcPr>
            <w:tcW w:w="1706" w:type="dxa"/>
            <w:vAlign w:val="center"/>
          </w:tcPr>
          <w:p>
            <w:pPr>
              <w:adjustRightInd w:val="0"/>
              <w:snapToGrid w:val="0"/>
              <w:jc w:val="center"/>
              <w:rPr>
                <w:rFonts w:ascii="Times New Roman" w:hAnsi="Times New Roman"/>
              </w:rPr>
            </w:pPr>
            <w:r>
              <w:rPr>
                <w:rFonts w:ascii="Times New Roman" w:hAnsi="Times New Roman"/>
              </w:rPr>
              <w:t>达标</w:t>
            </w:r>
          </w:p>
        </w:tc>
        <w:tc>
          <w:tcPr>
            <w:tcW w:w="1702" w:type="dxa"/>
            <w:vAlign w:val="center"/>
          </w:tcPr>
          <w:p>
            <w:pPr>
              <w:adjustRightInd w:val="0"/>
              <w:snapToGrid w:val="0"/>
              <w:jc w:val="center"/>
              <w:rPr>
                <w:rFonts w:ascii="Times New Roman" w:hAnsi="Times New Roman"/>
              </w:rPr>
            </w:pPr>
            <w:r>
              <w:rPr>
                <w:rFonts w:ascii="Times New Roman" w:hAnsi="Times New Roman"/>
              </w:rPr>
              <w:t>达标</w:t>
            </w:r>
          </w:p>
        </w:tc>
      </w:tr>
    </w:tbl>
    <w:p>
      <w:pPr>
        <w:pStyle w:val="2"/>
        <w:rPr>
          <w:rFonts w:ascii="Times New Roman" w:hAnsi="Times New Roman"/>
          <w:sz w:val="24"/>
          <w:szCs w:val="24"/>
        </w:rPr>
      </w:pPr>
    </w:p>
    <w:p>
      <w:pPr>
        <w:tabs>
          <w:tab w:val="left" w:pos="471"/>
          <w:tab w:val="left" w:pos="1987"/>
        </w:tabs>
        <w:spacing w:line="360" w:lineRule="auto"/>
        <w:jc w:val="left"/>
        <w:rPr>
          <w:rFonts w:ascii="Times New Roman" w:hAnsi="Times New Roman"/>
          <w:sz w:val="24"/>
          <w:szCs w:val="24"/>
        </w:rPr>
      </w:pPr>
      <w:r>
        <w:rPr>
          <w:rFonts w:hint="eastAsia" w:ascii="Times New Roman" w:hAnsi="Times New Roman"/>
          <w:sz w:val="24"/>
          <w:szCs w:val="24"/>
        </w:rPr>
        <w:t>4、固体废物</w:t>
      </w:r>
    </w:p>
    <w:p>
      <w:pPr>
        <w:tabs>
          <w:tab w:val="left" w:pos="471"/>
          <w:tab w:val="left" w:pos="1987"/>
        </w:tabs>
        <w:spacing w:line="360" w:lineRule="auto"/>
        <w:ind w:firstLine="480" w:firstLineChars="200"/>
        <w:jc w:val="left"/>
        <w:outlineLvl w:val="0"/>
        <w:rPr>
          <w:rFonts w:ascii="Times New Roman" w:hAnsi="Times New Roman"/>
          <w:sz w:val="24"/>
          <w:szCs w:val="24"/>
        </w:rPr>
      </w:pPr>
      <w:r>
        <w:rPr>
          <w:rFonts w:ascii="Times New Roman" w:hAnsi="Times New Roman"/>
          <w:sz w:val="24"/>
          <w:szCs w:val="24"/>
        </w:rPr>
        <w:t>（1）现有采矿区</w:t>
      </w:r>
    </w:p>
    <w:p>
      <w:pPr>
        <w:tabs>
          <w:tab w:val="left" w:pos="471"/>
          <w:tab w:val="left" w:pos="1987"/>
        </w:tabs>
        <w:spacing w:line="360" w:lineRule="auto"/>
        <w:ind w:firstLine="480" w:firstLineChars="200"/>
        <w:jc w:val="left"/>
        <w:rPr>
          <w:rFonts w:ascii="Times New Roman" w:hAnsi="Times New Roman"/>
          <w:sz w:val="24"/>
          <w:szCs w:val="24"/>
        </w:rPr>
      </w:pPr>
      <w:r>
        <w:rPr>
          <w:rFonts w:ascii="Times New Roman" w:hAnsi="Times New Roman"/>
          <w:sz w:val="24"/>
          <w:szCs w:val="24"/>
        </w:rPr>
        <w:t>现有采矿区产生铁矿石为660000t/a，全部外售；产生废石为121100t/a，全部回填井下；生活垃圾经垃圾箱暂存装置暂存后由环卫部门运送至当地垃圾填埋场。</w:t>
      </w:r>
    </w:p>
    <w:p>
      <w:pPr>
        <w:pStyle w:val="2"/>
        <w:spacing w:line="360" w:lineRule="auto"/>
        <w:ind w:firstLine="480" w:firstLineChars="200"/>
        <w:outlineLvl w:val="0"/>
        <w:rPr>
          <w:rFonts w:ascii="Times New Roman" w:hAnsi="Times New Roman"/>
          <w:sz w:val="24"/>
          <w:szCs w:val="24"/>
        </w:rPr>
      </w:pPr>
      <w:r>
        <w:rPr>
          <w:rFonts w:ascii="Times New Roman" w:hAnsi="Times New Roman"/>
          <w:sz w:val="24"/>
          <w:szCs w:val="24"/>
        </w:rPr>
        <w:t>（2）现有选矿区</w:t>
      </w:r>
    </w:p>
    <w:p>
      <w:pPr>
        <w:tabs>
          <w:tab w:val="left" w:pos="471"/>
          <w:tab w:val="left" w:pos="1987"/>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现有选矿区选矿产生的铁精粉80000</w:t>
      </w:r>
      <w:r>
        <w:rPr>
          <w:rFonts w:ascii="Times New Roman" w:hAnsi="Times New Roman"/>
          <w:sz w:val="24"/>
          <w:szCs w:val="24"/>
        </w:rPr>
        <w:t>t/a，</w:t>
      </w:r>
      <w:r>
        <w:rPr>
          <w:rFonts w:hint="eastAsia" w:ascii="Times New Roman" w:hAnsi="Times New Roman"/>
          <w:sz w:val="24"/>
          <w:szCs w:val="24"/>
        </w:rPr>
        <w:t>全部外售；废石为16000</w:t>
      </w:r>
      <w:r>
        <w:rPr>
          <w:rFonts w:ascii="Times New Roman" w:hAnsi="Times New Roman"/>
          <w:sz w:val="24"/>
          <w:szCs w:val="24"/>
        </w:rPr>
        <w:t>t/a，全部外售</w:t>
      </w:r>
      <w:r>
        <w:rPr>
          <w:rFonts w:hint="eastAsia" w:ascii="Times New Roman" w:hAnsi="Times New Roman"/>
          <w:sz w:val="24"/>
          <w:szCs w:val="24"/>
        </w:rPr>
        <w:t>。尾矿渣产生量为104000</w:t>
      </w:r>
      <w:r>
        <w:rPr>
          <w:rFonts w:ascii="Times New Roman" w:hAnsi="Times New Roman"/>
          <w:sz w:val="24"/>
          <w:szCs w:val="24"/>
        </w:rPr>
        <w:t>t/a，</w:t>
      </w:r>
      <w:r>
        <w:rPr>
          <w:rFonts w:hint="eastAsia" w:ascii="Times New Roman" w:hAnsi="Times New Roman"/>
          <w:sz w:val="24"/>
          <w:szCs w:val="24"/>
        </w:rPr>
        <w:t>全部堆放至尾矿库，定期外售金刚（集团）白山水泥有限公司。</w:t>
      </w:r>
    </w:p>
    <w:p>
      <w:pPr>
        <w:pStyle w:val="5"/>
        <w:spacing w:before="0" w:after="0" w:line="360" w:lineRule="auto"/>
        <w:rPr>
          <w:color w:val="000000"/>
          <w:sz w:val="24"/>
          <w:szCs w:val="24"/>
        </w:rPr>
      </w:pPr>
      <w:bookmarkStart w:id="158" w:name="_Toc3628"/>
      <w:bookmarkStart w:id="159" w:name="_Toc19900"/>
      <w:bookmarkStart w:id="160" w:name="_Toc15063"/>
      <w:r>
        <w:rPr>
          <w:color w:val="000000"/>
          <w:sz w:val="24"/>
          <w:szCs w:val="24"/>
        </w:rPr>
        <w:t>3.1.</w:t>
      </w:r>
      <w:r>
        <w:rPr>
          <w:rFonts w:hint="eastAsia"/>
          <w:color w:val="000000"/>
          <w:sz w:val="24"/>
          <w:szCs w:val="24"/>
        </w:rPr>
        <w:t>10现有项目环评批复落实情况</w:t>
      </w:r>
      <w:bookmarkEnd w:id="158"/>
      <w:bookmarkEnd w:id="159"/>
      <w:bookmarkEnd w:id="160"/>
    </w:p>
    <w:p>
      <w:pPr>
        <w:tabs>
          <w:tab w:val="left" w:pos="471"/>
          <w:tab w:val="left" w:pos="1987"/>
        </w:tabs>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2005年9月江源县环保局以“江源环发[2005]31号”对东北煤炭工业环境保护研究所编制的《江源县五道羊岔铁矿选矿建设项目环境影响评价报告书》予以批复。批复情况及现有企业落实情况详见下表。</w:t>
      </w:r>
    </w:p>
    <w:p>
      <w:pPr>
        <w:tabs>
          <w:tab w:val="left" w:pos="471"/>
          <w:tab w:val="left" w:pos="1987"/>
        </w:tabs>
        <w:spacing w:beforeLines="50"/>
        <w:jc w:val="center"/>
        <w:rPr>
          <w:rFonts w:ascii="Times New Roman" w:hAnsi="Times New Roman"/>
          <w:b/>
          <w:bCs/>
          <w:color w:val="000000"/>
          <w:sz w:val="24"/>
          <w:szCs w:val="24"/>
        </w:rPr>
      </w:pPr>
      <w:r>
        <w:rPr>
          <w:rFonts w:hint="eastAsia" w:ascii="Times New Roman" w:hAnsi="Times New Roman"/>
          <w:b/>
          <w:bCs/>
          <w:color w:val="000000"/>
          <w:sz w:val="24"/>
          <w:szCs w:val="24"/>
        </w:rPr>
        <w:t>表3-10 延州环建字[2005]5号环评批复及现有企业执行情况一览表</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593"/>
        <w:gridCol w:w="4324"/>
        <w:gridCol w:w="360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93" w:type="dxa"/>
            <w:vAlign w:val="center"/>
          </w:tcPr>
          <w:p>
            <w:pPr>
              <w:pStyle w:val="56"/>
              <w:snapToGrid w:val="0"/>
              <w:rPr>
                <w:color w:val="000000"/>
              </w:rPr>
            </w:pPr>
            <w:r>
              <w:rPr>
                <w:color w:val="000000"/>
              </w:rPr>
              <w:t>序号</w:t>
            </w:r>
          </w:p>
        </w:tc>
        <w:tc>
          <w:tcPr>
            <w:tcW w:w="4324" w:type="dxa"/>
            <w:vAlign w:val="center"/>
          </w:tcPr>
          <w:p>
            <w:pPr>
              <w:pStyle w:val="56"/>
              <w:snapToGrid w:val="0"/>
              <w:rPr>
                <w:color w:val="000000"/>
              </w:rPr>
            </w:pPr>
            <w:r>
              <w:rPr>
                <w:rFonts w:hint="eastAsia"/>
                <w:color w:val="000000"/>
              </w:rPr>
              <w:t>延州环建字[2005]5号</w:t>
            </w:r>
            <w:r>
              <w:rPr>
                <w:color w:val="000000"/>
              </w:rPr>
              <w:t>批复情况</w:t>
            </w:r>
          </w:p>
        </w:tc>
        <w:tc>
          <w:tcPr>
            <w:tcW w:w="3605" w:type="dxa"/>
            <w:vAlign w:val="center"/>
          </w:tcPr>
          <w:p>
            <w:pPr>
              <w:pStyle w:val="56"/>
              <w:snapToGrid w:val="0"/>
              <w:rPr>
                <w:color w:val="000000"/>
              </w:rPr>
            </w:pPr>
            <w:r>
              <w:rPr>
                <w:color w:val="000000"/>
              </w:rPr>
              <w:t>环评批复执行情况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169" w:hRule="atLeast"/>
          <w:jc w:val="center"/>
        </w:trPr>
        <w:tc>
          <w:tcPr>
            <w:tcW w:w="593" w:type="dxa"/>
            <w:vAlign w:val="center"/>
          </w:tcPr>
          <w:p>
            <w:pPr>
              <w:pStyle w:val="56"/>
              <w:snapToGrid w:val="0"/>
              <w:rPr>
                <w:color w:val="000000"/>
              </w:rPr>
            </w:pPr>
            <w:r>
              <w:rPr>
                <w:color w:val="000000"/>
              </w:rPr>
              <w:t>1</w:t>
            </w:r>
          </w:p>
        </w:tc>
        <w:tc>
          <w:tcPr>
            <w:tcW w:w="4324" w:type="dxa"/>
            <w:vAlign w:val="center"/>
          </w:tcPr>
          <w:p>
            <w:pPr>
              <w:pStyle w:val="56"/>
              <w:snapToGrid w:val="0"/>
              <w:rPr>
                <w:color w:val="000000"/>
              </w:rPr>
            </w:pPr>
            <w:r>
              <w:rPr>
                <w:rFonts w:hint="eastAsia"/>
                <w:color w:val="000000"/>
              </w:rPr>
              <w:t>各采矿点采矿废石应妥善处理，不得随意堆放破坏植被和周围环境以及防止被雨水冲总污染水体</w:t>
            </w:r>
          </w:p>
        </w:tc>
        <w:tc>
          <w:tcPr>
            <w:tcW w:w="3605" w:type="dxa"/>
            <w:vAlign w:val="center"/>
          </w:tcPr>
          <w:p>
            <w:pPr>
              <w:pStyle w:val="56"/>
              <w:snapToGrid w:val="0"/>
              <w:rPr>
                <w:color w:val="000000"/>
              </w:rPr>
            </w:pPr>
            <w:r>
              <w:rPr>
                <w:rFonts w:hint="eastAsia"/>
                <w:color w:val="000000"/>
              </w:rPr>
              <w:t>采矿区废石全部回填井下，不出井口，因此企业并没有设置临时废石堆场，不会对周围环境有影响。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93" w:type="dxa"/>
            <w:vAlign w:val="center"/>
          </w:tcPr>
          <w:p>
            <w:pPr>
              <w:pStyle w:val="56"/>
              <w:snapToGrid w:val="0"/>
              <w:rPr>
                <w:color w:val="000000"/>
              </w:rPr>
            </w:pPr>
            <w:r>
              <w:rPr>
                <w:rFonts w:hint="eastAsia"/>
                <w:color w:val="000000"/>
              </w:rPr>
              <w:t>2</w:t>
            </w:r>
          </w:p>
        </w:tc>
        <w:tc>
          <w:tcPr>
            <w:tcW w:w="4324" w:type="dxa"/>
            <w:vAlign w:val="center"/>
          </w:tcPr>
          <w:p>
            <w:pPr>
              <w:pStyle w:val="56"/>
              <w:snapToGrid w:val="0"/>
              <w:rPr>
                <w:color w:val="000000"/>
              </w:rPr>
            </w:pPr>
            <w:r>
              <w:rPr>
                <w:rFonts w:hint="eastAsia"/>
                <w:color w:val="000000"/>
              </w:rPr>
              <w:t>由于尾矿库的库坝建设和库区上游排洪，一旦出现问题，将会对环境造成较大的污染，因此尾矿库的建设必须委托具有相应资质的部门设计；建设单位邀请安全生产部门和水利部门对尾矿的安全和排洪分别进行论证；并讲论证结果连同初步设计的环保篇章同时报我局，经审查同意后方可施工。</w:t>
            </w:r>
          </w:p>
        </w:tc>
        <w:tc>
          <w:tcPr>
            <w:tcW w:w="3605" w:type="dxa"/>
            <w:vAlign w:val="center"/>
          </w:tcPr>
          <w:p>
            <w:pPr>
              <w:pStyle w:val="56"/>
              <w:snapToGrid w:val="0"/>
              <w:rPr>
                <w:color w:val="000000"/>
              </w:rPr>
            </w:pPr>
            <w:r>
              <w:rPr>
                <w:rFonts w:hint="eastAsia"/>
                <w:color w:val="000000"/>
              </w:rPr>
              <w:t>企业已取得安全部门风险与评价，见附件；但并未邀请水利部门就排洪进行论证，本次扩建期将修建。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93" w:type="dxa"/>
            <w:vAlign w:val="center"/>
          </w:tcPr>
          <w:p>
            <w:pPr>
              <w:pStyle w:val="56"/>
              <w:snapToGrid w:val="0"/>
              <w:rPr>
                <w:color w:val="000000"/>
              </w:rPr>
            </w:pPr>
            <w:r>
              <w:rPr>
                <w:rFonts w:hint="eastAsia"/>
                <w:color w:val="000000"/>
              </w:rPr>
              <w:t>3</w:t>
            </w:r>
          </w:p>
        </w:tc>
        <w:tc>
          <w:tcPr>
            <w:tcW w:w="4324" w:type="dxa"/>
            <w:vAlign w:val="center"/>
          </w:tcPr>
          <w:p>
            <w:pPr>
              <w:pStyle w:val="56"/>
              <w:snapToGrid w:val="0"/>
              <w:rPr>
                <w:color w:val="000000"/>
              </w:rPr>
            </w:pPr>
            <w:r>
              <w:rPr>
                <w:rFonts w:hint="eastAsia"/>
                <w:color w:val="000000"/>
              </w:rPr>
              <w:t>尾矿库周围要建设排洪沟，以防止大气降雨冲毁尾矿库造成事故性的环境污染或由于暴雨导致生产废水不能全部循环使用而污染下游水体</w:t>
            </w:r>
          </w:p>
        </w:tc>
        <w:tc>
          <w:tcPr>
            <w:tcW w:w="3605" w:type="dxa"/>
            <w:vAlign w:val="center"/>
          </w:tcPr>
          <w:p>
            <w:pPr>
              <w:pStyle w:val="56"/>
              <w:snapToGrid w:val="0"/>
              <w:rPr>
                <w:color w:val="000000"/>
              </w:rPr>
            </w:pPr>
            <w:r>
              <w:rPr>
                <w:rFonts w:hint="eastAsia"/>
                <w:color w:val="000000"/>
              </w:rPr>
              <w:t>根据现场勘察该尾矿库未建设排洪沟，本次扩建后一并建设。</w:t>
            </w:r>
          </w:p>
        </w:tc>
      </w:tr>
    </w:tbl>
    <w:p>
      <w:pPr>
        <w:pStyle w:val="5"/>
        <w:spacing w:beforeLines="50" w:after="0" w:line="360" w:lineRule="auto"/>
        <w:rPr>
          <w:sz w:val="24"/>
          <w:szCs w:val="24"/>
        </w:rPr>
      </w:pPr>
      <w:bookmarkStart w:id="161" w:name="_Toc31977"/>
      <w:bookmarkStart w:id="162" w:name="_Toc6325"/>
      <w:bookmarkStart w:id="163" w:name="_Toc14658"/>
      <w:r>
        <w:rPr>
          <w:sz w:val="24"/>
          <w:szCs w:val="24"/>
        </w:rPr>
        <w:t>3.1.</w:t>
      </w:r>
      <w:r>
        <w:rPr>
          <w:rFonts w:hint="eastAsia"/>
          <w:sz w:val="24"/>
          <w:szCs w:val="24"/>
        </w:rPr>
        <w:t>11现有项目验收情况、现存的主要环境问题及“以新带老”措施</w:t>
      </w:r>
      <w:bookmarkEnd w:id="161"/>
      <w:bookmarkEnd w:id="162"/>
      <w:bookmarkEnd w:id="163"/>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1、现有项目环评验收情况</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白山市江源区环境保护局于2012年10月25日对江源县五道羊岔铁矿选矿厂进行验收，验收文号为：江源验发[2012]12号（详见附件）。由于现有选矿厂验收年头已久，企业验收时期并无相关验收意见，因此本次无法对现有项目验收落实情况进行对比。</w:t>
      </w:r>
    </w:p>
    <w:p>
      <w:pPr>
        <w:tabs>
          <w:tab w:val="left" w:pos="337"/>
          <w:tab w:val="left" w:pos="2094"/>
        </w:tabs>
        <w:spacing w:before="157" w:line="360" w:lineRule="auto"/>
        <w:ind w:firstLine="480" w:firstLineChars="200"/>
        <w:jc w:val="left"/>
        <w:outlineLvl w:val="0"/>
        <w:rPr>
          <w:rFonts w:ascii="Times New Roman" w:hAnsi="Times New Roman"/>
          <w:sz w:val="24"/>
          <w:szCs w:val="24"/>
        </w:rPr>
      </w:pPr>
      <w:r>
        <w:rPr>
          <w:rFonts w:hint="eastAsia" w:ascii="Times New Roman" w:hAnsi="Times New Roman"/>
          <w:sz w:val="24"/>
          <w:szCs w:val="24"/>
        </w:rPr>
        <w:t>2、现有项目存在环境问题</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（1）现有尾矿库接近设计库容，排洪沟建设不全面。</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整改措施：本次对尾矿库进行扩建期间建设排洪沟。</w:t>
      </w:r>
    </w:p>
    <w:p>
      <w:pPr>
        <w:numPr>
          <w:ilvl w:val="0"/>
          <w:numId w:val="5"/>
        </w:num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企业选矿区现有1台0.6t/h燃煤锅炉，目前尚无任何环保措施，根据监测可知，烟尘浓度不满足《锅炉大气污染物排放标准》（GB13271-2014）要求。</w:t>
      </w:r>
    </w:p>
    <w:p>
      <w:pPr>
        <w:spacing w:line="360" w:lineRule="auto"/>
        <w:ind w:firstLine="480" w:firstLineChars="200"/>
        <w:jc w:val="left"/>
        <w:rPr>
          <w:sz w:val="24"/>
          <w:szCs w:val="24"/>
        </w:rPr>
      </w:pPr>
      <w:r>
        <w:rPr>
          <w:rFonts w:hint="eastAsia" w:ascii="Times New Roman" w:hAnsi="Times New Roman"/>
          <w:sz w:val="24"/>
          <w:szCs w:val="24"/>
        </w:rPr>
        <w:t>整改措施：本次扩建项目现有锅炉拟拆除，采用电锅炉满足生活供热。</w:t>
      </w:r>
    </w:p>
    <w:p>
      <w:pPr>
        <w:numPr>
          <w:ilvl w:val="0"/>
          <w:numId w:val="5"/>
        </w:num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现有项目危废暂存间无相关危废标识、无围堰且与其他储存物在同一区域内储存，不符合要求。</w:t>
      </w:r>
    </w:p>
    <w:p>
      <w:pPr>
        <w:pStyle w:val="2"/>
        <w:spacing w:line="360" w:lineRule="auto"/>
        <w:ind w:firstLine="480" w:firstLineChars="200"/>
        <w:rPr>
          <w:rFonts w:ascii="Times New Roman" w:hAnsi="Times New Roman"/>
          <w:color w:val="000000"/>
          <w:sz w:val="24"/>
          <w:szCs w:val="24"/>
        </w:rPr>
      </w:pPr>
      <w:r>
        <w:rPr>
          <w:rFonts w:hint="eastAsia"/>
          <w:sz w:val="24"/>
          <w:szCs w:val="24"/>
        </w:rPr>
        <w:t>整改措施：</w:t>
      </w:r>
      <w:r>
        <w:rPr>
          <w:rFonts w:ascii="Times New Roman" w:hAnsi="Times New Roman"/>
          <w:color w:val="000000"/>
          <w:sz w:val="24"/>
          <w:szCs w:val="24"/>
        </w:rPr>
        <w:t>企业应按照GB18597—2001《危险废物贮存污染控制标准》中规定设置专用的危险废弃物贮存设施，产生的危险废弃物企业必须将危险废物装入容器内，盛装危险废弃物的容器上必须粘贴符合标准要求的醒目标签，应当使用符合标准的容器盛装危险废弃物；用以存放装载液体、半固体危险废物容器的地方，必须有耐腐蚀的硬化地面，且表面无裂隙；不相容的危险废物必须分开存放，并设有隔离间隔断；危险废物堆要防风、防雨、防晒；对固体废弃物的贮存设施、设备和场所，企业应加强管理和维护，保证其正常运行和使用。企业必须定期将收集的危险废弃物转运至有处理资质的部门集中统一处理与处置。</w:t>
      </w:r>
    </w:p>
    <w:p>
      <w:pPr>
        <w:pStyle w:val="2"/>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根据《危险废物转移联单管理办法》中规定，危险废物产生单位在转移危险废物前，需按照国家有关规定报批危险废物转移计划；经批准后，产生单位应当向移出地环境保护行政管理部门申请领取联单；企业应当在危险废物转移前三日内报告移出地环境保护行政主管部门，并同时将预期到达时间报告接受地环境保护行政主管部门。</w:t>
      </w:r>
    </w:p>
    <w:p>
      <w:pPr>
        <w:pStyle w:val="2"/>
        <w:spacing w:line="360" w:lineRule="auto"/>
        <w:ind w:firstLine="480" w:firstLineChars="200"/>
        <w:rPr>
          <w:rFonts w:ascii="Times New Roman" w:hAnsi="Times New Roman"/>
          <w:sz w:val="24"/>
          <w:szCs w:val="24"/>
        </w:rPr>
      </w:pPr>
      <w:r>
        <w:rPr>
          <w:rFonts w:ascii="Times New Roman" w:hAnsi="Times New Roman"/>
          <w:color w:val="000000"/>
          <w:sz w:val="24"/>
          <w:szCs w:val="24"/>
        </w:rPr>
        <w:t>按照《危险废物贮存污染控制标准》（GB18597-2001）和危险废物转移联单管理办法，不相容的危险废物必须分开存放，并设有隔离间隔断，储存区地面应做防渗处理；包装好的危废由危险废物处理单位运走处理，不得随意堆存或者倾倒。危险废物暂存在危险品库的单独一角，并作标记，存储区地面采取防渗措施，并设置围堰</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（4）企业尚未按照环评批复要求邀请相关水利部门就排洪等进行论证。</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整改措施：本次扩建期间企业将邀请相关部门就排洪措施等进行论证。</w:t>
      </w:r>
    </w:p>
    <w:p>
      <w:pPr>
        <w:pStyle w:val="2"/>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（5）根据现场调查，企业现有尾矿库尚未做防渗措施。</w:t>
      </w:r>
    </w:p>
    <w:p>
      <w:pPr>
        <w:pStyle w:val="2"/>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整改措施：本次扩建后对现有尾矿库进行防渗措施、</w:t>
      </w:r>
    </w:p>
    <w:p>
      <w:pPr>
        <w:pStyle w:val="2"/>
        <w:numPr>
          <w:ilvl w:val="0"/>
          <w:numId w:val="6"/>
        </w:numPr>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现有选矿区矿石及铁精粉露天堆放，无组织排放，对周围环境影响较大。</w:t>
      </w:r>
    </w:p>
    <w:p>
      <w:pPr>
        <w:pStyle w:val="2"/>
        <w:spacing w:line="360" w:lineRule="auto"/>
        <w:ind w:firstLine="480" w:firstLineChars="200"/>
        <w:rPr>
          <w:rFonts w:ascii="Times New Roman" w:hAnsi="Times New Roman"/>
          <w:sz w:val="24"/>
          <w:szCs w:val="24"/>
          <w:u w:val="single"/>
        </w:rPr>
      </w:pPr>
      <w:r>
        <w:rPr>
          <w:rFonts w:hint="eastAsia" w:ascii="Times New Roman" w:hAnsi="Times New Roman"/>
          <w:sz w:val="24"/>
          <w:szCs w:val="24"/>
          <w:u w:val="single"/>
        </w:rPr>
        <w:t xml:space="preserve">    整改措施：建议企业加盖苫布、定期对现有厂区内各个堆场洒水降尘。</w:t>
      </w:r>
    </w:p>
    <w:p>
      <w:pPr>
        <w:spacing w:line="360" w:lineRule="auto"/>
        <w:ind w:firstLine="480" w:firstLineChars="200"/>
        <w:rPr>
          <w:rFonts w:ascii="Times New Roman" w:hAnsi="Times New Roman"/>
          <w:sz w:val="24"/>
          <w:szCs w:val="24"/>
        </w:rPr>
      </w:pPr>
      <w:r>
        <w:rPr>
          <w:rFonts w:ascii="Times New Roman" w:hAnsi="Times New Roman"/>
          <w:sz w:val="24"/>
          <w:szCs w:val="24"/>
        </w:rPr>
        <w:t>3、本次改扩建项目具体整改内容及“以新带老”措施</w:t>
      </w:r>
    </w:p>
    <w:p>
      <w:pPr>
        <w:spacing w:line="360" w:lineRule="auto"/>
        <w:ind w:firstLine="480" w:firstLineChars="200"/>
        <w:rPr>
          <w:rFonts w:ascii="Times New Roman" w:hAnsi="Times New Roman"/>
          <w:sz w:val="24"/>
          <w:szCs w:val="24"/>
        </w:rPr>
      </w:pPr>
      <w:r>
        <w:rPr>
          <w:rFonts w:ascii="Times New Roman" w:hAnsi="Times New Roman"/>
          <w:sz w:val="24"/>
          <w:szCs w:val="24"/>
        </w:rPr>
        <w:t>（1）由于现有尾矿库排矿渣方式为湿排，且无剩余库容，本次扩建在现有基础上选矿尾矿排出工序增加压滤系统后堆放至尾矿库，排渣方式更改为干排。</w:t>
      </w:r>
    </w:p>
    <w:p>
      <w:pPr>
        <w:pStyle w:val="4"/>
        <w:rPr>
          <w:rFonts w:ascii="Times New Roman" w:hAnsi="Times New Roman" w:eastAsia="宋体"/>
          <w:bCs/>
          <w:szCs w:val="32"/>
        </w:rPr>
      </w:pPr>
      <w:bookmarkStart w:id="164" w:name="_Toc27094"/>
      <w:bookmarkStart w:id="165" w:name="_Toc4710"/>
      <w:bookmarkStart w:id="166" w:name="_Toc18028"/>
      <w:r>
        <w:rPr>
          <w:rFonts w:hint="eastAsia" w:ascii="Times New Roman" w:hAnsi="Times New Roman" w:eastAsia="宋体"/>
          <w:bCs/>
          <w:szCs w:val="32"/>
        </w:rPr>
        <w:t>3.2扩建项目概况</w:t>
      </w:r>
      <w:bookmarkEnd w:id="164"/>
      <w:bookmarkEnd w:id="165"/>
      <w:bookmarkEnd w:id="166"/>
    </w:p>
    <w:p>
      <w:pPr>
        <w:pStyle w:val="5"/>
        <w:rPr>
          <w:sz w:val="24"/>
          <w:szCs w:val="24"/>
        </w:rPr>
      </w:pPr>
      <w:bookmarkStart w:id="167" w:name="_Toc3218"/>
      <w:bookmarkStart w:id="168" w:name="_Toc1030"/>
      <w:bookmarkStart w:id="169" w:name="_Toc4805"/>
      <w:r>
        <w:rPr>
          <w:rFonts w:hint="eastAsia"/>
          <w:sz w:val="24"/>
          <w:szCs w:val="24"/>
        </w:rPr>
        <w:t>3.2.1基本情况</w:t>
      </w:r>
      <w:bookmarkEnd w:id="167"/>
      <w:bookmarkEnd w:id="168"/>
      <w:bookmarkEnd w:id="169"/>
    </w:p>
    <w:p>
      <w:pPr>
        <w:spacing w:line="360" w:lineRule="auto"/>
        <w:ind w:firstLine="480" w:firstLineChars="200"/>
        <w:jc w:val="left"/>
        <w:rPr>
          <w:rFonts w:ascii="Times New Roman" w:hAnsi="Times New Roman"/>
          <w:sz w:val="24"/>
          <w:szCs w:val="24"/>
        </w:rPr>
      </w:pPr>
      <w:r>
        <w:rPr>
          <w:rFonts w:ascii="Times New Roman" w:hAnsi="Times New Roman"/>
          <w:sz w:val="24"/>
          <w:szCs w:val="24"/>
        </w:rPr>
        <w:t>项目名称：</w:t>
      </w:r>
      <w:r>
        <w:rPr>
          <w:rFonts w:hint="eastAsia" w:ascii="Times New Roman" w:hAnsi="Times New Roman"/>
          <w:sz w:val="24"/>
          <w:szCs w:val="24"/>
        </w:rPr>
        <w:t>白山市江源区五道羊岔铁矿有限责任公司五道羊岔铁矿尾矿库扩建项目</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建设性质：</w:t>
      </w:r>
      <w:r>
        <w:rPr>
          <w:rFonts w:hint="eastAsia" w:ascii="Times New Roman" w:hAnsi="Times New Roman"/>
          <w:sz w:val="24"/>
          <w:szCs w:val="24"/>
        </w:rPr>
        <w:t>改扩建</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建设单位：</w:t>
      </w:r>
      <w:r>
        <w:rPr>
          <w:rFonts w:hint="eastAsia" w:ascii="Times New Roman" w:hAnsi="Times New Roman"/>
          <w:sz w:val="24"/>
          <w:szCs w:val="24"/>
        </w:rPr>
        <w:t>白山市江源区五道羊岔铁矿有限责任公司</w:t>
      </w:r>
    </w:p>
    <w:p>
      <w:pPr>
        <w:spacing w:line="360" w:lineRule="auto"/>
        <w:ind w:firstLine="480" w:firstLineChars="200"/>
        <w:jc w:val="left"/>
      </w:pPr>
      <w:r>
        <w:rPr>
          <w:rFonts w:ascii="Times New Roman" w:hAnsi="Times New Roman"/>
          <w:sz w:val="24"/>
          <w:szCs w:val="24"/>
        </w:rPr>
        <w:t>建设地点</w:t>
      </w:r>
      <w:r>
        <w:rPr>
          <w:rFonts w:hint="eastAsia" w:ascii="Times New Roman" w:hAnsi="Times New Roman"/>
          <w:sz w:val="24"/>
          <w:szCs w:val="24"/>
        </w:rPr>
        <w:t>及周围环境状况</w:t>
      </w:r>
      <w:r>
        <w:rPr>
          <w:rFonts w:ascii="Times New Roman" w:hAnsi="Times New Roman"/>
          <w:sz w:val="24"/>
          <w:szCs w:val="24"/>
        </w:rPr>
        <w:t>：</w:t>
      </w:r>
      <w:r>
        <w:rPr>
          <w:rFonts w:hint="eastAsia" w:ascii="Times New Roman" w:hAnsi="Times New Roman"/>
          <w:sz w:val="24"/>
          <w:szCs w:val="24"/>
        </w:rPr>
        <w:t>扩建项目位于白山市江源区七岔村现有厂区内。本项目中心坐标为东经：126°26'21.6"，北纬：42°05'22.6"。本项目厂界东侧为林地；南侧10m为西南岔河自西向东流；西侧140m为林蛙养殖基地；北侧紧邻一条无名林间小路，127m为鹤大高速；西北侧566m隔鹤大高速为九道阳岔养鸡场，本项目2km范围内我居民、学校等敏感点。</w:t>
      </w:r>
    </w:p>
    <w:p>
      <w:pPr>
        <w:pStyle w:val="5"/>
        <w:rPr>
          <w:color w:val="000000"/>
        </w:rPr>
      </w:pPr>
      <w:bookmarkStart w:id="170" w:name="_Toc7940"/>
      <w:bookmarkStart w:id="171" w:name="_Toc1902"/>
      <w:bookmarkStart w:id="172" w:name="_Toc13551"/>
      <w:r>
        <w:rPr>
          <w:color w:val="000000"/>
          <w:sz w:val="24"/>
          <w:szCs w:val="24"/>
        </w:rPr>
        <w:t>3.2.2</w:t>
      </w:r>
      <w:bookmarkEnd w:id="170"/>
      <w:bookmarkEnd w:id="171"/>
      <w:bookmarkEnd w:id="172"/>
      <w:r>
        <w:rPr>
          <w:rFonts w:hint="eastAsia"/>
          <w:sz w:val="24"/>
          <w:szCs w:val="24"/>
        </w:rPr>
        <w:t>扩建项目建设内容</w:t>
      </w:r>
    </w:p>
    <w:p>
      <w:pPr>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一、尾矿库扩建工程</w:t>
      </w:r>
    </w:p>
    <w:p>
      <w:pPr>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1、库容、服务年限</w:t>
      </w:r>
    </w:p>
    <w:p>
      <w:pPr>
        <w:spacing w:line="360" w:lineRule="auto"/>
        <w:ind w:firstLine="480" w:firstLineChars="200"/>
        <w:jc w:val="left"/>
        <w:rPr>
          <w:rFonts w:ascii="Times New Roman" w:hAnsi="Times New Roman"/>
          <w:color w:val="000000"/>
          <w:sz w:val="24"/>
          <w:szCs w:val="24"/>
          <w:u w:val="single"/>
        </w:rPr>
      </w:pPr>
      <w:r>
        <w:rPr>
          <w:rFonts w:hint="eastAsia" w:ascii="Times New Roman" w:hAnsi="Times New Roman"/>
          <w:color w:val="000000"/>
          <w:sz w:val="24"/>
          <w:szCs w:val="24"/>
          <w:u w:val="single"/>
        </w:rPr>
        <w:t>本项目现有尾矿库扩建后总库容为11.40×10</w:t>
      </w:r>
      <w:r>
        <w:rPr>
          <w:rFonts w:hint="eastAsia" w:ascii="Times New Roman" w:hAnsi="Times New Roman"/>
          <w:color w:val="000000"/>
          <w:sz w:val="24"/>
          <w:szCs w:val="24"/>
          <w:u w:val="single"/>
          <w:vertAlign w:val="superscript"/>
        </w:rPr>
        <w:t>4</w:t>
      </w:r>
      <w:r>
        <w:rPr>
          <w:rFonts w:hint="eastAsia" w:ascii="Times New Roman" w:hAnsi="Times New Roman"/>
          <w:color w:val="000000"/>
          <w:sz w:val="24"/>
          <w:szCs w:val="24"/>
          <w:u w:val="single"/>
        </w:rPr>
        <w:t>m</w:t>
      </w:r>
      <w:r>
        <w:rPr>
          <w:rFonts w:hint="eastAsia" w:ascii="Times New Roman" w:hAnsi="Times New Roman"/>
          <w:color w:val="000000"/>
          <w:sz w:val="24"/>
          <w:szCs w:val="24"/>
          <w:u w:val="single"/>
          <w:vertAlign w:val="superscript"/>
        </w:rPr>
        <w:t>3</w:t>
      </w:r>
      <w:r>
        <w:rPr>
          <w:rFonts w:hint="eastAsia" w:ascii="Times New Roman" w:hAnsi="Times New Roman"/>
          <w:color w:val="000000"/>
          <w:sz w:val="24"/>
          <w:szCs w:val="24"/>
          <w:u w:val="single"/>
        </w:rPr>
        <w:t>，（新增库容3.4万m</w:t>
      </w:r>
      <w:r>
        <w:rPr>
          <w:rFonts w:hint="eastAsia" w:ascii="Times New Roman" w:hAnsi="Times New Roman"/>
          <w:color w:val="000000"/>
          <w:sz w:val="24"/>
          <w:szCs w:val="24"/>
          <w:u w:val="single"/>
          <w:vertAlign w:val="superscript"/>
        </w:rPr>
        <w:t>3</w:t>
      </w:r>
      <w:r>
        <w:rPr>
          <w:rFonts w:hint="eastAsia" w:ascii="Times New Roman" w:hAnsi="Times New Roman"/>
          <w:color w:val="000000"/>
          <w:sz w:val="24"/>
          <w:szCs w:val="24"/>
          <w:u w:val="single"/>
        </w:rPr>
        <w:t>），尾矿坝总坝高10m。服务年限为5.525年。</w:t>
      </w:r>
    </w:p>
    <w:p>
      <w:pPr>
        <w:pStyle w:val="2"/>
        <w:spacing w:line="360" w:lineRule="auto"/>
        <w:ind w:firstLine="480" w:firstLineChars="200"/>
        <w:outlineLvl w:val="0"/>
      </w:pPr>
      <w:r>
        <w:rPr>
          <w:rFonts w:hint="eastAsia" w:ascii="Times New Roman" w:hAnsi="Times New Roman"/>
          <w:color w:val="000000"/>
          <w:sz w:val="24"/>
          <w:szCs w:val="24"/>
        </w:rPr>
        <w:t xml:space="preserve"> 2、尾矿库等别</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（1）尾矿库等级确定</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 xml:space="preserve">按照《尾矿设施设计规范》（GB50863-2013）的规定，“尾矿库的设计等别应根据尾矿库的最终全库容及最终坝高按表4.2.1确定。尾矿库各使用期的设计等别应根据该期的全库容和坝高按表4.2.1确定。当按尾矿库的全库容和坝高分别确定尾矿库等别的等差为一等时，应以高者为准；当等差大于一等时，应按高者降一等确定。除一等库外，尾矿库失事将使下游重要城镇、工矿企业、铁路干线或高速公路等遭受严重灾害者，其设计等别可提高一等。” </w:t>
      </w:r>
    </w:p>
    <w:p>
      <w:pPr>
        <w:jc w:val="center"/>
        <w:rPr>
          <w:rFonts w:ascii="Times New Roman" w:hAnsi="Times New Roman"/>
          <w:b/>
          <w:sz w:val="24"/>
          <w:szCs w:val="24"/>
        </w:rPr>
      </w:pPr>
      <w:r>
        <w:rPr>
          <w:rFonts w:ascii="Times New Roman" w:hAnsi="Times New Roman"/>
          <w:b/>
          <w:sz w:val="24"/>
          <w:szCs w:val="24"/>
        </w:rPr>
        <w:t>表3-1</w:t>
      </w:r>
      <w:r>
        <w:rPr>
          <w:rFonts w:hint="eastAsia" w:ascii="Times New Roman" w:hAnsi="Times New Roman"/>
          <w:b/>
          <w:sz w:val="24"/>
          <w:szCs w:val="24"/>
        </w:rPr>
        <w:t>1</w:t>
      </w:r>
      <w:r>
        <w:rPr>
          <w:rFonts w:ascii="Times New Roman" w:hAnsi="Times New Roman"/>
          <w:b/>
          <w:sz w:val="24"/>
          <w:szCs w:val="24"/>
        </w:rPr>
        <w:t xml:space="preserve">   尾矿库等级表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2841"/>
        <w:gridCol w:w="28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41" w:type="dxa"/>
            <w:vAlign w:val="center"/>
          </w:tcPr>
          <w:p>
            <w:pPr>
              <w:jc w:val="center"/>
              <w:rPr>
                <w:rFonts w:ascii="Times New Roman" w:hAnsi="Times New Roman"/>
                <w:szCs w:val="21"/>
              </w:rPr>
            </w:pPr>
            <w:r>
              <w:rPr>
                <w:rFonts w:ascii="Times New Roman" w:hAnsi="Times New Roman"/>
                <w:szCs w:val="21"/>
              </w:rPr>
              <w:t>等    别</w:t>
            </w:r>
          </w:p>
        </w:tc>
        <w:tc>
          <w:tcPr>
            <w:tcW w:w="2841" w:type="dxa"/>
            <w:vAlign w:val="center"/>
          </w:tcPr>
          <w:p>
            <w:pPr>
              <w:jc w:val="center"/>
              <w:rPr>
                <w:rFonts w:ascii="Times New Roman" w:hAnsi="Times New Roman"/>
                <w:szCs w:val="21"/>
              </w:rPr>
            </w:pPr>
            <w:r>
              <w:rPr>
                <w:rFonts w:ascii="Times New Roman" w:hAnsi="Times New Roman"/>
                <w:szCs w:val="21"/>
              </w:rPr>
              <w:t>全库容  V（10000m</w:t>
            </w:r>
            <w:r>
              <w:rPr>
                <w:rFonts w:ascii="Times New Roman" w:hAnsi="Times New Roman"/>
                <w:szCs w:val="21"/>
                <w:vertAlign w:val="superscript"/>
              </w:rPr>
              <w:t>3</w:t>
            </w:r>
            <w:r>
              <w:rPr>
                <w:rFonts w:ascii="Times New Roman" w:hAnsi="Times New Roman"/>
                <w:szCs w:val="21"/>
              </w:rPr>
              <w:t>）</w:t>
            </w:r>
          </w:p>
        </w:tc>
        <w:tc>
          <w:tcPr>
            <w:tcW w:w="2840" w:type="dxa"/>
            <w:vAlign w:val="center"/>
          </w:tcPr>
          <w:p>
            <w:pPr>
              <w:jc w:val="center"/>
              <w:rPr>
                <w:rFonts w:ascii="Times New Roman" w:hAnsi="Times New Roman"/>
                <w:szCs w:val="21"/>
              </w:rPr>
            </w:pPr>
            <w:r>
              <w:rPr>
                <w:rFonts w:ascii="Times New Roman" w:hAnsi="Times New Roman"/>
                <w:szCs w:val="21"/>
              </w:rPr>
              <w:t>坝高  H （m）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41" w:type="dxa"/>
            <w:vAlign w:val="center"/>
          </w:tcPr>
          <w:p>
            <w:pPr>
              <w:jc w:val="center"/>
              <w:rPr>
                <w:rFonts w:ascii="Times New Roman" w:hAnsi="Times New Roman"/>
                <w:szCs w:val="21"/>
              </w:rPr>
            </w:pPr>
            <w:r>
              <w:rPr>
                <w:rFonts w:ascii="Times New Roman" w:hAnsi="Times New Roman"/>
                <w:szCs w:val="21"/>
              </w:rPr>
              <w:t>一</w:t>
            </w:r>
          </w:p>
        </w:tc>
        <w:tc>
          <w:tcPr>
            <w:tcW w:w="2841" w:type="dxa"/>
            <w:vAlign w:val="center"/>
          </w:tcPr>
          <w:p>
            <w:pPr>
              <w:jc w:val="center"/>
              <w:rPr>
                <w:rFonts w:ascii="Times New Roman" w:hAnsi="Times New Roman"/>
                <w:szCs w:val="21"/>
              </w:rPr>
            </w:pPr>
            <w:r>
              <w:rPr>
                <w:rFonts w:ascii="Times New Roman" w:hAnsi="Times New Roman"/>
                <w:szCs w:val="21"/>
              </w:rPr>
              <w:t>V≥50000</w:t>
            </w:r>
          </w:p>
        </w:tc>
        <w:tc>
          <w:tcPr>
            <w:tcW w:w="2840" w:type="dxa"/>
            <w:vAlign w:val="center"/>
          </w:tcPr>
          <w:p>
            <w:pPr>
              <w:jc w:val="center"/>
              <w:rPr>
                <w:rFonts w:ascii="Times New Roman" w:hAnsi="Times New Roman"/>
                <w:szCs w:val="21"/>
              </w:rPr>
            </w:pPr>
            <w:r>
              <w:rPr>
                <w:rFonts w:ascii="Times New Roman" w:hAnsi="Times New Roman"/>
                <w:szCs w:val="21"/>
              </w:rPr>
              <w:t>H≥200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41" w:type="dxa"/>
            <w:vAlign w:val="center"/>
          </w:tcPr>
          <w:p>
            <w:pPr>
              <w:jc w:val="center"/>
              <w:rPr>
                <w:rFonts w:ascii="Times New Roman" w:hAnsi="Times New Roman"/>
                <w:szCs w:val="21"/>
              </w:rPr>
            </w:pPr>
            <w:r>
              <w:rPr>
                <w:rFonts w:ascii="Times New Roman" w:hAnsi="Times New Roman"/>
                <w:szCs w:val="21"/>
              </w:rPr>
              <w:t>二</w:t>
            </w:r>
          </w:p>
        </w:tc>
        <w:tc>
          <w:tcPr>
            <w:tcW w:w="2841" w:type="dxa"/>
            <w:vAlign w:val="center"/>
          </w:tcPr>
          <w:p>
            <w:pPr>
              <w:jc w:val="center"/>
              <w:rPr>
                <w:rFonts w:ascii="Times New Roman" w:hAnsi="Times New Roman"/>
                <w:szCs w:val="21"/>
              </w:rPr>
            </w:pPr>
            <w:r>
              <w:rPr>
                <w:rFonts w:ascii="Times New Roman" w:hAnsi="Times New Roman"/>
                <w:szCs w:val="21"/>
              </w:rPr>
              <w:t>10000≤V＜50000</w:t>
            </w:r>
          </w:p>
        </w:tc>
        <w:tc>
          <w:tcPr>
            <w:tcW w:w="2840" w:type="dxa"/>
            <w:vAlign w:val="center"/>
          </w:tcPr>
          <w:p>
            <w:pPr>
              <w:jc w:val="center"/>
              <w:rPr>
                <w:rFonts w:ascii="Times New Roman" w:hAnsi="Times New Roman"/>
                <w:szCs w:val="21"/>
              </w:rPr>
            </w:pPr>
            <w:r>
              <w:rPr>
                <w:rFonts w:ascii="Times New Roman" w:hAnsi="Times New Roman"/>
                <w:szCs w:val="21"/>
              </w:rPr>
              <w:t>100≤H＜200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41" w:type="dxa"/>
            <w:vAlign w:val="center"/>
          </w:tcPr>
          <w:p>
            <w:pPr>
              <w:jc w:val="center"/>
              <w:rPr>
                <w:rFonts w:ascii="Times New Roman" w:hAnsi="Times New Roman"/>
                <w:szCs w:val="21"/>
              </w:rPr>
            </w:pPr>
            <w:r>
              <w:rPr>
                <w:rFonts w:ascii="Times New Roman" w:hAnsi="Times New Roman"/>
                <w:szCs w:val="21"/>
              </w:rPr>
              <w:t>三</w:t>
            </w:r>
          </w:p>
        </w:tc>
        <w:tc>
          <w:tcPr>
            <w:tcW w:w="2841" w:type="dxa"/>
            <w:vAlign w:val="center"/>
          </w:tcPr>
          <w:p>
            <w:pPr>
              <w:jc w:val="center"/>
              <w:rPr>
                <w:rFonts w:ascii="Times New Roman" w:hAnsi="Times New Roman"/>
                <w:szCs w:val="21"/>
              </w:rPr>
            </w:pPr>
            <w:r>
              <w:rPr>
                <w:rFonts w:ascii="Times New Roman" w:hAnsi="Times New Roman"/>
                <w:szCs w:val="21"/>
              </w:rPr>
              <w:t>1000≤V＜10000</w:t>
            </w:r>
          </w:p>
        </w:tc>
        <w:tc>
          <w:tcPr>
            <w:tcW w:w="2840" w:type="dxa"/>
            <w:vAlign w:val="center"/>
          </w:tcPr>
          <w:p>
            <w:pPr>
              <w:jc w:val="center"/>
              <w:rPr>
                <w:rFonts w:ascii="Times New Roman" w:hAnsi="Times New Roman"/>
                <w:szCs w:val="21"/>
              </w:rPr>
            </w:pPr>
            <w:r>
              <w:rPr>
                <w:rFonts w:ascii="Times New Roman" w:hAnsi="Times New Roman"/>
                <w:szCs w:val="21"/>
              </w:rPr>
              <w:t>60≤H＜100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41" w:type="dxa"/>
            <w:vAlign w:val="center"/>
          </w:tcPr>
          <w:p>
            <w:pPr>
              <w:jc w:val="center"/>
              <w:rPr>
                <w:rFonts w:ascii="Times New Roman" w:hAnsi="Times New Roman"/>
                <w:szCs w:val="21"/>
              </w:rPr>
            </w:pPr>
            <w:r>
              <w:rPr>
                <w:rFonts w:ascii="Times New Roman" w:hAnsi="Times New Roman"/>
                <w:szCs w:val="21"/>
              </w:rPr>
              <w:t>四</w:t>
            </w:r>
          </w:p>
        </w:tc>
        <w:tc>
          <w:tcPr>
            <w:tcW w:w="2841" w:type="dxa"/>
            <w:vAlign w:val="center"/>
          </w:tcPr>
          <w:p>
            <w:pPr>
              <w:jc w:val="center"/>
              <w:rPr>
                <w:rFonts w:ascii="Times New Roman" w:hAnsi="Times New Roman"/>
                <w:szCs w:val="21"/>
              </w:rPr>
            </w:pPr>
            <w:r>
              <w:rPr>
                <w:rFonts w:ascii="Times New Roman" w:hAnsi="Times New Roman"/>
                <w:szCs w:val="21"/>
              </w:rPr>
              <w:t>100≤V＜1000</w:t>
            </w:r>
          </w:p>
        </w:tc>
        <w:tc>
          <w:tcPr>
            <w:tcW w:w="2840" w:type="dxa"/>
            <w:vAlign w:val="center"/>
          </w:tcPr>
          <w:p>
            <w:pPr>
              <w:jc w:val="center"/>
              <w:rPr>
                <w:rFonts w:ascii="Times New Roman" w:hAnsi="Times New Roman"/>
                <w:szCs w:val="21"/>
              </w:rPr>
            </w:pPr>
            <w:r>
              <w:rPr>
                <w:rFonts w:ascii="Times New Roman" w:hAnsi="Times New Roman"/>
                <w:szCs w:val="21"/>
              </w:rPr>
              <w:t>30≤H＜60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841" w:type="dxa"/>
            <w:vAlign w:val="center"/>
          </w:tcPr>
          <w:p>
            <w:pPr>
              <w:jc w:val="center"/>
              <w:rPr>
                <w:rFonts w:ascii="Times New Roman" w:hAnsi="Times New Roman"/>
                <w:szCs w:val="21"/>
              </w:rPr>
            </w:pPr>
            <w:r>
              <w:rPr>
                <w:rFonts w:ascii="Times New Roman" w:hAnsi="Times New Roman"/>
                <w:szCs w:val="21"/>
              </w:rPr>
              <w:t>五</w:t>
            </w:r>
          </w:p>
        </w:tc>
        <w:tc>
          <w:tcPr>
            <w:tcW w:w="2841" w:type="dxa"/>
            <w:vAlign w:val="center"/>
          </w:tcPr>
          <w:p>
            <w:pPr>
              <w:jc w:val="center"/>
              <w:rPr>
                <w:rFonts w:ascii="Times New Roman" w:hAnsi="Times New Roman"/>
                <w:szCs w:val="21"/>
              </w:rPr>
            </w:pPr>
            <w:r>
              <w:rPr>
                <w:rFonts w:ascii="Times New Roman" w:hAnsi="Times New Roman"/>
                <w:szCs w:val="21"/>
              </w:rPr>
              <w:t>V＜100</w:t>
            </w:r>
          </w:p>
        </w:tc>
        <w:tc>
          <w:tcPr>
            <w:tcW w:w="2840" w:type="dxa"/>
            <w:vAlign w:val="center"/>
          </w:tcPr>
          <w:p>
            <w:pPr>
              <w:jc w:val="center"/>
              <w:rPr>
                <w:rFonts w:ascii="Times New Roman" w:hAnsi="Times New Roman"/>
                <w:szCs w:val="21"/>
              </w:rPr>
            </w:pPr>
            <w:r>
              <w:rPr>
                <w:rFonts w:ascii="Times New Roman" w:hAnsi="Times New Roman"/>
                <w:szCs w:val="21"/>
              </w:rPr>
              <w:t>H＜30</w:t>
            </w:r>
          </w:p>
        </w:tc>
      </w:tr>
    </w:tbl>
    <w:p>
      <w:pPr>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本次扩建项目总库容为11.40×10</w:t>
      </w:r>
      <w:r>
        <w:rPr>
          <w:rFonts w:hint="eastAsia" w:ascii="Times New Roman" w:hAnsi="Times New Roman"/>
          <w:color w:val="000000"/>
          <w:sz w:val="24"/>
          <w:szCs w:val="24"/>
          <w:vertAlign w:val="superscript"/>
        </w:rPr>
        <w:t>4</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，尾矿坝总坝高10m。因此本次扩建后尾矿库等级依旧为五等尾矿库。</w:t>
      </w:r>
    </w:p>
    <w:p>
      <w:pPr>
        <w:spacing w:line="360" w:lineRule="auto"/>
        <w:ind w:left="420" w:leftChars="200"/>
        <w:jc w:val="left"/>
        <w:outlineLvl w:val="0"/>
        <w:rPr>
          <w:rFonts w:ascii="Times New Roman" w:hAnsi="Times New Roman"/>
          <w:color w:val="000000"/>
          <w:sz w:val="24"/>
          <w:szCs w:val="24"/>
        </w:rPr>
      </w:pPr>
      <w:r>
        <w:rPr>
          <w:rFonts w:hint="eastAsia" w:ascii="Times New Roman" w:hAnsi="Times New Roman"/>
          <w:color w:val="000000"/>
          <w:sz w:val="24"/>
          <w:szCs w:val="24"/>
        </w:rPr>
        <w:t>（2）尾矿库建筑物级别的确定</w:t>
      </w:r>
    </w:p>
    <w:p>
      <w:pPr>
        <w:jc w:val="center"/>
        <w:rPr>
          <w:rFonts w:ascii="Times New Roman" w:hAnsi="Times New Roman"/>
          <w:b/>
          <w:sz w:val="24"/>
          <w:szCs w:val="24"/>
        </w:rPr>
      </w:pPr>
      <w:r>
        <w:rPr>
          <w:rFonts w:ascii="Times New Roman" w:hAnsi="Times New Roman"/>
          <w:b/>
          <w:sz w:val="24"/>
          <w:szCs w:val="24"/>
        </w:rPr>
        <w:t>表3-1</w:t>
      </w:r>
      <w:r>
        <w:rPr>
          <w:rFonts w:hint="eastAsia" w:ascii="Times New Roman" w:hAnsi="Times New Roman"/>
          <w:b/>
          <w:sz w:val="24"/>
          <w:szCs w:val="24"/>
        </w:rPr>
        <w:t>2</w:t>
      </w:r>
      <w:r>
        <w:rPr>
          <w:rFonts w:ascii="Times New Roman" w:hAnsi="Times New Roman"/>
          <w:b/>
          <w:sz w:val="24"/>
          <w:szCs w:val="24"/>
        </w:rPr>
        <w:t xml:space="preserve">    尾矿库构筑物的级别</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5"/>
        <w:gridCol w:w="2153"/>
        <w:gridCol w:w="2153"/>
        <w:gridCol w:w="21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065" w:type="dxa"/>
            <w:vMerge w:val="restart"/>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尾矿库等别</w:t>
            </w:r>
          </w:p>
        </w:tc>
        <w:tc>
          <w:tcPr>
            <w:tcW w:w="6457" w:type="dxa"/>
            <w:gridSpan w:val="3"/>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构筑物级别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065" w:type="dxa"/>
            <w:vMerge w:val="continue"/>
            <w:vAlign w:val="center"/>
          </w:tcPr>
          <w:p>
            <w:pPr>
              <w:widowControl/>
              <w:jc w:val="center"/>
              <w:rPr>
                <w:rFonts w:ascii="Times New Roman" w:hAnsi="Times New Roman"/>
                <w:color w:val="000000"/>
                <w:kern w:val="0"/>
                <w:szCs w:val="21"/>
              </w:rPr>
            </w:pPr>
          </w:p>
        </w:tc>
        <w:tc>
          <w:tcPr>
            <w:tcW w:w="2153" w:type="dxa"/>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主要构筑物</w:t>
            </w:r>
          </w:p>
        </w:tc>
        <w:tc>
          <w:tcPr>
            <w:tcW w:w="2153" w:type="dxa"/>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次要构筑物</w:t>
            </w:r>
          </w:p>
        </w:tc>
        <w:tc>
          <w:tcPr>
            <w:tcW w:w="2151" w:type="dxa"/>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临时构筑物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065" w:type="dxa"/>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一</w:t>
            </w:r>
          </w:p>
          <w:p>
            <w:pPr>
              <w:widowControl/>
              <w:jc w:val="center"/>
              <w:rPr>
                <w:rFonts w:ascii="Times New Roman" w:hAnsi="Times New Roman"/>
                <w:color w:val="000000"/>
                <w:kern w:val="0"/>
                <w:szCs w:val="21"/>
              </w:rPr>
            </w:pPr>
            <w:r>
              <w:rPr>
                <w:rFonts w:ascii="Times New Roman" w:hAnsi="Times New Roman"/>
                <w:color w:val="000000"/>
                <w:kern w:val="0"/>
                <w:szCs w:val="21"/>
              </w:rPr>
              <w:t>二</w:t>
            </w:r>
          </w:p>
          <w:p>
            <w:pPr>
              <w:widowControl/>
              <w:jc w:val="center"/>
              <w:rPr>
                <w:rFonts w:ascii="Times New Roman" w:hAnsi="Times New Roman"/>
                <w:color w:val="000000"/>
                <w:kern w:val="0"/>
                <w:szCs w:val="21"/>
              </w:rPr>
            </w:pPr>
            <w:r>
              <w:rPr>
                <w:rFonts w:ascii="Times New Roman" w:hAnsi="Times New Roman"/>
                <w:color w:val="000000"/>
                <w:kern w:val="0"/>
                <w:szCs w:val="21"/>
              </w:rPr>
              <w:t>三</w:t>
            </w:r>
          </w:p>
          <w:p>
            <w:pPr>
              <w:widowControl/>
              <w:jc w:val="center"/>
              <w:rPr>
                <w:rFonts w:ascii="Times New Roman" w:hAnsi="Times New Roman"/>
                <w:color w:val="000000"/>
                <w:kern w:val="0"/>
                <w:szCs w:val="21"/>
              </w:rPr>
            </w:pPr>
            <w:r>
              <w:rPr>
                <w:rFonts w:ascii="Times New Roman" w:hAnsi="Times New Roman"/>
                <w:color w:val="000000"/>
                <w:kern w:val="0"/>
                <w:szCs w:val="21"/>
              </w:rPr>
              <w:t>四</w:t>
            </w:r>
          </w:p>
          <w:p>
            <w:pPr>
              <w:jc w:val="center"/>
              <w:rPr>
                <w:rFonts w:ascii="Times New Roman" w:hAnsi="Times New Roman"/>
                <w:color w:val="000000"/>
                <w:kern w:val="0"/>
                <w:szCs w:val="21"/>
              </w:rPr>
            </w:pPr>
            <w:r>
              <w:rPr>
                <w:rFonts w:ascii="Times New Roman" w:hAnsi="Times New Roman"/>
                <w:color w:val="000000"/>
                <w:kern w:val="0"/>
                <w:szCs w:val="21"/>
              </w:rPr>
              <w:t>五</w:t>
            </w:r>
          </w:p>
        </w:tc>
        <w:tc>
          <w:tcPr>
            <w:tcW w:w="2153" w:type="dxa"/>
            <w:vAlign w:val="center"/>
          </w:tcPr>
          <w:p>
            <w:pPr>
              <w:jc w:val="center"/>
              <w:rPr>
                <w:rFonts w:ascii="Times New Roman" w:hAnsi="Times New Roman"/>
                <w:szCs w:val="21"/>
              </w:rPr>
            </w:pPr>
            <w:r>
              <w:rPr>
                <w:rFonts w:ascii="Times New Roman" w:hAnsi="Times New Roman"/>
                <w:szCs w:val="21"/>
              </w:rPr>
              <w:t>1</w:t>
            </w:r>
          </w:p>
          <w:p>
            <w:pPr>
              <w:jc w:val="center"/>
              <w:rPr>
                <w:rFonts w:ascii="Times New Roman" w:hAnsi="Times New Roman"/>
                <w:szCs w:val="21"/>
              </w:rPr>
            </w:pPr>
            <w:r>
              <w:rPr>
                <w:rFonts w:ascii="Times New Roman" w:hAnsi="Times New Roman"/>
                <w:szCs w:val="21"/>
              </w:rPr>
              <w:t>2</w:t>
            </w:r>
          </w:p>
          <w:p>
            <w:pPr>
              <w:jc w:val="center"/>
              <w:rPr>
                <w:rFonts w:ascii="Times New Roman" w:hAnsi="Times New Roman"/>
                <w:szCs w:val="21"/>
              </w:rPr>
            </w:pPr>
            <w:r>
              <w:rPr>
                <w:rFonts w:ascii="Times New Roman" w:hAnsi="Times New Roman"/>
                <w:szCs w:val="21"/>
              </w:rPr>
              <w:t>3</w:t>
            </w:r>
          </w:p>
          <w:p>
            <w:pPr>
              <w:jc w:val="center"/>
              <w:rPr>
                <w:rFonts w:ascii="Times New Roman" w:hAnsi="Times New Roman"/>
                <w:szCs w:val="21"/>
              </w:rPr>
            </w:pPr>
            <w:r>
              <w:rPr>
                <w:rFonts w:ascii="Times New Roman" w:hAnsi="Times New Roman"/>
                <w:szCs w:val="21"/>
              </w:rPr>
              <w:t>4</w:t>
            </w:r>
          </w:p>
          <w:p>
            <w:pPr>
              <w:jc w:val="center"/>
              <w:rPr>
                <w:rFonts w:ascii="Times New Roman" w:hAnsi="Times New Roman"/>
                <w:szCs w:val="21"/>
              </w:rPr>
            </w:pPr>
            <w:r>
              <w:rPr>
                <w:rFonts w:ascii="Times New Roman" w:hAnsi="Times New Roman"/>
                <w:szCs w:val="21"/>
              </w:rPr>
              <w:t>5</w:t>
            </w:r>
          </w:p>
        </w:tc>
        <w:tc>
          <w:tcPr>
            <w:tcW w:w="2153" w:type="dxa"/>
            <w:vAlign w:val="center"/>
          </w:tcPr>
          <w:p>
            <w:pPr>
              <w:jc w:val="center"/>
              <w:rPr>
                <w:rFonts w:ascii="Times New Roman" w:hAnsi="Times New Roman"/>
                <w:szCs w:val="21"/>
              </w:rPr>
            </w:pPr>
            <w:r>
              <w:rPr>
                <w:rFonts w:ascii="Times New Roman" w:hAnsi="Times New Roman"/>
                <w:szCs w:val="21"/>
              </w:rPr>
              <w:t>3</w:t>
            </w:r>
          </w:p>
          <w:p>
            <w:pPr>
              <w:jc w:val="center"/>
              <w:rPr>
                <w:rFonts w:ascii="Times New Roman" w:hAnsi="Times New Roman"/>
                <w:szCs w:val="21"/>
              </w:rPr>
            </w:pPr>
            <w:r>
              <w:rPr>
                <w:rFonts w:ascii="Times New Roman" w:hAnsi="Times New Roman"/>
                <w:szCs w:val="21"/>
              </w:rPr>
              <w:t>3</w:t>
            </w:r>
          </w:p>
          <w:p>
            <w:pPr>
              <w:jc w:val="center"/>
              <w:rPr>
                <w:rFonts w:ascii="Times New Roman" w:hAnsi="Times New Roman"/>
                <w:szCs w:val="21"/>
              </w:rPr>
            </w:pPr>
            <w:r>
              <w:rPr>
                <w:rFonts w:ascii="Times New Roman" w:hAnsi="Times New Roman"/>
                <w:szCs w:val="21"/>
              </w:rPr>
              <w:t>5</w:t>
            </w:r>
          </w:p>
          <w:p>
            <w:pPr>
              <w:jc w:val="center"/>
              <w:rPr>
                <w:rFonts w:ascii="Times New Roman" w:hAnsi="Times New Roman"/>
                <w:szCs w:val="21"/>
              </w:rPr>
            </w:pPr>
            <w:r>
              <w:rPr>
                <w:rFonts w:ascii="Times New Roman" w:hAnsi="Times New Roman"/>
                <w:szCs w:val="21"/>
              </w:rPr>
              <w:t>5</w:t>
            </w:r>
          </w:p>
          <w:p>
            <w:pPr>
              <w:jc w:val="center"/>
              <w:rPr>
                <w:rFonts w:ascii="Times New Roman" w:hAnsi="Times New Roman"/>
                <w:szCs w:val="21"/>
              </w:rPr>
            </w:pPr>
            <w:r>
              <w:rPr>
                <w:rFonts w:ascii="Times New Roman" w:hAnsi="Times New Roman"/>
                <w:szCs w:val="21"/>
              </w:rPr>
              <w:t>5</w:t>
            </w:r>
          </w:p>
        </w:tc>
        <w:tc>
          <w:tcPr>
            <w:tcW w:w="2151" w:type="dxa"/>
            <w:vAlign w:val="center"/>
          </w:tcPr>
          <w:p>
            <w:pPr>
              <w:jc w:val="center"/>
              <w:rPr>
                <w:rFonts w:ascii="Times New Roman" w:hAnsi="Times New Roman"/>
                <w:szCs w:val="21"/>
              </w:rPr>
            </w:pPr>
            <w:r>
              <w:rPr>
                <w:rFonts w:ascii="Times New Roman" w:hAnsi="Times New Roman"/>
                <w:szCs w:val="21"/>
              </w:rPr>
              <w:t>4</w:t>
            </w:r>
          </w:p>
          <w:p>
            <w:pPr>
              <w:jc w:val="center"/>
              <w:rPr>
                <w:rFonts w:ascii="Times New Roman" w:hAnsi="Times New Roman"/>
                <w:szCs w:val="21"/>
              </w:rPr>
            </w:pPr>
            <w:r>
              <w:rPr>
                <w:rFonts w:ascii="Times New Roman" w:hAnsi="Times New Roman"/>
                <w:szCs w:val="21"/>
              </w:rPr>
              <w:t>4</w:t>
            </w:r>
          </w:p>
          <w:p>
            <w:pPr>
              <w:jc w:val="center"/>
              <w:rPr>
                <w:rFonts w:ascii="Times New Roman" w:hAnsi="Times New Roman"/>
                <w:szCs w:val="21"/>
              </w:rPr>
            </w:pPr>
            <w:r>
              <w:rPr>
                <w:rFonts w:ascii="Times New Roman" w:hAnsi="Times New Roman"/>
                <w:szCs w:val="21"/>
              </w:rPr>
              <w:t>5</w:t>
            </w:r>
          </w:p>
          <w:p>
            <w:pPr>
              <w:jc w:val="center"/>
              <w:rPr>
                <w:rFonts w:ascii="Times New Roman" w:hAnsi="Times New Roman"/>
                <w:szCs w:val="21"/>
              </w:rPr>
            </w:pPr>
            <w:r>
              <w:rPr>
                <w:rFonts w:ascii="Times New Roman" w:hAnsi="Times New Roman"/>
                <w:szCs w:val="21"/>
              </w:rPr>
              <w:t>5</w:t>
            </w:r>
          </w:p>
          <w:p>
            <w:pPr>
              <w:jc w:val="center"/>
              <w:rPr>
                <w:rFonts w:ascii="Times New Roman" w:hAnsi="Times New Roman"/>
                <w:szCs w:val="21"/>
              </w:rPr>
            </w:pPr>
            <w:r>
              <w:rPr>
                <w:rFonts w:ascii="Times New Roman" w:hAnsi="Times New Roman"/>
                <w:szCs w:val="21"/>
              </w:rPr>
              <w:t>5</w:t>
            </w:r>
          </w:p>
        </w:tc>
      </w:tr>
    </w:tbl>
    <w:p>
      <w:pPr>
        <w:rPr>
          <w:rFonts w:ascii="Times New Roman" w:hAnsi="Times New Roman"/>
          <w:color w:val="000000"/>
          <w:kern w:val="0"/>
          <w:sz w:val="18"/>
          <w:szCs w:val="18"/>
        </w:rPr>
      </w:pPr>
      <w:r>
        <w:rPr>
          <w:rFonts w:ascii="Times New Roman" w:hAnsi="Times New Roman"/>
          <w:color w:val="000000"/>
          <w:kern w:val="0"/>
          <w:sz w:val="18"/>
          <w:szCs w:val="18"/>
        </w:rPr>
        <w:t>注：1  主要构筑物系指尾矿坝、排水构筑物等失事后将造成下游灾害的构筑物；</w:t>
      </w:r>
    </w:p>
    <w:p>
      <w:pPr>
        <w:ind w:firstLine="360" w:firstLineChars="200"/>
        <w:rPr>
          <w:rFonts w:ascii="Times New Roman" w:hAnsi="Times New Roman"/>
          <w:color w:val="000000"/>
          <w:kern w:val="0"/>
          <w:sz w:val="18"/>
          <w:szCs w:val="18"/>
        </w:rPr>
      </w:pPr>
      <w:r>
        <w:rPr>
          <w:rFonts w:ascii="Times New Roman" w:hAnsi="Times New Roman"/>
          <w:color w:val="000000"/>
          <w:kern w:val="0"/>
          <w:sz w:val="18"/>
          <w:szCs w:val="18"/>
        </w:rPr>
        <w:t>2  次要构筑物系指除了尾矿坝、排水构筑物外的永久构筑物；</w:t>
      </w:r>
    </w:p>
    <w:p>
      <w:pPr>
        <w:ind w:firstLine="360" w:firstLineChars="200"/>
        <w:rPr>
          <w:rFonts w:ascii="Times New Roman" w:hAnsi="Times New Roman"/>
        </w:rPr>
      </w:pPr>
      <w:r>
        <w:rPr>
          <w:rFonts w:ascii="Times New Roman" w:hAnsi="Times New Roman"/>
          <w:color w:val="000000"/>
          <w:kern w:val="0"/>
          <w:sz w:val="18"/>
          <w:szCs w:val="18"/>
        </w:rPr>
        <w:t>3  临时构筑物系指施工临时使用的构筑物。</w:t>
      </w:r>
    </w:p>
    <w:p>
      <w:pPr>
        <w:pStyle w:val="2"/>
        <w:ind w:firstLine="480" w:firstLineChars="200"/>
        <w:rPr>
          <w:rFonts w:ascii="Times New Roman" w:hAnsi="Times New Roman"/>
          <w:sz w:val="24"/>
          <w:szCs w:val="24"/>
        </w:rPr>
      </w:pPr>
    </w:p>
    <w:p>
      <w:pPr>
        <w:pStyle w:val="2"/>
        <w:spacing w:line="360" w:lineRule="auto"/>
        <w:ind w:firstLine="480" w:firstLineChars="200"/>
        <w:rPr>
          <w:rFonts w:ascii="Times New Roman" w:hAnsi="Times New Roman"/>
          <w:sz w:val="24"/>
          <w:szCs w:val="24"/>
        </w:rPr>
      </w:pPr>
      <w:r>
        <w:rPr>
          <w:rFonts w:ascii="Times New Roman" w:hAnsi="Times New Roman"/>
          <w:sz w:val="24"/>
          <w:szCs w:val="24"/>
        </w:rPr>
        <w:t>根据上述确定本次扩建后尾矿库等级为五等，尾矿库的主要构筑物的级别为5级，次要、临时构筑物级别为5级。</w:t>
      </w:r>
    </w:p>
    <w:p>
      <w:pPr>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二、压滤系统新建工程</w:t>
      </w:r>
    </w:p>
    <w:p>
      <w:pPr>
        <w:pStyle w:val="2"/>
        <w:spacing w:line="360" w:lineRule="auto"/>
        <w:ind w:firstLine="480" w:firstLineChars="200"/>
      </w:pPr>
      <w:r>
        <w:rPr>
          <w:rFonts w:hint="eastAsia" w:ascii="Times New Roman" w:hAnsi="Times New Roman"/>
          <w:sz w:val="24"/>
          <w:szCs w:val="24"/>
        </w:rPr>
        <w:t>本项目在紧邻选矿车间西侧新建一座压滤车间，用于选矿后所排尾渣浆经压滤后尾渣排入本次扩建的尾矿库。实现尾矿库湿排转变干排工程。占地面积为150m</w:t>
      </w:r>
      <w:r>
        <w:rPr>
          <w:rFonts w:hint="eastAsia" w:ascii="Times New Roman" w:hAnsi="Times New Roman"/>
          <w:sz w:val="24"/>
          <w:szCs w:val="24"/>
          <w:vertAlign w:val="superscript"/>
        </w:rPr>
        <w:t>2</w:t>
      </w:r>
      <w:r>
        <w:rPr>
          <w:rFonts w:hint="eastAsia" w:ascii="Times New Roman" w:hAnsi="Times New Roman"/>
          <w:sz w:val="24"/>
          <w:szCs w:val="24"/>
        </w:rPr>
        <w:t>，利用厂区内空地进行建设。满负荷</w:t>
      </w:r>
      <w:r>
        <w:rPr>
          <w:rFonts w:ascii="Times New Roman" w:hAnsi="Times New Roman"/>
          <w:sz w:val="24"/>
          <w:szCs w:val="24"/>
        </w:rPr>
        <w:t>年</w:t>
      </w:r>
      <w:r>
        <w:rPr>
          <w:rFonts w:hint="eastAsia" w:ascii="Times New Roman" w:hAnsi="Times New Roman"/>
          <w:sz w:val="24"/>
          <w:szCs w:val="24"/>
        </w:rPr>
        <w:t>处理</w:t>
      </w:r>
      <w:r>
        <w:rPr>
          <w:rFonts w:ascii="Times New Roman" w:hAnsi="Times New Roman"/>
          <w:sz w:val="24"/>
          <w:szCs w:val="24"/>
        </w:rPr>
        <w:t>1</w:t>
      </w:r>
      <w:r>
        <w:rPr>
          <w:rFonts w:hint="eastAsia" w:ascii="Times New Roman" w:hAnsi="Times New Roman"/>
          <w:sz w:val="24"/>
          <w:szCs w:val="24"/>
        </w:rPr>
        <w:t>5</w:t>
      </w:r>
      <w:r>
        <w:rPr>
          <w:rFonts w:ascii="Times New Roman" w:hAnsi="Times New Roman"/>
          <w:sz w:val="24"/>
          <w:szCs w:val="24"/>
        </w:rPr>
        <w:t>×10</w:t>
      </w:r>
      <w:r>
        <w:rPr>
          <w:rFonts w:ascii="Times New Roman" w:hAnsi="Times New Roman"/>
          <w:sz w:val="24"/>
          <w:szCs w:val="24"/>
          <w:vertAlign w:val="superscript"/>
        </w:rPr>
        <w:t>4</w:t>
      </w:r>
      <w:r>
        <w:rPr>
          <w:rFonts w:ascii="Times New Roman" w:hAnsi="Times New Roman"/>
          <w:sz w:val="24"/>
          <w:szCs w:val="24"/>
        </w:rPr>
        <w:t>t其中2×10</w:t>
      </w:r>
      <w:r>
        <w:rPr>
          <w:rFonts w:hint="eastAsia" w:ascii="Times New Roman" w:hAnsi="Times New Roman"/>
          <w:sz w:val="24"/>
          <w:szCs w:val="24"/>
          <w:vertAlign w:val="superscript"/>
        </w:rPr>
        <w:t>4</w:t>
      </w:r>
      <w:r>
        <w:rPr>
          <w:rFonts w:ascii="Times New Roman" w:hAnsi="Times New Roman"/>
          <w:sz w:val="24"/>
          <w:szCs w:val="24"/>
        </w:rPr>
        <w:t>t存入尾矿库</w:t>
      </w:r>
      <w:r>
        <w:rPr>
          <w:rFonts w:hint="eastAsia" w:ascii="Times New Roman" w:hAnsi="Times New Roman"/>
          <w:sz w:val="24"/>
          <w:szCs w:val="24"/>
        </w:rPr>
        <w:t>，其余13</w:t>
      </w:r>
      <w:r>
        <w:rPr>
          <w:rFonts w:ascii="Times New Roman" w:hAnsi="Times New Roman"/>
          <w:sz w:val="24"/>
          <w:szCs w:val="24"/>
        </w:rPr>
        <w:t>×10</w:t>
      </w:r>
      <w:r>
        <w:rPr>
          <w:rFonts w:ascii="Times New Roman" w:hAnsi="Times New Roman"/>
          <w:sz w:val="24"/>
          <w:szCs w:val="24"/>
          <w:vertAlign w:val="superscript"/>
        </w:rPr>
        <w:t>4</w:t>
      </w:r>
      <w:r>
        <w:rPr>
          <w:rFonts w:ascii="Times New Roman" w:hAnsi="Times New Roman"/>
          <w:sz w:val="24"/>
          <w:szCs w:val="24"/>
        </w:rPr>
        <w:t>t</w:t>
      </w:r>
      <w:r>
        <w:rPr>
          <w:rFonts w:hint="eastAsia" w:ascii="Times New Roman" w:hAnsi="Times New Roman"/>
          <w:sz w:val="24"/>
          <w:szCs w:val="24"/>
        </w:rPr>
        <w:t>外卖吉林市智德利商贸有限公司。</w:t>
      </w:r>
    </w:p>
    <w:p>
      <w:pPr>
        <w:pStyle w:val="5"/>
        <w:rPr>
          <w:sz w:val="24"/>
          <w:szCs w:val="24"/>
        </w:rPr>
      </w:pPr>
      <w:bookmarkStart w:id="173" w:name="_Toc4658"/>
      <w:bookmarkStart w:id="174" w:name="_Toc25023"/>
      <w:bookmarkStart w:id="175" w:name="_Toc17932"/>
      <w:r>
        <w:rPr>
          <w:rFonts w:hint="eastAsia"/>
          <w:sz w:val="24"/>
          <w:szCs w:val="24"/>
        </w:rPr>
        <w:t>3.2.3扩建项目工程组成</w:t>
      </w:r>
      <w:bookmarkEnd w:id="173"/>
      <w:bookmarkEnd w:id="174"/>
      <w:bookmarkEnd w:id="175"/>
    </w:p>
    <w:p>
      <w:pPr>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扩建项目包括尾渣浆压滤车间以及尾矿库扩建工程。 扩建后选矿厂区域占地面积不变，扩建的尾矿库占地面积新增4000m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，则扩建后尾矿库占地面积为0.026km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（合计26000m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）。总占地面积为0.076km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（合计76000m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）。新增占地类型为林地（企业正在办理相关手，见附件），项目总平面布置图见附图5，本项目建设内容及工程组成详见下表。</w:t>
      </w:r>
    </w:p>
    <w:p>
      <w:pPr>
        <w:pStyle w:val="2"/>
      </w:pPr>
    </w:p>
    <w:p>
      <w:pPr>
        <w:ind w:firstLine="403"/>
        <w:jc w:val="center"/>
        <w:rPr>
          <w:rFonts w:ascii="Times New Roman" w:hAnsi="Times New Roman"/>
          <w:b/>
          <w:bCs/>
          <w:color w:val="000000"/>
          <w:sz w:val="24"/>
          <w:szCs w:val="24"/>
        </w:rPr>
      </w:pPr>
      <w:r>
        <w:rPr>
          <w:rFonts w:hint="eastAsia" w:ascii="Times New Roman" w:hAnsi="Times New Roman"/>
          <w:b/>
          <w:bCs/>
          <w:color w:val="000000"/>
          <w:sz w:val="24"/>
          <w:szCs w:val="24"/>
        </w:rPr>
        <w:t>表3-13 扩建项目建设内容及工程组成</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81"/>
        <w:gridCol w:w="1230"/>
        <w:gridCol w:w="4971"/>
        <w:gridCol w:w="134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4" w:hRule="atLeast"/>
          <w:jc w:val="center"/>
        </w:trPr>
        <w:tc>
          <w:tcPr>
            <w:tcW w:w="981" w:type="dxa"/>
            <w:tcBorders>
              <w:left w:val="nil"/>
            </w:tcBorders>
            <w:vAlign w:val="center"/>
          </w:tcPr>
          <w:p>
            <w:pPr>
              <w:adjustRightInd w:val="0"/>
              <w:snapToGrid w:val="0"/>
              <w:jc w:val="center"/>
              <w:rPr>
                <w:rFonts w:ascii="Times New Roman" w:hAnsi="Times New Roman"/>
                <w:bCs/>
                <w:color w:val="000000"/>
                <w:szCs w:val="21"/>
              </w:rPr>
            </w:pPr>
            <w:r>
              <w:rPr>
                <w:rFonts w:ascii="Times New Roman" w:hAnsi="Times New Roman"/>
                <w:bCs/>
                <w:color w:val="000000"/>
                <w:szCs w:val="21"/>
              </w:rPr>
              <w:t>建设</w:t>
            </w:r>
          </w:p>
          <w:p>
            <w:pPr>
              <w:adjustRightInd w:val="0"/>
              <w:snapToGrid w:val="0"/>
              <w:jc w:val="center"/>
              <w:rPr>
                <w:rFonts w:ascii="Times New Roman" w:hAnsi="Times New Roman"/>
                <w:bCs/>
                <w:color w:val="000000"/>
                <w:szCs w:val="21"/>
              </w:rPr>
            </w:pPr>
            <w:r>
              <w:rPr>
                <w:rFonts w:ascii="Times New Roman" w:hAnsi="Times New Roman"/>
                <w:bCs/>
                <w:color w:val="000000"/>
                <w:szCs w:val="21"/>
              </w:rPr>
              <w:t>内容</w:t>
            </w:r>
          </w:p>
        </w:tc>
        <w:tc>
          <w:tcPr>
            <w:tcW w:w="1230" w:type="dxa"/>
            <w:vAlign w:val="center"/>
          </w:tcPr>
          <w:p>
            <w:pPr>
              <w:adjustRightInd w:val="0"/>
              <w:snapToGrid w:val="0"/>
              <w:jc w:val="center"/>
              <w:rPr>
                <w:rFonts w:ascii="Times New Roman" w:hAnsi="Times New Roman"/>
                <w:bCs/>
                <w:color w:val="000000"/>
                <w:szCs w:val="21"/>
              </w:rPr>
            </w:pPr>
            <w:r>
              <w:rPr>
                <w:rFonts w:ascii="Times New Roman" w:hAnsi="Times New Roman"/>
                <w:bCs/>
                <w:color w:val="000000"/>
                <w:szCs w:val="21"/>
              </w:rPr>
              <w:t>项目组成</w:t>
            </w:r>
          </w:p>
        </w:tc>
        <w:tc>
          <w:tcPr>
            <w:tcW w:w="4971" w:type="dxa"/>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建设内容</w:t>
            </w:r>
          </w:p>
        </w:tc>
        <w:tc>
          <w:tcPr>
            <w:tcW w:w="1340" w:type="dxa"/>
            <w:tcBorders>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81" w:type="dxa"/>
            <w:vMerge w:val="restart"/>
            <w:tcBorders>
              <w:left w:val="nil"/>
            </w:tcBorders>
            <w:vAlign w:val="center"/>
          </w:tcPr>
          <w:p>
            <w:pPr>
              <w:adjustRightInd w:val="0"/>
              <w:snapToGrid w:val="0"/>
              <w:jc w:val="center"/>
              <w:rPr>
                <w:rFonts w:ascii="Times New Roman" w:hAnsi="Times New Roman"/>
                <w:bCs/>
                <w:color w:val="000000"/>
                <w:szCs w:val="21"/>
              </w:rPr>
            </w:pPr>
            <w:r>
              <w:rPr>
                <w:rFonts w:ascii="Times New Roman" w:hAnsi="Times New Roman"/>
                <w:bCs/>
                <w:color w:val="000000"/>
                <w:szCs w:val="21"/>
              </w:rPr>
              <w:t>主</w:t>
            </w:r>
          </w:p>
          <w:p>
            <w:pPr>
              <w:adjustRightInd w:val="0"/>
              <w:snapToGrid w:val="0"/>
              <w:jc w:val="center"/>
              <w:rPr>
                <w:rFonts w:ascii="Times New Roman" w:hAnsi="Times New Roman"/>
                <w:bCs/>
                <w:color w:val="000000"/>
                <w:szCs w:val="21"/>
              </w:rPr>
            </w:pPr>
            <w:r>
              <w:rPr>
                <w:rFonts w:ascii="Times New Roman" w:hAnsi="Times New Roman"/>
                <w:bCs/>
                <w:color w:val="000000"/>
                <w:szCs w:val="21"/>
              </w:rPr>
              <w:t>体</w:t>
            </w:r>
          </w:p>
          <w:p>
            <w:pPr>
              <w:adjustRightInd w:val="0"/>
              <w:snapToGrid w:val="0"/>
              <w:jc w:val="center"/>
              <w:rPr>
                <w:rFonts w:ascii="Times New Roman" w:hAnsi="Times New Roman"/>
                <w:bCs/>
                <w:color w:val="000000"/>
                <w:szCs w:val="21"/>
              </w:rPr>
            </w:pPr>
            <w:r>
              <w:rPr>
                <w:rFonts w:ascii="Times New Roman" w:hAnsi="Times New Roman"/>
                <w:bCs/>
                <w:color w:val="000000"/>
                <w:szCs w:val="21"/>
              </w:rPr>
              <w:t>工</w:t>
            </w:r>
          </w:p>
          <w:p>
            <w:pPr>
              <w:adjustRightInd w:val="0"/>
              <w:snapToGrid w:val="0"/>
              <w:jc w:val="center"/>
              <w:rPr>
                <w:rFonts w:ascii="Times New Roman" w:hAnsi="Times New Roman"/>
                <w:bCs/>
                <w:color w:val="000000"/>
                <w:szCs w:val="21"/>
              </w:rPr>
            </w:pPr>
            <w:r>
              <w:rPr>
                <w:rFonts w:ascii="Times New Roman" w:hAnsi="Times New Roman"/>
                <w:bCs/>
                <w:color w:val="000000"/>
                <w:szCs w:val="21"/>
              </w:rPr>
              <w:t>程</w:t>
            </w:r>
          </w:p>
        </w:tc>
        <w:tc>
          <w:tcPr>
            <w:tcW w:w="1230" w:type="dxa"/>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扩建尾矿库</w:t>
            </w:r>
          </w:p>
        </w:tc>
        <w:tc>
          <w:tcPr>
            <w:tcW w:w="4971" w:type="dxa"/>
            <w:vAlign w:val="center"/>
          </w:tcPr>
          <w:p>
            <w:pPr>
              <w:adjustRightInd w:val="0"/>
              <w:snapToGrid w:val="0"/>
              <w:jc w:val="center"/>
              <w:rPr>
                <w:rFonts w:ascii="Times New Roman" w:hAnsi="Times New Roman"/>
                <w:bCs/>
                <w:color w:val="000000"/>
                <w:szCs w:val="21"/>
              </w:rPr>
            </w:pPr>
            <w:r>
              <w:rPr>
                <w:rFonts w:hint="eastAsia" w:ascii="Times New Roman" w:hAnsi="Times New Roman"/>
                <w:color w:val="000000"/>
                <w:szCs w:val="21"/>
              </w:rPr>
              <w:t>本次在现有尾矿库基础上进行加高和外扩。新增占地面积4000m</w:t>
            </w:r>
            <w:r>
              <w:rPr>
                <w:rFonts w:hint="eastAsia" w:ascii="Times New Roman" w:hAnsi="Times New Roman"/>
                <w:color w:val="000000"/>
                <w:szCs w:val="21"/>
                <w:vertAlign w:val="superscript"/>
              </w:rPr>
              <w:t>2</w:t>
            </w:r>
            <w:r>
              <w:rPr>
                <w:rFonts w:hint="eastAsia" w:ascii="Times New Roman" w:hAnsi="Times New Roman"/>
                <w:color w:val="000000"/>
                <w:szCs w:val="21"/>
              </w:rPr>
              <w:t>，扩建后占地面积为0.024km</w:t>
            </w:r>
            <w:r>
              <w:rPr>
                <w:rFonts w:hint="eastAsia" w:ascii="Times New Roman" w:hAnsi="Times New Roman"/>
                <w:color w:val="000000"/>
                <w:szCs w:val="21"/>
                <w:vertAlign w:val="superscript"/>
              </w:rPr>
              <w:t>2</w:t>
            </w:r>
            <w:r>
              <w:rPr>
                <w:rFonts w:hint="eastAsia" w:ascii="Times New Roman" w:hAnsi="Times New Roman"/>
                <w:color w:val="000000"/>
                <w:szCs w:val="21"/>
              </w:rPr>
              <w:t>，原有湿排工艺更改为干排工艺</w:t>
            </w:r>
          </w:p>
        </w:tc>
        <w:tc>
          <w:tcPr>
            <w:tcW w:w="1340" w:type="dxa"/>
            <w:tcBorders>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在现有尾矿库基础上进行扩建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压滤车间</w:t>
            </w:r>
          </w:p>
        </w:tc>
        <w:tc>
          <w:tcPr>
            <w:tcW w:w="4971" w:type="dxa"/>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本次在现有厂区内新建一座压滤间，占地面积为150m</w:t>
            </w:r>
            <w:r>
              <w:rPr>
                <w:rFonts w:hint="eastAsia" w:ascii="Times New Roman" w:hAnsi="Times New Roman"/>
                <w:bCs/>
                <w:color w:val="000000"/>
                <w:szCs w:val="21"/>
                <w:vertAlign w:val="superscript"/>
              </w:rPr>
              <w:t>2</w:t>
            </w:r>
            <w:r>
              <w:rPr>
                <w:rFonts w:hint="eastAsia" w:ascii="Times New Roman" w:hAnsi="Times New Roman"/>
                <w:bCs/>
                <w:color w:val="000000"/>
                <w:szCs w:val="21"/>
              </w:rPr>
              <w:t>，位于选矿车间西侧与其相邻</w:t>
            </w:r>
            <w:r>
              <w:rPr>
                <w:rFonts w:hint="eastAsia" w:ascii="Times New Roman" w:hAnsi="Times New Roman"/>
                <w:bCs/>
                <w:color w:val="000000"/>
                <w:kern w:val="0"/>
                <w:szCs w:val="21"/>
              </w:rPr>
              <w:t>。</w:t>
            </w:r>
          </w:p>
        </w:tc>
        <w:tc>
          <w:tcPr>
            <w:tcW w:w="1340" w:type="dxa"/>
            <w:tcBorders>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在现有选矿车间旁新建一座压滤间。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981" w:type="dxa"/>
            <w:vMerge w:val="restart"/>
            <w:tcBorders>
              <w:lef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辅</w:t>
            </w:r>
          </w:p>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助</w:t>
            </w:r>
          </w:p>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工</w:t>
            </w:r>
          </w:p>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程</w:t>
            </w:r>
          </w:p>
        </w:tc>
        <w:tc>
          <w:tcPr>
            <w:tcW w:w="1230" w:type="dxa"/>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新建尾桨输送管线</w:t>
            </w:r>
          </w:p>
        </w:tc>
        <w:tc>
          <w:tcPr>
            <w:tcW w:w="4971" w:type="dxa"/>
            <w:vAlign w:val="center"/>
          </w:tcPr>
          <w:p>
            <w:pPr>
              <w:snapToGrid w:val="0"/>
              <w:jc w:val="center"/>
              <w:rPr>
                <w:rFonts w:ascii="Times New Roman" w:hAnsi="Times New Roman"/>
                <w:bCs/>
                <w:color w:val="000000"/>
                <w:szCs w:val="21"/>
              </w:rPr>
            </w:pPr>
            <w:r>
              <w:rPr>
                <w:rFonts w:hint="eastAsia" w:ascii="Times New Roman" w:hAnsi="Times New Roman"/>
                <w:color w:val="000000"/>
                <w:szCs w:val="21"/>
              </w:rPr>
              <w:t>在现有选矿车间高位水池至压滤车间之间新建一条尾矿浆输送管线，长度为40m，DN1000高密度聚乙烯水管（明管），选矿厂内尾矿浆可自流至本次新建的压滤车间内。</w:t>
            </w:r>
          </w:p>
        </w:tc>
        <w:tc>
          <w:tcPr>
            <w:tcW w:w="1340" w:type="dxa"/>
            <w:tcBorders>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vAlign w:val="center"/>
          </w:tcPr>
          <w:p>
            <w:pPr>
              <w:snapToGrid w:val="0"/>
              <w:jc w:val="center"/>
              <w:rPr>
                <w:rFonts w:ascii="Times New Roman" w:hAnsi="Times New Roman"/>
                <w:bCs/>
                <w:color w:val="000000"/>
                <w:szCs w:val="21"/>
              </w:rPr>
            </w:pPr>
            <w:r>
              <w:rPr>
                <w:rFonts w:hint="eastAsia"/>
                <w:color w:val="000000"/>
                <w:szCs w:val="21"/>
              </w:rPr>
              <w:t>新建回水管线</w:t>
            </w:r>
          </w:p>
        </w:tc>
        <w:tc>
          <w:tcPr>
            <w:tcW w:w="4971" w:type="dxa"/>
            <w:vAlign w:val="center"/>
          </w:tcPr>
          <w:p>
            <w:pPr>
              <w:snapToGrid w:val="0"/>
              <w:jc w:val="center"/>
              <w:rPr>
                <w:rFonts w:ascii="Times New Roman" w:hAnsi="Times New Roman"/>
                <w:bCs/>
                <w:color w:val="000000"/>
                <w:szCs w:val="21"/>
              </w:rPr>
            </w:pPr>
            <w:r>
              <w:rPr>
                <w:rFonts w:hint="eastAsia" w:ascii="Times New Roman" w:hAnsi="Times New Roman"/>
                <w:color w:val="000000"/>
                <w:szCs w:val="21"/>
              </w:rPr>
              <w:t>在现有选矿车间与本次新建的压滤车间之间新建一条回水管线，长度为40m，DN1000高密度聚乙烯水管（明管），压滤后经沉淀池沉淀后通过水泵打回选矿车间高位水池内。</w:t>
            </w:r>
          </w:p>
        </w:tc>
        <w:tc>
          <w:tcPr>
            <w:tcW w:w="1340" w:type="dxa"/>
            <w:tcBorders>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vAlign w:val="center"/>
          </w:tcPr>
          <w:p>
            <w:pPr>
              <w:snapToGrid w:val="0"/>
              <w:jc w:val="center"/>
              <w:rPr>
                <w:rFonts w:ascii="Times New Roman" w:hAnsi="Times New Roman"/>
                <w:bCs/>
                <w:color w:val="000000"/>
                <w:szCs w:val="21"/>
              </w:rPr>
            </w:pPr>
            <w:r>
              <w:rPr>
                <w:rFonts w:hint="eastAsia"/>
                <w:color w:val="000000"/>
                <w:szCs w:val="21"/>
              </w:rPr>
              <w:t>压滤车间沉淀池</w:t>
            </w:r>
          </w:p>
        </w:tc>
        <w:tc>
          <w:tcPr>
            <w:tcW w:w="4971" w:type="dxa"/>
            <w:vAlign w:val="center"/>
          </w:tcPr>
          <w:p>
            <w:pPr>
              <w:snapToGrid w:val="0"/>
              <w:jc w:val="center"/>
              <w:rPr>
                <w:rFonts w:ascii="Times New Roman" w:hAnsi="Times New Roman"/>
                <w:bCs/>
                <w:color w:val="000000"/>
                <w:szCs w:val="21"/>
              </w:rPr>
            </w:pPr>
            <w:r>
              <w:rPr>
                <w:rFonts w:hint="eastAsia" w:ascii="Times New Roman" w:hAnsi="Times New Roman"/>
                <w:color w:val="000000"/>
                <w:szCs w:val="21"/>
              </w:rPr>
              <w:t>在新建的压滤车间内新建一座沉淀池（150m</w:t>
            </w:r>
            <w:r>
              <w:rPr>
                <w:rFonts w:hint="eastAsia" w:ascii="Times New Roman" w:hAnsi="Times New Roman"/>
                <w:color w:val="000000"/>
                <w:szCs w:val="21"/>
                <w:vertAlign w:val="superscript"/>
              </w:rPr>
              <w:t>3</w:t>
            </w:r>
            <w:r>
              <w:rPr>
                <w:rFonts w:hint="eastAsia" w:ascii="Times New Roman" w:hAnsi="Times New Roman"/>
                <w:color w:val="000000"/>
                <w:szCs w:val="21"/>
              </w:rPr>
              <w:t>，5m*5m*6m）</w:t>
            </w:r>
          </w:p>
        </w:tc>
        <w:tc>
          <w:tcPr>
            <w:tcW w:w="1340" w:type="dxa"/>
            <w:tcBorders>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vAlign w:val="center"/>
          </w:tcPr>
          <w:p>
            <w:pPr>
              <w:snapToGrid w:val="0"/>
              <w:jc w:val="center"/>
              <w:rPr>
                <w:color w:val="000000"/>
                <w:szCs w:val="21"/>
              </w:rPr>
            </w:pPr>
            <w:r>
              <w:rPr>
                <w:rFonts w:hint="eastAsia"/>
                <w:color w:val="000000"/>
                <w:szCs w:val="21"/>
              </w:rPr>
              <w:t>尾矿库沉淀池</w:t>
            </w:r>
          </w:p>
        </w:tc>
        <w:tc>
          <w:tcPr>
            <w:tcW w:w="4971" w:type="dxa"/>
            <w:vAlign w:val="center"/>
          </w:tcPr>
          <w:p>
            <w:pPr>
              <w:snapToGrid w:val="0"/>
              <w:jc w:val="center"/>
              <w:rPr>
                <w:rFonts w:ascii="Times New Roman" w:hAnsi="Times New Roman"/>
                <w:color w:val="000000"/>
                <w:szCs w:val="21"/>
              </w:rPr>
            </w:pPr>
            <w:r>
              <w:rPr>
                <w:rFonts w:hint="eastAsia" w:ascii="Times New Roman" w:hAnsi="Times New Roman"/>
                <w:color w:val="000000"/>
                <w:szCs w:val="21"/>
              </w:rPr>
              <w:t>尾矿库东侧新建一座沉淀池，用于接收汛期尾矿库干堆产生淋溶水，容积为50m</w:t>
            </w:r>
            <w:r>
              <w:rPr>
                <w:rFonts w:hint="eastAsia" w:ascii="Times New Roman" w:hAnsi="Times New Roman"/>
                <w:color w:val="000000"/>
                <w:szCs w:val="21"/>
                <w:vertAlign w:val="superscript"/>
              </w:rPr>
              <w:t>3</w:t>
            </w:r>
            <w:r>
              <w:rPr>
                <w:rFonts w:hint="eastAsia" w:ascii="Times New Roman" w:hAnsi="Times New Roman"/>
                <w:color w:val="000000"/>
                <w:szCs w:val="21"/>
              </w:rPr>
              <w:t>（5m*5m*2m），通过导流管用水泵抽至沉淀池内</w:t>
            </w:r>
          </w:p>
        </w:tc>
        <w:tc>
          <w:tcPr>
            <w:tcW w:w="1340" w:type="dxa"/>
            <w:tcBorders>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81" w:type="dxa"/>
            <w:vMerge w:val="restart"/>
            <w:tcBorders>
              <w:left w:val="nil"/>
            </w:tcBorders>
            <w:vAlign w:val="center"/>
          </w:tcPr>
          <w:p>
            <w:pPr>
              <w:adjustRightInd w:val="0"/>
              <w:snapToGrid w:val="0"/>
              <w:jc w:val="center"/>
              <w:rPr>
                <w:rFonts w:ascii="Times New Roman" w:hAnsi="Times New Roman"/>
                <w:bCs/>
                <w:color w:val="000000"/>
                <w:szCs w:val="21"/>
              </w:rPr>
            </w:pPr>
          </w:p>
          <w:p>
            <w:pPr>
              <w:adjustRightInd w:val="0"/>
              <w:snapToGrid w:val="0"/>
              <w:jc w:val="center"/>
              <w:rPr>
                <w:rFonts w:ascii="Times New Roman" w:hAnsi="Times New Roman"/>
                <w:bCs/>
                <w:color w:val="000000"/>
                <w:szCs w:val="21"/>
              </w:rPr>
            </w:pPr>
            <w:r>
              <w:rPr>
                <w:rFonts w:ascii="Times New Roman" w:hAnsi="Times New Roman"/>
                <w:bCs/>
                <w:color w:val="000000"/>
                <w:szCs w:val="21"/>
              </w:rPr>
              <w:t>公</w:t>
            </w:r>
          </w:p>
          <w:p>
            <w:pPr>
              <w:adjustRightInd w:val="0"/>
              <w:snapToGrid w:val="0"/>
              <w:jc w:val="center"/>
              <w:rPr>
                <w:rFonts w:ascii="Times New Roman" w:hAnsi="Times New Roman"/>
                <w:bCs/>
                <w:color w:val="000000"/>
                <w:szCs w:val="21"/>
              </w:rPr>
            </w:pPr>
            <w:r>
              <w:rPr>
                <w:rFonts w:ascii="Times New Roman" w:hAnsi="Times New Roman"/>
                <w:bCs/>
                <w:color w:val="000000"/>
                <w:szCs w:val="21"/>
              </w:rPr>
              <w:t>用</w:t>
            </w:r>
          </w:p>
          <w:p>
            <w:pPr>
              <w:adjustRightInd w:val="0"/>
              <w:snapToGrid w:val="0"/>
              <w:jc w:val="center"/>
              <w:rPr>
                <w:rFonts w:ascii="Times New Roman" w:hAnsi="Times New Roman"/>
                <w:bCs/>
                <w:color w:val="000000"/>
                <w:szCs w:val="21"/>
              </w:rPr>
            </w:pPr>
            <w:r>
              <w:rPr>
                <w:rFonts w:ascii="Times New Roman" w:hAnsi="Times New Roman"/>
                <w:bCs/>
                <w:color w:val="000000"/>
                <w:szCs w:val="21"/>
              </w:rPr>
              <w:t>工</w:t>
            </w:r>
          </w:p>
          <w:p>
            <w:pPr>
              <w:adjustRightInd w:val="0"/>
              <w:snapToGrid w:val="0"/>
              <w:jc w:val="center"/>
              <w:rPr>
                <w:rFonts w:ascii="Times New Roman" w:hAnsi="Times New Roman"/>
                <w:bCs/>
                <w:color w:val="000000"/>
                <w:szCs w:val="21"/>
              </w:rPr>
            </w:pPr>
            <w:r>
              <w:rPr>
                <w:rFonts w:ascii="Times New Roman" w:hAnsi="Times New Roman"/>
                <w:bCs/>
                <w:color w:val="000000"/>
                <w:szCs w:val="21"/>
              </w:rPr>
              <w:t>程</w:t>
            </w:r>
          </w:p>
        </w:tc>
        <w:tc>
          <w:tcPr>
            <w:tcW w:w="1230" w:type="dxa"/>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用水</w:t>
            </w:r>
          </w:p>
        </w:tc>
        <w:tc>
          <w:tcPr>
            <w:tcW w:w="4971" w:type="dxa"/>
            <w:tcBorders>
              <w:right w:val="single" w:color="auto" w:sz="4" w:space="0"/>
            </w:tcBorders>
            <w:vAlign w:val="center"/>
          </w:tcPr>
          <w:p>
            <w:pPr>
              <w:adjustRightInd w:val="0"/>
              <w:snapToGrid w:val="0"/>
              <w:jc w:val="center"/>
              <w:rPr>
                <w:rFonts w:ascii="Times New Roman" w:hAnsi="Times New Roman"/>
                <w:color w:val="000000"/>
                <w:szCs w:val="21"/>
              </w:rPr>
            </w:pPr>
            <w:r>
              <w:rPr>
                <w:rFonts w:hint="eastAsia"/>
                <w:color w:val="000000"/>
                <w:szCs w:val="21"/>
              </w:rPr>
              <w:t>本次扩建项目为尾矿库扩建项目和新建压滤车间，无生活用水。用水主要为运营期企业对干堆的尾矿库定期洒水降尘用水，依托现有厂区内已有自打井水</w:t>
            </w:r>
            <w:r>
              <w:rPr>
                <w:rFonts w:hint="eastAsia" w:ascii="Times New Roman" w:hAnsi="Times New Roman"/>
                <w:szCs w:val="21"/>
              </w:rPr>
              <w:t>出水量为58m</w:t>
            </w:r>
            <w:r>
              <w:rPr>
                <w:rFonts w:hint="eastAsia" w:ascii="Times New Roman" w:hAnsi="Times New Roman"/>
                <w:szCs w:val="21"/>
                <w:vertAlign w:val="superscript"/>
              </w:rPr>
              <w:t>3</w:t>
            </w:r>
            <w:r>
              <w:rPr>
                <w:rFonts w:hint="eastAsia" w:ascii="Times New Roman" w:hAnsi="Times New Roman"/>
                <w:szCs w:val="21"/>
              </w:rPr>
              <w:t>/h，满足生产供水需求</w:t>
            </w:r>
            <w:r>
              <w:rPr>
                <w:rFonts w:hint="eastAsia"/>
                <w:color w:val="000000"/>
                <w:szCs w:val="21"/>
              </w:rPr>
              <w:t>。</w:t>
            </w:r>
          </w:p>
        </w:tc>
        <w:tc>
          <w:tcPr>
            <w:tcW w:w="1340" w:type="dxa"/>
            <w:tcBorders>
              <w:left w:val="single" w:color="auto" w:sz="4" w:space="0"/>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排水</w:t>
            </w:r>
          </w:p>
        </w:tc>
        <w:tc>
          <w:tcPr>
            <w:tcW w:w="4971" w:type="dxa"/>
            <w:tcBorders>
              <w:right w:val="single" w:color="auto" w:sz="4" w:space="0"/>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本项目废水主要为压滤间接收的选矿废水，选矿车间产生的尾矿浆经新建压滤后全部回用于生产，不外排，因此无生产废水产生。本次扩建不新增劳动定员，因此不新增生活废水</w:t>
            </w:r>
          </w:p>
        </w:tc>
        <w:tc>
          <w:tcPr>
            <w:tcW w:w="1340" w:type="dxa"/>
            <w:tcBorders>
              <w:left w:val="single" w:color="auto" w:sz="4" w:space="0"/>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vAlign w:val="center"/>
          </w:tcPr>
          <w:p>
            <w:pPr>
              <w:adjustRightInd w:val="0"/>
              <w:snapToGrid w:val="0"/>
              <w:jc w:val="center"/>
              <w:rPr>
                <w:rFonts w:ascii="Times New Roman" w:hAnsi="Times New Roman"/>
                <w:bCs/>
                <w:color w:val="000000"/>
                <w:szCs w:val="21"/>
              </w:rPr>
            </w:pPr>
            <w:r>
              <w:rPr>
                <w:rFonts w:ascii="Times New Roman" w:hAnsi="Times New Roman"/>
                <w:bCs/>
                <w:color w:val="000000"/>
                <w:szCs w:val="21"/>
              </w:rPr>
              <w:t>供电</w:t>
            </w:r>
          </w:p>
        </w:tc>
        <w:tc>
          <w:tcPr>
            <w:tcW w:w="4971" w:type="dxa"/>
            <w:tcBorders>
              <w:right w:val="single" w:color="auto" w:sz="4" w:space="0"/>
            </w:tcBorders>
            <w:vAlign w:val="center"/>
          </w:tcPr>
          <w:p>
            <w:pPr>
              <w:adjustRightInd w:val="0"/>
              <w:snapToGrid w:val="0"/>
              <w:jc w:val="center"/>
              <w:rPr>
                <w:rFonts w:ascii="Times New Roman" w:hAnsi="Times New Roman"/>
                <w:bCs/>
                <w:color w:val="000000"/>
                <w:kern w:val="0"/>
                <w:szCs w:val="21"/>
              </w:rPr>
            </w:pPr>
            <w:r>
              <w:rPr>
                <w:rFonts w:hint="eastAsia" w:ascii="Times New Roman" w:hAnsi="Times New Roman"/>
                <w:color w:val="000000"/>
                <w:szCs w:val="21"/>
              </w:rPr>
              <w:t>本次扩建项目供电主要为新建的压滤间供电</w:t>
            </w:r>
            <w:r>
              <w:rPr>
                <w:rFonts w:ascii="Times New Roman" w:hAnsi="Times New Roman"/>
                <w:color w:val="000000"/>
                <w:szCs w:val="21"/>
              </w:rPr>
              <w:t>。</w:t>
            </w:r>
            <w:r>
              <w:rPr>
                <w:rFonts w:hint="eastAsia" w:ascii="Times New Roman" w:hAnsi="Times New Roman"/>
                <w:color w:val="000000"/>
                <w:szCs w:val="21"/>
              </w:rPr>
              <w:t>依托现有厂区内供电设施</w:t>
            </w:r>
          </w:p>
        </w:tc>
        <w:tc>
          <w:tcPr>
            <w:tcW w:w="1340" w:type="dxa"/>
            <w:tcBorders>
              <w:left w:val="single" w:color="auto" w:sz="4" w:space="0"/>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利用现有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3"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tcBorders>
              <w:right w:val="single" w:color="auto" w:sz="4" w:space="0"/>
            </w:tcBorders>
            <w:vAlign w:val="center"/>
          </w:tcPr>
          <w:p>
            <w:pPr>
              <w:adjustRightInd w:val="0"/>
              <w:snapToGrid w:val="0"/>
              <w:ind w:firstLine="420" w:firstLineChars="200"/>
              <w:rPr>
                <w:rFonts w:ascii="Times New Roman" w:hAnsi="Times New Roman"/>
                <w:bCs/>
                <w:color w:val="000000"/>
                <w:szCs w:val="21"/>
              </w:rPr>
            </w:pPr>
            <w:r>
              <w:rPr>
                <w:rFonts w:hint="eastAsia" w:ascii="Times New Roman" w:hAnsi="Times New Roman"/>
                <w:bCs/>
                <w:color w:val="000000"/>
                <w:szCs w:val="21"/>
              </w:rPr>
              <w:t>供热</w:t>
            </w:r>
          </w:p>
        </w:tc>
        <w:tc>
          <w:tcPr>
            <w:tcW w:w="4971" w:type="dxa"/>
            <w:tcBorders>
              <w:left w:val="single" w:color="auto" w:sz="4" w:space="0"/>
              <w:right w:val="single" w:color="auto" w:sz="4" w:space="0"/>
            </w:tcBorders>
            <w:vAlign w:val="center"/>
          </w:tcPr>
          <w:p>
            <w:pPr>
              <w:adjustRightInd w:val="0"/>
              <w:snapToGrid w:val="0"/>
              <w:jc w:val="center"/>
              <w:rPr>
                <w:rFonts w:ascii="Times New Roman" w:hAnsi="Times New Roman"/>
                <w:bCs/>
                <w:color w:val="000000"/>
                <w:szCs w:val="21"/>
              </w:rPr>
            </w:pPr>
            <w:r>
              <w:rPr>
                <w:rFonts w:hint="eastAsia" w:ascii="Times New Roman" w:hAnsi="Times New Roman"/>
                <w:color w:val="000000"/>
                <w:szCs w:val="21"/>
              </w:rPr>
              <w:t>本次扩建项目生产、生活均无需供热。</w:t>
            </w:r>
          </w:p>
        </w:tc>
        <w:tc>
          <w:tcPr>
            <w:tcW w:w="1340" w:type="dxa"/>
            <w:tcBorders>
              <w:left w:val="single" w:color="auto" w:sz="4" w:space="0"/>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5" w:hRule="atLeast"/>
          <w:jc w:val="center"/>
        </w:trPr>
        <w:tc>
          <w:tcPr>
            <w:tcW w:w="981" w:type="dxa"/>
            <w:vMerge w:val="restart"/>
            <w:tcBorders>
              <w:lef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环</w:t>
            </w:r>
          </w:p>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保</w:t>
            </w:r>
          </w:p>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工</w:t>
            </w:r>
          </w:p>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程</w:t>
            </w:r>
          </w:p>
        </w:tc>
        <w:tc>
          <w:tcPr>
            <w:tcW w:w="1230" w:type="dxa"/>
            <w:tcBorders>
              <w:bottom w:val="single" w:color="auto" w:sz="4" w:space="0"/>
              <w:right w:val="single" w:color="auto" w:sz="4" w:space="0"/>
            </w:tcBorders>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废水</w:t>
            </w:r>
          </w:p>
        </w:tc>
        <w:tc>
          <w:tcPr>
            <w:tcW w:w="4971" w:type="dxa"/>
            <w:tcBorders>
              <w:left w:val="single" w:color="auto" w:sz="4" w:space="0"/>
              <w:bottom w:val="single" w:color="auto" w:sz="4" w:space="0"/>
              <w:right w:val="nil"/>
            </w:tcBorders>
            <w:vAlign w:val="center"/>
          </w:tcPr>
          <w:p>
            <w:pPr>
              <w:snapToGrid w:val="0"/>
              <w:jc w:val="center"/>
              <w:rPr>
                <w:color w:val="000000"/>
                <w:szCs w:val="21"/>
              </w:rPr>
            </w:pPr>
            <w:r>
              <w:rPr>
                <w:rFonts w:hint="eastAsia"/>
                <w:color w:val="000000"/>
                <w:szCs w:val="21"/>
              </w:rPr>
              <w:t>本次扩建项目无废水产生，新建压滤车间压滤废水经沉淀池沉淀后全部回用于选矿车间内选矿工艺，不外排；不新增劳动定员，无生活废水排放。</w:t>
            </w:r>
          </w:p>
        </w:tc>
        <w:tc>
          <w:tcPr>
            <w:tcW w:w="1340" w:type="dxa"/>
            <w:tcBorders>
              <w:left w:val="single" w:color="auto" w:sz="4" w:space="0"/>
              <w:bottom w:val="single" w:color="auto" w:sz="4" w:space="0"/>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5"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tcBorders>
              <w:bottom w:val="single" w:color="auto" w:sz="4" w:space="0"/>
              <w:right w:val="single" w:color="auto" w:sz="4" w:space="0"/>
            </w:tcBorders>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废气</w:t>
            </w:r>
          </w:p>
        </w:tc>
        <w:tc>
          <w:tcPr>
            <w:tcW w:w="4971" w:type="dxa"/>
            <w:tcBorders>
              <w:left w:val="single" w:color="auto" w:sz="4" w:space="0"/>
              <w:bottom w:val="single" w:color="auto" w:sz="4" w:space="0"/>
              <w:right w:val="nil"/>
            </w:tcBorders>
            <w:vAlign w:val="center"/>
          </w:tcPr>
          <w:p>
            <w:pPr>
              <w:snapToGrid w:val="0"/>
              <w:jc w:val="center"/>
              <w:rPr>
                <w:color w:val="000000"/>
                <w:szCs w:val="21"/>
              </w:rPr>
            </w:pPr>
            <w:r>
              <w:rPr>
                <w:rFonts w:hint="eastAsia"/>
                <w:color w:val="000000"/>
                <w:szCs w:val="21"/>
              </w:rPr>
              <w:t>本次扩建项目废气主要为尾矿库干堆渣无组织粉尘，加盖苫布，定期洒水降尘</w:t>
            </w:r>
          </w:p>
        </w:tc>
        <w:tc>
          <w:tcPr>
            <w:tcW w:w="1340" w:type="dxa"/>
            <w:tcBorders>
              <w:left w:val="single" w:color="auto" w:sz="4" w:space="0"/>
              <w:bottom w:val="single" w:color="auto" w:sz="4" w:space="0"/>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5"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tcBorders>
              <w:bottom w:val="single" w:color="auto" w:sz="4" w:space="0"/>
              <w:right w:val="single" w:color="auto" w:sz="4" w:space="0"/>
            </w:tcBorders>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噪声</w:t>
            </w:r>
          </w:p>
        </w:tc>
        <w:tc>
          <w:tcPr>
            <w:tcW w:w="4971" w:type="dxa"/>
            <w:tcBorders>
              <w:left w:val="single" w:color="auto" w:sz="4" w:space="0"/>
              <w:bottom w:val="single" w:color="auto" w:sz="4" w:space="0"/>
              <w:right w:val="nil"/>
            </w:tcBorders>
            <w:vAlign w:val="center"/>
          </w:tcPr>
          <w:p>
            <w:pPr>
              <w:snapToGrid w:val="0"/>
              <w:jc w:val="center"/>
              <w:rPr>
                <w:color w:val="000000"/>
                <w:szCs w:val="21"/>
              </w:rPr>
            </w:pPr>
            <w:r>
              <w:rPr>
                <w:rFonts w:hint="eastAsia"/>
                <w:color w:val="000000"/>
                <w:szCs w:val="21"/>
              </w:rPr>
              <w:t>压滤设备水泵等设施，设置隔声、减震等措施</w:t>
            </w:r>
          </w:p>
        </w:tc>
        <w:tc>
          <w:tcPr>
            <w:tcW w:w="1340" w:type="dxa"/>
            <w:tcBorders>
              <w:left w:val="single" w:color="auto" w:sz="4" w:space="0"/>
              <w:bottom w:val="single" w:color="auto" w:sz="4" w:space="0"/>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5" w:hRule="atLeast"/>
          <w:jc w:val="center"/>
        </w:trPr>
        <w:tc>
          <w:tcPr>
            <w:tcW w:w="981" w:type="dxa"/>
            <w:vMerge w:val="continue"/>
            <w:tcBorders>
              <w:left w:val="nil"/>
            </w:tcBorders>
            <w:vAlign w:val="center"/>
          </w:tcPr>
          <w:p>
            <w:pPr>
              <w:adjustRightInd w:val="0"/>
              <w:snapToGrid w:val="0"/>
              <w:jc w:val="center"/>
              <w:rPr>
                <w:rFonts w:ascii="Times New Roman" w:hAnsi="Times New Roman"/>
                <w:bCs/>
                <w:color w:val="000000"/>
                <w:szCs w:val="21"/>
              </w:rPr>
            </w:pPr>
          </w:p>
        </w:tc>
        <w:tc>
          <w:tcPr>
            <w:tcW w:w="1230" w:type="dxa"/>
            <w:tcBorders>
              <w:bottom w:val="single" w:color="auto" w:sz="4" w:space="0"/>
              <w:right w:val="single" w:color="auto" w:sz="4" w:space="0"/>
            </w:tcBorders>
            <w:vAlign w:val="center"/>
          </w:tcPr>
          <w:p>
            <w:pPr>
              <w:snapToGrid w:val="0"/>
              <w:jc w:val="center"/>
              <w:rPr>
                <w:rFonts w:ascii="Times New Roman" w:hAnsi="Times New Roman"/>
                <w:bCs/>
                <w:color w:val="000000"/>
                <w:szCs w:val="21"/>
              </w:rPr>
            </w:pPr>
            <w:r>
              <w:rPr>
                <w:rFonts w:hint="eastAsia" w:ascii="Times New Roman" w:hAnsi="Times New Roman"/>
                <w:bCs/>
                <w:color w:val="000000"/>
                <w:szCs w:val="21"/>
              </w:rPr>
              <w:t>固体废物</w:t>
            </w:r>
          </w:p>
        </w:tc>
        <w:tc>
          <w:tcPr>
            <w:tcW w:w="4971" w:type="dxa"/>
            <w:tcBorders>
              <w:left w:val="single" w:color="auto" w:sz="4" w:space="0"/>
              <w:bottom w:val="single" w:color="auto" w:sz="4" w:space="0"/>
              <w:right w:val="nil"/>
            </w:tcBorders>
            <w:vAlign w:val="center"/>
          </w:tcPr>
          <w:p>
            <w:pPr>
              <w:snapToGrid w:val="0"/>
              <w:jc w:val="center"/>
              <w:rPr>
                <w:color w:val="000000"/>
                <w:szCs w:val="21"/>
              </w:rPr>
            </w:pPr>
            <w:r>
              <w:rPr>
                <w:rFonts w:hint="eastAsia"/>
                <w:color w:val="000000"/>
                <w:szCs w:val="21"/>
              </w:rPr>
              <w:t>本次扩建项目固体废物为沉淀池污泥、压滤后的干尾渣，全部对存于扩建后的尾矿库内。</w:t>
            </w:r>
          </w:p>
        </w:tc>
        <w:tc>
          <w:tcPr>
            <w:tcW w:w="1340" w:type="dxa"/>
            <w:tcBorders>
              <w:left w:val="single" w:color="auto" w:sz="4" w:space="0"/>
              <w:bottom w:val="single" w:color="auto" w:sz="4" w:space="0"/>
              <w:right w:val="nil"/>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7" w:hRule="atLeast"/>
          <w:jc w:val="center"/>
        </w:trPr>
        <w:tc>
          <w:tcPr>
            <w:tcW w:w="981" w:type="dxa"/>
            <w:tcBorders>
              <w:left w:val="nil"/>
              <w:bottom w:val="single" w:color="auto" w:sz="12" w:space="0"/>
            </w:tcBorders>
            <w:vAlign w:val="center"/>
          </w:tcPr>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依</w:t>
            </w:r>
          </w:p>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托</w:t>
            </w:r>
          </w:p>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工</w:t>
            </w:r>
          </w:p>
          <w:p>
            <w:pPr>
              <w:adjustRightInd w:val="0"/>
              <w:snapToGrid w:val="0"/>
              <w:jc w:val="center"/>
              <w:rPr>
                <w:rFonts w:ascii="Times New Roman" w:hAnsi="Times New Roman"/>
                <w:bCs/>
                <w:color w:val="000000"/>
                <w:szCs w:val="21"/>
              </w:rPr>
            </w:pPr>
            <w:r>
              <w:rPr>
                <w:rFonts w:hint="eastAsia" w:ascii="Times New Roman" w:hAnsi="Times New Roman"/>
                <w:bCs/>
                <w:color w:val="000000"/>
                <w:szCs w:val="21"/>
              </w:rPr>
              <w:t>程</w:t>
            </w:r>
          </w:p>
        </w:tc>
        <w:tc>
          <w:tcPr>
            <w:tcW w:w="7541" w:type="dxa"/>
            <w:gridSpan w:val="3"/>
            <w:tcBorders>
              <w:top w:val="single" w:color="auto" w:sz="4" w:space="0"/>
              <w:bottom w:val="single" w:color="auto" w:sz="12" w:space="0"/>
              <w:right w:val="nil"/>
            </w:tcBorders>
            <w:vAlign w:val="center"/>
          </w:tcPr>
          <w:p>
            <w:pPr>
              <w:numPr>
                <w:ilvl w:val="0"/>
                <w:numId w:val="7"/>
              </w:numPr>
              <w:snapToGrid w:val="0"/>
              <w:rPr>
                <w:color w:val="000000"/>
              </w:rPr>
            </w:pPr>
            <w:r>
              <w:rPr>
                <w:rFonts w:hint="eastAsia"/>
                <w:color w:val="000000"/>
              </w:rPr>
              <w:t>本项目用水依托现有厂区内自打井水，能够满足需求。</w:t>
            </w:r>
          </w:p>
          <w:p>
            <w:pPr>
              <w:numPr>
                <w:ilvl w:val="0"/>
                <w:numId w:val="7"/>
              </w:numPr>
              <w:snapToGrid w:val="0"/>
              <w:rPr>
                <w:color w:val="000000"/>
              </w:rPr>
            </w:pPr>
            <w:r>
              <w:rPr>
                <w:rFonts w:hint="eastAsia"/>
                <w:color w:val="000000"/>
              </w:rPr>
              <w:t>供电利用现有。</w:t>
            </w:r>
          </w:p>
        </w:tc>
      </w:tr>
    </w:tbl>
    <w:p>
      <w:pPr>
        <w:pStyle w:val="5"/>
        <w:rPr>
          <w:sz w:val="24"/>
          <w:szCs w:val="24"/>
        </w:rPr>
      </w:pPr>
      <w:bookmarkStart w:id="176" w:name="_Toc31391"/>
      <w:bookmarkStart w:id="177" w:name="_Toc10698"/>
      <w:bookmarkStart w:id="178" w:name="_Toc9927"/>
      <w:r>
        <w:rPr>
          <w:sz w:val="24"/>
          <w:szCs w:val="24"/>
        </w:rPr>
        <w:t>3.2.</w:t>
      </w:r>
      <w:r>
        <w:rPr>
          <w:rFonts w:hint="eastAsia"/>
          <w:sz w:val="24"/>
          <w:szCs w:val="24"/>
        </w:rPr>
        <w:t>4主要设备</w:t>
      </w:r>
      <w:bookmarkEnd w:id="176"/>
      <w:bookmarkEnd w:id="177"/>
      <w:r>
        <w:rPr>
          <w:rFonts w:hint="eastAsia"/>
          <w:sz w:val="24"/>
          <w:szCs w:val="24"/>
        </w:rPr>
        <w:t>情况</w:t>
      </w:r>
      <w:bookmarkEnd w:id="178"/>
    </w:p>
    <w:p>
      <w:pPr>
        <w:spacing w:line="360" w:lineRule="auto"/>
        <w:ind w:firstLine="480" w:firstLineChars="200"/>
        <w:rPr>
          <w:rFonts w:ascii="Times New Roman" w:hAnsi="Times New Roman"/>
          <w:sz w:val="24"/>
          <w:szCs w:val="24"/>
        </w:rPr>
      </w:pPr>
      <w:r>
        <w:rPr>
          <w:rFonts w:ascii="Times New Roman" w:hAnsi="Times New Roman"/>
          <w:sz w:val="24"/>
          <w:szCs w:val="24"/>
        </w:rPr>
        <w:t>本项目新增</w:t>
      </w:r>
      <w:r>
        <w:rPr>
          <w:rFonts w:hint="eastAsia" w:ascii="Times New Roman" w:hAnsi="Times New Roman"/>
          <w:sz w:val="24"/>
          <w:szCs w:val="24"/>
        </w:rPr>
        <w:t>尾矿浆压滤</w:t>
      </w:r>
      <w:r>
        <w:rPr>
          <w:rFonts w:ascii="Times New Roman" w:hAnsi="Times New Roman"/>
          <w:sz w:val="24"/>
          <w:szCs w:val="24"/>
        </w:rPr>
        <w:t>设施，详见下表。</w:t>
      </w:r>
    </w:p>
    <w:p>
      <w:pPr>
        <w:jc w:val="center"/>
        <w:rPr>
          <w:rFonts w:ascii="Times New Roman" w:hAnsi="Times New Roman"/>
          <w:b/>
          <w:sz w:val="24"/>
          <w:szCs w:val="24"/>
        </w:rPr>
      </w:pPr>
      <w:r>
        <w:rPr>
          <w:rFonts w:ascii="Times New Roman" w:hAnsi="Times New Roman"/>
          <w:b/>
          <w:sz w:val="24"/>
          <w:szCs w:val="24"/>
        </w:rPr>
        <w:t>表3-</w:t>
      </w:r>
      <w:r>
        <w:rPr>
          <w:rFonts w:hint="eastAsia" w:ascii="Times New Roman" w:hAnsi="Times New Roman"/>
          <w:b/>
          <w:sz w:val="24"/>
          <w:szCs w:val="24"/>
        </w:rPr>
        <w:t>14</w:t>
      </w:r>
      <w:r>
        <w:rPr>
          <w:rFonts w:ascii="Times New Roman" w:hAnsi="Times New Roman"/>
          <w:b/>
          <w:sz w:val="24"/>
          <w:szCs w:val="24"/>
        </w:rPr>
        <w:t xml:space="preserve"> </w:t>
      </w:r>
      <w:r>
        <w:rPr>
          <w:rFonts w:hint="eastAsia" w:ascii="Times New Roman" w:hAnsi="Times New Roman"/>
          <w:b/>
          <w:sz w:val="24"/>
          <w:szCs w:val="24"/>
        </w:rPr>
        <w:t>主要</w:t>
      </w:r>
      <w:r>
        <w:rPr>
          <w:rFonts w:ascii="Times New Roman" w:hAnsi="Times New Roman"/>
          <w:b/>
          <w:sz w:val="24"/>
          <w:szCs w:val="24"/>
        </w:rPr>
        <w:t>设备</w:t>
      </w:r>
      <w:r>
        <w:rPr>
          <w:rFonts w:hint="eastAsia" w:ascii="Times New Roman" w:hAnsi="Times New Roman"/>
          <w:b/>
          <w:sz w:val="24"/>
          <w:szCs w:val="24"/>
        </w:rPr>
        <w:t>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64"/>
        <w:gridCol w:w="2301"/>
        <w:gridCol w:w="944"/>
        <w:gridCol w:w="1004"/>
        <w:gridCol w:w="16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8" w:hRule="atLeast"/>
          <w:jc w:val="center"/>
        </w:trPr>
        <w:tc>
          <w:tcPr>
            <w:tcW w:w="2664" w:type="dxa"/>
            <w:vAlign w:val="center"/>
          </w:tcPr>
          <w:p>
            <w:pPr>
              <w:snapToGrid w:val="0"/>
              <w:jc w:val="center"/>
              <w:rPr>
                <w:rFonts w:ascii="Times New Roman" w:hAnsi="Times New Roman"/>
                <w:color w:val="000000"/>
                <w:szCs w:val="21"/>
              </w:rPr>
            </w:pPr>
            <w:bookmarkStart w:id="179" w:name="_Toc27340"/>
            <w:bookmarkStart w:id="180" w:name="_Toc32137"/>
            <w:r>
              <w:rPr>
                <w:rFonts w:ascii="Times New Roman" w:hAnsi="Times New Roman"/>
                <w:color w:val="000000"/>
                <w:szCs w:val="21"/>
              </w:rPr>
              <w:t>设备名称</w:t>
            </w:r>
          </w:p>
        </w:tc>
        <w:tc>
          <w:tcPr>
            <w:tcW w:w="2301" w:type="dxa"/>
            <w:vAlign w:val="center"/>
          </w:tcPr>
          <w:p>
            <w:pPr>
              <w:snapToGrid w:val="0"/>
              <w:jc w:val="center"/>
              <w:rPr>
                <w:rFonts w:ascii="Times New Roman" w:hAnsi="Times New Roman"/>
                <w:color w:val="000000"/>
                <w:szCs w:val="21"/>
              </w:rPr>
            </w:pPr>
            <w:r>
              <w:rPr>
                <w:rFonts w:ascii="Times New Roman" w:hAnsi="Times New Roman"/>
                <w:color w:val="000000"/>
                <w:szCs w:val="21"/>
              </w:rPr>
              <w:t>型号及技术性能</w:t>
            </w:r>
          </w:p>
        </w:tc>
        <w:tc>
          <w:tcPr>
            <w:tcW w:w="944" w:type="dxa"/>
            <w:vAlign w:val="center"/>
          </w:tcPr>
          <w:p>
            <w:pPr>
              <w:snapToGrid w:val="0"/>
              <w:jc w:val="center"/>
              <w:rPr>
                <w:rFonts w:ascii="Times New Roman" w:hAnsi="Times New Roman"/>
                <w:color w:val="000000"/>
                <w:szCs w:val="21"/>
              </w:rPr>
            </w:pPr>
            <w:r>
              <w:rPr>
                <w:rFonts w:ascii="Times New Roman" w:hAnsi="Times New Roman"/>
                <w:color w:val="000000"/>
                <w:szCs w:val="21"/>
              </w:rPr>
              <w:t>单位</w:t>
            </w:r>
          </w:p>
        </w:tc>
        <w:tc>
          <w:tcPr>
            <w:tcW w:w="1004" w:type="dxa"/>
            <w:vAlign w:val="center"/>
          </w:tcPr>
          <w:p>
            <w:pPr>
              <w:snapToGrid w:val="0"/>
              <w:jc w:val="center"/>
              <w:rPr>
                <w:rFonts w:ascii="Times New Roman" w:hAnsi="Times New Roman"/>
                <w:color w:val="000000"/>
                <w:szCs w:val="21"/>
              </w:rPr>
            </w:pPr>
            <w:r>
              <w:rPr>
                <w:rFonts w:ascii="Times New Roman" w:hAnsi="Times New Roman"/>
                <w:color w:val="000000"/>
                <w:szCs w:val="21"/>
              </w:rPr>
              <w:t>数量</w:t>
            </w:r>
          </w:p>
        </w:tc>
        <w:tc>
          <w:tcPr>
            <w:tcW w:w="1609" w:type="dxa"/>
            <w:vAlign w:val="center"/>
          </w:tcPr>
          <w:p>
            <w:pPr>
              <w:snapToGrid w:val="0"/>
              <w:jc w:val="center"/>
              <w:rPr>
                <w:rFonts w:ascii="Times New Roman" w:hAnsi="Times New Roman"/>
                <w:color w:val="000000"/>
                <w:szCs w:val="21"/>
              </w:rPr>
            </w:pPr>
            <w:r>
              <w:rPr>
                <w:rFonts w:ascii="Times New Roman" w:hAnsi="Times New Roman"/>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 w:hRule="atLeast"/>
          <w:jc w:val="center"/>
        </w:trPr>
        <w:tc>
          <w:tcPr>
            <w:tcW w:w="2664" w:type="dxa"/>
            <w:vAlign w:val="center"/>
          </w:tcPr>
          <w:p>
            <w:pPr>
              <w:widowControl/>
              <w:snapToGrid w:val="0"/>
              <w:jc w:val="center"/>
              <w:rPr>
                <w:rFonts w:ascii="Times New Roman" w:hAnsi="Times New Roman"/>
                <w:color w:val="000000"/>
                <w:szCs w:val="21"/>
              </w:rPr>
            </w:pPr>
            <w:r>
              <w:rPr>
                <w:rFonts w:ascii="Times New Roman" w:hAnsi="Times New Roman"/>
                <w:color w:val="000000"/>
                <w:szCs w:val="21"/>
              </w:rPr>
              <w:t>压滤机</w:t>
            </w:r>
          </w:p>
        </w:tc>
        <w:tc>
          <w:tcPr>
            <w:tcW w:w="2301" w:type="dxa"/>
            <w:vAlign w:val="center"/>
          </w:tcPr>
          <w:p>
            <w:pPr>
              <w:widowControl/>
              <w:snapToGrid w:val="0"/>
              <w:jc w:val="center"/>
              <w:rPr>
                <w:rFonts w:ascii="Times New Roman" w:hAnsi="Times New Roman"/>
                <w:color w:val="000000"/>
                <w:szCs w:val="21"/>
              </w:rPr>
            </w:pPr>
            <w:r>
              <w:rPr>
                <w:rFonts w:ascii="Times New Roman" w:hAnsi="Times New Roman"/>
                <w:color w:val="000000"/>
                <w:szCs w:val="21"/>
              </w:rPr>
              <w:t>CJAH-13/80/30</w:t>
            </w:r>
          </w:p>
        </w:tc>
        <w:tc>
          <w:tcPr>
            <w:tcW w:w="944" w:type="dxa"/>
            <w:vAlign w:val="center"/>
          </w:tcPr>
          <w:p>
            <w:pPr>
              <w:snapToGrid w:val="0"/>
              <w:jc w:val="center"/>
              <w:rPr>
                <w:rFonts w:ascii="Times New Roman" w:hAnsi="Times New Roman"/>
                <w:color w:val="000000"/>
                <w:szCs w:val="21"/>
              </w:rPr>
            </w:pPr>
            <w:r>
              <w:rPr>
                <w:rFonts w:ascii="Times New Roman" w:hAnsi="Times New Roman"/>
                <w:color w:val="000000"/>
                <w:szCs w:val="21"/>
              </w:rPr>
              <w:t>台</w:t>
            </w:r>
          </w:p>
        </w:tc>
        <w:tc>
          <w:tcPr>
            <w:tcW w:w="1004" w:type="dxa"/>
            <w:vAlign w:val="center"/>
          </w:tcPr>
          <w:p>
            <w:pPr>
              <w:snapToGrid w:val="0"/>
              <w:jc w:val="center"/>
              <w:rPr>
                <w:rFonts w:ascii="Times New Roman" w:hAnsi="Times New Roman"/>
                <w:color w:val="000000"/>
                <w:szCs w:val="21"/>
              </w:rPr>
            </w:pPr>
            <w:r>
              <w:rPr>
                <w:rFonts w:ascii="Times New Roman" w:hAnsi="Times New Roman"/>
                <w:color w:val="000000"/>
                <w:szCs w:val="21"/>
              </w:rPr>
              <w:t>2</w:t>
            </w:r>
          </w:p>
        </w:tc>
        <w:tc>
          <w:tcPr>
            <w:tcW w:w="1609" w:type="dxa"/>
            <w:vAlign w:val="center"/>
          </w:tcPr>
          <w:p>
            <w:pPr>
              <w:snapToGrid w:val="0"/>
              <w:jc w:val="center"/>
              <w:rPr>
                <w:rFonts w:ascii="Times New Roman" w:hAnsi="Times New Roman"/>
                <w:color w:val="000000"/>
                <w:kern w:val="0"/>
                <w:szCs w:val="21"/>
              </w:rPr>
            </w:pPr>
            <w:r>
              <w:rPr>
                <w:rFonts w:ascii="Times New Roman" w:hAnsi="Times New Roman"/>
                <w:color w:val="000000"/>
                <w:szCs w:val="21"/>
              </w:rPr>
              <w:t>一用一备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64" w:type="dxa"/>
            <w:vAlign w:val="center"/>
          </w:tcPr>
          <w:p>
            <w:pPr>
              <w:snapToGrid w:val="0"/>
              <w:jc w:val="center"/>
              <w:rPr>
                <w:rFonts w:ascii="Times New Roman" w:hAnsi="Times New Roman"/>
                <w:color w:val="000000"/>
                <w:szCs w:val="21"/>
              </w:rPr>
            </w:pPr>
            <w:r>
              <w:rPr>
                <w:rFonts w:ascii="Times New Roman" w:hAnsi="Times New Roman"/>
                <w:color w:val="000000"/>
                <w:szCs w:val="21"/>
              </w:rPr>
              <w:t>渣浆泵</w:t>
            </w:r>
          </w:p>
        </w:tc>
        <w:tc>
          <w:tcPr>
            <w:tcW w:w="2301" w:type="dxa"/>
            <w:vAlign w:val="center"/>
          </w:tcPr>
          <w:p>
            <w:pPr>
              <w:snapToGrid w:val="0"/>
              <w:jc w:val="center"/>
              <w:rPr>
                <w:rFonts w:ascii="Times New Roman" w:hAnsi="Times New Roman"/>
                <w:color w:val="000000"/>
                <w:szCs w:val="21"/>
              </w:rPr>
            </w:pPr>
            <w:r>
              <w:rPr>
                <w:rFonts w:ascii="Times New Roman" w:hAnsi="Times New Roman"/>
                <w:color w:val="000000"/>
                <w:szCs w:val="21"/>
              </w:rPr>
              <w:t>80ZJ-I-A39</w:t>
            </w:r>
          </w:p>
        </w:tc>
        <w:tc>
          <w:tcPr>
            <w:tcW w:w="944" w:type="dxa"/>
            <w:vAlign w:val="center"/>
          </w:tcPr>
          <w:p>
            <w:pPr>
              <w:snapToGrid w:val="0"/>
              <w:jc w:val="center"/>
              <w:rPr>
                <w:rFonts w:ascii="Times New Roman" w:hAnsi="Times New Roman"/>
                <w:color w:val="000000"/>
                <w:szCs w:val="21"/>
              </w:rPr>
            </w:pPr>
            <w:r>
              <w:rPr>
                <w:rFonts w:ascii="Times New Roman" w:hAnsi="Times New Roman"/>
                <w:color w:val="000000"/>
                <w:szCs w:val="21"/>
              </w:rPr>
              <w:t>台</w:t>
            </w:r>
          </w:p>
        </w:tc>
        <w:tc>
          <w:tcPr>
            <w:tcW w:w="1004" w:type="dxa"/>
            <w:vAlign w:val="center"/>
          </w:tcPr>
          <w:p>
            <w:pPr>
              <w:snapToGrid w:val="0"/>
              <w:jc w:val="center"/>
              <w:rPr>
                <w:rFonts w:ascii="Times New Roman" w:hAnsi="Times New Roman"/>
                <w:color w:val="000000"/>
                <w:szCs w:val="21"/>
              </w:rPr>
            </w:pPr>
            <w:r>
              <w:rPr>
                <w:rFonts w:ascii="Times New Roman" w:hAnsi="Times New Roman"/>
                <w:color w:val="000000"/>
                <w:szCs w:val="21"/>
              </w:rPr>
              <w:t>2</w:t>
            </w:r>
          </w:p>
        </w:tc>
        <w:tc>
          <w:tcPr>
            <w:tcW w:w="1609" w:type="dxa"/>
            <w:vAlign w:val="center"/>
          </w:tcPr>
          <w:p>
            <w:pPr>
              <w:snapToGrid w:val="0"/>
              <w:jc w:val="center"/>
              <w:rPr>
                <w:rFonts w:ascii="Times New Roman" w:hAnsi="Times New Roman"/>
                <w:color w:val="000000"/>
                <w:szCs w:val="21"/>
              </w:rPr>
            </w:pPr>
            <w:r>
              <w:rPr>
                <w:rFonts w:ascii="Times New Roman" w:hAnsi="Times New Roman"/>
                <w:color w:val="000000"/>
                <w:szCs w:val="21"/>
              </w:rPr>
              <w:t>一用一备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64" w:type="dxa"/>
            <w:vAlign w:val="center"/>
          </w:tcPr>
          <w:p>
            <w:pPr>
              <w:snapToGrid w:val="0"/>
              <w:jc w:val="center"/>
              <w:rPr>
                <w:rFonts w:ascii="Times New Roman" w:hAnsi="Times New Roman"/>
                <w:color w:val="000000"/>
                <w:szCs w:val="21"/>
              </w:rPr>
            </w:pPr>
            <w:r>
              <w:rPr>
                <w:rFonts w:ascii="Times New Roman" w:hAnsi="Times New Roman"/>
                <w:color w:val="000000"/>
                <w:szCs w:val="21"/>
              </w:rPr>
              <w:t>小空压机</w:t>
            </w:r>
          </w:p>
        </w:tc>
        <w:tc>
          <w:tcPr>
            <w:tcW w:w="2301" w:type="dxa"/>
            <w:vAlign w:val="center"/>
          </w:tcPr>
          <w:p>
            <w:pPr>
              <w:snapToGrid w:val="0"/>
              <w:jc w:val="center"/>
              <w:rPr>
                <w:rFonts w:ascii="Times New Roman" w:hAnsi="Times New Roman"/>
                <w:color w:val="000000"/>
                <w:szCs w:val="21"/>
              </w:rPr>
            </w:pPr>
            <w:r>
              <w:rPr>
                <w:rFonts w:ascii="Times New Roman" w:hAnsi="Times New Roman"/>
                <w:color w:val="000000"/>
                <w:szCs w:val="21"/>
              </w:rPr>
              <w:t>1m</w:t>
            </w:r>
            <w:r>
              <w:rPr>
                <w:rFonts w:ascii="Times New Roman" w:hAnsi="Times New Roman"/>
                <w:color w:val="000000"/>
                <w:szCs w:val="21"/>
                <w:vertAlign w:val="superscript"/>
              </w:rPr>
              <w:t>3</w:t>
            </w:r>
          </w:p>
        </w:tc>
        <w:tc>
          <w:tcPr>
            <w:tcW w:w="944" w:type="dxa"/>
            <w:vAlign w:val="center"/>
          </w:tcPr>
          <w:p>
            <w:pPr>
              <w:snapToGrid w:val="0"/>
              <w:jc w:val="center"/>
              <w:rPr>
                <w:rFonts w:ascii="Times New Roman" w:hAnsi="Times New Roman"/>
                <w:color w:val="000000"/>
                <w:szCs w:val="21"/>
              </w:rPr>
            </w:pPr>
            <w:r>
              <w:rPr>
                <w:rFonts w:ascii="Times New Roman" w:hAnsi="Times New Roman"/>
                <w:color w:val="000000"/>
                <w:szCs w:val="21"/>
              </w:rPr>
              <w:t>台</w:t>
            </w:r>
          </w:p>
        </w:tc>
        <w:tc>
          <w:tcPr>
            <w:tcW w:w="1004" w:type="dxa"/>
            <w:vAlign w:val="center"/>
          </w:tcPr>
          <w:p>
            <w:pPr>
              <w:snapToGrid w:val="0"/>
              <w:jc w:val="center"/>
              <w:rPr>
                <w:rFonts w:ascii="Times New Roman" w:hAnsi="Times New Roman"/>
                <w:color w:val="000000"/>
                <w:szCs w:val="21"/>
              </w:rPr>
            </w:pPr>
            <w:r>
              <w:rPr>
                <w:rFonts w:ascii="Times New Roman" w:hAnsi="Times New Roman"/>
                <w:color w:val="000000"/>
                <w:szCs w:val="21"/>
              </w:rPr>
              <w:t>1</w:t>
            </w:r>
          </w:p>
        </w:tc>
        <w:tc>
          <w:tcPr>
            <w:tcW w:w="1609" w:type="dxa"/>
            <w:vAlign w:val="center"/>
          </w:tcPr>
          <w:p>
            <w:pPr>
              <w:snapToGri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64" w:type="dxa"/>
            <w:vAlign w:val="center"/>
          </w:tcPr>
          <w:p>
            <w:pPr>
              <w:snapToGrid w:val="0"/>
              <w:jc w:val="center"/>
              <w:rPr>
                <w:rFonts w:ascii="Times New Roman" w:hAnsi="Times New Roman"/>
                <w:color w:val="000000"/>
                <w:szCs w:val="21"/>
              </w:rPr>
            </w:pPr>
            <w:r>
              <w:rPr>
                <w:rFonts w:ascii="Times New Roman" w:hAnsi="Times New Roman"/>
                <w:color w:val="000000"/>
                <w:szCs w:val="21"/>
              </w:rPr>
              <w:t>冲洗水泵（兼砂泵水封泵）</w:t>
            </w:r>
          </w:p>
        </w:tc>
        <w:tc>
          <w:tcPr>
            <w:tcW w:w="2301" w:type="dxa"/>
            <w:vAlign w:val="center"/>
          </w:tcPr>
          <w:p>
            <w:pPr>
              <w:snapToGrid w:val="0"/>
              <w:jc w:val="center"/>
              <w:rPr>
                <w:rFonts w:ascii="Times New Roman" w:hAnsi="Times New Roman"/>
                <w:color w:val="000000"/>
                <w:szCs w:val="21"/>
              </w:rPr>
            </w:pPr>
            <w:r>
              <w:rPr>
                <w:rFonts w:ascii="Times New Roman" w:hAnsi="Times New Roman"/>
                <w:color w:val="000000"/>
                <w:szCs w:val="21"/>
              </w:rPr>
              <w:t>IS65-40-200</w:t>
            </w:r>
          </w:p>
        </w:tc>
        <w:tc>
          <w:tcPr>
            <w:tcW w:w="944" w:type="dxa"/>
            <w:vAlign w:val="center"/>
          </w:tcPr>
          <w:p>
            <w:pPr>
              <w:snapToGrid w:val="0"/>
              <w:jc w:val="center"/>
              <w:rPr>
                <w:rFonts w:ascii="Times New Roman" w:hAnsi="Times New Roman"/>
                <w:color w:val="000000"/>
                <w:szCs w:val="21"/>
              </w:rPr>
            </w:pPr>
            <w:r>
              <w:rPr>
                <w:rFonts w:ascii="Times New Roman" w:hAnsi="Times New Roman"/>
                <w:color w:val="000000"/>
                <w:szCs w:val="21"/>
              </w:rPr>
              <w:t>台</w:t>
            </w:r>
          </w:p>
        </w:tc>
        <w:tc>
          <w:tcPr>
            <w:tcW w:w="1004" w:type="dxa"/>
            <w:vAlign w:val="center"/>
          </w:tcPr>
          <w:p>
            <w:pPr>
              <w:snapToGrid w:val="0"/>
              <w:jc w:val="center"/>
              <w:rPr>
                <w:rFonts w:ascii="Times New Roman" w:hAnsi="Times New Roman"/>
                <w:color w:val="000000"/>
                <w:szCs w:val="21"/>
              </w:rPr>
            </w:pPr>
            <w:r>
              <w:rPr>
                <w:rFonts w:ascii="Times New Roman" w:hAnsi="Times New Roman"/>
                <w:color w:val="000000"/>
                <w:szCs w:val="21"/>
              </w:rPr>
              <w:t>2</w:t>
            </w:r>
          </w:p>
        </w:tc>
        <w:tc>
          <w:tcPr>
            <w:tcW w:w="1609" w:type="dxa"/>
            <w:vAlign w:val="center"/>
          </w:tcPr>
          <w:p>
            <w:pPr>
              <w:snapToGrid w:val="0"/>
              <w:jc w:val="center"/>
              <w:rPr>
                <w:rFonts w:ascii="Times New Roman" w:hAnsi="Times New Roman"/>
                <w:color w:val="000000"/>
                <w:szCs w:val="21"/>
              </w:rPr>
            </w:pPr>
            <w:r>
              <w:rPr>
                <w:rFonts w:ascii="Times New Roman" w:hAnsi="Times New Roman"/>
                <w:color w:val="000000"/>
                <w:szCs w:val="21"/>
              </w:rPr>
              <w:t>一用一备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64" w:type="dxa"/>
            <w:vAlign w:val="center"/>
          </w:tcPr>
          <w:p>
            <w:pPr>
              <w:snapToGrid w:val="0"/>
              <w:jc w:val="center"/>
              <w:rPr>
                <w:rFonts w:ascii="Times New Roman" w:hAnsi="Times New Roman"/>
                <w:color w:val="000000"/>
                <w:szCs w:val="21"/>
              </w:rPr>
            </w:pPr>
            <w:r>
              <w:rPr>
                <w:rFonts w:ascii="Times New Roman" w:hAnsi="Times New Roman"/>
                <w:color w:val="000000"/>
                <w:szCs w:val="21"/>
              </w:rPr>
              <w:t>液下泥浆泵</w:t>
            </w:r>
          </w:p>
        </w:tc>
        <w:tc>
          <w:tcPr>
            <w:tcW w:w="2301" w:type="dxa"/>
            <w:vAlign w:val="center"/>
          </w:tcPr>
          <w:p>
            <w:pPr>
              <w:snapToGrid w:val="0"/>
              <w:jc w:val="center"/>
              <w:rPr>
                <w:rFonts w:ascii="Times New Roman" w:hAnsi="Times New Roman"/>
                <w:color w:val="000000"/>
                <w:szCs w:val="21"/>
              </w:rPr>
            </w:pPr>
            <w:r>
              <w:rPr>
                <w:rFonts w:ascii="Times New Roman" w:hAnsi="Times New Roman"/>
                <w:color w:val="000000"/>
                <w:szCs w:val="21"/>
              </w:rPr>
              <w:t>65QV-SPR</w:t>
            </w:r>
          </w:p>
        </w:tc>
        <w:tc>
          <w:tcPr>
            <w:tcW w:w="944" w:type="dxa"/>
            <w:vAlign w:val="center"/>
          </w:tcPr>
          <w:p>
            <w:pPr>
              <w:snapToGrid w:val="0"/>
              <w:jc w:val="center"/>
              <w:rPr>
                <w:rFonts w:ascii="Times New Roman" w:hAnsi="Times New Roman"/>
                <w:color w:val="000000"/>
                <w:szCs w:val="21"/>
              </w:rPr>
            </w:pPr>
            <w:r>
              <w:rPr>
                <w:rFonts w:ascii="Times New Roman" w:hAnsi="Times New Roman"/>
                <w:color w:val="000000"/>
                <w:szCs w:val="21"/>
              </w:rPr>
              <w:t>台</w:t>
            </w:r>
          </w:p>
        </w:tc>
        <w:tc>
          <w:tcPr>
            <w:tcW w:w="1004" w:type="dxa"/>
            <w:vAlign w:val="center"/>
          </w:tcPr>
          <w:p>
            <w:pPr>
              <w:snapToGrid w:val="0"/>
              <w:jc w:val="center"/>
              <w:rPr>
                <w:rFonts w:ascii="Times New Roman" w:hAnsi="Times New Roman"/>
                <w:color w:val="000000"/>
                <w:szCs w:val="21"/>
              </w:rPr>
            </w:pPr>
            <w:r>
              <w:rPr>
                <w:rFonts w:ascii="Times New Roman" w:hAnsi="Times New Roman"/>
                <w:color w:val="000000"/>
                <w:szCs w:val="21"/>
              </w:rPr>
              <w:t>1</w:t>
            </w:r>
          </w:p>
        </w:tc>
        <w:tc>
          <w:tcPr>
            <w:tcW w:w="1609" w:type="dxa"/>
            <w:vAlign w:val="center"/>
          </w:tcPr>
          <w:p>
            <w:pPr>
              <w:snapToGri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64" w:type="dxa"/>
            <w:vAlign w:val="center"/>
          </w:tcPr>
          <w:p>
            <w:pPr>
              <w:snapToGrid w:val="0"/>
              <w:jc w:val="center"/>
              <w:rPr>
                <w:rFonts w:ascii="Times New Roman" w:hAnsi="Times New Roman"/>
                <w:color w:val="000000"/>
                <w:szCs w:val="21"/>
              </w:rPr>
            </w:pPr>
            <w:r>
              <w:rPr>
                <w:rFonts w:ascii="Times New Roman" w:hAnsi="Times New Roman"/>
                <w:color w:val="000000"/>
                <w:szCs w:val="21"/>
              </w:rPr>
              <w:t>单梁桥式起重机</w:t>
            </w:r>
          </w:p>
        </w:tc>
        <w:tc>
          <w:tcPr>
            <w:tcW w:w="2301" w:type="dxa"/>
            <w:vAlign w:val="center"/>
          </w:tcPr>
          <w:p>
            <w:pPr>
              <w:snapToGrid w:val="0"/>
              <w:jc w:val="center"/>
              <w:rPr>
                <w:rFonts w:ascii="Times New Roman" w:hAnsi="Times New Roman"/>
                <w:color w:val="000000"/>
                <w:szCs w:val="21"/>
              </w:rPr>
            </w:pPr>
            <w:r>
              <w:rPr>
                <w:rFonts w:ascii="Times New Roman" w:hAnsi="Times New Roman"/>
                <w:color w:val="000000"/>
                <w:szCs w:val="21"/>
              </w:rPr>
              <w:t>LK=16.5m，5t</w:t>
            </w:r>
          </w:p>
        </w:tc>
        <w:tc>
          <w:tcPr>
            <w:tcW w:w="944" w:type="dxa"/>
            <w:vAlign w:val="center"/>
          </w:tcPr>
          <w:p>
            <w:pPr>
              <w:snapToGrid w:val="0"/>
              <w:jc w:val="center"/>
              <w:rPr>
                <w:rFonts w:ascii="Times New Roman" w:hAnsi="Times New Roman"/>
                <w:color w:val="000000"/>
                <w:szCs w:val="21"/>
              </w:rPr>
            </w:pPr>
            <w:r>
              <w:rPr>
                <w:rFonts w:ascii="Times New Roman" w:hAnsi="Times New Roman"/>
                <w:color w:val="000000"/>
                <w:szCs w:val="21"/>
              </w:rPr>
              <w:t>台</w:t>
            </w:r>
          </w:p>
        </w:tc>
        <w:tc>
          <w:tcPr>
            <w:tcW w:w="1004" w:type="dxa"/>
            <w:tcBorders>
              <w:right w:val="single" w:color="auto" w:sz="4" w:space="0"/>
            </w:tcBorders>
            <w:vAlign w:val="center"/>
          </w:tcPr>
          <w:p>
            <w:pPr>
              <w:snapToGrid w:val="0"/>
              <w:jc w:val="center"/>
              <w:rPr>
                <w:rFonts w:ascii="Times New Roman" w:hAnsi="Times New Roman"/>
                <w:color w:val="000000"/>
                <w:szCs w:val="21"/>
              </w:rPr>
            </w:pPr>
            <w:r>
              <w:rPr>
                <w:rFonts w:ascii="Times New Roman" w:hAnsi="Times New Roman"/>
                <w:color w:val="000000"/>
                <w:szCs w:val="21"/>
              </w:rPr>
              <w:t>1</w:t>
            </w:r>
          </w:p>
        </w:tc>
        <w:tc>
          <w:tcPr>
            <w:tcW w:w="1609" w:type="dxa"/>
            <w:tcBorders>
              <w:left w:val="single" w:color="auto" w:sz="4" w:space="0"/>
            </w:tcBorders>
            <w:vAlign w:val="center"/>
          </w:tcPr>
          <w:p>
            <w:pPr>
              <w:snapToGri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64" w:type="dxa"/>
            <w:vAlign w:val="center"/>
          </w:tcPr>
          <w:p>
            <w:pPr>
              <w:snapToGrid w:val="0"/>
              <w:jc w:val="center"/>
              <w:rPr>
                <w:rFonts w:ascii="Times New Roman" w:hAnsi="Times New Roman"/>
                <w:color w:val="000000"/>
                <w:szCs w:val="21"/>
              </w:rPr>
            </w:pPr>
            <w:r>
              <w:rPr>
                <w:rFonts w:ascii="Times New Roman" w:hAnsi="Times New Roman"/>
                <w:color w:val="000000"/>
                <w:szCs w:val="21"/>
              </w:rPr>
              <w:t>搅拌槽</w:t>
            </w:r>
          </w:p>
        </w:tc>
        <w:tc>
          <w:tcPr>
            <w:tcW w:w="2301" w:type="dxa"/>
            <w:vAlign w:val="center"/>
          </w:tcPr>
          <w:p>
            <w:pPr>
              <w:snapToGrid w:val="0"/>
              <w:jc w:val="center"/>
              <w:rPr>
                <w:rFonts w:ascii="Times New Roman" w:hAnsi="Times New Roman"/>
                <w:color w:val="000000"/>
                <w:szCs w:val="21"/>
              </w:rPr>
            </w:pPr>
            <w:r>
              <w:rPr>
                <w:rFonts w:ascii="Times New Roman" w:hAnsi="Times New Roman"/>
                <w:color w:val="000000"/>
                <w:szCs w:val="21"/>
              </w:rPr>
              <w:t>Ф4m×3.5m</w:t>
            </w:r>
          </w:p>
        </w:tc>
        <w:tc>
          <w:tcPr>
            <w:tcW w:w="944" w:type="dxa"/>
            <w:vAlign w:val="center"/>
          </w:tcPr>
          <w:p>
            <w:pPr>
              <w:snapToGrid w:val="0"/>
              <w:jc w:val="center"/>
              <w:rPr>
                <w:rFonts w:ascii="Times New Roman" w:hAnsi="Times New Roman"/>
                <w:color w:val="000000"/>
                <w:szCs w:val="21"/>
              </w:rPr>
            </w:pPr>
            <w:r>
              <w:rPr>
                <w:rFonts w:ascii="Times New Roman" w:hAnsi="Times New Roman"/>
                <w:color w:val="000000"/>
                <w:szCs w:val="21"/>
              </w:rPr>
              <w:t>个</w:t>
            </w:r>
          </w:p>
        </w:tc>
        <w:tc>
          <w:tcPr>
            <w:tcW w:w="1004" w:type="dxa"/>
            <w:tcBorders>
              <w:right w:val="single" w:color="auto" w:sz="4" w:space="0"/>
            </w:tcBorders>
            <w:vAlign w:val="center"/>
          </w:tcPr>
          <w:p>
            <w:pPr>
              <w:snapToGrid w:val="0"/>
              <w:jc w:val="center"/>
              <w:rPr>
                <w:rFonts w:ascii="Times New Roman" w:hAnsi="Times New Roman"/>
                <w:color w:val="000000"/>
                <w:szCs w:val="21"/>
              </w:rPr>
            </w:pPr>
            <w:r>
              <w:rPr>
                <w:rFonts w:ascii="Times New Roman" w:hAnsi="Times New Roman"/>
                <w:color w:val="000000"/>
                <w:szCs w:val="21"/>
              </w:rPr>
              <w:t>1</w:t>
            </w:r>
          </w:p>
        </w:tc>
        <w:tc>
          <w:tcPr>
            <w:tcW w:w="1609" w:type="dxa"/>
            <w:tcBorders>
              <w:left w:val="single" w:color="auto" w:sz="4" w:space="0"/>
            </w:tcBorders>
            <w:vAlign w:val="center"/>
          </w:tcPr>
          <w:p>
            <w:pPr>
              <w:snapToGri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65" w:type="dxa"/>
            <w:gridSpan w:val="2"/>
            <w:vAlign w:val="center"/>
          </w:tcPr>
          <w:p>
            <w:pPr>
              <w:snapToGrid w:val="0"/>
              <w:jc w:val="center"/>
              <w:rPr>
                <w:rFonts w:ascii="Times New Roman" w:hAnsi="Times New Roman"/>
                <w:color w:val="000000"/>
                <w:szCs w:val="21"/>
              </w:rPr>
            </w:pPr>
            <w:r>
              <w:rPr>
                <w:rFonts w:ascii="Times New Roman" w:hAnsi="Times New Roman"/>
                <w:color w:val="000000"/>
                <w:szCs w:val="21"/>
              </w:rPr>
              <w:t>合计</w:t>
            </w:r>
          </w:p>
        </w:tc>
        <w:tc>
          <w:tcPr>
            <w:tcW w:w="944" w:type="dxa"/>
            <w:vAlign w:val="center"/>
          </w:tcPr>
          <w:p>
            <w:pPr>
              <w:snapToGrid w:val="0"/>
              <w:jc w:val="center"/>
              <w:rPr>
                <w:rFonts w:ascii="Times New Roman" w:hAnsi="Times New Roman"/>
                <w:color w:val="000000"/>
                <w:szCs w:val="21"/>
              </w:rPr>
            </w:pPr>
          </w:p>
        </w:tc>
        <w:tc>
          <w:tcPr>
            <w:tcW w:w="1004" w:type="dxa"/>
            <w:tcBorders>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10</w:t>
            </w:r>
          </w:p>
        </w:tc>
        <w:tc>
          <w:tcPr>
            <w:tcW w:w="1609" w:type="dxa"/>
            <w:tcBorders>
              <w:left w:val="single" w:color="auto" w:sz="4" w:space="0"/>
            </w:tcBorders>
            <w:vAlign w:val="center"/>
          </w:tcPr>
          <w:p>
            <w:pPr>
              <w:snapToGrid w:val="0"/>
              <w:jc w:val="center"/>
              <w:rPr>
                <w:rFonts w:ascii="Times New Roman" w:hAnsi="Times New Roman"/>
                <w:color w:val="000000"/>
                <w:szCs w:val="21"/>
              </w:rPr>
            </w:pPr>
          </w:p>
        </w:tc>
      </w:tr>
      <w:bookmarkEnd w:id="179"/>
      <w:bookmarkEnd w:id="180"/>
    </w:tbl>
    <w:p>
      <w:pPr>
        <w:pStyle w:val="5"/>
        <w:rPr>
          <w:sz w:val="24"/>
          <w:szCs w:val="24"/>
        </w:rPr>
      </w:pPr>
      <w:bookmarkStart w:id="181" w:name="_Toc3741"/>
      <w:bookmarkStart w:id="182" w:name="_Toc10471"/>
      <w:bookmarkStart w:id="183" w:name="_Toc4869"/>
      <w:r>
        <w:rPr>
          <w:sz w:val="24"/>
          <w:szCs w:val="24"/>
        </w:rPr>
        <w:t>3.2</w:t>
      </w:r>
      <w:r>
        <w:rPr>
          <w:rFonts w:hint="eastAsia"/>
          <w:sz w:val="24"/>
          <w:szCs w:val="24"/>
        </w:rPr>
        <w:t>.6公用工程</w:t>
      </w:r>
      <w:bookmarkEnd w:id="181"/>
      <w:bookmarkEnd w:id="182"/>
      <w:bookmarkEnd w:id="183"/>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（1）给水</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本项目本次扩建项目生产无需用水，用水主要为运营期尾矿库干堆定期洒水降尘用水，用水量为2t/d（600t/a）</w:t>
      </w:r>
      <w:r>
        <w:rPr>
          <w:rFonts w:hint="eastAsia" w:ascii="Times New Roman" w:hAnsi="Times New Roman"/>
          <w:color w:val="000000"/>
          <w:sz w:val="24"/>
          <w:szCs w:val="24"/>
        </w:rPr>
        <w:t>；</w:t>
      </w:r>
      <w:r>
        <w:rPr>
          <w:rFonts w:ascii="Times New Roman" w:hAnsi="Times New Roman"/>
          <w:color w:val="000000"/>
          <w:sz w:val="24"/>
          <w:szCs w:val="24"/>
        </w:rPr>
        <w:t>地面清扫用水1t/d（300t/a）。</w:t>
      </w:r>
      <w:r>
        <w:rPr>
          <w:rFonts w:hint="eastAsia" w:ascii="Times New Roman" w:hAnsi="Times New Roman"/>
          <w:color w:val="000000"/>
          <w:sz w:val="24"/>
          <w:szCs w:val="24"/>
        </w:rPr>
        <w:t>则总用水量为3</w:t>
      </w:r>
      <w:r>
        <w:rPr>
          <w:rFonts w:ascii="Times New Roman" w:hAnsi="Times New Roman"/>
          <w:color w:val="000000"/>
          <w:sz w:val="24"/>
          <w:szCs w:val="24"/>
        </w:rPr>
        <w:t>t/d（</w:t>
      </w:r>
      <w:r>
        <w:rPr>
          <w:rFonts w:hint="eastAsia" w:ascii="Times New Roman" w:hAnsi="Times New Roman"/>
          <w:color w:val="000000"/>
          <w:sz w:val="24"/>
          <w:szCs w:val="24"/>
        </w:rPr>
        <w:t>9</w:t>
      </w:r>
      <w:r>
        <w:rPr>
          <w:rFonts w:ascii="Times New Roman" w:hAnsi="Times New Roman"/>
          <w:color w:val="000000"/>
          <w:sz w:val="24"/>
          <w:szCs w:val="24"/>
        </w:rPr>
        <w:t>00t/a）</w:t>
      </w:r>
      <w:r>
        <w:rPr>
          <w:rFonts w:hint="eastAsia" w:ascii="Times New Roman" w:hAnsi="Times New Roman"/>
          <w:color w:val="000000"/>
          <w:sz w:val="24"/>
          <w:szCs w:val="24"/>
        </w:rPr>
        <w:t>。</w:t>
      </w:r>
      <w:r>
        <w:rPr>
          <w:rFonts w:ascii="Times New Roman" w:hAnsi="Times New Roman"/>
          <w:color w:val="000000"/>
          <w:sz w:val="24"/>
          <w:szCs w:val="24"/>
        </w:rPr>
        <w:t>依托现有厂区内自打井水，出水量为58m</w:t>
      </w:r>
      <w:r>
        <w:rPr>
          <w:rFonts w:ascii="Times New Roman" w:hAnsi="Times New Roman"/>
          <w:color w:val="000000"/>
          <w:sz w:val="24"/>
          <w:szCs w:val="24"/>
          <w:vertAlign w:val="superscript"/>
        </w:rPr>
        <w:t>3</w:t>
      </w:r>
      <w:r>
        <w:rPr>
          <w:rFonts w:ascii="Times New Roman" w:hAnsi="Times New Roman"/>
          <w:color w:val="000000"/>
          <w:sz w:val="24"/>
          <w:szCs w:val="24"/>
        </w:rPr>
        <w:t>/h，满足生产供水需求。</w:t>
      </w:r>
    </w:p>
    <w:p>
      <w:pPr>
        <w:spacing w:line="360" w:lineRule="auto"/>
        <w:ind w:firstLine="480" w:firstLineChars="200"/>
        <w:outlineLvl w:val="0"/>
        <w:rPr>
          <w:rFonts w:ascii="Times New Roman" w:hAnsi="Times New Roman"/>
          <w:color w:val="0000FF"/>
          <w:sz w:val="24"/>
          <w:szCs w:val="24"/>
        </w:rPr>
      </w:pPr>
      <w:r>
        <w:rPr>
          <w:rFonts w:ascii="Times New Roman" w:hAnsi="Times New Roman"/>
          <w:color w:val="000000"/>
          <w:sz w:val="24"/>
          <w:szCs w:val="24"/>
        </w:rPr>
        <w:t>（2）排水</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本次扩建项目无新增劳动定员，因此无生活废水产生。尾矿库干堆洒水降尘废水以及压滤间地面清扫水全部损耗。废水主要为尾矿压滤废水以及尾矿库淋溶水。</w:t>
      </w:r>
    </w:p>
    <w:p>
      <w:pPr>
        <w:spacing w:line="360" w:lineRule="auto"/>
        <w:ind w:firstLine="480" w:firstLineChars="200"/>
        <w:jc w:val="left"/>
        <w:rPr>
          <w:rFonts w:ascii="Times New Roman" w:hAnsi="Times New Roman"/>
          <w:color w:val="000000"/>
          <w:sz w:val="24"/>
          <w:szCs w:val="24"/>
          <w:u w:val="single"/>
        </w:rPr>
      </w:pPr>
      <w:r>
        <w:rPr>
          <w:rFonts w:ascii="Times New Roman" w:hAnsi="Times New Roman"/>
          <w:color w:val="000000"/>
          <w:sz w:val="24"/>
          <w:szCs w:val="24"/>
          <w:u w:val="single"/>
        </w:rPr>
        <w:t>①尾矿压滤废水</w:t>
      </w:r>
    </w:p>
    <w:p>
      <w:pPr>
        <w:spacing w:line="360" w:lineRule="auto"/>
        <w:ind w:firstLine="480" w:firstLineChars="200"/>
        <w:jc w:val="left"/>
        <w:rPr>
          <w:rFonts w:ascii="Times New Roman" w:hAnsi="Times New Roman"/>
          <w:color w:val="000000"/>
          <w:sz w:val="24"/>
          <w:szCs w:val="24"/>
          <w:u w:val="single"/>
        </w:rPr>
      </w:pPr>
      <w:r>
        <w:rPr>
          <w:rFonts w:ascii="Times New Roman" w:hAnsi="Times New Roman"/>
          <w:color w:val="000000"/>
          <w:sz w:val="24"/>
          <w:szCs w:val="24"/>
          <w:u w:val="single"/>
        </w:rPr>
        <w:t>现有选矿车间选矿后产生的尾矿在本次拟建的压滤车间内压滤过程中会产生大量的尾矿浆。经分析，现有选矿厂选矿后产生的尾矿浆量为</w:t>
      </w:r>
      <w:r>
        <w:rPr>
          <w:rFonts w:hint="eastAsia" w:ascii="Times New Roman" w:hAnsi="Times New Roman"/>
          <w:color w:val="000000"/>
          <w:sz w:val="24"/>
          <w:szCs w:val="24"/>
          <w:u w:val="single"/>
        </w:rPr>
        <w:t>800</w:t>
      </w:r>
      <w:r>
        <w:rPr>
          <w:rFonts w:ascii="Times New Roman" w:hAnsi="Times New Roman"/>
          <w:color w:val="000000"/>
          <w:sz w:val="24"/>
          <w:szCs w:val="24"/>
          <w:u w:val="single"/>
        </w:rPr>
        <w:t>t/d（</w:t>
      </w:r>
      <w:r>
        <w:rPr>
          <w:rFonts w:hint="eastAsia" w:ascii="Times New Roman" w:hAnsi="Times New Roman"/>
          <w:color w:val="000000"/>
          <w:sz w:val="24"/>
          <w:szCs w:val="24"/>
          <w:u w:val="single"/>
        </w:rPr>
        <w:t>2400</w:t>
      </w:r>
      <w:r>
        <w:rPr>
          <w:rFonts w:ascii="Times New Roman" w:hAnsi="Times New Roman"/>
          <w:color w:val="000000"/>
          <w:sz w:val="24"/>
          <w:szCs w:val="24"/>
          <w:u w:val="single"/>
        </w:rPr>
        <w:t>00t/a），尾矿脱水</w:t>
      </w:r>
      <w:r>
        <w:rPr>
          <w:rFonts w:hint="eastAsia" w:ascii="Times New Roman" w:hAnsi="Times New Roman"/>
          <w:color w:val="000000"/>
          <w:sz w:val="24"/>
          <w:szCs w:val="24"/>
          <w:u w:val="single"/>
        </w:rPr>
        <w:t>200</w:t>
      </w:r>
      <w:r>
        <w:rPr>
          <w:rFonts w:ascii="Times New Roman" w:hAnsi="Times New Roman"/>
          <w:color w:val="000000"/>
          <w:sz w:val="24"/>
          <w:szCs w:val="24"/>
          <w:u w:val="single"/>
        </w:rPr>
        <w:t>t。因被尾矿砂吸附和蒸发损失，排放废水约为</w:t>
      </w:r>
      <w:r>
        <w:rPr>
          <w:rFonts w:hint="eastAsia" w:ascii="Times New Roman" w:hAnsi="Times New Roman"/>
          <w:color w:val="000000"/>
          <w:sz w:val="24"/>
          <w:szCs w:val="24"/>
          <w:u w:val="single"/>
        </w:rPr>
        <w:t>100</w:t>
      </w:r>
      <w:r>
        <w:rPr>
          <w:rFonts w:ascii="Times New Roman" w:hAnsi="Times New Roman"/>
          <w:color w:val="000000"/>
          <w:sz w:val="24"/>
          <w:szCs w:val="24"/>
          <w:u w:val="single"/>
        </w:rPr>
        <w:t>t/d（</w:t>
      </w:r>
      <w:r>
        <w:rPr>
          <w:rFonts w:hint="eastAsia" w:ascii="Times New Roman" w:hAnsi="Times New Roman"/>
          <w:color w:val="000000"/>
          <w:sz w:val="24"/>
          <w:szCs w:val="24"/>
          <w:u w:val="single"/>
        </w:rPr>
        <w:t>300</w:t>
      </w:r>
      <w:r>
        <w:rPr>
          <w:rFonts w:ascii="Times New Roman" w:hAnsi="Times New Roman"/>
          <w:color w:val="000000"/>
          <w:sz w:val="24"/>
          <w:szCs w:val="24"/>
          <w:u w:val="single"/>
        </w:rPr>
        <w:t>00t/a）。尾矿压滤废水经过新建的沉淀池</w:t>
      </w:r>
      <w:r>
        <w:rPr>
          <w:rFonts w:ascii="Times New Roman" w:hAnsi="Times New Roman"/>
          <w:bCs/>
          <w:color w:val="000000"/>
          <w:sz w:val="24"/>
          <w:szCs w:val="24"/>
          <w:u w:val="single"/>
        </w:rPr>
        <w:t>（容积为</w:t>
      </w:r>
      <w:r>
        <w:rPr>
          <w:rFonts w:hint="eastAsia" w:ascii="Times New Roman" w:hAnsi="Times New Roman"/>
          <w:bCs/>
          <w:color w:val="000000"/>
          <w:sz w:val="24"/>
          <w:szCs w:val="24"/>
          <w:u w:val="single"/>
        </w:rPr>
        <w:t>150</w:t>
      </w:r>
      <w:r>
        <w:rPr>
          <w:rFonts w:ascii="Times New Roman" w:hAnsi="Times New Roman"/>
          <w:bCs/>
          <w:color w:val="000000"/>
          <w:sz w:val="24"/>
          <w:szCs w:val="24"/>
          <w:u w:val="single"/>
        </w:rPr>
        <w:t>m</w:t>
      </w:r>
      <w:r>
        <w:rPr>
          <w:rFonts w:ascii="Times New Roman" w:hAnsi="Times New Roman"/>
          <w:bCs/>
          <w:color w:val="000000"/>
          <w:sz w:val="24"/>
          <w:szCs w:val="24"/>
          <w:u w:val="single"/>
          <w:vertAlign w:val="superscript"/>
        </w:rPr>
        <w:t>3</w:t>
      </w:r>
      <w:r>
        <w:rPr>
          <w:rFonts w:ascii="Times New Roman" w:hAnsi="Times New Roman"/>
          <w:bCs/>
          <w:color w:val="000000"/>
          <w:sz w:val="24"/>
          <w:szCs w:val="24"/>
          <w:u w:val="single"/>
        </w:rPr>
        <w:t>）</w:t>
      </w:r>
      <w:r>
        <w:rPr>
          <w:rFonts w:ascii="Times New Roman" w:hAnsi="Times New Roman"/>
          <w:color w:val="000000"/>
          <w:sz w:val="24"/>
          <w:szCs w:val="24"/>
          <w:u w:val="single"/>
        </w:rPr>
        <w:t>沉淀后，全部通过水泵打入选矿车间内现有流入高位水池内，回用于选矿生</w:t>
      </w:r>
      <w:r>
        <w:rPr>
          <w:rFonts w:hint="eastAsia" w:ascii="Times New Roman" w:hAnsi="Times New Roman"/>
          <w:color w:val="000000"/>
          <w:sz w:val="24"/>
          <w:szCs w:val="24"/>
          <w:u w:val="single"/>
        </w:rPr>
        <w:t xml:space="preserve"> </w:t>
      </w:r>
      <w:r>
        <w:rPr>
          <w:rFonts w:ascii="Times New Roman" w:hAnsi="Times New Roman"/>
          <w:color w:val="000000"/>
          <w:sz w:val="24"/>
          <w:szCs w:val="24"/>
          <w:u w:val="single"/>
        </w:rPr>
        <w:t>产，不外排。</w:t>
      </w:r>
    </w:p>
    <w:p>
      <w:pPr>
        <w:spacing w:line="360" w:lineRule="auto"/>
        <w:ind w:firstLine="480" w:firstLineChars="200"/>
        <w:jc w:val="left"/>
        <w:rPr>
          <w:rFonts w:ascii="Times New Roman" w:hAnsi="Times New Roman"/>
          <w:color w:val="000000"/>
          <w:sz w:val="24"/>
          <w:szCs w:val="24"/>
          <w:u w:val="single"/>
        </w:rPr>
      </w:pPr>
      <w:r>
        <w:rPr>
          <w:rFonts w:ascii="Times New Roman" w:hAnsi="Times New Roman"/>
          <w:color w:val="000000"/>
          <w:sz w:val="24"/>
          <w:szCs w:val="24"/>
          <w:u w:val="single"/>
        </w:rPr>
        <w:t>③尾矿库汛期淋溶水</w:t>
      </w:r>
    </w:p>
    <w:p>
      <w:pPr>
        <w:spacing w:line="360" w:lineRule="auto"/>
        <w:ind w:firstLine="480" w:firstLineChars="200"/>
        <w:rPr>
          <w:u w:val="single"/>
        </w:rPr>
      </w:pPr>
      <w:r>
        <w:rPr>
          <w:rFonts w:ascii="Times New Roman" w:hAnsi="Times New Roman"/>
          <w:bCs/>
          <w:sz w:val="24"/>
          <w:u w:val="single"/>
        </w:rPr>
        <w:t>夏季汛期</w:t>
      </w:r>
      <w:r>
        <w:rPr>
          <w:rFonts w:ascii="Times New Roman" w:hAnsi="Times New Roman"/>
          <w:sz w:val="24"/>
          <w:szCs w:val="24"/>
          <w:u w:val="single"/>
        </w:rPr>
        <w:t>尾矿库</w:t>
      </w:r>
      <w:r>
        <w:rPr>
          <w:rFonts w:ascii="Times New Roman" w:hAnsi="Times New Roman"/>
          <w:bCs/>
          <w:sz w:val="24"/>
          <w:u w:val="single"/>
        </w:rPr>
        <w:t>将产生淋溶水。因此本次扩建项目产生淋溶水的汇水面积为</w:t>
      </w:r>
      <w:r>
        <w:rPr>
          <w:rFonts w:hint="eastAsia" w:ascii="Times New Roman" w:hAnsi="Times New Roman"/>
          <w:bCs/>
          <w:sz w:val="24"/>
          <w:u w:val="single"/>
        </w:rPr>
        <w:t>5.4</w:t>
      </w:r>
      <w:r>
        <w:rPr>
          <w:rFonts w:ascii="Times New Roman" w:hAnsi="Times New Roman"/>
          <w:bCs/>
          <w:sz w:val="24"/>
          <w:u w:val="single"/>
        </w:rPr>
        <w:t>hm</w:t>
      </w:r>
      <w:r>
        <w:rPr>
          <w:rFonts w:ascii="Times New Roman" w:hAnsi="Times New Roman"/>
          <w:bCs/>
          <w:sz w:val="24"/>
          <w:u w:val="single"/>
          <w:vertAlign w:val="superscript"/>
        </w:rPr>
        <w:t>2</w:t>
      </w:r>
      <w:r>
        <w:rPr>
          <w:rFonts w:ascii="Times New Roman" w:hAnsi="Times New Roman"/>
          <w:bCs/>
          <w:sz w:val="24"/>
          <w:u w:val="single"/>
        </w:rPr>
        <w:t>。平均降雨量为505mm，7月—9月（90天）降水量占全年50%，即252mm，径流系数为0.2，则汛期产生的淋溶水量</w:t>
      </w:r>
      <w:r>
        <w:rPr>
          <w:rFonts w:hint="eastAsia" w:ascii="Times New Roman" w:hAnsi="Times New Roman"/>
          <w:bCs/>
          <w:sz w:val="24"/>
          <w:u w:val="single"/>
        </w:rPr>
        <w:t>约</w:t>
      </w:r>
      <w:r>
        <w:rPr>
          <w:rFonts w:ascii="Times New Roman" w:hAnsi="Times New Roman"/>
          <w:bCs/>
          <w:sz w:val="24"/>
          <w:u w:val="single"/>
        </w:rPr>
        <w:t>为27.46t/a，汛期为7-9月，共90d，则堆场淋溶水量约为0.38m³/d。产生淋溶水通过</w:t>
      </w:r>
      <w:r>
        <w:rPr>
          <w:rFonts w:hint="eastAsia" w:ascii="Times New Roman" w:hAnsi="Times New Roman"/>
          <w:bCs/>
          <w:sz w:val="24"/>
          <w:u w:val="single"/>
        </w:rPr>
        <w:t>新建的</w:t>
      </w:r>
      <w:r>
        <w:rPr>
          <w:rFonts w:ascii="Times New Roman" w:hAnsi="Times New Roman"/>
          <w:bCs/>
          <w:sz w:val="24"/>
          <w:u w:val="single"/>
        </w:rPr>
        <w:t>导流管流入尾矿库下游</w:t>
      </w:r>
      <w:r>
        <w:rPr>
          <w:rFonts w:hint="eastAsia" w:ascii="Times New Roman" w:hAnsi="Times New Roman"/>
          <w:bCs/>
          <w:sz w:val="24"/>
          <w:u w:val="single"/>
        </w:rPr>
        <w:t>拟建</w:t>
      </w:r>
      <w:r>
        <w:rPr>
          <w:rFonts w:ascii="Times New Roman" w:hAnsi="Times New Roman"/>
          <w:bCs/>
          <w:sz w:val="24"/>
          <w:u w:val="single"/>
        </w:rPr>
        <w:t>沉淀池内（容积为</w:t>
      </w:r>
      <w:r>
        <w:rPr>
          <w:rFonts w:hint="eastAsia" w:ascii="Times New Roman" w:hAnsi="Times New Roman"/>
          <w:bCs/>
          <w:sz w:val="24"/>
          <w:u w:val="single"/>
        </w:rPr>
        <w:t>5</w:t>
      </w:r>
      <w:r>
        <w:rPr>
          <w:rFonts w:ascii="Times New Roman" w:hAnsi="Times New Roman"/>
          <w:bCs/>
          <w:sz w:val="24"/>
          <w:u w:val="single"/>
        </w:rPr>
        <w:t>0m</w:t>
      </w:r>
      <w:r>
        <w:rPr>
          <w:rFonts w:ascii="Times New Roman" w:hAnsi="Times New Roman"/>
          <w:bCs/>
          <w:sz w:val="24"/>
          <w:u w:val="single"/>
          <w:vertAlign w:val="superscript"/>
        </w:rPr>
        <w:t>3</w:t>
      </w:r>
      <w:r>
        <w:rPr>
          <w:rFonts w:ascii="Times New Roman" w:hAnsi="Times New Roman"/>
          <w:bCs/>
          <w:sz w:val="24"/>
          <w:u w:val="single"/>
        </w:rPr>
        <w:t>）沉淀后，通过水泵抽至压滤间沉淀池内回用于选矿工序，不外排</w:t>
      </w:r>
      <w:r>
        <w:rPr>
          <w:rFonts w:ascii="Times New Roman" w:hAnsi="Times New Roman"/>
          <w:color w:val="000000"/>
          <w:sz w:val="24"/>
          <w:szCs w:val="24"/>
          <w:u w:val="single"/>
        </w:rPr>
        <w:t>。</w:t>
      </w:r>
    </w:p>
    <w:p>
      <w:pPr>
        <w:pStyle w:val="2"/>
        <w:rPr>
          <w:u w:val="single"/>
        </w:rPr>
      </w:pPr>
      <w:r>
        <w:rPr>
          <w:sz w:val="24"/>
          <w:u w:val="single"/>
        </w:rPr>
        <mc:AlternateContent>
          <mc:Choice Requires="wps">
            <w:drawing>
              <wp:anchor distT="0" distB="0" distL="114300" distR="114300" simplePos="0" relativeHeight="251716608" behindDoc="0" locked="0" layoutInCell="1" allowOverlap="1">
                <wp:simplePos x="0" y="0"/>
                <wp:positionH relativeFrom="column">
                  <wp:posOffset>3669665</wp:posOffset>
                </wp:positionH>
                <wp:positionV relativeFrom="paragraph">
                  <wp:posOffset>128270</wp:posOffset>
                </wp:positionV>
                <wp:extent cx="962025" cy="304800"/>
                <wp:effectExtent l="0" t="0" r="0" b="0"/>
                <wp:wrapNone/>
                <wp:docPr id="225" name="矩形 1513"/>
                <wp:cNvGraphicFramePr/>
                <a:graphic xmlns:a="http://schemas.openxmlformats.org/drawingml/2006/main">
                  <a:graphicData uri="http://schemas.microsoft.com/office/word/2010/wordprocessingShape">
                    <wps:wsp>
                      <wps:cNvSpPr/>
                      <wps:spPr>
                        <a:xfrm>
                          <a:off x="0" y="0"/>
                          <a:ext cx="962025" cy="304800"/>
                        </a:xfrm>
                        <a:prstGeom prst="rect">
                          <a:avLst/>
                        </a:prstGeom>
                        <a:noFill/>
                        <a:ln>
                          <a:noFill/>
                        </a:ln>
                      </wps:spPr>
                      <wps:txbx>
                        <w:txbxContent>
                          <w:p>
                            <w:pPr>
                              <w:jc w:val="center"/>
                            </w:pPr>
                            <w:r>
                              <w:rPr>
                                <w:rFonts w:hint="eastAsia"/>
                              </w:rPr>
                              <w:t>损耗</w:t>
                            </w:r>
                            <w:r>
                              <w:rPr>
                                <w:rFonts w:ascii="Times New Roman" w:hAnsi="Times New Roman"/>
                              </w:rPr>
                              <w:t>210000</w:t>
                            </w:r>
                          </w:p>
                        </w:txbxContent>
                      </wps:txbx>
                      <wps:bodyPr upright="1"/>
                    </wps:wsp>
                  </a:graphicData>
                </a:graphic>
              </wp:anchor>
            </w:drawing>
          </mc:Choice>
          <mc:Fallback>
            <w:pict>
              <v:rect id="矩形 1513" o:spid="_x0000_s1026" o:spt="1" style="position:absolute;left:0pt;margin-left:288.95pt;margin-top:10.1pt;height:24pt;width:75.75pt;z-index:251716608;mso-width-relative:page;mso-height-relative:page;" filled="f" stroked="f" coordsize="21600,21600" o:gfxdata="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Be2c7bAAAACQEA&#10;AA8AAAAAAAAAAQAgAAAAIgAAAGRycy9kb3ducmV2LnhtbFBLAQIUABQAAAAIAIdO4kCXLgUNpQEA&#10;AEUDAAAOAAAAAAAAAAEAIAAAACoBAABkcnMvZTJvRG9jLnhtbFBLBQYAAAAABgAGAFkBAABBBQAA&#10;AAA=&#10;">
                <v:fill on="f" focussize="0,0"/>
                <v:stroke on="f"/>
                <v:imagedata o:title=""/>
                <o:lock v:ext="edit" aspectratio="f"/>
                <v:textbox>
                  <w:txbxContent>
                    <w:p>
                      <w:pPr>
                        <w:jc w:val="center"/>
                      </w:pPr>
                      <w:r>
                        <w:rPr>
                          <w:rFonts w:hint="eastAsia"/>
                        </w:rPr>
                        <w:t>损耗</w:t>
                      </w:r>
                      <w:r>
                        <w:rPr>
                          <w:rFonts w:ascii="Times New Roman" w:hAnsi="Times New Roman"/>
                        </w:rPr>
                        <w:t>210000</w:t>
                      </w:r>
                    </w:p>
                  </w:txbxContent>
                </v:textbox>
              </v:rect>
            </w:pict>
          </mc:Fallback>
        </mc:AlternateContent>
      </w:r>
    </w:p>
    <w:p>
      <w:pPr>
        <w:pStyle w:val="2"/>
        <w:rPr>
          <w:color w:val="000000"/>
          <w:sz w:val="24"/>
          <w:szCs w:val="24"/>
          <w:u w:val="single"/>
        </w:rPr>
      </w:pPr>
      <w:r>
        <w:rPr>
          <w:sz w:val="24"/>
          <w:u w:val="single"/>
        </w:rPr>
        <mc:AlternateContent>
          <mc:Choice Requires="wps">
            <w:drawing>
              <wp:anchor distT="0" distB="0" distL="114300" distR="114300" simplePos="0" relativeHeight="251717632" behindDoc="0" locked="0" layoutInCell="1" allowOverlap="1">
                <wp:simplePos x="0" y="0"/>
                <wp:positionH relativeFrom="column">
                  <wp:posOffset>897890</wp:posOffset>
                </wp:positionH>
                <wp:positionV relativeFrom="paragraph">
                  <wp:posOffset>82550</wp:posOffset>
                </wp:positionV>
                <wp:extent cx="572135" cy="304800"/>
                <wp:effectExtent l="0" t="0" r="0" b="0"/>
                <wp:wrapNone/>
                <wp:docPr id="226" name="矩形 1514"/>
                <wp:cNvGraphicFramePr/>
                <a:graphic xmlns:a="http://schemas.openxmlformats.org/drawingml/2006/main">
                  <a:graphicData uri="http://schemas.microsoft.com/office/word/2010/wordprocessingShape">
                    <wps:wsp>
                      <wps:cNvSpPr/>
                      <wps:spPr>
                        <a:xfrm>
                          <a:off x="0" y="0"/>
                          <a:ext cx="572135" cy="304800"/>
                        </a:xfrm>
                        <a:prstGeom prst="rect">
                          <a:avLst/>
                        </a:prstGeom>
                        <a:noFill/>
                        <a:ln>
                          <a:noFill/>
                        </a:ln>
                      </wps:spPr>
                      <wps:txbx>
                        <w:txbxContent>
                          <w:p>
                            <w:pPr>
                              <w:pStyle w:val="2"/>
                              <w:rPr>
                                <w:rFonts w:ascii="Times New Roman" w:hAnsi="Times New Roman"/>
                              </w:rPr>
                            </w:pPr>
                            <w:r>
                              <w:rPr>
                                <w:rFonts w:hint="eastAsia" w:ascii="Times New Roman" w:hAnsi="Times New Roman"/>
                              </w:rPr>
                              <w:t>30000</w:t>
                            </w:r>
                          </w:p>
                          <w:p/>
                        </w:txbxContent>
                      </wps:txbx>
                      <wps:bodyPr upright="1"/>
                    </wps:wsp>
                  </a:graphicData>
                </a:graphic>
              </wp:anchor>
            </w:drawing>
          </mc:Choice>
          <mc:Fallback>
            <w:pict>
              <v:rect id="矩形 1514" o:spid="_x0000_s1026" o:spt="1" style="position:absolute;left:0pt;margin-left:70.7pt;margin-top:6.5pt;height:24pt;width:45.05pt;z-index:251717632;mso-width-relative:page;mso-height-relative:page;" filled="f" stroked="f" coordsize="21600,21600" o:gfxdata="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Qbu4NkAAAAJAQAA&#10;DwAAAAAAAAABACAAAAAiAAAAZHJzL2Rvd25yZXYueG1sUEsBAhQAFAAAAAgAh07iQKeRY0umAQAA&#10;RQMAAA4AAAAAAAAAAQAgAAAAKAEAAGRycy9lMm9Eb2MueG1sUEsFBgAAAAAGAAYAWQEAAEAFAAAA&#10;AA==&#10;">
                <v:fill on="f" focussize="0,0"/>
                <v:stroke on="f"/>
                <v:imagedata o:title=""/>
                <o:lock v:ext="edit" aspectratio="f"/>
                <v:textbox>
                  <w:txbxContent>
                    <w:p>
                      <w:pPr>
                        <w:pStyle w:val="2"/>
                        <w:rPr>
                          <w:rFonts w:ascii="Times New Roman" w:hAnsi="Times New Roman"/>
                        </w:rPr>
                      </w:pPr>
                      <w:r>
                        <w:rPr>
                          <w:rFonts w:hint="eastAsia" w:ascii="Times New Roman" w:hAnsi="Times New Roman"/>
                        </w:rPr>
                        <w:t>30000</w:t>
                      </w:r>
                    </w:p>
                    <w:p/>
                  </w:txbxContent>
                </v:textbox>
              </v:rect>
            </w:pict>
          </mc:Fallback>
        </mc:AlternateContent>
      </w:r>
      <w:r>
        <w:rPr>
          <w:sz w:val="24"/>
          <w:u w:val="single"/>
        </w:rPr>
        <mc:AlternateContent>
          <mc:Choice Requires="wps">
            <w:drawing>
              <wp:anchor distT="0" distB="0" distL="114300" distR="114300" simplePos="0" relativeHeight="251740160" behindDoc="0" locked="0" layoutInCell="1" allowOverlap="1">
                <wp:simplePos x="0" y="0"/>
                <wp:positionH relativeFrom="column">
                  <wp:posOffset>1851025</wp:posOffset>
                </wp:positionH>
                <wp:positionV relativeFrom="paragraph">
                  <wp:posOffset>147955</wp:posOffset>
                </wp:positionV>
                <wp:extent cx="635" cy="351155"/>
                <wp:effectExtent l="48895" t="0" r="64770" b="10795"/>
                <wp:wrapNone/>
                <wp:docPr id="252" name="直线 388"/>
                <wp:cNvGraphicFramePr/>
                <a:graphic xmlns:a="http://schemas.openxmlformats.org/drawingml/2006/main">
                  <a:graphicData uri="http://schemas.microsoft.com/office/word/2010/wordprocessingShape">
                    <wps:wsp>
                      <wps:cNvSpPr/>
                      <wps:spPr>
                        <a:xfrm>
                          <a:off x="0" y="0"/>
                          <a:ext cx="635" cy="3511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88" o:spid="_x0000_s1026" o:spt="20" style="position:absolute;left:0pt;margin-left:145.75pt;margin-top:11.65pt;height:27.65pt;width:0.05pt;z-index:251740160;mso-width-relative:page;mso-height-relative:page;" filled="f" stroked="t" coordsize="21600,21600" o:gfxdata="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tl8x2QAAAAkBAAAPAAAAAAAAAAEAIAAAACIAAABkcnMvZG93bnJldi54bWxQSwECFAAU&#10;AAAACACHTuJAyl/evfABAADhAwAADgAAAAAAAAABACAAAAAoAQAAZHJzL2Uyb0RvYy54bWxQSwUG&#10;AAAAAAYABgBZAQAAigU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743232" behindDoc="0" locked="0" layoutInCell="1" allowOverlap="1">
                <wp:simplePos x="0" y="0"/>
                <wp:positionH relativeFrom="column">
                  <wp:posOffset>440690</wp:posOffset>
                </wp:positionH>
                <wp:positionV relativeFrom="paragraph">
                  <wp:posOffset>137795</wp:posOffset>
                </wp:positionV>
                <wp:extent cx="635" cy="381000"/>
                <wp:effectExtent l="48895" t="0" r="64770" b="0"/>
                <wp:wrapNone/>
                <wp:docPr id="255" name="直线 392"/>
                <wp:cNvGraphicFramePr/>
                <a:graphic xmlns:a="http://schemas.openxmlformats.org/drawingml/2006/main">
                  <a:graphicData uri="http://schemas.microsoft.com/office/word/2010/wordprocessingShape">
                    <wps:wsp>
                      <wps:cNvSpPr/>
                      <wps:spPr>
                        <a:xfrm flipV="1">
                          <a:off x="0" y="0"/>
                          <a:ext cx="63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92" o:spid="_x0000_s1026" o:spt="20" style="position:absolute;left:0pt;flip:y;margin-left:34.7pt;margin-top:10.85pt;height:30pt;width:0.05pt;z-index:251743232;mso-width-relative:page;mso-height-relative:page;" filled="f" stroked="t" coordsize="21600,21600" o:gfxdata="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kDK0dYAAAAHAQAADwAAAAAAAAABACAAAAAiAAAAZHJzL2Rvd25yZXYueG1s&#10;UEsBAhQAFAAAAAgAh07iQPj6vY36AQAA6wMAAA4AAAAAAAAAAQAgAAAAJQEAAGRycy9lMm9Eb2Mu&#10;eG1sUEsFBgAAAAAGAAYAWQEAAJEFA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742208" behindDoc="0" locked="0" layoutInCell="1" allowOverlap="1">
                <wp:simplePos x="0" y="0"/>
                <wp:positionH relativeFrom="column">
                  <wp:posOffset>431165</wp:posOffset>
                </wp:positionH>
                <wp:positionV relativeFrom="paragraph">
                  <wp:posOffset>145415</wp:posOffset>
                </wp:positionV>
                <wp:extent cx="1429385" cy="635"/>
                <wp:effectExtent l="0" t="0" r="0" b="0"/>
                <wp:wrapNone/>
                <wp:docPr id="254" name="直线 391"/>
                <wp:cNvGraphicFramePr/>
                <a:graphic xmlns:a="http://schemas.openxmlformats.org/drawingml/2006/main">
                  <a:graphicData uri="http://schemas.microsoft.com/office/word/2010/wordprocessingShape">
                    <wps:wsp>
                      <wps:cNvSpPr/>
                      <wps:spPr>
                        <a:xfrm flipH="1">
                          <a:off x="0" y="0"/>
                          <a:ext cx="142938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1" o:spid="_x0000_s1026" o:spt="20" style="position:absolute;left:0pt;flip:x;margin-left:33.95pt;margin-top:11.45pt;height:0.05pt;width:112.55pt;z-index:251742208;mso-width-relative:page;mso-height-relative:page;" filled="f" stroked="t" coordsize="21600,21600" o:gfxdata="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KX+NQAAAAIAQAADwAAAAAAAAABACAAAAAiAAAAZHJzL2Rvd25yZXYueG1sUEsBAhQAFAAA&#10;AAgAh07iQByBd3jzAQAA6wMAAA4AAAAAAAAAAQAgAAAAIwEAAGRycy9lMm9Eb2MueG1sUEsFBgAA&#10;AAAGAAYAWQEAAIgFAAAAAA==&#10;">
                <v:fill on="f" focussize="0,0"/>
                <v:stroke color="#000000" joinstyle="round"/>
                <v:imagedata o:title=""/>
                <o:lock v:ext="edit" aspectratio="f"/>
              </v:line>
            </w:pict>
          </mc:Fallback>
        </mc:AlternateContent>
      </w:r>
      <w:r>
        <w:rPr>
          <w:sz w:val="24"/>
          <w:u w:val="single"/>
        </w:rPr>
        <mc:AlternateContent>
          <mc:Choice Requires="wps">
            <w:drawing>
              <wp:anchor distT="0" distB="0" distL="114300" distR="114300" simplePos="0" relativeHeight="251718656" behindDoc="0" locked="0" layoutInCell="1" allowOverlap="1">
                <wp:simplePos x="0" y="0"/>
                <wp:positionH relativeFrom="column">
                  <wp:posOffset>4133215</wp:posOffset>
                </wp:positionH>
                <wp:positionV relativeFrom="paragraph">
                  <wp:posOffset>125095</wp:posOffset>
                </wp:positionV>
                <wp:extent cx="635" cy="371475"/>
                <wp:effectExtent l="48895" t="0" r="64770" b="9525"/>
                <wp:wrapNone/>
                <wp:docPr id="227" name="直线 1553"/>
                <wp:cNvGraphicFramePr/>
                <a:graphic xmlns:a="http://schemas.openxmlformats.org/drawingml/2006/main">
                  <a:graphicData uri="http://schemas.microsoft.com/office/word/2010/wordprocessingShape">
                    <wps:wsp>
                      <wps:cNvSpPr/>
                      <wps:spPr>
                        <a:xfrm flipV="1">
                          <a:off x="0" y="0"/>
                          <a:ext cx="635" cy="371475"/>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1553" o:spid="_x0000_s1026" o:spt="20" style="position:absolute;left:0pt;flip:y;margin-left:325.45pt;margin-top:9.85pt;height:29.25pt;width:0.05pt;z-index:251718656;mso-width-relative:page;mso-height-relative:page;" filled="f" stroked="t" coordsize="21600,21600" o:gfxdata="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xv8vDWAAAACQEAAA8AAAAAAAAAAQAgAAAAIgAAAGRycy9kb3ducmV2LnhtbFBL&#10;AQIUABQAAAAIAIdO4kBAtLw1+AEAAOsDAAAOAAAAAAAAAAEAIAAAACUBAABkcnMvZTJvRG9jLnht&#10;bFBLBQYAAAAABgAGAFkBAACPBQAAAAA=&#10;">
                <v:fill on="f" focussize="0,0"/>
                <v:stroke color="#000000" joinstyle="round" dashstyle="dash" endarrow="open"/>
                <v:imagedata o:title=""/>
                <o:lock v:ext="edit" aspectratio="f"/>
              </v:line>
            </w:pict>
          </mc:Fallback>
        </mc:AlternateContent>
      </w:r>
    </w:p>
    <w:p>
      <w:pPr>
        <w:pStyle w:val="2"/>
        <w:rPr>
          <w:color w:val="000000"/>
          <w:sz w:val="24"/>
          <w:szCs w:val="24"/>
          <w:u w:val="single"/>
        </w:rPr>
      </w:pPr>
      <w:r>
        <w:rPr>
          <w:sz w:val="24"/>
          <w:u w:val="single"/>
        </w:rPr>
        <mc:AlternateContent>
          <mc:Choice Requires="wps">
            <w:drawing>
              <wp:anchor distT="0" distB="0" distL="114300" distR="114300" simplePos="0" relativeHeight="251741184" behindDoc="0" locked="0" layoutInCell="1" allowOverlap="1">
                <wp:simplePos x="0" y="0"/>
                <wp:positionH relativeFrom="column">
                  <wp:posOffset>2621915</wp:posOffset>
                </wp:positionH>
                <wp:positionV relativeFrom="paragraph">
                  <wp:posOffset>132080</wp:posOffset>
                </wp:positionV>
                <wp:extent cx="686435" cy="304800"/>
                <wp:effectExtent l="0" t="0" r="0" b="0"/>
                <wp:wrapNone/>
                <wp:docPr id="253" name="矩形 390"/>
                <wp:cNvGraphicFramePr/>
                <a:graphic xmlns:a="http://schemas.openxmlformats.org/drawingml/2006/main">
                  <a:graphicData uri="http://schemas.microsoft.com/office/word/2010/wordprocessingShape">
                    <wps:wsp>
                      <wps:cNvSpPr/>
                      <wps:spPr>
                        <a:xfrm>
                          <a:off x="0" y="0"/>
                          <a:ext cx="686435" cy="304800"/>
                        </a:xfrm>
                        <a:prstGeom prst="rect">
                          <a:avLst/>
                        </a:prstGeom>
                        <a:noFill/>
                        <a:ln>
                          <a:noFill/>
                        </a:ln>
                      </wps:spPr>
                      <wps:txbx>
                        <w:txbxContent>
                          <w:p>
                            <w:pPr>
                              <w:jc w:val="center"/>
                              <w:rPr>
                                <w:rFonts w:ascii="Times New Roman" w:hAnsi="Times New Roman"/>
                              </w:rPr>
                            </w:pPr>
                            <w:r>
                              <w:rPr>
                                <w:rFonts w:ascii="Times New Roman" w:hAnsi="Times New Roman"/>
                              </w:rPr>
                              <w:t>240000</w:t>
                            </w:r>
                          </w:p>
                        </w:txbxContent>
                      </wps:txbx>
                      <wps:bodyPr upright="1"/>
                    </wps:wsp>
                  </a:graphicData>
                </a:graphic>
              </wp:anchor>
            </w:drawing>
          </mc:Choice>
          <mc:Fallback>
            <w:pict>
              <v:rect id="矩形 390" o:spid="_x0000_s1026" o:spt="1" style="position:absolute;left:0pt;margin-left:206.45pt;margin-top:10.4pt;height:24pt;width:54.05pt;z-index:251741184;mso-width-relative:page;mso-height-relative:page;" filled="f" stroked="f" coordsize="21600,21600" o:gfxdata="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dyTPU2QAAAAkBAAAP&#10;AAAAAAAAAAEAIAAAACIAAABkcnMvZG93bnJldi54bWxQSwECFAAUAAAACACHTuJAO4rHq6UBAABE&#10;AwAADgAAAAAAAAABACAAAAAoAQAAZHJzL2Uyb0RvYy54bWxQSwUGAAAAAAYABgBZAQAAPwUAAAAA&#10;">
                <v:fill on="f" focussize="0,0"/>
                <v:stroke on="f"/>
                <v:imagedata o:title=""/>
                <o:lock v:ext="edit" aspectratio="f"/>
                <v:textbox>
                  <w:txbxContent>
                    <w:p>
                      <w:pPr>
                        <w:jc w:val="center"/>
                        <w:rPr>
                          <w:rFonts w:ascii="Times New Roman" w:hAnsi="Times New Roman"/>
                        </w:rPr>
                      </w:pPr>
                      <w:r>
                        <w:rPr>
                          <w:rFonts w:ascii="Times New Roman" w:hAnsi="Times New Roman"/>
                        </w:rPr>
                        <w:t>240000</w:t>
                      </w:r>
                    </w:p>
                  </w:txbxContent>
                </v:textbox>
              </v:rect>
            </w:pict>
          </mc:Fallback>
        </mc:AlternateContent>
      </w:r>
      <w:r>
        <w:rPr>
          <w:sz w:val="24"/>
          <w:u w:val="single"/>
        </w:rPr>
        <mc:AlternateContent>
          <mc:Choice Requires="wps">
            <w:drawing>
              <wp:anchor distT="0" distB="0" distL="114300" distR="114300" simplePos="0" relativeHeight="251708416" behindDoc="0" locked="0" layoutInCell="1" allowOverlap="1">
                <wp:simplePos x="0" y="0"/>
                <wp:positionH relativeFrom="column">
                  <wp:posOffset>-615950</wp:posOffset>
                </wp:positionH>
                <wp:positionV relativeFrom="paragraph">
                  <wp:posOffset>225425</wp:posOffset>
                </wp:positionV>
                <wp:extent cx="1627505" cy="304800"/>
                <wp:effectExtent l="4445" t="4445" r="6350" b="14605"/>
                <wp:wrapNone/>
                <wp:docPr id="217" name="矩形 1497"/>
                <wp:cNvGraphicFramePr/>
                <a:graphic xmlns:a="http://schemas.openxmlformats.org/drawingml/2006/main">
                  <a:graphicData uri="http://schemas.microsoft.com/office/word/2010/wordprocessingShape">
                    <wps:wsp>
                      <wps:cNvSpPr/>
                      <wps:spPr>
                        <a:xfrm>
                          <a:off x="0" y="0"/>
                          <a:ext cx="1627505"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选矿车间现有高位水池</w:t>
                            </w:r>
                          </w:p>
                        </w:txbxContent>
                      </wps:txbx>
                      <wps:bodyPr upright="1"/>
                    </wps:wsp>
                  </a:graphicData>
                </a:graphic>
              </wp:anchor>
            </w:drawing>
          </mc:Choice>
          <mc:Fallback>
            <w:pict>
              <v:rect id="矩形 1497" o:spid="_x0000_s1026" o:spt="1" style="position:absolute;left:0pt;margin-left:-48.5pt;margin-top:17.75pt;height:24pt;width:128.15pt;z-index:251708416;mso-width-relative:page;mso-height-relative:page;" filled="f" stroked="t" coordsize="21600,21600" o:gfxdata="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NPzi/YAAAACQEAAA8AAAAAAAAAAQAgAAAAIgAAAGRycy9k&#10;b3ducmV2LnhtbFBLAQIUABQAAAAIAIdO4kAO5lo9AgIAAAUEAAAOAAAAAAAAAAEAIAAAACcBAABk&#10;cnMvZTJvRG9jLnhtbFBLBQYAAAAABgAGAFkBAACbBQAAAAA=&#10;">
                <v:fill on="f" focussize="0,0"/>
                <v:stroke color="#000000" joinstyle="miter"/>
                <v:imagedata o:title=""/>
                <o:lock v:ext="edit" aspectratio="f"/>
                <v:textbox>
                  <w:txbxContent>
                    <w:p>
                      <w:pPr>
                        <w:jc w:val="center"/>
                      </w:pPr>
                      <w:r>
                        <w:rPr>
                          <w:rFonts w:hint="eastAsia"/>
                        </w:rPr>
                        <w:t>选矿车间现有高位水池</w:t>
                      </w:r>
                    </w:p>
                  </w:txbxContent>
                </v:textbox>
              </v:rect>
            </w:pict>
          </mc:Fallback>
        </mc:AlternateContent>
      </w:r>
      <w:r>
        <w:rPr>
          <w:sz w:val="24"/>
          <w:u w:val="single"/>
        </w:rPr>
        <mc:AlternateContent>
          <mc:Choice Requires="wps">
            <w:drawing>
              <wp:anchor distT="0" distB="0" distL="114300" distR="114300" simplePos="0" relativeHeight="251709440" behindDoc="0" locked="0" layoutInCell="1" allowOverlap="1">
                <wp:simplePos x="0" y="0"/>
                <wp:positionH relativeFrom="column">
                  <wp:posOffset>1194435</wp:posOffset>
                </wp:positionH>
                <wp:positionV relativeFrom="paragraph">
                  <wp:posOffset>236855</wp:posOffset>
                </wp:positionV>
                <wp:extent cx="1427480" cy="304800"/>
                <wp:effectExtent l="4445" t="4445" r="15875" b="14605"/>
                <wp:wrapNone/>
                <wp:docPr id="218" name="矩形 1499"/>
                <wp:cNvGraphicFramePr/>
                <a:graphic xmlns:a="http://schemas.openxmlformats.org/drawingml/2006/main">
                  <a:graphicData uri="http://schemas.microsoft.com/office/word/2010/wordprocessingShape">
                    <wps:wsp>
                      <wps:cNvSpPr/>
                      <wps:spPr>
                        <a:xfrm>
                          <a:off x="0" y="0"/>
                          <a:ext cx="1427480"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选矿工艺产生尾矿浆</w:t>
                            </w:r>
                          </w:p>
                        </w:txbxContent>
                      </wps:txbx>
                      <wps:bodyPr upright="1"/>
                    </wps:wsp>
                  </a:graphicData>
                </a:graphic>
              </wp:anchor>
            </w:drawing>
          </mc:Choice>
          <mc:Fallback>
            <w:pict>
              <v:rect id="矩形 1499" o:spid="_x0000_s1026" o:spt="1" style="position:absolute;left:0pt;margin-left:94.05pt;margin-top:18.65pt;height:24pt;width:112.4pt;z-index:251709440;mso-width-relative:page;mso-height-relative:page;" filled="f" stroked="t" coordsize="21600,21600" o:gfxdata="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L2m5jXAAAACQEAAA8AAAAAAAAAAQAgAAAAIgAAAGRycy9kb3du&#10;cmV2LnhtbFBLAQIUABQAAAAIAIdO4kDeATCsAAIAAAUEAAAOAAAAAAAAAAEAIAAAACYBAABkcnMv&#10;ZTJvRG9jLnhtbFBLBQYAAAAABgAGAFkBAACYBQAAAAA=&#10;">
                <v:fill on="f" focussize="0,0"/>
                <v:stroke color="#000000" joinstyle="miter"/>
                <v:imagedata o:title=""/>
                <o:lock v:ext="edit" aspectratio="f"/>
                <v:textbox>
                  <w:txbxContent>
                    <w:p>
                      <w:pPr>
                        <w:jc w:val="center"/>
                      </w:pPr>
                      <w:r>
                        <w:rPr>
                          <w:rFonts w:hint="eastAsia"/>
                        </w:rPr>
                        <w:t>选矿工艺产生尾矿浆</w:t>
                      </w:r>
                    </w:p>
                  </w:txbxContent>
                </v:textbox>
              </v:rect>
            </w:pict>
          </mc:Fallback>
        </mc:AlternateContent>
      </w:r>
      <w:r>
        <w:rPr>
          <w:sz w:val="24"/>
          <w:u w:val="single"/>
        </w:rPr>
        <mc:AlternateContent>
          <mc:Choice Requires="wps">
            <w:drawing>
              <wp:anchor distT="0" distB="0" distL="114300" distR="114300" simplePos="0" relativeHeight="251711488" behindDoc="0" locked="0" layoutInCell="1" allowOverlap="1">
                <wp:simplePos x="0" y="0"/>
                <wp:positionH relativeFrom="column">
                  <wp:posOffset>3241040</wp:posOffset>
                </wp:positionH>
                <wp:positionV relativeFrom="paragraph">
                  <wp:posOffset>227330</wp:posOffset>
                </wp:positionV>
                <wp:extent cx="1095375" cy="304800"/>
                <wp:effectExtent l="4445" t="4445" r="5080" b="14605"/>
                <wp:wrapNone/>
                <wp:docPr id="220" name="矩形 1501"/>
                <wp:cNvGraphicFramePr/>
                <a:graphic xmlns:a="http://schemas.openxmlformats.org/drawingml/2006/main">
                  <a:graphicData uri="http://schemas.microsoft.com/office/word/2010/wordprocessingShape">
                    <wps:wsp>
                      <wps:cNvSpPr/>
                      <wps:spPr>
                        <a:xfrm>
                          <a:off x="0" y="0"/>
                          <a:ext cx="1095375"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尾矿脱水</w:t>
                            </w:r>
                          </w:p>
                        </w:txbxContent>
                      </wps:txbx>
                      <wps:bodyPr upright="1"/>
                    </wps:wsp>
                  </a:graphicData>
                </a:graphic>
              </wp:anchor>
            </w:drawing>
          </mc:Choice>
          <mc:Fallback>
            <w:pict>
              <v:rect id="矩形 1501" o:spid="_x0000_s1026" o:spt="1" style="position:absolute;left:0pt;margin-left:255.2pt;margin-top:17.9pt;height:24pt;width:86.25pt;z-index:251711488;mso-width-relative:page;mso-height-relative:page;" filled="f" stroked="t" coordsize="21600,21600" o:gfxdata="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IBga2AAAAAkBAAAPAAAAAAAAAAEAIAAAACIAAABkcnMvZG93&#10;bnJldi54bWxQSwECFAAUAAAACACHTuJA3mcrlgACAAAFBAAADgAAAAAAAAABACAAAAAnAQAAZHJz&#10;L2Uyb0RvYy54bWxQSwUGAAAAAAYABgBZAQAAmQUAAAAA&#10;">
                <v:fill on="f" focussize="0,0"/>
                <v:stroke color="#000000" joinstyle="miter"/>
                <v:imagedata o:title=""/>
                <o:lock v:ext="edit" aspectratio="f"/>
                <v:textbox>
                  <w:txbxContent>
                    <w:p>
                      <w:pPr>
                        <w:jc w:val="center"/>
                      </w:pPr>
                      <w:r>
                        <w:rPr>
                          <w:rFonts w:hint="eastAsia"/>
                        </w:rPr>
                        <w:t>尾矿脱水</w:t>
                      </w:r>
                    </w:p>
                  </w:txbxContent>
                </v:textbox>
              </v:rect>
            </w:pict>
          </mc:Fallback>
        </mc:AlternateContent>
      </w:r>
    </w:p>
    <w:p>
      <w:pPr>
        <w:pStyle w:val="2"/>
        <w:rPr>
          <w:color w:val="000000"/>
          <w:sz w:val="24"/>
          <w:szCs w:val="24"/>
          <w:u w:val="single"/>
        </w:rPr>
      </w:pPr>
      <w:r>
        <w:rPr>
          <w:sz w:val="24"/>
          <w:u w:val="single"/>
        </w:rPr>
        <mc:AlternateContent>
          <mc:Choice Requires="wps">
            <w:drawing>
              <wp:anchor distT="0" distB="0" distL="114300" distR="114300" simplePos="0" relativeHeight="251710464" behindDoc="0" locked="0" layoutInCell="1" allowOverlap="1">
                <wp:simplePos x="0" y="0"/>
                <wp:positionH relativeFrom="column">
                  <wp:posOffset>2649220</wp:posOffset>
                </wp:positionH>
                <wp:positionV relativeFrom="paragraph">
                  <wp:posOffset>101600</wp:posOffset>
                </wp:positionV>
                <wp:extent cx="591820" cy="635"/>
                <wp:effectExtent l="0" t="48895" r="17780" b="64770"/>
                <wp:wrapNone/>
                <wp:docPr id="219" name="直线 1500"/>
                <wp:cNvGraphicFramePr/>
                <a:graphic xmlns:a="http://schemas.openxmlformats.org/drawingml/2006/main">
                  <a:graphicData uri="http://schemas.microsoft.com/office/word/2010/wordprocessingShape">
                    <wps:wsp>
                      <wps:cNvSpPr/>
                      <wps:spPr>
                        <a:xfrm>
                          <a:off x="0" y="0"/>
                          <a:ext cx="5918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500" o:spid="_x0000_s1026" o:spt="20" style="position:absolute;left:0pt;margin-left:208.6pt;margin-top:8pt;height:0.05pt;width:46.6pt;z-index:251710464;mso-width-relative:page;mso-height-relative:page;" filled="f" stroked="t" coordsize="21600,21600" o:gfxdata="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dX29nYAAAACQEAAA8AAAAAAAAAAQAgAAAAIgAAAGRycy9kb3ducmV2LnhtbFBLAQIUABQA&#10;AAAIAIdO4kBnF/O48AEAAOIDAAAOAAAAAAAAAAEAIAAAACcBAABkcnMvZTJvRG9jLnhtbFBLBQYA&#10;AAAABgAGAFkBAACJBQ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712512" behindDoc="0" locked="0" layoutInCell="1" allowOverlap="1">
                <wp:simplePos x="0" y="0"/>
                <wp:positionH relativeFrom="column">
                  <wp:posOffset>3774440</wp:posOffset>
                </wp:positionH>
                <wp:positionV relativeFrom="paragraph">
                  <wp:posOffset>273050</wp:posOffset>
                </wp:positionV>
                <wp:extent cx="635" cy="476250"/>
                <wp:effectExtent l="48895" t="0" r="64770" b="0"/>
                <wp:wrapNone/>
                <wp:docPr id="221" name="直线 1502"/>
                <wp:cNvGraphicFramePr/>
                <a:graphic xmlns:a="http://schemas.openxmlformats.org/drawingml/2006/main">
                  <a:graphicData uri="http://schemas.microsoft.com/office/word/2010/wordprocessingShape">
                    <wps:wsp>
                      <wps:cNvSp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502" o:spid="_x0000_s1026" o:spt="20" style="position:absolute;left:0pt;margin-left:297.2pt;margin-top:21.5pt;height:37.5pt;width:0.05pt;z-index:251712512;mso-width-relative:page;mso-height-relative:page;" filled="f" stroked="t" coordsize="21600,21600" o:gfxdata="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7HB/S2QAAAAoBAAAPAAAAAAAAAAEAIAAAACIAAABkcnMvZG93bnJldi54bWxQSwEC&#10;FAAUAAAACACHTuJASJoU+fMBAADiAwAADgAAAAAAAAABACAAAAAoAQAAZHJzL2Uyb0RvYy54bWxQ&#10;SwUGAAAAAAYABgBZAQAAjQUAAAAA&#10;">
                <v:fill on="f" focussize="0,0"/>
                <v:stroke color="#000000" joinstyle="round" endarrow="open"/>
                <v:imagedata o:title=""/>
                <o:lock v:ext="edit" aspectratio="f"/>
              </v:line>
            </w:pict>
          </mc:Fallback>
        </mc:AlternateContent>
      </w:r>
    </w:p>
    <w:p>
      <w:pPr>
        <w:pStyle w:val="2"/>
        <w:rPr>
          <w:color w:val="000000"/>
          <w:sz w:val="24"/>
          <w:szCs w:val="24"/>
          <w:u w:val="single"/>
        </w:rPr>
      </w:pPr>
      <w:r>
        <w:rPr>
          <w:sz w:val="24"/>
          <w:u w:val="single"/>
        </w:rPr>
        <mc:AlternateContent>
          <mc:Choice Requires="wps">
            <w:drawing>
              <wp:anchor distT="0" distB="0" distL="114300" distR="114300" simplePos="0" relativeHeight="251715584" behindDoc="0" locked="0" layoutInCell="1" allowOverlap="1">
                <wp:simplePos x="0" y="0"/>
                <wp:positionH relativeFrom="column">
                  <wp:posOffset>440690</wp:posOffset>
                </wp:positionH>
                <wp:positionV relativeFrom="paragraph">
                  <wp:posOffset>10160</wp:posOffset>
                </wp:positionV>
                <wp:extent cx="635" cy="619125"/>
                <wp:effectExtent l="48895" t="0" r="64770" b="9525"/>
                <wp:wrapNone/>
                <wp:docPr id="224" name="直线 1505"/>
                <wp:cNvGraphicFramePr/>
                <a:graphic xmlns:a="http://schemas.openxmlformats.org/drawingml/2006/main">
                  <a:graphicData uri="http://schemas.microsoft.com/office/word/2010/wordprocessingShape">
                    <wps:wsp>
                      <wps:cNvSpPr/>
                      <wps:spPr>
                        <a:xfrm flipV="1">
                          <a:off x="0" y="0"/>
                          <a:ext cx="635" cy="619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505" o:spid="_x0000_s1026" o:spt="20" style="position:absolute;left:0pt;flip:y;margin-left:34.7pt;margin-top:0.8pt;height:48.75pt;width:0.05pt;z-index:251715584;mso-width-relative:page;mso-height-relative:page;" filled="f" stroked="t" coordsize="21600,21600" o:gfxdata="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QddQ3UAAAABgEAAA8AAAAAAAAAAQAgAAAAIgAAAGRycy9kb3ducmV2LnhtbFBL&#10;AQIUABQAAAAIAIdO4kCgNq4A+gEAAOwDAAAOAAAAAAAAAAEAIAAAACMBAABkcnMvZTJvRG9jLnht&#10;bFBLBQYAAAAABgAGAFkBAACPBQAAAAA=&#10;">
                <v:fill on="f" focussize="0,0"/>
                <v:stroke color="#000000" joinstyle="round" endarrow="open"/>
                <v:imagedata o:title=""/>
                <o:lock v:ext="edit" aspectratio="f"/>
              </v:line>
            </w:pict>
          </mc:Fallback>
        </mc:AlternateContent>
      </w:r>
    </w:p>
    <w:p>
      <w:pPr>
        <w:pStyle w:val="2"/>
        <w:rPr>
          <w:color w:val="000000"/>
          <w:sz w:val="24"/>
          <w:szCs w:val="24"/>
          <w:u w:val="single"/>
        </w:rPr>
      </w:pPr>
      <w:r>
        <w:rPr>
          <w:sz w:val="24"/>
          <w:u w:val="single"/>
        </w:rPr>
        <mc:AlternateContent>
          <mc:Choice Requires="wps">
            <w:drawing>
              <wp:anchor distT="0" distB="0" distL="114300" distR="114300" simplePos="0" relativeHeight="251713536" behindDoc="0" locked="0" layoutInCell="1" allowOverlap="1">
                <wp:simplePos x="0" y="0"/>
                <wp:positionH relativeFrom="column">
                  <wp:posOffset>2936875</wp:posOffset>
                </wp:positionH>
                <wp:positionV relativeFrom="paragraph">
                  <wp:posOffset>193040</wp:posOffset>
                </wp:positionV>
                <wp:extent cx="1856105" cy="304800"/>
                <wp:effectExtent l="4445" t="4445" r="6350" b="14605"/>
                <wp:wrapNone/>
                <wp:docPr id="222" name="矩形 1503"/>
                <wp:cNvGraphicFramePr/>
                <a:graphic xmlns:a="http://schemas.openxmlformats.org/drawingml/2006/main">
                  <a:graphicData uri="http://schemas.microsoft.com/office/word/2010/wordprocessingShape">
                    <wps:wsp>
                      <wps:cNvSpPr/>
                      <wps:spPr>
                        <a:xfrm>
                          <a:off x="0" y="0"/>
                          <a:ext cx="1856105"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新建压滤间沉淀池（80m</w:t>
                            </w:r>
                            <w:r>
                              <w:rPr>
                                <w:rFonts w:hint="eastAsia"/>
                                <w:vertAlign w:val="superscript"/>
                              </w:rPr>
                              <w:t>3</w:t>
                            </w:r>
                            <w:r>
                              <w:rPr>
                                <w:rFonts w:hint="eastAsia"/>
                              </w:rPr>
                              <w:t>）</w:t>
                            </w:r>
                          </w:p>
                        </w:txbxContent>
                      </wps:txbx>
                      <wps:bodyPr upright="1"/>
                    </wps:wsp>
                  </a:graphicData>
                </a:graphic>
              </wp:anchor>
            </w:drawing>
          </mc:Choice>
          <mc:Fallback>
            <w:pict>
              <v:rect id="矩形 1503" o:spid="_x0000_s1026" o:spt="1" style="position:absolute;left:0pt;margin-left:231.25pt;margin-top:15.2pt;height:24pt;width:146.15pt;z-index:251713536;mso-width-relative:page;mso-height-relative:page;" filled="f" stroked="t" coordsize="21600,21600" o:gfxdata="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aUBlNgAAAAJAQAADwAAAAAAAAABACAAAAAiAAAAZHJzL2Rv&#10;d25yZXYueG1sUEsBAhQAFAAAAAgAh07iQK1l5DQBAgAABQQAAA4AAAAAAAAAAQAgAAAAJwEAAGRy&#10;cy9lMm9Eb2MueG1sUEsFBgAAAAAGAAYAWQEAAJoFAAAAAA==&#10;">
                <v:fill on="f" focussize="0,0"/>
                <v:stroke color="#000000" joinstyle="miter"/>
                <v:imagedata o:title=""/>
                <o:lock v:ext="edit" aspectratio="f"/>
                <v:textbox>
                  <w:txbxContent>
                    <w:p>
                      <w:pPr>
                        <w:jc w:val="center"/>
                      </w:pPr>
                      <w:r>
                        <w:rPr>
                          <w:rFonts w:hint="eastAsia"/>
                        </w:rPr>
                        <w:t>新建压滤间沉淀池（80m</w:t>
                      </w:r>
                      <w:r>
                        <w:rPr>
                          <w:rFonts w:hint="eastAsia"/>
                          <w:vertAlign w:val="superscript"/>
                        </w:rPr>
                        <w:t>3</w:t>
                      </w:r>
                      <w:r>
                        <w:rPr>
                          <w:rFonts w:hint="eastAsia"/>
                        </w:rPr>
                        <w:t>）</w:t>
                      </w:r>
                    </w:p>
                  </w:txbxContent>
                </v:textbox>
              </v:rect>
            </w:pict>
          </mc:Fallback>
        </mc:AlternateContent>
      </w:r>
    </w:p>
    <w:p>
      <w:pPr>
        <w:pStyle w:val="2"/>
        <w:rPr>
          <w:b/>
          <w:bCs/>
          <w:color w:val="000000"/>
          <w:sz w:val="24"/>
          <w:szCs w:val="24"/>
          <w:u w:val="single"/>
        </w:rPr>
      </w:pPr>
      <w:r>
        <w:rPr>
          <w:sz w:val="24"/>
          <w:u w:val="single"/>
        </w:rPr>
        <mc:AlternateContent>
          <mc:Choice Requires="wps">
            <w:drawing>
              <wp:anchor distT="0" distB="0" distL="114300" distR="114300" simplePos="0" relativeHeight="251714560" behindDoc="0" locked="0" layoutInCell="1" allowOverlap="1">
                <wp:simplePos x="0" y="0"/>
                <wp:positionH relativeFrom="column">
                  <wp:posOffset>412115</wp:posOffset>
                </wp:positionH>
                <wp:positionV relativeFrom="paragraph">
                  <wp:posOffset>78740</wp:posOffset>
                </wp:positionV>
                <wp:extent cx="2496185" cy="635"/>
                <wp:effectExtent l="0" t="0" r="0" b="0"/>
                <wp:wrapNone/>
                <wp:docPr id="223" name="直线 1504"/>
                <wp:cNvGraphicFramePr/>
                <a:graphic xmlns:a="http://schemas.openxmlformats.org/drawingml/2006/main">
                  <a:graphicData uri="http://schemas.microsoft.com/office/word/2010/wordprocessingShape">
                    <wps:wsp>
                      <wps:cNvSpPr/>
                      <wps:spPr>
                        <a:xfrm flipH="1">
                          <a:off x="0" y="0"/>
                          <a:ext cx="249618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04" o:spid="_x0000_s1026" o:spt="20" style="position:absolute;left:0pt;flip:x;margin-left:32.45pt;margin-top:6.2pt;height:0.05pt;width:196.55pt;z-index:251714560;mso-width-relative:page;mso-height-relative:page;" filled="f" stroked="t" coordsize="21600,21600" o:gfxdata="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pdGCNYAAAAIAQAADwAAAAAAAAABACAAAAAiAAAAZHJzL2Rvd25yZXYueG1sUEsBAhQA&#10;FAAAAAgAh07iQPc2l1f0AQAA7AMAAA4AAAAAAAAAAQAgAAAAJQEAAGRycy9lMm9Eb2MueG1sUEsF&#10;BgAAAAAGAAYAWQEAAIsFAAAAAA==&#10;">
                <v:fill on="f" focussize="0,0"/>
                <v:stroke color="#000000" joinstyle="round"/>
                <v:imagedata o:title=""/>
                <o:lock v:ext="edit" aspectratio="f"/>
              </v:line>
            </w:pict>
          </mc:Fallback>
        </mc:AlternateContent>
      </w:r>
    </w:p>
    <w:p>
      <w:pPr>
        <w:pStyle w:val="2"/>
        <w:tabs>
          <w:tab w:val="left" w:pos="2239"/>
        </w:tabs>
        <w:jc w:val="center"/>
        <w:rPr>
          <w:b/>
          <w:bCs/>
          <w:color w:val="000000"/>
          <w:sz w:val="24"/>
          <w:szCs w:val="24"/>
          <w:u w:val="single"/>
        </w:rPr>
      </w:pPr>
      <w:r>
        <w:rPr>
          <w:sz w:val="24"/>
          <w:u w:val="single"/>
        </w:rPr>
        <mc:AlternateContent>
          <mc:Choice Requires="wps">
            <w:drawing>
              <wp:anchor distT="0" distB="0" distL="114300" distR="114300" simplePos="0" relativeHeight="251749376" behindDoc="0" locked="0" layoutInCell="1" allowOverlap="1">
                <wp:simplePos x="0" y="0"/>
                <wp:positionH relativeFrom="column">
                  <wp:posOffset>3441700</wp:posOffset>
                </wp:positionH>
                <wp:positionV relativeFrom="paragraph">
                  <wp:posOffset>162560</wp:posOffset>
                </wp:positionV>
                <wp:extent cx="1856105" cy="304800"/>
                <wp:effectExtent l="4445" t="4445" r="6350" b="14605"/>
                <wp:wrapNone/>
                <wp:docPr id="261" name="矩形 401"/>
                <wp:cNvGraphicFramePr/>
                <a:graphic xmlns:a="http://schemas.openxmlformats.org/drawingml/2006/main">
                  <a:graphicData uri="http://schemas.microsoft.com/office/word/2010/wordprocessingShape">
                    <wps:wsp>
                      <wps:cNvSpPr/>
                      <wps:spPr>
                        <a:xfrm>
                          <a:off x="0" y="0"/>
                          <a:ext cx="1856105"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新建压滤间沉淀池（80m</w:t>
                            </w:r>
                            <w:r>
                              <w:rPr>
                                <w:rFonts w:hint="eastAsia"/>
                                <w:vertAlign w:val="superscript"/>
                              </w:rPr>
                              <w:t>3</w:t>
                            </w:r>
                            <w:r>
                              <w:rPr>
                                <w:rFonts w:hint="eastAsia"/>
                              </w:rPr>
                              <w:t>）</w:t>
                            </w:r>
                          </w:p>
                        </w:txbxContent>
                      </wps:txbx>
                      <wps:bodyPr upright="1"/>
                    </wps:wsp>
                  </a:graphicData>
                </a:graphic>
              </wp:anchor>
            </w:drawing>
          </mc:Choice>
          <mc:Fallback>
            <w:pict>
              <v:rect id="矩形 401" o:spid="_x0000_s1026" o:spt="1" style="position:absolute;left:0pt;margin-left:271pt;margin-top:12.8pt;height:24pt;width:146.15pt;z-index:251749376;mso-width-relative:page;mso-height-relative:page;" filled="f" stroked="t" coordsize="21600,21600" o:gfxdata="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VI9OdkAAAAJAQAADwAAAAAAAAABACAAAAAiAAAAZHJzL2Rv&#10;d25yZXYueG1sUEsBAhQAFAAAAAgAh07iQOHZ4GMAAgAABAQAAA4AAAAAAAAAAQAgAAAAKAEAAGRy&#10;cy9lMm9Eb2MueG1sUEsFBgAAAAAGAAYAWQEAAJoFAAAAAA==&#10;">
                <v:fill on="f" focussize="0,0"/>
                <v:stroke color="#000000" joinstyle="miter"/>
                <v:imagedata o:title=""/>
                <o:lock v:ext="edit" aspectratio="f"/>
                <v:textbox>
                  <w:txbxContent>
                    <w:p>
                      <w:pPr>
                        <w:jc w:val="center"/>
                      </w:pPr>
                      <w:r>
                        <w:rPr>
                          <w:rFonts w:hint="eastAsia"/>
                        </w:rPr>
                        <w:t>新建压滤间沉淀池（80m</w:t>
                      </w:r>
                      <w:r>
                        <w:rPr>
                          <w:rFonts w:hint="eastAsia"/>
                          <w:vertAlign w:val="superscript"/>
                        </w:rPr>
                        <w:t>3</w:t>
                      </w:r>
                      <w:r>
                        <w:rPr>
                          <w:rFonts w:hint="eastAsia"/>
                        </w:rPr>
                        <w:t>）</w:t>
                      </w:r>
                    </w:p>
                  </w:txbxContent>
                </v:textbox>
              </v:rect>
            </w:pict>
          </mc:Fallback>
        </mc:AlternateContent>
      </w:r>
      <w:r>
        <w:rPr>
          <w:sz w:val="24"/>
          <w:u w:val="single"/>
        </w:rPr>
        <mc:AlternateContent>
          <mc:Choice Requires="wps">
            <w:drawing>
              <wp:anchor distT="0" distB="0" distL="114300" distR="114300" simplePos="0" relativeHeight="251748352" behindDoc="0" locked="0" layoutInCell="1" allowOverlap="1">
                <wp:simplePos x="0" y="0"/>
                <wp:positionH relativeFrom="column">
                  <wp:posOffset>1231265</wp:posOffset>
                </wp:positionH>
                <wp:positionV relativeFrom="paragraph">
                  <wp:posOffset>116840</wp:posOffset>
                </wp:positionV>
                <wp:extent cx="572135" cy="304800"/>
                <wp:effectExtent l="0" t="0" r="0" b="0"/>
                <wp:wrapNone/>
                <wp:docPr id="260" name="矩形 399"/>
                <wp:cNvGraphicFramePr/>
                <a:graphic xmlns:a="http://schemas.openxmlformats.org/drawingml/2006/main">
                  <a:graphicData uri="http://schemas.microsoft.com/office/word/2010/wordprocessingShape">
                    <wps:wsp>
                      <wps:cNvSpPr/>
                      <wps:spPr>
                        <a:xfrm>
                          <a:off x="0" y="0"/>
                          <a:ext cx="572135" cy="304800"/>
                        </a:xfrm>
                        <a:prstGeom prst="rect">
                          <a:avLst/>
                        </a:prstGeom>
                        <a:noFill/>
                        <a:ln>
                          <a:noFill/>
                        </a:ln>
                      </wps:spPr>
                      <wps:txbx>
                        <w:txbxContent>
                          <w:p>
                            <w:pPr>
                              <w:jc w:val="center"/>
                              <w:rPr>
                                <w:rFonts w:ascii="Times New Roman" w:hAnsi="Times New Roman"/>
                              </w:rPr>
                            </w:pPr>
                            <w:r>
                              <w:rPr>
                                <w:rFonts w:hint="eastAsia" w:ascii="Times New Roman" w:hAnsi="Times New Roman"/>
                              </w:rPr>
                              <w:t>27.46</w:t>
                            </w:r>
                          </w:p>
                        </w:txbxContent>
                      </wps:txbx>
                      <wps:bodyPr upright="1"/>
                    </wps:wsp>
                  </a:graphicData>
                </a:graphic>
              </wp:anchor>
            </w:drawing>
          </mc:Choice>
          <mc:Fallback>
            <w:pict>
              <v:rect id="矩形 399" o:spid="_x0000_s1026" o:spt="1" style="position:absolute;left:0pt;margin-left:96.95pt;margin-top:9.2pt;height:24pt;width:45.05pt;z-index:251748352;mso-width-relative:page;mso-height-relative:page;" filled="f" stroked="f" coordsize="21600,21600" o:gfxdata="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Nn70tkAAAAJAQAA&#10;DwAAAAAAAAABACAAAAAiAAAAZHJzL2Rvd25yZXYueG1sUEsBAhQAFAAAAAgAh07iQLwDoI2mAQAA&#10;RAMAAA4AAAAAAAAAAQAgAAAAKAEAAGRycy9lMm9Eb2MueG1sUEsFBgAAAAAGAAYAWQEAAEAFAAAA&#10;AA==&#10;">
                <v:fill on="f" focussize="0,0"/>
                <v:stroke on="f"/>
                <v:imagedata o:title=""/>
                <o:lock v:ext="edit" aspectratio="f"/>
                <v:textbox>
                  <w:txbxContent>
                    <w:p>
                      <w:pPr>
                        <w:jc w:val="center"/>
                        <w:rPr>
                          <w:rFonts w:ascii="Times New Roman" w:hAnsi="Times New Roman"/>
                        </w:rPr>
                      </w:pPr>
                      <w:r>
                        <w:rPr>
                          <w:rFonts w:hint="eastAsia" w:ascii="Times New Roman" w:hAnsi="Times New Roman"/>
                        </w:rPr>
                        <w:t>27.46</w:t>
                      </w:r>
                    </w:p>
                  </w:txbxContent>
                </v:textbox>
              </v:rect>
            </w:pict>
          </mc:Fallback>
        </mc:AlternateContent>
      </w:r>
      <w:r>
        <w:rPr>
          <w:sz w:val="24"/>
          <w:u w:val="single"/>
        </w:rPr>
        <mc:AlternateContent>
          <mc:Choice Requires="wps">
            <w:drawing>
              <wp:anchor distT="0" distB="0" distL="114300" distR="114300" simplePos="0" relativeHeight="251746304" behindDoc="0" locked="0" layoutInCell="1" allowOverlap="1">
                <wp:simplePos x="0" y="0"/>
                <wp:positionH relativeFrom="column">
                  <wp:posOffset>1783715</wp:posOffset>
                </wp:positionH>
                <wp:positionV relativeFrom="paragraph">
                  <wp:posOffset>162560</wp:posOffset>
                </wp:positionV>
                <wp:extent cx="1085850" cy="304800"/>
                <wp:effectExtent l="4445" t="4445" r="14605" b="14605"/>
                <wp:wrapNone/>
                <wp:docPr id="258" name="矩形 396"/>
                <wp:cNvGraphicFramePr/>
                <a:graphic xmlns:a="http://schemas.openxmlformats.org/drawingml/2006/main">
                  <a:graphicData uri="http://schemas.microsoft.com/office/word/2010/wordprocessingShape">
                    <wps:wsp>
                      <wps:cNvSpPr/>
                      <wps:spPr>
                        <a:xfrm>
                          <a:off x="0" y="0"/>
                          <a:ext cx="1085850"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沉淀池</w:t>
                            </w:r>
                            <w:r>
                              <w:rPr>
                                <w:rFonts w:ascii="Times New Roman" w:hAnsi="Times New Roman"/>
                              </w:rPr>
                              <w:t>（</w:t>
                            </w:r>
                            <w:r>
                              <w:rPr>
                                <w:rFonts w:hint="eastAsia" w:ascii="Times New Roman" w:hAnsi="Times New Roman"/>
                              </w:rPr>
                              <w:t>5</w:t>
                            </w:r>
                            <w:r>
                              <w:rPr>
                                <w:rFonts w:ascii="Times New Roman" w:hAnsi="Times New Roman"/>
                              </w:rPr>
                              <w:t>0m</w:t>
                            </w:r>
                            <w:r>
                              <w:rPr>
                                <w:rFonts w:ascii="Times New Roman" w:hAnsi="Times New Roman"/>
                                <w:vertAlign w:val="superscript"/>
                              </w:rPr>
                              <w:t>3</w:t>
                            </w:r>
                            <w:r>
                              <w:rPr>
                                <w:rFonts w:ascii="Times New Roman" w:hAnsi="Times New Roman"/>
                              </w:rPr>
                              <w:t>）</w:t>
                            </w:r>
                          </w:p>
                        </w:txbxContent>
                      </wps:txbx>
                      <wps:bodyPr upright="1"/>
                    </wps:wsp>
                  </a:graphicData>
                </a:graphic>
              </wp:anchor>
            </w:drawing>
          </mc:Choice>
          <mc:Fallback>
            <w:pict>
              <v:rect id="矩形 396" o:spid="_x0000_s1026" o:spt="1" style="position:absolute;left:0pt;margin-left:140.45pt;margin-top:12.8pt;height:24pt;width:85.5pt;z-index:251746304;mso-width-relative:page;mso-height-relative:page;" filled="f" stroked="t" coordsize="21600,21600" o:gfxdata="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3PPs1wAAAAkBAAAPAAAAAAAAAAEAIAAAACIAAABkcnMvZG93&#10;bnJldi54bWxQSwECFAAUAAAACACHTuJA7UqHrgECAAAEBAAADgAAAAAAAAABACAAAAAmAQAAZHJz&#10;L2Uyb0RvYy54bWxQSwUGAAAAAAYABgBZAQAAmQUAAAAA&#10;">
                <v:fill on="f" focussize="0,0"/>
                <v:stroke color="#000000" joinstyle="miter"/>
                <v:imagedata o:title=""/>
                <o:lock v:ext="edit" aspectratio="f"/>
                <v:textbox>
                  <w:txbxContent>
                    <w:p>
                      <w:pPr>
                        <w:jc w:val="center"/>
                      </w:pPr>
                      <w:r>
                        <w:rPr>
                          <w:rFonts w:hint="eastAsia"/>
                        </w:rPr>
                        <w:t>沉淀池</w:t>
                      </w:r>
                      <w:r>
                        <w:rPr>
                          <w:rFonts w:ascii="Times New Roman" w:hAnsi="Times New Roman"/>
                        </w:rPr>
                        <w:t>（</w:t>
                      </w:r>
                      <w:r>
                        <w:rPr>
                          <w:rFonts w:hint="eastAsia" w:ascii="Times New Roman" w:hAnsi="Times New Roman"/>
                        </w:rPr>
                        <w:t>5</w:t>
                      </w:r>
                      <w:r>
                        <w:rPr>
                          <w:rFonts w:ascii="Times New Roman" w:hAnsi="Times New Roman"/>
                        </w:rPr>
                        <w:t>0m</w:t>
                      </w:r>
                      <w:r>
                        <w:rPr>
                          <w:rFonts w:ascii="Times New Roman" w:hAnsi="Times New Roman"/>
                          <w:vertAlign w:val="superscript"/>
                        </w:rPr>
                        <w:t>3</w:t>
                      </w:r>
                      <w:r>
                        <w:rPr>
                          <w:rFonts w:ascii="Times New Roman" w:hAnsi="Times New Roman"/>
                        </w:rPr>
                        <w:t>）</w:t>
                      </w:r>
                    </w:p>
                  </w:txbxContent>
                </v:textbox>
              </v:rect>
            </w:pict>
          </mc:Fallback>
        </mc:AlternateContent>
      </w:r>
      <w:r>
        <w:rPr>
          <w:sz w:val="24"/>
          <w:u w:val="single"/>
        </w:rPr>
        <mc:AlternateContent>
          <mc:Choice Requires="wps">
            <w:drawing>
              <wp:anchor distT="0" distB="0" distL="114300" distR="114300" simplePos="0" relativeHeight="251744256" behindDoc="0" locked="0" layoutInCell="1" allowOverlap="1">
                <wp:simplePos x="0" y="0"/>
                <wp:positionH relativeFrom="column">
                  <wp:posOffset>116840</wp:posOffset>
                </wp:positionH>
                <wp:positionV relativeFrom="paragraph">
                  <wp:posOffset>172085</wp:posOffset>
                </wp:positionV>
                <wp:extent cx="1085850" cy="304800"/>
                <wp:effectExtent l="4445" t="4445" r="14605" b="14605"/>
                <wp:wrapNone/>
                <wp:docPr id="256" name="矩形 394"/>
                <wp:cNvGraphicFramePr/>
                <a:graphic xmlns:a="http://schemas.openxmlformats.org/drawingml/2006/main">
                  <a:graphicData uri="http://schemas.microsoft.com/office/word/2010/wordprocessingShape">
                    <wps:wsp>
                      <wps:cNvSpPr/>
                      <wps:spPr>
                        <a:xfrm>
                          <a:off x="0" y="0"/>
                          <a:ext cx="1085850"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汛期淋溶水</w:t>
                            </w:r>
                          </w:p>
                        </w:txbxContent>
                      </wps:txbx>
                      <wps:bodyPr upright="1"/>
                    </wps:wsp>
                  </a:graphicData>
                </a:graphic>
              </wp:anchor>
            </w:drawing>
          </mc:Choice>
          <mc:Fallback>
            <w:pict>
              <v:rect id="矩形 394" o:spid="_x0000_s1026" o:spt="1" style="position:absolute;left:0pt;margin-left:9.2pt;margin-top:13.55pt;height:24pt;width:85.5pt;z-index:251744256;mso-width-relative:page;mso-height-relative:page;" filled="f" stroked="t" coordsize="21600,21600" o:gfxdata="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23dGbWAAAACAEAAA8AAAAAAAAAAQAgAAAAIgAAAGRycy9kb3du&#10;cmV2LnhtbFBLAQIUABQAAAAIAIdO4kDxOFzyAQIAAAQEAAAOAAAAAAAAAAEAIAAAACUBAABkcnMv&#10;ZTJvRG9jLnhtbFBLBQYAAAAABgAGAFkBAACYBQAAAAA=&#10;">
                <v:fill on="f" focussize="0,0"/>
                <v:stroke color="#000000" joinstyle="miter"/>
                <v:imagedata o:title=""/>
                <o:lock v:ext="edit" aspectratio="f"/>
                <v:textbox>
                  <w:txbxContent>
                    <w:p>
                      <w:pPr>
                        <w:jc w:val="center"/>
                      </w:pPr>
                      <w:r>
                        <w:rPr>
                          <w:rFonts w:hint="eastAsia"/>
                        </w:rPr>
                        <w:t>汛期淋溶水</w:t>
                      </w:r>
                    </w:p>
                  </w:txbxContent>
                </v:textbox>
              </v:rect>
            </w:pict>
          </mc:Fallback>
        </mc:AlternateContent>
      </w:r>
    </w:p>
    <w:p>
      <w:pPr>
        <w:pStyle w:val="2"/>
        <w:tabs>
          <w:tab w:val="left" w:pos="2239"/>
        </w:tabs>
        <w:jc w:val="center"/>
        <w:rPr>
          <w:b/>
          <w:bCs/>
          <w:color w:val="000000"/>
          <w:sz w:val="24"/>
          <w:szCs w:val="24"/>
          <w:u w:val="single"/>
        </w:rPr>
      </w:pPr>
      <w:r>
        <w:rPr>
          <w:sz w:val="24"/>
          <w:u w:val="single"/>
        </w:rPr>
        <mc:AlternateContent>
          <mc:Choice Requires="wps">
            <w:drawing>
              <wp:anchor distT="0" distB="0" distL="114300" distR="114300" simplePos="0" relativeHeight="251747328" behindDoc="0" locked="0" layoutInCell="1" allowOverlap="1">
                <wp:simplePos x="0" y="0"/>
                <wp:positionH relativeFrom="column">
                  <wp:posOffset>2868295</wp:posOffset>
                </wp:positionH>
                <wp:positionV relativeFrom="paragraph">
                  <wp:posOffset>38735</wp:posOffset>
                </wp:positionV>
                <wp:extent cx="591820" cy="635"/>
                <wp:effectExtent l="0" t="48895" r="17780" b="64770"/>
                <wp:wrapNone/>
                <wp:docPr id="259" name="直线 397"/>
                <wp:cNvGraphicFramePr/>
                <a:graphic xmlns:a="http://schemas.openxmlformats.org/drawingml/2006/main">
                  <a:graphicData uri="http://schemas.microsoft.com/office/word/2010/wordprocessingShape">
                    <wps:wsp>
                      <wps:cNvSpPr/>
                      <wps:spPr>
                        <a:xfrm>
                          <a:off x="0" y="0"/>
                          <a:ext cx="5918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97" o:spid="_x0000_s1026" o:spt="20" style="position:absolute;left:0pt;margin-left:225.85pt;margin-top:3.05pt;height:0.05pt;width:46.6pt;z-index:251747328;mso-width-relative:page;mso-height-relative:page;" filled="f" stroked="t" coordsize="21600,21600" o:gfxdata="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p7E3nXAAAABwEAAA8AAAAAAAAAAQAgAAAAIgAAAGRycy9kb3ducmV2LnhtbFBLAQIUABQA&#10;AAAIAIdO4kC654jk8QEAAOEDAAAOAAAAAAAAAAEAIAAAACYBAABkcnMvZTJvRG9jLnhtbFBLBQYA&#10;AAAABgAGAFkBAACJBQ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745280" behindDoc="0" locked="0" layoutInCell="1" allowOverlap="1">
                <wp:simplePos x="0" y="0"/>
                <wp:positionH relativeFrom="column">
                  <wp:posOffset>1210945</wp:posOffset>
                </wp:positionH>
                <wp:positionV relativeFrom="paragraph">
                  <wp:posOffset>38735</wp:posOffset>
                </wp:positionV>
                <wp:extent cx="591820" cy="635"/>
                <wp:effectExtent l="0" t="48895" r="17780" b="64770"/>
                <wp:wrapNone/>
                <wp:docPr id="257" name="直线 395"/>
                <wp:cNvGraphicFramePr/>
                <a:graphic xmlns:a="http://schemas.openxmlformats.org/drawingml/2006/main">
                  <a:graphicData uri="http://schemas.microsoft.com/office/word/2010/wordprocessingShape">
                    <wps:wsp>
                      <wps:cNvSpPr/>
                      <wps:spPr>
                        <a:xfrm>
                          <a:off x="0" y="0"/>
                          <a:ext cx="5918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95" o:spid="_x0000_s1026" o:spt="20" style="position:absolute;left:0pt;margin-left:95.35pt;margin-top:3.05pt;height:0.05pt;width:46.6pt;z-index:251745280;mso-width-relative:page;mso-height-relative:page;" filled="f" stroked="t" coordsize="21600,21600" o:gfxdata="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eQZ31gAAAAcBAAAPAAAAAAAAAAEAIAAAACIAAABkcnMvZG93bnJldi54bWxQSwECFAAU&#10;AAAACACHTuJAxc8JHPMBAADhAwAADgAAAAAAAAABACAAAAAlAQAAZHJzL2Uyb0RvYy54bWxQSwUG&#10;AAAAAAYABgBZAQAAigUAAAAA&#10;">
                <v:fill on="f" focussize="0,0"/>
                <v:stroke color="#000000" joinstyle="round" endarrow="open"/>
                <v:imagedata o:title=""/>
                <o:lock v:ext="edit" aspectratio="f"/>
              </v:line>
            </w:pict>
          </mc:Fallback>
        </mc:AlternateContent>
      </w:r>
    </w:p>
    <w:p>
      <w:pPr>
        <w:pStyle w:val="2"/>
        <w:tabs>
          <w:tab w:val="left" w:pos="2239"/>
        </w:tabs>
        <w:rPr>
          <w:b/>
          <w:bCs/>
          <w:color w:val="000000"/>
          <w:sz w:val="24"/>
          <w:szCs w:val="24"/>
          <w:u w:val="single"/>
        </w:rPr>
      </w:pPr>
      <w:r>
        <w:rPr>
          <w:sz w:val="24"/>
          <w:u w:val="single"/>
        </w:rPr>
        <mc:AlternateContent>
          <mc:Choice Requires="wps">
            <w:drawing>
              <wp:anchor distT="0" distB="0" distL="114300" distR="114300" simplePos="0" relativeHeight="251758592" behindDoc="0" locked="0" layoutInCell="1" allowOverlap="1">
                <wp:simplePos x="0" y="0"/>
                <wp:positionH relativeFrom="column">
                  <wp:posOffset>1831340</wp:posOffset>
                </wp:positionH>
                <wp:positionV relativeFrom="paragraph">
                  <wp:posOffset>177800</wp:posOffset>
                </wp:positionV>
                <wp:extent cx="572135" cy="304800"/>
                <wp:effectExtent l="0" t="0" r="0" b="0"/>
                <wp:wrapNone/>
                <wp:docPr id="267" name="矩形 434"/>
                <wp:cNvGraphicFramePr/>
                <a:graphic xmlns:a="http://schemas.openxmlformats.org/drawingml/2006/main">
                  <a:graphicData uri="http://schemas.microsoft.com/office/word/2010/wordprocessingShape">
                    <wps:wsp>
                      <wps:cNvSpPr/>
                      <wps:spPr>
                        <a:xfrm>
                          <a:off x="0" y="0"/>
                          <a:ext cx="572135" cy="304800"/>
                        </a:xfrm>
                        <a:prstGeom prst="rect">
                          <a:avLst/>
                        </a:prstGeom>
                        <a:noFill/>
                        <a:ln>
                          <a:noFill/>
                        </a:ln>
                      </wps:spPr>
                      <wps:txbx>
                        <w:txbxContent>
                          <w:p>
                            <w:pPr>
                              <w:jc w:val="center"/>
                              <w:rPr>
                                <w:rFonts w:ascii="Times New Roman" w:hAnsi="Times New Roman"/>
                              </w:rPr>
                            </w:pPr>
                            <w:r>
                              <w:rPr>
                                <w:rFonts w:hint="eastAsia" w:ascii="Times New Roman" w:hAnsi="Times New Roman"/>
                              </w:rPr>
                              <w:t>600</w:t>
                            </w:r>
                          </w:p>
                        </w:txbxContent>
                      </wps:txbx>
                      <wps:bodyPr upright="1"/>
                    </wps:wsp>
                  </a:graphicData>
                </a:graphic>
              </wp:anchor>
            </w:drawing>
          </mc:Choice>
          <mc:Fallback>
            <w:pict>
              <v:rect id="矩形 434" o:spid="_x0000_s1026" o:spt="1" style="position:absolute;left:0pt;margin-left:144.2pt;margin-top:14pt;height:24pt;width:45.05pt;z-index:251758592;mso-width-relative:page;mso-height-relative:page;" filled="f" stroked="f" coordsize="21600,21600" o:gfxdata="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b5SVraAAAACQEA&#10;AA8AAAAAAAAAAQAgAAAAIgAAAGRycy9kb3ducmV2LnhtbFBLAQIUABQAAAAIAIdO4kDtBZUFpgEA&#10;AEQDAAAOAAAAAAAAAAEAIAAAACkBAABkcnMvZTJvRG9jLnhtbFBLBQYAAAAABgAGAFkBAABBBQAA&#10;AAA=&#10;">
                <v:fill on="f" focussize="0,0"/>
                <v:stroke on="f"/>
                <v:imagedata o:title=""/>
                <o:lock v:ext="edit" aspectratio="f"/>
                <v:textbox>
                  <w:txbxContent>
                    <w:p>
                      <w:pPr>
                        <w:jc w:val="center"/>
                        <w:rPr>
                          <w:rFonts w:ascii="Times New Roman" w:hAnsi="Times New Roman"/>
                        </w:rPr>
                      </w:pPr>
                      <w:r>
                        <w:rPr>
                          <w:rFonts w:hint="eastAsia" w:ascii="Times New Roman" w:hAnsi="Times New Roman"/>
                        </w:rPr>
                        <w:t>600</w:t>
                      </w:r>
                    </w:p>
                  </w:txbxContent>
                </v:textbox>
              </v:rect>
            </w:pict>
          </mc:Fallback>
        </mc:AlternateContent>
      </w:r>
      <w:r>
        <w:rPr>
          <w:sz w:val="24"/>
          <w:u w:val="single"/>
        </w:rPr>
        <mc:AlternateContent>
          <mc:Choice Requires="wps">
            <w:drawing>
              <wp:anchor distT="0" distB="0" distL="114300" distR="114300" simplePos="0" relativeHeight="251755520" behindDoc="0" locked="0" layoutInCell="1" allowOverlap="1">
                <wp:simplePos x="0" y="0"/>
                <wp:positionH relativeFrom="column">
                  <wp:posOffset>2384425</wp:posOffset>
                </wp:positionH>
                <wp:positionV relativeFrom="paragraph">
                  <wp:posOffset>242570</wp:posOffset>
                </wp:positionV>
                <wp:extent cx="1856105" cy="304800"/>
                <wp:effectExtent l="4445" t="4445" r="6350" b="14605"/>
                <wp:wrapNone/>
                <wp:docPr id="264" name="矩形 431"/>
                <wp:cNvGraphicFramePr/>
                <a:graphic xmlns:a="http://schemas.openxmlformats.org/drawingml/2006/main">
                  <a:graphicData uri="http://schemas.microsoft.com/office/word/2010/wordprocessingShape">
                    <wps:wsp>
                      <wps:cNvSpPr/>
                      <wps:spPr>
                        <a:xfrm>
                          <a:off x="0" y="0"/>
                          <a:ext cx="1856105"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尾矿库洒水降尘</w:t>
                            </w:r>
                          </w:p>
                        </w:txbxContent>
                      </wps:txbx>
                      <wps:bodyPr upright="1"/>
                    </wps:wsp>
                  </a:graphicData>
                </a:graphic>
              </wp:anchor>
            </w:drawing>
          </mc:Choice>
          <mc:Fallback>
            <w:pict>
              <v:rect id="矩形 431" o:spid="_x0000_s1026" o:spt="1" style="position:absolute;left:0pt;margin-left:187.75pt;margin-top:19.1pt;height:24pt;width:146.15pt;z-index:251755520;mso-width-relative:page;mso-height-relative:page;" filled="f" stroked="t" coordsize="21600,21600" o:gfxdata="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nHN7TXAAAACQEAAA8AAAAAAAAAAQAgAAAAIgAAAGRycy9kb3du&#10;cmV2LnhtbFBLAQIUABQAAAAIAIdO4kBvF0GBAAIAAAQEAAAOAAAAAAAAAAEAIAAAACYBAABkcnMv&#10;ZTJvRG9jLnhtbFBLBQYAAAAABgAGAFkBAACYBQAAAAA=&#10;">
                <v:fill on="f" focussize="0,0"/>
                <v:stroke color="#000000" joinstyle="miter"/>
                <v:imagedata o:title=""/>
                <o:lock v:ext="edit" aspectratio="f"/>
                <v:textbox>
                  <w:txbxContent>
                    <w:p>
                      <w:pPr>
                        <w:jc w:val="center"/>
                      </w:pPr>
                      <w:r>
                        <w:rPr>
                          <w:rFonts w:hint="eastAsia"/>
                        </w:rPr>
                        <w:t>尾矿库洒水降尘</w:t>
                      </w:r>
                    </w:p>
                  </w:txbxContent>
                </v:textbox>
              </v:rect>
            </w:pict>
          </mc:Fallback>
        </mc:AlternateContent>
      </w:r>
    </w:p>
    <w:p>
      <w:pPr>
        <w:pStyle w:val="2"/>
        <w:tabs>
          <w:tab w:val="left" w:pos="2239"/>
        </w:tabs>
        <w:jc w:val="center"/>
        <w:rPr>
          <w:rFonts w:ascii="Times New Roman" w:hAnsi="Times New Roman"/>
          <w:b/>
          <w:bCs/>
          <w:color w:val="000000"/>
          <w:sz w:val="24"/>
          <w:szCs w:val="24"/>
          <w:u w:val="single"/>
        </w:rPr>
      </w:pPr>
      <w:r>
        <w:rPr>
          <w:sz w:val="24"/>
          <w:u w:val="single"/>
        </w:rPr>
        <mc:AlternateContent>
          <mc:Choice Requires="wps">
            <w:drawing>
              <wp:anchor distT="0" distB="0" distL="114300" distR="114300" simplePos="0" relativeHeight="251757568" behindDoc="0" locked="0" layoutInCell="1" allowOverlap="1">
                <wp:simplePos x="0" y="0"/>
                <wp:positionH relativeFrom="column">
                  <wp:posOffset>4450715</wp:posOffset>
                </wp:positionH>
                <wp:positionV relativeFrom="paragraph">
                  <wp:posOffset>13970</wp:posOffset>
                </wp:positionV>
                <wp:extent cx="962025" cy="304800"/>
                <wp:effectExtent l="0" t="0" r="0" b="0"/>
                <wp:wrapNone/>
                <wp:docPr id="266" name="矩形 433"/>
                <wp:cNvGraphicFramePr/>
                <a:graphic xmlns:a="http://schemas.openxmlformats.org/drawingml/2006/main">
                  <a:graphicData uri="http://schemas.microsoft.com/office/word/2010/wordprocessingShape">
                    <wps:wsp>
                      <wps:cNvSpPr/>
                      <wps:spPr>
                        <a:xfrm>
                          <a:off x="0" y="0"/>
                          <a:ext cx="962025" cy="304800"/>
                        </a:xfrm>
                        <a:prstGeom prst="rect">
                          <a:avLst/>
                        </a:prstGeom>
                        <a:noFill/>
                        <a:ln>
                          <a:noFill/>
                        </a:ln>
                      </wps:spPr>
                      <wps:txbx>
                        <w:txbxContent>
                          <w:p>
                            <w:pPr>
                              <w:jc w:val="center"/>
                            </w:pPr>
                            <w:r>
                              <w:rPr>
                                <w:rFonts w:hint="eastAsia"/>
                              </w:rPr>
                              <w:t>全部损耗</w:t>
                            </w:r>
                          </w:p>
                        </w:txbxContent>
                      </wps:txbx>
                      <wps:bodyPr upright="1"/>
                    </wps:wsp>
                  </a:graphicData>
                </a:graphic>
              </wp:anchor>
            </w:drawing>
          </mc:Choice>
          <mc:Fallback>
            <w:pict>
              <v:rect id="矩形 433" o:spid="_x0000_s1026" o:spt="1" style="position:absolute;left:0pt;margin-left:350.45pt;margin-top:1.1pt;height:24pt;width:75.75pt;z-index:251757568;mso-width-relative:page;mso-height-relative:page;" filled="f" stroked="f" coordsize="21600,21600" o:gfxdata="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36sNkAAAAIAQAA&#10;DwAAAAAAAAABACAAAAAiAAAAZHJzL2Rvd25yZXYueG1sUEsBAhQAFAAAAAgAh07iQGDuQcCmAQAA&#10;RAMAAA4AAAAAAAAAAQAgAAAAKAEAAGRycy9lMm9Eb2MueG1sUEsFBgAAAAAGAAYAWQEAAEAFAAAA&#10;AA==&#10;">
                <v:fill on="f" focussize="0,0"/>
                <v:stroke on="f"/>
                <v:imagedata o:title=""/>
                <o:lock v:ext="edit" aspectratio="f"/>
                <v:textbox>
                  <w:txbxContent>
                    <w:p>
                      <w:pPr>
                        <w:jc w:val="center"/>
                      </w:pPr>
                      <w:r>
                        <w:rPr>
                          <w:rFonts w:hint="eastAsia"/>
                        </w:rPr>
                        <w:t>全部损耗</w:t>
                      </w:r>
                    </w:p>
                  </w:txbxContent>
                </v:textbox>
              </v:rect>
            </w:pict>
          </mc:Fallback>
        </mc:AlternateContent>
      </w:r>
      <w:r>
        <w:rPr>
          <w:sz w:val="24"/>
          <w:u w:val="single"/>
        </w:rPr>
        <mc:AlternateContent>
          <mc:Choice Requires="wps">
            <w:drawing>
              <wp:anchor distT="0" distB="0" distL="114300" distR="114300" simplePos="0" relativeHeight="251759616" behindDoc="0" locked="0" layoutInCell="1" allowOverlap="1">
                <wp:simplePos x="0" y="0"/>
                <wp:positionH relativeFrom="column">
                  <wp:posOffset>1793240</wp:posOffset>
                </wp:positionH>
                <wp:positionV relativeFrom="paragraph">
                  <wp:posOffset>107315</wp:posOffset>
                </wp:positionV>
                <wp:extent cx="635" cy="876935"/>
                <wp:effectExtent l="4445" t="0" r="13970" b="18415"/>
                <wp:wrapNone/>
                <wp:docPr id="268" name="直线 435"/>
                <wp:cNvGraphicFramePr/>
                <a:graphic xmlns:a="http://schemas.openxmlformats.org/drawingml/2006/main">
                  <a:graphicData uri="http://schemas.microsoft.com/office/word/2010/wordprocessingShape">
                    <wps:wsp>
                      <wps:cNvSpPr/>
                      <wps:spPr>
                        <a:xfrm flipV="1">
                          <a:off x="0" y="0"/>
                          <a:ext cx="635" cy="8769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35" o:spid="_x0000_s1026" o:spt="20" style="position:absolute;left:0pt;flip:y;margin-left:141.2pt;margin-top:8.45pt;height:69.05pt;width:0.05pt;z-index:251759616;mso-width-relative:page;mso-height-relative:page;" filled="f" stroked="t" coordsize="21600,21600" o:gfxdata="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NhTq81wAAAAoBAAAPAAAAAAAAAAEAIAAAACIAAABkcnMvZG93bnJldi54bWxQSwECFAAU&#10;AAAACACHTuJAy9rKX/IBAADqAwAADgAAAAAAAAABACAAAAAmAQAAZHJzL2Uyb0RvYy54bWxQSwUG&#10;AAAAAAYABgBZAQAAigUAAAAA&#10;">
                <v:fill on="f" focussize="0,0"/>
                <v:stroke color="#000000" joinstyle="round"/>
                <v:imagedata o:title=""/>
                <o:lock v:ext="edit" aspectratio="f"/>
              </v:line>
            </w:pict>
          </mc:Fallback>
        </mc:AlternateContent>
      </w:r>
      <w:r>
        <w:rPr>
          <w:sz w:val="24"/>
          <w:u w:val="single"/>
        </w:rPr>
        <mc:AlternateContent>
          <mc:Choice Requires="wps">
            <w:drawing>
              <wp:anchor distT="0" distB="0" distL="114300" distR="114300" simplePos="0" relativeHeight="251754496" behindDoc="0" locked="0" layoutInCell="1" allowOverlap="1">
                <wp:simplePos x="0" y="0"/>
                <wp:positionH relativeFrom="column">
                  <wp:posOffset>1791970</wp:posOffset>
                </wp:positionH>
                <wp:positionV relativeFrom="paragraph">
                  <wp:posOffset>128270</wp:posOffset>
                </wp:positionV>
                <wp:extent cx="591820" cy="635"/>
                <wp:effectExtent l="0" t="48895" r="17780" b="64770"/>
                <wp:wrapNone/>
                <wp:docPr id="263" name="直线 430"/>
                <wp:cNvGraphicFramePr/>
                <a:graphic xmlns:a="http://schemas.openxmlformats.org/drawingml/2006/main">
                  <a:graphicData uri="http://schemas.microsoft.com/office/word/2010/wordprocessingShape">
                    <wps:wsp>
                      <wps:cNvSpPr/>
                      <wps:spPr>
                        <a:xfrm>
                          <a:off x="0" y="0"/>
                          <a:ext cx="5918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30" o:spid="_x0000_s1026" o:spt="20" style="position:absolute;left:0pt;margin-left:141.1pt;margin-top:10.1pt;height:0.05pt;width:46.6pt;z-index:251754496;mso-width-relative:page;mso-height-relative:page;" filled="f" stroked="t" coordsize="21600,21600" o:gfxdata="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X59J7YAAAACQEAAA8AAAAAAAAAAQAgAAAAIgAAAGRycy9kb3ducmV2LnhtbFBLAQIUABQA&#10;AAAIAIdO4kCd1AK08AEAAOEDAAAOAAAAAAAAAAEAIAAAACcBAABkcnMvZTJvRG9jLnhtbFBLBQYA&#10;AAAABgAGAFkBAACJBQ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756544" behindDoc="0" locked="0" layoutInCell="1" allowOverlap="1">
                <wp:simplePos x="0" y="0"/>
                <wp:positionH relativeFrom="column">
                  <wp:posOffset>4277995</wp:posOffset>
                </wp:positionH>
                <wp:positionV relativeFrom="paragraph">
                  <wp:posOffset>128270</wp:posOffset>
                </wp:positionV>
                <wp:extent cx="410845" cy="635"/>
                <wp:effectExtent l="0" t="48895" r="8255" b="64770"/>
                <wp:wrapNone/>
                <wp:docPr id="265" name="直线 432"/>
                <wp:cNvGraphicFramePr/>
                <a:graphic xmlns:a="http://schemas.openxmlformats.org/drawingml/2006/main">
                  <a:graphicData uri="http://schemas.microsoft.com/office/word/2010/wordprocessingShape">
                    <wps:wsp>
                      <wps:cNvSpPr/>
                      <wps:spPr>
                        <a:xfrm>
                          <a:off x="0" y="0"/>
                          <a:ext cx="4108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32" o:spid="_x0000_s1026" o:spt="20" style="position:absolute;left:0pt;margin-left:336.85pt;margin-top:10.1pt;height:0.05pt;width:32.35pt;z-index:251756544;mso-width-relative:page;mso-height-relative:page;" filled="f" stroked="t" coordsize="21600,21600" o:gfxdata="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Dj8gdoAAAAJAQAADwAAAAAAAAABACAAAAAiAAAAZHJzL2Rvd25yZXYueG1sUEsBAhQA&#10;FAAAAAgAh07iQGPJJ/zwAQAA4QMAAA4AAAAAAAAAAQAgAAAAKQEAAGRycy9lMm9Eb2MueG1sUEsF&#10;BgAAAAAGAAYAWQEAAIsFAAAAAA==&#10;">
                <v:fill on="f" focussize="0,0"/>
                <v:stroke color="#000000" joinstyle="round" endarrow="open"/>
                <v:imagedata o:title=""/>
                <o:lock v:ext="edit" aspectratio="f"/>
              </v:line>
            </w:pict>
          </mc:Fallback>
        </mc:AlternateContent>
      </w:r>
    </w:p>
    <w:p>
      <w:pPr>
        <w:pStyle w:val="2"/>
        <w:tabs>
          <w:tab w:val="left" w:pos="2239"/>
        </w:tabs>
        <w:jc w:val="center"/>
        <w:rPr>
          <w:rFonts w:ascii="Times New Roman" w:hAnsi="Times New Roman"/>
          <w:b/>
          <w:bCs/>
          <w:color w:val="000000"/>
          <w:sz w:val="24"/>
          <w:szCs w:val="24"/>
          <w:u w:val="single"/>
        </w:rPr>
      </w:pPr>
      <w:r>
        <w:rPr>
          <w:sz w:val="24"/>
          <w:u w:val="single"/>
        </w:rPr>
        <mc:AlternateContent>
          <mc:Choice Requires="wps">
            <w:drawing>
              <wp:anchor distT="0" distB="0" distL="114300" distR="114300" simplePos="0" relativeHeight="251766784" behindDoc="0" locked="0" layoutInCell="1" allowOverlap="1">
                <wp:simplePos x="0" y="0"/>
                <wp:positionH relativeFrom="column">
                  <wp:posOffset>1193165</wp:posOffset>
                </wp:positionH>
                <wp:positionV relativeFrom="paragraph">
                  <wp:posOffset>635</wp:posOffset>
                </wp:positionV>
                <wp:extent cx="572135" cy="304800"/>
                <wp:effectExtent l="0" t="0" r="0" b="0"/>
                <wp:wrapNone/>
                <wp:docPr id="275" name="矩形 443"/>
                <wp:cNvGraphicFramePr/>
                <a:graphic xmlns:a="http://schemas.openxmlformats.org/drawingml/2006/main">
                  <a:graphicData uri="http://schemas.microsoft.com/office/word/2010/wordprocessingShape">
                    <wps:wsp>
                      <wps:cNvSpPr/>
                      <wps:spPr>
                        <a:xfrm>
                          <a:off x="0" y="0"/>
                          <a:ext cx="572135" cy="304800"/>
                        </a:xfrm>
                        <a:prstGeom prst="rect">
                          <a:avLst/>
                        </a:prstGeom>
                        <a:noFill/>
                        <a:ln>
                          <a:noFill/>
                        </a:ln>
                      </wps:spPr>
                      <wps:txbx>
                        <w:txbxContent>
                          <w:p>
                            <w:pPr>
                              <w:jc w:val="center"/>
                              <w:rPr>
                                <w:rFonts w:ascii="Times New Roman" w:hAnsi="Times New Roman"/>
                              </w:rPr>
                            </w:pPr>
                            <w:r>
                              <w:rPr>
                                <w:rFonts w:hint="eastAsia" w:ascii="Times New Roman" w:hAnsi="Times New Roman"/>
                              </w:rPr>
                              <w:t>900</w:t>
                            </w:r>
                          </w:p>
                        </w:txbxContent>
                      </wps:txbx>
                      <wps:bodyPr upright="1"/>
                    </wps:wsp>
                  </a:graphicData>
                </a:graphic>
              </wp:anchor>
            </w:drawing>
          </mc:Choice>
          <mc:Fallback>
            <w:pict>
              <v:rect id="矩形 443" o:spid="_x0000_s1026" o:spt="1" style="position:absolute;left:0pt;margin-left:93.95pt;margin-top:0.05pt;height:24pt;width:45.05pt;z-index:251766784;mso-width-relative:page;mso-height-relative:page;" filled="f" stroked="f" coordsize="21600,21600" o:gfxdata="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4sslftcAAAAHAQAADwAA&#10;AAAAAAABACAAAAAiAAAAZHJzL2Rvd25yZXYueG1sUEsBAhQAFAAAAAgAh07iQCIt5telAQAARAMA&#10;AA4AAAAAAAAAAQAgAAAAJgEAAGRycy9lMm9Eb2MueG1sUEsFBgAAAAAGAAYAWQEAAD0FAAAAAA==&#10;">
                <v:fill on="f" focussize="0,0"/>
                <v:stroke on="f"/>
                <v:imagedata o:title=""/>
                <o:lock v:ext="edit" aspectratio="f"/>
                <v:textbox>
                  <w:txbxContent>
                    <w:p>
                      <w:pPr>
                        <w:jc w:val="center"/>
                        <w:rPr>
                          <w:rFonts w:ascii="Times New Roman" w:hAnsi="Times New Roman"/>
                        </w:rPr>
                      </w:pPr>
                      <w:r>
                        <w:rPr>
                          <w:rFonts w:hint="eastAsia" w:ascii="Times New Roman" w:hAnsi="Times New Roman"/>
                        </w:rPr>
                        <w:t>900</w:t>
                      </w:r>
                    </w:p>
                  </w:txbxContent>
                </v:textbox>
              </v:rect>
            </w:pict>
          </mc:Fallback>
        </mc:AlternateContent>
      </w:r>
      <w:r>
        <w:rPr>
          <w:sz w:val="24"/>
          <w:u w:val="single"/>
        </w:rPr>
        <mc:AlternateContent>
          <mc:Choice Requires="wps">
            <w:drawing>
              <wp:anchor distT="0" distB="0" distL="114300" distR="114300" simplePos="0" relativeHeight="251753472" behindDoc="0" locked="0" layoutInCell="1" allowOverlap="1">
                <wp:simplePos x="0" y="0"/>
                <wp:positionH relativeFrom="column">
                  <wp:posOffset>107315</wp:posOffset>
                </wp:positionH>
                <wp:positionV relativeFrom="paragraph">
                  <wp:posOffset>93980</wp:posOffset>
                </wp:positionV>
                <wp:extent cx="1085850" cy="304800"/>
                <wp:effectExtent l="4445" t="4445" r="14605" b="14605"/>
                <wp:wrapNone/>
                <wp:docPr id="262" name="矩形 429"/>
                <wp:cNvGraphicFramePr/>
                <a:graphic xmlns:a="http://schemas.openxmlformats.org/drawingml/2006/main">
                  <a:graphicData uri="http://schemas.microsoft.com/office/word/2010/wordprocessingShape">
                    <wps:wsp>
                      <wps:cNvSpPr/>
                      <wps:spPr>
                        <a:xfrm>
                          <a:off x="0" y="0"/>
                          <a:ext cx="1085850"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新鲜水</w:t>
                            </w:r>
                          </w:p>
                        </w:txbxContent>
                      </wps:txbx>
                      <wps:bodyPr upright="1"/>
                    </wps:wsp>
                  </a:graphicData>
                </a:graphic>
              </wp:anchor>
            </w:drawing>
          </mc:Choice>
          <mc:Fallback>
            <w:pict>
              <v:rect id="矩形 429" o:spid="_x0000_s1026" o:spt="1" style="position:absolute;left:0pt;margin-left:8.45pt;margin-top:7.4pt;height:24pt;width:85.5pt;z-index:251753472;mso-width-relative:page;mso-height-relative:page;" filled="f" stroked="t" coordsize="21600,21600" o:gfxdata="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WSa1AAAAAgBAAAPAAAAAAAAAAEAIAAAACIAAABkcnMvZG93bnJl&#10;di54bWxQSwECFAAUAAAACACHTuJAL22QcAECAAAEBAAADgAAAAAAAAABACAAAAAjAQAAZHJzL2Uy&#10;b0RvYy54bWxQSwUGAAAAAAYABgBZAQAAlgUAAAAA&#10;">
                <v:fill on="f" focussize="0,0"/>
                <v:stroke color="#000000" joinstyle="miter"/>
                <v:imagedata o:title=""/>
                <o:lock v:ext="edit" aspectratio="f"/>
                <v:textbox>
                  <w:txbxContent>
                    <w:p>
                      <w:pPr>
                        <w:jc w:val="center"/>
                      </w:pPr>
                      <w:r>
                        <w:rPr>
                          <w:rFonts w:hint="eastAsia"/>
                        </w:rPr>
                        <w:t>新鲜水</w:t>
                      </w:r>
                    </w:p>
                  </w:txbxContent>
                </v:textbox>
              </v:rect>
            </w:pict>
          </mc:Fallback>
        </mc:AlternateContent>
      </w:r>
      <w:r>
        <w:rPr>
          <w:sz w:val="24"/>
          <w:u w:val="single"/>
        </w:rPr>
        <mc:AlternateContent>
          <mc:Choice Requires="wps">
            <w:drawing>
              <wp:anchor distT="0" distB="0" distL="114300" distR="114300" simplePos="0" relativeHeight="251765760" behindDoc="0" locked="0" layoutInCell="1" allowOverlap="1">
                <wp:simplePos x="0" y="0"/>
                <wp:positionH relativeFrom="column">
                  <wp:posOffset>1201420</wp:posOffset>
                </wp:positionH>
                <wp:positionV relativeFrom="paragraph">
                  <wp:posOffset>244475</wp:posOffset>
                </wp:positionV>
                <wp:extent cx="591820" cy="635"/>
                <wp:effectExtent l="0" t="48895" r="17780" b="64770"/>
                <wp:wrapNone/>
                <wp:docPr id="274" name="直线 442"/>
                <wp:cNvGraphicFramePr/>
                <a:graphic xmlns:a="http://schemas.openxmlformats.org/drawingml/2006/main">
                  <a:graphicData uri="http://schemas.microsoft.com/office/word/2010/wordprocessingShape">
                    <wps:wsp>
                      <wps:cNvSpPr/>
                      <wps:spPr>
                        <a:xfrm>
                          <a:off x="0" y="0"/>
                          <a:ext cx="5918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42" o:spid="_x0000_s1026" o:spt="20" style="position:absolute;left:0pt;margin-left:94.6pt;margin-top:19.25pt;height:0.05pt;width:46.6pt;z-index:251765760;mso-width-relative:page;mso-height-relative:page;" filled="f" stroked="t" coordsize="21600,21600" o:gfxdata="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7yUU9kAAAAJAQAADwAAAAAAAAABACAAAAAiAAAAZHJzL2Rvd25yZXYueG1sUEsBAhQA&#10;FAAAAAgAh07iQO0wmkbxAQAA4QMAAA4AAAAAAAAAAQAgAAAAKAEAAGRycy9lMm9Eb2MueG1sUEsF&#10;BgAAAAAGAAYAWQEAAIsFAAAAAA==&#10;">
                <v:fill on="f" focussize="0,0"/>
                <v:stroke color="#000000" joinstyle="round" endarrow="open"/>
                <v:imagedata o:title=""/>
                <o:lock v:ext="edit" aspectratio="f"/>
              </v:line>
            </w:pict>
          </mc:Fallback>
        </mc:AlternateContent>
      </w:r>
    </w:p>
    <w:p>
      <w:pPr>
        <w:pStyle w:val="2"/>
        <w:tabs>
          <w:tab w:val="left" w:pos="2239"/>
        </w:tabs>
        <w:jc w:val="center"/>
        <w:rPr>
          <w:rFonts w:ascii="Times New Roman" w:hAnsi="Times New Roman"/>
          <w:b/>
          <w:bCs/>
          <w:color w:val="000000"/>
          <w:sz w:val="24"/>
          <w:szCs w:val="24"/>
          <w:u w:val="single"/>
        </w:rPr>
      </w:pPr>
      <w:r>
        <w:rPr>
          <w:sz w:val="24"/>
          <w:u w:val="single"/>
        </w:rPr>
        <mc:AlternateContent>
          <mc:Choice Requires="wps">
            <w:drawing>
              <wp:anchor distT="0" distB="0" distL="114300" distR="114300" simplePos="0" relativeHeight="251764736" behindDoc="0" locked="0" layoutInCell="1" allowOverlap="1">
                <wp:simplePos x="0" y="0"/>
                <wp:positionH relativeFrom="column">
                  <wp:posOffset>4469765</wp:posOffset>
                </wp:positionH>
                <wp:positionV relativeFrom="paragraph">
                  <wp:posOffset>236855</wp:posOffset>
                </wp:positionV>
                <wp:extent cx="962025" cy="304800"/>
                <wp:effectExtent l="0" t="0" r="0" b="0"/>
                <wp:wrapNone/>
                <wp:docPr id="273" name="矩形 441"/>
                <wp:cNvGraphicFramePr/>
                <a:graphic xmlns:a="http://schemas.openxmlformats.org/drawingml/2006/main">
                  <a:graphicData uri="http://schemas.microsoft.com/office/word/2010/wordprocessingShape">
                    <wps:wsp>
                      <wps:cNvSpPr/>
                      <wps:spPr>
                        <a:xfrm>
                          <a:off x="0" y="0"/>
                          <a:ext cx="962025" cy="304800"/>
                        </a:xfrm>
                        <a:prstGeom prst="rect">
                          <a:avLst/>
                        </a:prstGeom>
                        <a:noFill/>
                        <a:ln>
                          <a:noFill/>
                        </a:ln>
                      </wps:spPr>
                      <wps:txbx>
                        <w:txbxContent>
                          <w:p>
                            <w:pPr>
                              <w:jc w:val="center"/>
                            </w:pPr>
                            <w:r>
                              <w:rPr>
                                <w:rFonts w:hint="eastAsia"/>
                              </w:rPr>
                              <w:t>全部损耗</w:t>
                            </w:r>
                          </w:p>
                        </w:txbxContent>
                      </wps:txbx>
                      <wps:bodyPr upright="1"/>
                    </wps:wsp>
                  </a:graphicData>
                </a:graphic>
              </wp:anchor>
            </w:drawing>
          </mc:Choice>
          <mc:Fallback>
            <w:pict>
              <v:rect id="矩形 441" o:spid="_x0000_s1026" o:spt="1" style="position:absolute;left:0pt;margin-left:351.95pt;margin-top:18.65pt;height:24pt;width:75.75pt;z-index:251764736;mso-width-relative:page;mso-height-relative:page;" filled="f" stroked="f" coordsize="21600,21600" o:gfxdata="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E8RsdoAAAAJAQAA&#10;DwAAAAAAAAABACAAAAAiAAAAZHJzL2Rvd25yZXYueG1sUEsBAhQAFAAAAAgAh07iQOIwK62lAQAA&#10;RAMAAA4AAAAAAAAAAQAgAAAAKQEAAGRycy9lMm9Eb2MueG1sUEsFBgAAAAAGAAYAWQEAAEAFAAAA&#10;AA==&#10;">
                <v:fill on="f" focussize="0,0"/>
                <v:stroke on="f"/>
                <v:imagedata o:title=""/>
                <o:lock v:ext="edit" aspectratio="f"/>
                <v:textbox>
                  <w:txbxContent>
                    <w:p>
                      <w:pPr>
                        <w:jc w:val="center"/>
                      </w:pPr>
                      <w:r>
                        <w:rPr>
                          <w:rFonts w:hint="eastAsia"/>
                        </w:rPr>
                        <w:t>全部损耗</w:t>
                      </w:r>
                    </w:p>
                  </w:txbxContent>
                </v:textbox>
              </v:rect>
            </w:pict>
          </mc:Fallback>
        </mc:AlternateContent>
      </w:r>
      <w:r>
        <w:rPr>
          <w:sz w:val="24"/>
          <w:u w:val="single"/>
        </w:rPr>
        <mc:AlternateContent>
          <mc:Choice Requires="wps">
            <w:drawing>
              <wp:anchor distT="0" distB="0" distL="114300" distR="114300" simplePos="0" relativeHeight="251762688" behindDoc="0" locked="0" layoutInCell="1" allowOverlap="1">
                <wp:simplePos x="0" y="0"/>
                <wp:positionH relativeFrom="column">
                  <wp:posOffset>2384425</wp:posOffset>
                </wp:positionH>
                <wp:positionV relativeFrom="paragraph">
                  <wp:posOffset>219710</wp:posOffset>
                </wp:positionV>
                <wp:extent cx="1856105" cy="304800"/>
                <wp:effectExtent l="4445" t="4445" r="6350" b="14605"/>
                <wp:wrapNone/>
                <wp:docPr id="271" name="矩形 438"/>
                <wp:cNvGraphicFramePr/>
                <a:graphic xmlns:a="http://schemas.openxmlformats.org/drawingml/2006/main">
                  <a:graphicData uri="http://schemas.microsoft.com/office/word/2010/wordprocessingShape">
                    <wps:wsp>
                      <wps:cNvSpPr/>
                      <wps:spPr>
                        <a:xfrm>
                          <a:off x="0" y="0"/>
                          <a:ext cx="1856105" cy="30480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压滤间地面清扫水</w:t>
                            </w:r>
                          </w:p>
                        </w:txbxContent>
                      </wps:txbx>
                      <wps:bodyPr upright="1"/>
                    </wps:wsp>
                  </a:graphicData>
                </a:graphic>
              </wp:anchor>
            </w:drawing>
          </mc:Choice>
          <mc:Fallback>
            <w:pict>
              <v:rect id="矩形 438" o:spid="_x0000_s1026" o:spt="1" style="position:absolute;left:0pt;margin-left:187.75pt;margin-top:17.3pt;height:24pt;width:146.15pt;z-index:251762688;mso-width-relative:page;mso-height-relative:page;" filled="f" stroked="t" coordsize="21600,21600" o:gfxdata="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IIXmdgAAAAJAQAADwAAAAAAAAABACAAAAAiAAAAZHJzL2Rv&#10;d25yZXYueG1sUEsBAhQAFAAAAAgAh07iQH6r5osBAgAABAQAAA4AAAAAAAAAAQAgAAAAJwEAAGRy&#10;cy9lMm9Eb2MueG1sUEsFBgAAAAAGAAYAWQEAAJoFAAAAAA==&#10;">
                <v:fill on="f" focussize="0,0"/>
                <v:stroke color="#000000" joinstyle="miter"/>
                <v:imagedata o:title=""/>
                <o:lock v:ext="edit" aspectratio="f"/>
                <v:textbox>
                  <w:txbxContent>
                    <w:p>
                      <w:pPr>
                        <w:jc w:val="center"/>
                      </w:pPr>
                      <w:r>
                        <w:rPr>
                          <w:rFonts w:hint="eastAsia"/>
                        </w:rPr>
                        <w:t>压滤间地面清扫水</w:t>
                      </w:r>
                    </w:p>
                  </w:txbxContent>
                </v:textbox>
              </v:rect>
            </w:pict>
          </mc:Fallback>
        </mc:AlternateContent>
      </w:r>
      <w:r>
        <w:rPr>
          <w:sz w:val="24"/>
          <w:u w:val="single"/>
        </w:rPr>
        <mc:AlternateContent>
          <mc:Choice Requires="wps">
            <w:drawing>
              <wp:anchor distT="0" distB="0" distL="114300" distR="114300" simplePos="0" relativeHeight="251760640" behindDoc="0" locked="0" layoutInCell="1" allowOverlap="1">
                <wp:simplePos x="0" y="0"/>
                <wp:positionH relativeFrom="column">
                  <wp:posOffset>1783715</wp:posOffset>
                </wp:positionH>
                <wp:positionV relativeFrom="paragraph">
                  <wp:posOffset>164465</wp:posOffset>
                </wp:positionV>
                <wp:extent cx="572135" cy="304800"/>
                <wp:effectExtent l="0" t="0" r="0" b="0"/>
                <wp:wrapNone/>
                <wp:docPr id="269" name="矩形 436"/>
                <wp:cNvGraphicFramePr/>
                <a:graphic xmlns:a="http://schemas.openxmlformats.org/drawingml/2006/main">
                  <a:graphicData uri="http://schemas.microsoft.com/office/word/2010/wordprocessingShape">
                    <wps:wsp>
                      <wps:cNvSpPr/>
                      <wps:spPr>
                        <a:xfrm>
                          <a:off x="0" y="0"/>
                          <a:ext cx="572135" cy="304800"/>
                        </a:xfrm>
                        <a:prstGeom prst="rect">
                          <a:avLst/>
                        </a:prstGeom>
                        <a:noFill/>
                        <a:ln>
                          <a:noFill/>
                        </a:ln>
                      </wps:spPr>
                      <wps:txbx>
                        <w:txbxContent>
                          <w:p>
                            <w:pPr>
                              <w:jc w:val="center"/>
                              <w:rPr>
                                <w:rFonts w:ascii="Times New Roman" w:hAnsi="Times New Roman"/>
                              </w:rPr>
                            </w:pPr>
                            <w:r>
                              <w:rPr>
                                <w:rFonts w:hint="eastAsia" w:ascii="Times New Roman" w:hAnsi="Times New Roman"/>
                              </w:rPr>
                              <w:t>300</w:t>
                            </w:r>
                          </w:p>
                        </w:txbxContent>
                      </wps:txbx>
                      <wps:bodyPr upright="1"/>
                    </wps:wsp>
                  </a:graphicData>
                </a:graphic>
              </wp:anchor>
            </w:drawing>
          </mc:Choice>
          <mc:Fallback>
            <w:pict>
              <v:rect id="矩形 436" o:spid="_x0000_s1026" o:spt="1" style="position:absolute;left:0pt;margin-left:140.45pt;margin-top:12.95pt;height:24pt;width:45.05pt;z-index:251760640;mso-width-relative:page;mso-height-relative:page;" filled="f" stroked="f" coordsize="21600,21600" o:gfxdata="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wV3G/aAAAACQEA&#10;AA8AAAAAAAAAAQAgAAAAIgAAAGRycy9kb3ducmV2LnhtbFBLAQIUABQAAAAIAIdO4kCUYUswpgEA&#10;AEQDAAAOAAAAAAAAAAEAIAAAACkBAABkcnMvZTJvRG9jLnhtbFBLBQYAAAAABgAGAFkBAABBBQAA&#10;AAA=&#10;">
                <v:fill on="f" focussize="0,0"/>
                <v:stroke on="f"/>
                <v:imagedata o:title=""/>
                <o:lock v:ext="edit" aspectratio="f"/>
                <v:textbox>
                  <w:txbxContent>
                    <w:p>
                      <w:pPr>
                        <w:jc w:val="center"/>
                        <w:rPr>
                          <w:rFonts w:ascii="Times New Roman" w:hAnsi="Times New Roman"/>
                        </w:rPr>
                      </w:pPr>
                      <w:r>
                        <w:rPr>
                          <w:rFonts w:hint="eastAsia" w:ascii="Times New Roman" w:hAnsi="Times New Roman"/>
                        </w:rPr>
                        <w:t>300</w:t>
                      </w:r>
                    </w:p>
                  </w:txbxContent>
                </v:textbox>
              </v:rect>
            </w:pict>
          </mc:Fallback>
        </mc:AlternateContent>
      </w:r>
    </w:p>
    <w:p>
      <w:pPr>
        <w:pStyle w:val="2"/>
        <w:tabs>
          <w:tab w:val="left" w:pos="2239"/>
        </w:tabs>
        <w:jc w:val="center"/>
        <w:rPr>
          <w:rFonts w:ascii="Times New Roman" w:hAnsi="Times New Roman"/>
          <w:b/>
          <w:bCs/>
          <w:color w:val="000000"/>
          <w:sz w:val="24"/>
          <w:szCs w:val="24"/>
          <w:u w:val="single"/>
        </w:rPr>
      </w:pPr>
      <w:r>
        <w:rPr>
          <w:sz w:val="24"/>
          <w:u w:val="single"/>
        </w:rPr>
        <mc:AlternateContent>
          <mc:Choice Requires="wps">
            <w:drawing>
              <wp:anchor distT="0" distB="0" distL="114300" distR="114300" simplePos="0" relativeHeight="251763712" behindDoc="0" locked="0" layoutInCell="1" allowOverlap="1">
                <wp:simplePos x="0" y="0"/>
                <wp:positionH relativeFrom="column">
                  <wp:posOffset>4258945</wp:posOffset>
                </wp:positionH>
                <wp:positionV relativeFrom="paragraph">
                  <wp:posOffset>114935</wp:posOffset>
                </wp:positionV>
                <wp:extent cx="410845" cy="635"/>
                <wp:effectExtent l="0" t="48895" r="8255" b="64770"/>
                <wp:wrapNone/>
                <wp:docPr id="272" name="直线 440"/>
                <wp:cNvGraphicFramePr/>
                <a:graphic xmlns:a="http://schemas.openxmlformats.org/drawingml/2006/main">
                  <a:graphicData uri="http://schemas.microsoft.com/office/word/2010/wordprocessingShape">
                    <wps:wsp>
                      <wps:cNvSpPr/>
                      <wps:spPr>
                        <a:xfrm>
                          <a:off x="0" y="0"/>
                          <a:ext cx="4108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40" o:spid="_x0000_s1026" o:spt="20" style="position:absolute;left:0pt;margin-left:335.35pt;margin-top:9.05pt;height:0.05pt;width:32.35pt;z-index:251763712;mso-width-relative:page;mso-height-relative:page;" filled="f" stroked="t" coordsize="21600,21600" o:gfxdata="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6lc3DZAAAACQEAAA8AAAAAAAAAAQAgAAAAIgAAAGRycy9kb3ducmV2LnhtbFBLAQIUABQA&#10;AAAIAIdO4kATLb8O7wEAAOEDAAAOAAAAAAAAAAEAIAAAACgBAABkcnMvZTJvRG9jLnhtbFBLBQYA&#10;AAAABgAGAFkBAACJBQAAAAA=&#10;">
                <v:fill on="f" focussize="0,0"/>
                <v:stroke color="#000000" joinstyle="round" endarrow="open"/>
                <v:imagedata o:title=""/>
                <o:lock v:ext="edit" aspectratio="f"/>
              </v:line>
            </w:pict>
          </mc:Fallback>
        </mc:AlternateContent>
      </w:r>
      <w:r>
        <w:rPr>
          <w:sz w:val="24"/>
          <w:u w:val="single"/>
        </w:rPr>
        <mc:AlternateContent>
          <mc:Choice Requires="wps">
            <w:drawing>
              <wp:anchor distT="0" distB="0" distL="114300" distR="114300" simplePos="0" relativeHeight="251761664" behindDoc="0" locked="0" layoutInCell="1" allowOverlap="1">
                <wp:simplePos x="0" y="0"/>
                <wp:positionH relativeFrom="column">
                  <wp:posOffset>1801495</wp:posOffset>
                </wp:positionH>
                <wp:positionV relativeFrom="paragraph">
                  <wp:posOffset>153035</wp:posOffset>
                </wp:positionV>
                <wp:extent cx="591820" cy="635"/>
                <wp:effectExtent l="0" t="48895" r="17780" b="64770"/>
                <wp:wrapNone/>
                <wp:docPr id="270" name="直线 437"/>
                <wp:cNvGraphicFramePr/>
                <a:graphic xmlns:a="http://schemas.openxmlformats.org/drawingml/2006/main">
                  <a:graphicData uri="http://schemas.microsoft.com/office/word/2010/wordprocessingShape">
                    <wps:wsp>
                      <wps:cNvSpPr/>
                      <wps:spPr>
                        <a:xfrm>
                          <a:off x="0" y="0"/>
                          <a:ext cx="5918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437" o:spid="_x0000_s1026" o:spt="20" style="position:absolute;left:0pt;margin-left:141.85pt;margin-top:12.05pt;height:0.05pt;width:46.6pt;z-index:251761664;mso-width-relative:page;mso-height-relative:page;" filled="f" stroked="t" coordsize="21600,21600" o:gfxdata="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78fj2QAAAAkBAAAPAAAAAAAAAAEAIAAAACIAAABkcnMvZG93bnJldi54bWxQSwECFAAU&#10;AAAACACHTuJAERbeEvABAADhAwAADgAAAAAAAAABACAAAAAoAQAAZHJzL2Uyb0RvYy54bWxQSwUG&#10;AAAAAAYABgBZAQAAigUAAAAA&#10;">
                <v:fill on="f" focussize="0,0"/>
                <v:stroke color="#000000" joinstyle="round" endarrow="open"/>
                <v:imagedata o:title=""/>
                <o:lock v:ext="edit" aspectratio="f"/>
              </v:line>
            </w:pict>
          </mc:Fallback>
        </mc:AlternateContent>
      </w:r>
    </w:p>
    <w:p>
      <w:pPr>
        <w:pStyle w:val="2"/>
        <w:tabs>
          <w:tab w:val="left" w:pos="2239"/>
        </w:tabs>
        <w:rPr>
          <w:rFonts w:ascii="Times New Roman" w:hAnsi="Times New Roman"/>
          <w:b/>
          <w:bCs/>
          <w:color w:val="000000"/>
          <w:sz w:val="24"/>
          <w:szCs w:val="24"/>
          <w:u w:val="single"/>
        </w:rPr>
      </w:pPr>
    </w:p>
    <w:p>
      <w:pPr>
        <w:pStyle w:val="2"/>
        <w:tabs>
          <w:tab w:val="left" w:pos="2239"/>
        </w:tabs>
        <w:jc w:val="center"/>
        <w:rPr>
          <w:rFonts w:ascii="Times New Roman" w:hAnsi="Times New Roman"/>
          <w:sz w:val="24"/>
          <w:szCs w:val="24"/>
          <w:u w:val="single"/>
        </w:rPr>
      </w:pPr>
      <w:r>
        <w:rPr>
          <w:rFonts w:ascii="Times New Roman" w:hAnsi="Times New Roman"/>
          <w:b/>
          <w:bCs/>
          <w:color w:val="000000"/>
          <w:sz w:val="24"/>
          <w:szCs w:val="24"/>
          <w:u w:val="single"/>
        </w:rPr>
        <w:t>图3-6 本项目给排水平衡图</w:t>
      </w:r>
      <w:r>
        <w:rPr>
          <w:rFonts w:ascii="Times New Roman" w:hAnsi="Times New Roman"/>
          <w:color w:val="000000"/>
          <w:sz w:val="24"/>
          <w:szCs w:val="24"/>
          <w:u w:val="single"/>
        </w:rPr>
        <w:t xml:space="preserve">  单位：</w:t>
      </w:r>
      <w:r>
        <w:rPr>
          <w:rFonts w:ascii="Times New Roman" w:hAnsi="Times New Roman"/>
          <w:sz w:val="24"/>
          <w:szCs w:val="24"/>
          <w:u w:val="single"/>
        </w:rPr>
        <w:t>t/a</w:t>
      </w:r>
    </w:p>
    <w:p>
      <w:pPr>
        <w:adjustRightInd w:val="0"/>
        <w:spacing w:line="360" w:lineRule="auto"/>
        <w:ind w:firstLine="480" w:firstLineChars="200"/>
        <w:outlineLvl w:val="0"/>
        <w:rPr>
          <w:rFonts w:ascii="Times New Roman" w:hAnsi="Times New Roman"/>
          <w:sz w:val="24"/>
          <w:szCs w:val="24"/>
        </w:rPr>
      </w:pPr>
      <w:r>
        <w:rPr>
          <w:rFonts w:ascii="Times New Roman" w:hAnsi="Times New Roman"/>
          <w:sz w:val="24"/>
          <w:szCs w:val="24"/>
        </w:rPr>
        <w:t>（3）供电</w:t>
      </w:r>
    </w:p>
    <w:p>
      <w:pPr>
        <w:adjustRightInd w:val="0"/>
        <w:spacing w:line="360" w:lineRule="auto"/>
        <w:ind w:firstLine="480" w:firstLineChars="200"/>
        <w:rPr>
          <w:rFonts w:ascii="Times New Roman" w:hAnsi="Times New Roman"/>
          <w:sz w:val="24"/>
          <w:szCs w:val="24"/>
        </w:rPr>
      </w:pPr>
      <w:r>
        <w:rPr>
          <w:rFonts w:hint="eastAsia" w:ascii="Times New Roman" w:hAnsi="Times New Roman"/>
          <w:sz w:val="24"/>
          <w:szCs w:val="24"/>
        </w:rPr>
        <w:t>本次扩建项目供电依托现有选矿厂区内供电线路，能够满足本项目需求</w:t>
      </w:r>
      <w:r>
        <w:rPr>
          <w:rFonts w:ascii="Times New Roman" w:hAnsi="Times New Roman"/>
          <w:sz w:val="24"/>
          <w:szCs w:val="24"/>
        </w:rPr>
        <w:t>。</w:t>
      </w:r>
    </w:p>
    <w:p>
      <w:pPr>
        <w:adjustRightInd w:val="0"/>
        <w:spacing w:line="360" w:lineRule="auto"/>
        <w:ind w:firstLine="480" w:firstLineChars="200"/>
        <w:rPr>
          <w:rFonts w:ascii="Times New Roman" w:hAnsi="Times New Roman"/>
          <w:sz w:val="24"/>
          <w:szCs w:val="24"/>
        </w:rPr>
      </w:pPr>
      <w:r>
        <w:rPr>
          <w:rFonts w:ascii="Times New Roman" w:hAnsi="Times New Roman"/>
          <w:sz w:val="24"/>
          <w:szCs w:val="24"/>
        </w:rPr>
        <w:t>（4）供热</w:t>
      </w:r>
    </w:p>
    <w:p>
      <w:pPr>
        <w:adjustRightInd w:val="0"/>
        <w:spacing w:line="360" w:lineRule="auto"/>
        <w:ind w:firstLine="480" w:firstLineChars="200"/>
        <w:rPr>
          <w:rFonts w:ascii="Times New Roman" w:hAnsi="Times New Roman"/>
          <w:sz w:val="24"/>
          <w:szCs w:val="24"/>
        </w:rPr>
      </w:pPr>
      <w:r>
        <w:rPr>
          <w:rFonts w:hint="eastAsia" w:ascii="Times New Roman" w:hAnsi="Times New Roman"/>
          <w:sz w:val="24"/>
          <w:szCs w:val="24"/>
        </w:rPr>
        <w:t>本次扩建生产和生活无需供热</w:t>
      </w:r>
      <w:r>
        <w:rPr>
          <w:rFonts w:ascii="Times New Roman" w:hAnsi="Times New Roman"/>
          <w:sz w:val="24"/>
          <w:szCs w:val="24"/>
        </w:rPr>
        <w:t>。</w:t>
      </w:r>
    </w:p>
    <w:p>
      <w:pPr>
        <w:pStyle w:val="2"/>
        <w:numPr>
          <w:ilvl w:val="0"/>
          <w:numId w:val="8"/>
        </w:numPr>
        <w:spacing w:line="360" w:lineRule="auto"/>
        <w:ind w:firstLine="480" w:firstLineChars="200"/>
        <w:rPr>
          <w:rFonts w:ascii="Times New Roman" w:hAnsi="Times New Roman"/>
          <w:sz w:val="24"/>
          <w:szCs w:val="24"/>
        </w:rPr>
      </w:pPr>
      <w:r>
        <w:rPr>
          <w:rFonts w:hint="eastAsia" w:ascii="Times New Roman" w:hAnsi="Times New Roman"/>
          <w:sz w:val="24"/>
          <w:szCs w:val="24"/>
        </w:rPr>
        <w:t>依托可行性的分析</w:t>
      </w:r>
    </w:p>
    <w:p>
      <w:pPr>
        <w:pStyle w:val="2"/>
        <w:spacing w:line="360" w:lineRule="auto"/>
        <w:ind w:firstLine="480" w:firstLineChars="200"/>
        <w:rPr>
          <w:rFonts w:ascii="Times New Roman" w:hAnsi="Times New Roman"/>
          <w:sz w:val="24"/>
          <w:szCs w:val="24"/>
        </w:rPr>
      </w:pPr>
      <w:r>
        <w:rPr>
          <w:rFonts w:hint="eastAsia" w:ascii="Times New Roman" w:hAnsi="Times New Roman"/>
          <w:sz w:val="24"/>
          <w:szCs w:val="24"/>
        </w:rPr>
        <w:t>①用水：本次扩建项目用水主要为尾矿库干堆定期洒水降尘用水，用水量为2t/d。依托现有厂区内自打井水，出水量为58m</w:t>
      </w:r>
      <w:r>
        <w:rPr>
          <w:rFonts w:hint="eastAsia" w:ascii="Times New Roman" w:hAnsi="Times New Roman"/>
          <w:sz w:val="24"/>
          <w:szCs w:val="24"/>
          <w:vertAlign w:val="superscript"/>
        </w:rPr>
        <w:t>3</w:t>
      </w:r>
      <w:r>
        <w:rPr>
          <w:rFonts w:hint="eastAsia" w:ascii="Times New Roman" w:hAnsi="Times New Roman"/>
          <w:sz w:val="24"/>
          <w:szCs w:val="24"/>
        </w:rPr>
        <w:t>/h，满足供水需求。</w:t>
      </w:r>
    </w:p>
    <w:p>
      <w:pPr>
        <w:pStyle w:val="2"/>
        <w:spacing w:line="360" w:lineRule="auto"/>
        <w:ind w:firstLine="480" w:firstLineChars="200"/>
        <w:rPr>
          <w:rFonts w:ascii="Times New Roman" w:hAnsi="Times New Roman"/>
          <w:sz w:val="24"/>
          <w:szCs w:val="24"/>
        </w:rPr>
      </w:pPr>
      <w:r>
        <w:rPr>
          <w:rFonts w:hint="eastAsia" w:ascii="Times New Roman" w:hAnsi="Times New Roman"/>
          <w:sz w:val="24"/>
          <w:szCs w:val="24"/>
        </w:rPr>
        <w:t>②供电：本次扩建项目新建的压滤间用电依托现有厂区内用电设施，现有厂区装机总容量为4000KW，在厂区内已有一座6KV配电室一座。压滤间取电来自选矿车间内供电口，能够满足本次扩建项目用电需求。</w:t>
      </w:r>
    </w:p>
    <w:p>
      <w:pPr>
        <w:pStyle w:val="5"/>
        <w:rPr>
          <w:color w:val="000000"/>
          <w:sz w:val="24"/>
          <w:szCs w:val="24"/>
        </w:rPr>
      </w:pPr>
      <w:bookmarkStart w:id="184" w:name="_Toc4211"/>
      <w:bookmarkStart w:id="185" w:name="_Toc2254"/>
      <w:bookmarkStart w:id="186" w:name="_Toc15784"/>
      <w:r>
        <w:rPr>
          <w:rFonts w:hint="eastAsia"/>
          <w:color w:val="000000"/>
          <w:sz w:val="24"/>
          <w:szCs w:val="24"/>
        </w:rPr>
        <w:t>3.2.7工作制度、劳动定员</w:t>
      </w:r>
      <w:bookmarkEnd w:id="184"/>
      <w:bookmarkEnd w:id="185"/>
      <w:bookmarkEnd w:id="186"/>
    </w:p>
    <w:p>
      <w:pPr>
        <w:tabs>
          <w:tab w:val="left" w:pos="1958"/>
        </w:tabs>
        <w:spacing w:line="360" w:lineRule="auto"/>
        <w:ind w:firstLine="480" w:firstLineChars="200"/>
        <w:jc w:val="left"/>
        <w:rPr>
          <w:sz w:val="24"/>
          <w:szCs w:val="24"/>
        </w:rPr>
      </w:pPr>
      <w:r>
        <w:rPr>
          <w:rFonts w:ascii="Times New Roman" w:hAnsi="Times New Roman"/>
          <w:sz w:val="24"/>
          <w:szCs w:val="24"/>
        </w:rPr>
        <w:t>本次扩建不新增劳动定员。该选矿厂现有职工</w:t>
      </w:r>
      <w:r>
        <w:rPr>
          <w:rFonts w:ascii="Times New Roman" w:hAnsi="Times New Roman"/>
          <w:color w:val="000000"/>
          <w:sz w:val="24"/>
        </w:rPr>
        <w:t>15人，年工作300天，每天3班作业，每班8小时。</w:t>
      </w:r>
    </w:p>
    <w:p>
      <w:pPr>
        <w:pStyle w:val="5"/>
        <w:rPr>
          <w:color w:val="000000"/>
          <w:sz w:val="24"/>
          <w:szCs w:val="24"/>
        </w:rPr>
      </w:pPr>
      <w:bookmarkStart w:id="187" w:name="_Toc17548"/>
      <w:bookmarkStart w:id="188" w:name="_Toc4613"/>
      <w:bookmarkStart w:id="189" w:name="_Toc25261"/>
      <w:r>
        <w:rPr>
          <w:color w:val="000000"/>
          <w:sz w:val="24"/>
          <w:szCs w:val="24"/>
        </w:rPr>
        <w:t>3.2.8总投资</w:t>
      </w:r>
      <w:bookmarkEnd w:id="187"/>
      <w:bookmarkEnd w:id="188"/>
      <w:bookmarkEnd w:id="189"/>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w:t>
      </w:r>
      <w:r>
        <w:rPr>
          <w:rFonts w:hint="eastAsia" w:ascii="Times New Roman" w:hAnsi="Times New Roman"/>
          <w:color w:val="000000"/>
          <w:sz w:val="24"/>
          <w:szCs w:val="24"/>
        </w:rPr>
        <w:t>次扩建</w:t>
      </w:r>
      <w:r>
        <w:rPr>
          <w:rFonts w:ascii="Times New Roman" w:hAnsi="Times New Roman"/>
          <w:color w:val="000000"/>
          <w:sz w:val="24"/>
          <w:szCs w:val="24"/>
        </w:rPr>
        <w:t>项目建设投资</w:t>
      </w:r>
      <w:r>
        <w:rPr>
          <w:rFonts w:hint="eastAsia" w:ascii="Times New Roman" w:hAnsi="Times New Roman"/>
          <w:color w:val="000000"/>
          <w:sz w:val="24"/>
          <w:szCs w:val="24"/>
        </w:rPr>
        <w:t>750</w:t>
      </w:r>
      <w:r>
        <w:rPr>
          <w:rFonts w:ascii="Times New Roman" w:hAnsi="Times New Roman"/>
          <w:color w:val="000000"/>
          <w:sz w:val="24"/>
          <w:szCs w:val="24"/>
        </w:rPr>
        <w:t>万元。全部由企业自筹解决。</w:t>
      </w:r>
    </w:p>
    <w:p>
      <w:pPr>
        <w:pStyle w:val="5"/>
        <w:rPr>
          <w:color w:val="000000"/>
          <w:sz w:val="24"/>
          <w:szCs w:val="24"/>
        </w:rPr>
      </w:pPr>
      <w:bookmarkStart w:id="190" w:name="_Toc12537"/>
      <w:bookmarkStart w:id="191" w:name="_Toc21723"/>
      <w:bookmarkStart w:id="192" w:name="_Toc25311"/>
      <w:r>
        <w:rPr>
          <w:color w:val="000000"/>
          <w:sz w:val="24"/>
          <w:szCs w:val="24"/>
        </w:rPr>
        <w:t>3.2.9投产日期</w:t>
      </w:r>
      <w:bookmarkEnd w:id="190"/>
      <w:bookmarkEnd w:id="191"/>
      <w:bookmarkEnd w:id="192"/>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本项目建设期1.5年，服务年限</w:t>
      </w:r>
      <w:r>
        <w:rPr>
          <w:rFonts w:hint="eastAsia" w:ascii="Times New Roman" w:hAnsi="Times New Roman"/>
          <w:color w:val="000000"/>
          <w:sz w:val="24"/>
          <w:szCs w:val="24"/>
        </w:rPr>
        <w:t>5.52</w:t>
      </w:r>
      <w:r>
        <w:rPr>
          <w:rFonts w:ascii="Times New Roman" w:hAnsi="Times New Roman"/>
          <w:color w:val="000000"/>
          <w:sz w:val="24"/>
          <w:szCs w:val="24"/>
        </w:rPr>
        <w:t>年。</w:t>
      </w:r>
    </w:p>
    <w:p>
      <w:pPr>
        <w:pStyle w:val="5"/>
        <w:rPr>
          <w:color w:val="000000"/>
          <w:sz w:val="24"/>
          <w:szCs w:val="24"/>
        </w:rPr>
      </w:pPr>
      <w:bookmarkStart w:id="193" w:name="_Toc14011"/>
      <w:bookmarkStart w:id="194" w:name="_Toc22104"/>
      <w:bookmarkStart w:id="195" w:name="_Toc17276"/>
      <w:r>
        <w:rPr>
          <w:color w:val="000000"/>
          <w:sz w:val="24"/>
          <w:szCs w:val="24"/>
        </w:rPr>
        <w:t>3.2.10扩建项目</w:t>
      </w:r>
      <w:bookmarkEnd w:id="193"/>
      <w:bookmarkEnd w:id="194"/>
      <w:bookmarkEnd w:id="195"/>
      <w:r>
        <w:rPr>
          <w:sz w:val="24"/>
        </w:rPr>
        <w:t>土地利用情况</w:t>
      </w:r>
    </w:p>
    <w:p>
      <w:pPr>
        <w:pStyle w:val="2"/>
        <w:spacing w:line="360" w:lineRule="auto"/>
        <w:ind w:firstLine="480" w:firstLineChars="200"/>
        <w:rPr>
          <w:rFonts w:ascii="Times New Roman" w:hAnsi="Times New Roman"/>
          <w:bCs/>
          <w:iCs/>
          <w:sz w:val="24"/>
        </w:rPr>
      </w:pPr>
      <w:r>
        <w:rPr>
          <w:rFonts w:hint="eastAsia" w:ascii="Times New Roman" w:hAnsi="Times New Roman"/>
          <w:bCs/>
          <w:iCs/>
          <w:sz w:val="24"/>
        </w:rPr>
        <w:t xml:space="preserve">   本项目扩建后总占地面积</w:t>
      </w:r>
      <w:r>
        <w:rPr>
          <w:rFonts w:hint="eastAsia" w:ascii="Times New Roman" w:hAnsi="Times New Roman"/>
          <w:color w:val="000000"/>
          <w:sz w:val="24"/>
          <w:szCs w:val="24"/>
        </w:rPr>
        <w:t>为0.076km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（合计76000m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）。其中本次新增占地为4000m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，不新增道路。则本项目占地一览表如下。</w:t>
      </w:r>
    </w:p>
    <w:p>
      <w:pPr>
        <w:adjustRightInd w:val="0"/>
        <w:snapToGrid w:val="0"/>
        <w:jc w:val="center"/>
        <w:rPr>
          <w:rFonts w:ascii="Times New Roman" w:hAnsi="Times New Roman"/>
          <w:sz w:val="24"/>
        </w:rPr>
      </w:pPr>
      <w:r>
        <w:rPr>
          <w:rFonts w:ascii="Times New Roman" w:hAnsi="Times New Roman"/>
          <w:b/>
          <w:sz w:val="24"/>
        </w:rPr>
        <w:t>表3-1</w:t>
      </w:r>
      <w:r>
        <w:rPr>
          <w:rFonts w:hint="eastAsia" w:ascii="Times New Roman" w:hAnsi="Times New Roman"/>
          <w:b/>
          <w:sz w:val="24"/>
        </w:rPr>
        <w:t>5</w:t>
      </w:r>
      <w:r>
        <w:rPr>
          <w:rFonts w:ascii="Times New Roman" w:hAnsi="Times New Roman"/>
          <w:b/>
          <w:sz w:val="24"/>
        </w:rPr>
        <w:t xml:space="preserve">    </w:t>
      </w:r>
      <w:r>
        <w:rPr>
          <w:rFonts w:hint="eastAsia" w:ascii="Times New Roman" w:hAnsi="Times New Roman"/>
          <w:b/>
          <w:sz w:val="24"/>
        </w:rPr>
        <w:t>扩建项目</w:t>
      </w:r>
      <w:r>
        <w:rPr>
          <w:rFonts w:ascii="Times New Roman" w:hAnsi="Times New Roman"/>
          <w:b/>
          <w:snapToGrid w:val="0"/>
          <w:sz w:val="24"/>
        </w:rPr>
        <w:t>占地一览表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2955"/>
        <w:gridCol w:w="1338"/>
        <w:gridCol w:w="1805"/>
        <w:gridCol w:w="14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Merge w:val="restart"/>
            <w:vAlign w:val="center"/>
          </w:tcPr>
          <w:p>
            <w:pPr>
              <w:jc w:val="center"/>
              <w:rPr>
                <w:rFonts w:ascii="Times New Roman" w:hAnsi="Times New Roman"/>
                <w:szCs w:val="21"/>
              </w:rPr>
            </w:pPr>
            <w:r>
              <w:rPr>
                <w:rFonts w:ascii="Times New Roman" w:hAnsi="Times New Roman"/>
                <w:szCs w:val="21"/>
              </w:rPr>
              <w:t>序号</w:t>
            </w:r>
          </w:p>
        </w:tc>
        <w:tc>
          <w:tcPr>
            <w:tcW w:w="2955" w:type="dxa"/>
            <w:vMerge w:val="restart"/>
            <w:vAlign w:val="center"/>
          </w:tcPr>
          <w:p>
            <w:pPr>
              <w:jc w:val="center"/>
              <w:rPr>
                <w:rFonts w:ascii="Times New Roman" w:hAnsi="Times New Roman"/>
                <w:szCs w:val="21"/>
              </w:rPr>
            </w:pPr>
            <w:r>
              <w:rPr>
                <w:rFonts w:hint="eastAsia" w:ascii="Times New Roman" w:hAnsi="Times New Roman"/>
                <w:szCs w:val="21"/>
              </w:rPr>
              <w:t>名称</w:t>
            </w:r>
          </w:p>
        </w:tc>
        <w:tc>
          <w:tcPr>
            <w:tcW w:w="1338" w:type="dxa"/>
            <w:vMerge w:val="restart"/>
            <w:vAlign w:val="center"/>
          </w:tcPr>
          <w:p>
            <w:pPr>
              <w:jc w:val="center"/>
              <w:rPr>
                <w:rFonts w:ascii="Times New Roman" w:hAnsi="Times New Roman"/>
                <w:szCs w:val="21"/>
              </w:rPr>
            </w:pPr>
            <w:r>
              <w:rPr>
                <w:rFonts w:ascii="Times New Roman" w:hAnsi="Times New Roman"/>
                <w:szCs w:val="21"/>
              </w:rPr>
              <w:t>单位</w:t>
            </w:r>
          </w:p>
        </w:tc>
        <w:tc>
          <w:tcPr>
            <w:tcW w:w="1805" w:type="dxa"/>
            <w:vMerge w:val="restart"/>
            <w:vAlign w:val="center"/>
          </w:tcPr>
          <w:p>
            <w:pPr>
              <w:jc w:val="center"/>
              <w:rPr>
                <w:rFonts w:ascii="Times New Roman" w:hAnsi="Times New Roman"/>
                <w:szCs w:val="21"/>
              </w:rPr>
            </w:pPr>
            <w:r>
              <w:rPr>
                <w:rFonts w:ascii="Times New Roman" w:hAnsi="Times New Roman"/>
                <w:szCs w:val="21"/>
              </w:rPr>
              <w:t>占地面积</w:t>
            </w:r>
          </w:p>
        </w:tc>
        <w:tc>
          <w:tcPr>
            <w:tcW w:w="1413" w:type="dxa"/>
            <w:vAlign w:val="center"/>
          </w:tcPr>
          <w:p>
            <w:pPr>
              <w:jc w:val="center"/>
              <w:rPr>
                <w:rFonts w:ascii="Times New Roman" w:hAnsi="Times New Roman"/>
                <w:szCs w:val="21"/>
              </w:rPr>
            </w:pPr>
            <w:r>
              <w:rPr>
                <w:rFonts w:ascii="Times New Roman" w:hAnsi="Times New Roman"/>
                <w:szCs w:val="21"/>
              </w:rPr>
              <w:t>占地类型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Merge w:val="continue"/>
            <w:vAlign w:val="center"/>
          </w:tcPr>
          <w:p>
            <w:pPr>
              <w:jc w:val="center"/>
              <w:rPr>
                <w:rFonts w:ascii="Times New Roman" w:hAnsi="Times New Roman"/>
                <w:szCs w:val="21"/>
              </w:rPr>
            </w:pPr>
          </w:p>
        </w:tc>
        <w:tc>
          <w:tcPr>
            <w:tcW w:w="2955" w:type="dxa"/>
            <w:vMerge w:val="continue"/>
            <w:vAlign w:val="center"/>
          </w:tcPr>
          <w:p>
            <w:pPr>
              <w:jc w:val="center"/>
              <w:rPr>
                <w:rFonts w:ascii="Times New Roman" w:hAnsi="Times New Roman"/>
                <w:szCs w:val="21"/>
              </w:rPr>
            </w:pPr>
          </w:p>
        </w:tc>
        <w:tc>
          <w:tcPr>
            <w:tcW w:w="1338" w:type="dxa"/>
            <w:vMerge w:val="continue"/>
            <w:vAlign w:val="center"/>
          </w:tcPr>
          <w:p>
            <w:pPr>
              <w:jc w:val="center"/>
              <w:rPr>
                <w:rFonts w:ascii="Times New Roman" w:hAnsi="Times New Roman"/>
                <w:szCs w:val="21"/>
              </w:rPr>
            </w:pPr>
          </w:p>
        </w:tc>
        <w:tc>
          <w:tcPr>
            <w:tcW w:w="1805" w:type="dxa"/>
            <w:vMerge w:val="continue"/>
            <w:vAlign w:val="center"/>
          </w:tcPr>
          <w:p>
            <w:pPr>
              <w:jc w:val="center"/>
              <w:rPr>
                <w:rFonts w:ascii="Times New Roman" w:hAnsi="Times New Roman"/>
                <w:szCs w:val="21"/>
              </w:rPr>
            </w:pPr>
          </w:p>
        </w:tc>
        <w:tc>
          <w:tcPr>
            <w:tcW w:w="1413" w:type="dxa"/>
            <w:vAlign w:val="center"/>
          </w:tcPr>
          <w:p>
            <w:pPr>
              <w:jc w:val="center"/>
              <w:rPr>
                <w:rFonts w:ascii="Times New Roman" w:hAnsi="Times New Roman"/>
                <w:szCs w:val="21"/>
              </w:rPr>
            </w:pPr>
            <w:r>
              <w:rPr>
                <w:rFonts w:ascii="Times New Roman" w:hAnsi="Times New Roman"/>
                <w:szCs w:val="21"/>
              </w:rPr>
              <w:t>03林地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pPr>
              <w:jc w:val="center"/>
              <w:rPr>
                <w:rFonts w:ascii="Times New Roman" w:hAnsi="Times New Roman"/>
                <w:szCs w:val="21"/>
              </w:rPr>
            </w:pPr>
            <w:r>
              <w:rPr>
                <w:rFonts w:ascii="Times New Roman" w:hAnsi="Times New Roman"/>
                <w:szCs w:val="21"/>
              </w:rPr>
              <w:t>1</w:t>
            </w:r>
          </w:p>
        </w:tc>
        <w:tc>
          <w:tcPr>
            <w:tcW w:w="2955" w:type="dxa"/>
            <w:vAlign w:val="center"/>
          </w:tcPr>
          <w:p>
            <w:pPr>
              <w:adjustRightInd w:val="0"/>
              <w:jc w:val="center"/>
              <w:rPr>
                <w:rFonts w:ascii="Times New Roman" w:hAnsi="Times New Roman"/>
                <w:szCs w:val="21"/>
              </w:rPr>
            </w:pPr>
            <w:r>
              <w:rPr>
                <w:rFonts w:hint="eastAsia" w:ascii="Times New Roman" w:hAnsi="Times New Roman"/>
                <w:szCs w:val="21"/>
              </w:rPr>
              <w:t>尾矿库新增面积</w:t>
            </w:r>
          </w:p>
        </w:tc>
        <w:tc>
          <w:tcPr>
            <w:tcW w:w="1338" w:type="dxa"/>
            <w:vAlign w:val="center"/>
          </w:tcPr>
          <w:p>
            <w:pPr>
              <w:jc w:val="center"/>
              <w:rPr>
                <w:rFonts w:ascii="Times New Roman" w:hAnsi="Times New Roman"/>
              </w:rPr>
            </w:pPr>
            <w:r>
              <w:rPr>
                <w:rFonts w:ascii="Times New Roman" w:hAnsi="Times New Roman"/>
                <w:szCs w:val="21"/>
              </w:rPr>
              <w:t>m</w:t>
            </w:r>
            <w:r>
              <w:rPr>
                <w:rFonts w:ascii="Times New Roman" w:hAnsi="Times New Roman"/>
                <w:szCs w:val="21"/>
                <w:vertAlign w:val="superscript"/>
              </w:rPr>
              <w:t>2</w:t>
            </w:r>
          </w:p>
        </w:tc>
        <w:tc>
          <w:tcPr>
            <w:tcW w:w="1805" w:type="dxa"/>
            <w:vAlign w:val="center"/>
          </w:tcPr>
          <w:p>
            <w:pPr>
              <w:widowControl/>
              <w:jc w:val="center"/>
              <w:textAlignment w:val="center"/>
              <w:rPr>
                <w:rFonts w:ascii="Times New Roman" w:hAnsi="Times New Roman"/>
                <w:szCs w:val="21"/>
              </w:rPr>
            </w:pPr>
            <w:r>
              <w:rPr>
                <w:rFonts w:hint="eastAsia" w:ascii="Times New Roman" w:hAnsi="Times New Roman"/>
                <w:kern w:val="0"/>
                <w:szCs w:val="21"/>
              </w:rPr>
              <w:t>4000</w:t>
            </w:r>
          </w:p>
        </w:tc>
        <w:tc>
          <w:tcPr>
            <w:tcW w:w="1413" w:type="dxa"/>
            <w:vAlign w:val="center"/>
          </w:tcPr>
          <w:p>
            <w:pPr>
              <w:jc w:val="center"/>
              <w:rPr>
                <w:rFonts w:ascii="Times New Roman" w:hAnsi="Times New Roman"/>
                <w:szCs w:val="21"/>
              </w:rPr>
            </w:pPr>
            <w:r>
              <w:rPr>
                <w:rFonts w:hint="eastAsia" w:ascii="Times New Roman" w:hAnsi="Times New Roman"/>
                <w:szCs w:val="21"/>
              </w:rPr>
              <w:t>4000</w:t>
            </w:r>
          </w:p>
        </w:tc>
      </w:tr>
    </w:tbl>
    <w:p>
      <w:pPr>
        <w:pStyle w:val="2"/>
        <w:rPr>
          <w:rFonts w:ascii="Times New Roman" w:hAnsi="Times New Roman"/>
          <w:bCs/>
          <w:iCs/>
          <w:sz w:val="24"/>
        </w:rPr>
      </w:pPr>
    </w:p>
    <w:p>
      <w:pPr>
        <w:pStyle w:val="5"/>
        <w:rPr>
          <w:color w:val="000000"/>
          <w:sz w:val="24"/>
          <w:szCs w:val="24"/>
        </w:rPr>
      </w:pPr>
      <w:r>
        <w:rPr>
          <w:color w:val="000000"/>
          <w:sz w:val="24"/>
          <w:szCs w:val="24"/>
        </w:rPr>
        <w:t>3.2.1</w:t>
      </w:r>
      <w:r>
        <w:rPr>
          <w:rFonts w:hint="eastAsia"/>
          <w:color w:val="000000"/>
          <w:sz w:val="24"/>
          <w:szCs w:val="24"/>
        </w:rPr>
        <w:t>1林地砍伐</w:t>
      </w:r>
    </w:p>
    <w:p>
      <w:pPr>
        <w:pStyle w:val="23"/>
        <w:adjustRightInd w:val="0"/>
        <w:snapToGrid w:val="0"/>
        <w:spacing w:after="0" w:line="360" w:lineRule="auto"/>
        <w:ind w:firstLine="480" w:firstLineChars="200"/>
        <w:rPr>
          <w:rFonts w:ascii="Times New Roman" w:hAnsi="Times New Roman"/>
          <w:bCs/>
          <w:iCs/>
          <w:sz w:val="24"/>
          <w:u w:val="single"/>
        </w:rPr>
      </w:pPr>
      <w:bookmarkStart w:id="196" w:name="_Toc21078"/>
      <w:bookmarkStart w:id="197" w:name="_Hlk498294906"/>
      <w:r>
        <w:rPr>
          <w:rFonts w:hint="eastAsia" w:ascii="Times New Roman" w:hAnsi="Times New Roman"/>
          <w:sz w:val="24"/>
          <w:u w:val="single"/>
        </w:rPr>
        <w:t>本项目为尾矿库扩建项目，对地面破坏的影响较小，新增占地主要为尾矿库本次外扩占地，占用林地较少，本工程砍伐林地面积约为4000m</w:t>
      </w:r>
      <w:r>
        <w:rPr>
          <w:rFonts w:hint="eastAsia" w:ascii="Times New Roman" w:hAnsi="Times New Roman"/>
          <w:sz w:val="24"/>
          <w:u w:val="single"/>
          <w:vertAlign w:val="superscript"/>
        </w:rPr>
        <w:t>2</w:t>
      </w:r>
      <w:r>
        <w:rPr>
          <w:rFonts w:hint="eastAsia" w:ascii="Times New Roman" w:hAnsi="Times New Roman"/>
          <w:sz w:val="24"/>
          <w:u w:val="single"/>
        </w:rPr>
        <w:t>，本次砍伐林木约200株，均为水源涵养林。为树种</w:t>
      </w:r>
      <w:bookmarkEnd w:id="196"/>
      <w:r>
        <w:rPr>
          <w:rFonts w:hint="eastAsia" w:ascii="Times New Roman" w:hAnsi="Times New Roman"/>
          <w:sz w:val="24"/>
          <w:u w:val="single"/>
        </w:rPr>
        <w:t>主要为阔叶柞树、杂树等。企业正在办理林业部门相关审核及审批件、征得林业部门许可的前提下方可对树木进行砍伐补偿（见附件）。</w:t>
      </w:r>
      <w:bookmarkEnd w:id="197"/>
    </w:p>
    <w:p>
      <w:pPr>
        <w:pStyle w:val="5"/>
        <w:spacing w:line="360" w:lineRule="auto"/>
        <w:rPr>
          <w:color w:val="000000"/>
          <w:sz w:val="24"/>
          <w:szCs w:val="24"/>
        </w:rPr>
      </w:pPr>
      <w:r>
        <w:rPr>
          <w:color w:val="000000"/>
          <w:sz w:val="24"/>
          <w:szCs w:val="24"/>
        </w:rPr>
        <w:t>3.2.1</w:t>
      </w:r>
      <w:r>
        <w:rPr>
          <w:rFonts w:hint="eastAsia"/>
          <w:color w:val="000000"/>
          <w:sz w:val="24"/>
          <w:szCs w:val="24"/>
        </w:rPr>
        <w:t>2占地及土石方平衡</w:t>
      </w:r>
    </w:p>
    <w:p>
      <w:pPr>
        <w:spacing w:line="360" w:lineRule="auto"/>
        <w:ind w:firstLine="480" w:firstLineChars="200"/>
        <w:rPr>
          <w:rFonts w:ascii="Times New Roman" w:hAnsi="Times New Roman"/>
          <w:bCs/>
          <w:iCs/>
          <w:sz w:val="24"/>
        </w:rPr>
      </w:pPr>
      <w:r>
        <w:rPr>
          <w:rFonts w:hint="eastAsia" w:ascii="Times New Roman" w:hAnsi="Times New Roman"/>
          <w:bCs/>
          <w:iCs/>
          <w:sz w:val="24"/>
        </w:rPr>
        <w:t>1、占地</w:t>
      </w:r>
    </w:p>
    <w:p>
      <w:pPr>
        <w:spacing w:line="360" w:lineRule="auto"/>
        <w:ind w:firstLine="480" w:firstLineChars="200"/>
        <w:rPr>
          <w:rFonts w:ascii="Times New Roman" w:hAnsi="Times New Roman"/>
          <w:bCs/>
          <w:iCs/>
          <w:sz w:val="24"/>
        </w:rPr>
      </w:pPr>
      <w:r>
        <w:rPr>
          <w:rFonts w:hint="eastAsia" w:ascii="Times New Roman" w:hAnsi="Times New Roman"/>
          <w:bCs/>
          <w:iCs/>
          <w:sz w:val="24"/>
        </w:rPr>
        <w:t>①永久占地：</w:t>
      </w:r>
      <w:r>
        <w:rPr>
          <w:rFonts w:ascii="Times New Roman" w:hAnsi="Times New Roman"/>
          <w:bCs/>
          <w:iCs/>
          <w:sz w:val="24"/>
        </w:rPr>
        <w:t>本</w:t>
      </w:r>
      <w:r>
        <w:rPr>
          <w:rFonts w:hint="eastAsia" w:ascii="Times New Roman" w:hAnsi="Times New Roman"/>
          <w:bCs/>
          <w:iCs/>
          <w:sz w:val="24"/>
        </w:rPr>
        <w:t>次扩建</w:t>
      </w:r>
      <w:r>
        <w:rPr>
          <w:rFonts w:ascii="Times New Roman" w:hAnsi="Times New Roman"/>
          <w:bCs/>
          <w:iCs/>
          <w:sz w:val="24"/>
        </w:rPr>
        <w:t>项目永久占地</w:t>
      </w:r>
      <w:r>
        <w:rPr>
          <w:rFonts w:hint="eastAsia" w:ascii="Times New Roman" w:hAnsi="Times New Roman"/>
          <w:bCs/>
          <w:iCs/>
          <w:sz w:val="24"/>
        </w:rPr>
        <w:t>为现有尾矿库扩建占地，新增永久占地面积为</w:t>
      </w:r>
      <w:r>
        <w:rPr>
          <w:rFonts w:ascii="Times New Roman" w:hAnsi="Times New Roman"/>
          <w:bCs/>
          <w:iCs/>
          <w:sz w:val="24"/>
        </w:rPr>
        <w:t>4000m</w:t>
      </w:r>
      <w:r>
        <w:rPr>
          <w:rFonts w:ascii="Times New Roman" w:hAnsi="Times New Roman"/>
          <w:bCs/>
          <w:iCs/>
          <w:sz w:val="24"/>
          <w:vertAlign w:val="superscript"/>
        </w:rPr>
        <w:t>2</w:t>
      </w:r>
      <w:r>
        <w:rPr>
          <w:rFonts w:ascii="Times New Roman" w:hAnsi="Times New Roman"/>
          <w:bCs/>
          <w:iCs/>
          <w:sz w:val="24"/>
        </w:rPr>
        <w:t>，</w:t>
      </w:r>
      <w:r>
        <w:rPr>
          <w:rFonts w:hint="eastAsia" w:ascii="Times New Roman" w:hAnsi="Times New Roman"/>
          <w:bCs/>
          <w:iCs/>
          <w:sz w:val="24"/>
        </w:rPr>
        <w:t>占地类型为林地，目前企业正在办理相关林地手续（见附件）。</w:t>
      </w:r>
    </w:p>
    <w:p>
      <w:pPr>
        <w:spacing w:line="360" w:lineRule="auto"/>
        <w:ind w:firstLine="480" w:firstLineChars="200"/>
        <w:rPr>
          <w:rFonts w:ascii="Times New Roman" w:hAnsi="Times New Roman"/>
          <w:sz w:val="24"/>
        </w:rPr>
      </w:pPr>
      <w:r>
        <w:rPr>
          <w:rFonts w:hint="eastAsia" w:ascii="Times New Roman" w:hAnsi="Times New Roman"/>
          <w:bCs/>
          <w:iCs/>
          <w:sz w:val="24"/>
        </w:rPr>
        <w:t>②临时占地：本次扩建项目不设置施工营地、堆料场以及拌合场；施工便道利用原有土路；新建压滤间输水管线和会输管线均为露天明管，无临时挖方。因此不新增临时占地。</w:t>
      </w:r>
    </w:p>
    <w:p>
      <w:pPr>
        <w:pStyle w:val="23"/>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2、土石方平衡</w:t>
      </w:r>
    </w:p>
    <w:p>
      <w:pPr>
        <w:pStyle w:val="23"/>
        <w:adjustRightInd w:val="0"/>
        <w:snapToGrid w:val="0"/>
        <w:spacing w:after="0" w:line="360" w:lineRule="auto"/>
        <w:ind w:firstLine="480" w:firstLineChars="200"/>
        <w:rPr>
          <w:rFonts w:ascii="Times New Roman" w:hAnsi="Times New Roman"/>
          <w:sz w:val="24"/>
        </w:rPr>
      </w:pPr>
      <w:r>
        <w:rPr>
          <w:rFonts w:hint="eastAsia" w:ascii="Times New Roman" w:hAnsi="Times New Roman"/>
          <w:sz w:val="24"/>
        </w:rPr>
        <w:t>尾矿库扩建前期对新增</w:t>
      </w:r>
      <w:r>
        <w:rPr>
          <w:rFonts w:ascii="Times New Roman" w:hAnsi="Times New Roman"/>
          <w:sz w:val="24"/>
        </w:rPr>
        <w:t>场地</w:t>
      </w:r>
      <w:r>
        <w:rPr>
          <w:rFonts w:hint="eastAsia" w:ascii="Times New Roman" w:hAnsi="Times New Roman"/>
          <w:sz w:val="24"/>
        </w:rPr>
        <w:t>进行</w:t>
      </w:r>
      <w:r>
        <w:rPr>
          <w:rFonts w:ascii="Times New Roman" w:hAnsi="Times New Roman"/>
          <w:sz w:val="24"/>
        </w:rPr>
        <w:t>平整和处理前将占地范围内的表土进行剥离，剥离面积为</w:t>
      </w:r>
      <w:r>
        <w:rPr>
          <w:rFonts w:hint="eastAsia" w:ascii="Times New Roman" w:hAnsi="Times New Roman"/>
          <w:sz w:val="24"/>
        </w:rPr>
        <w:t>4000</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，剥离厚度为0.30m，则两个矿区剥离量为</w:t>
      </w:r>
      <w:r>
        <w:rPr>
          <w:rFonts w:hint="eastAsia" w:ascii="Times New Roman" w:hAnsi="Times New Roman"/>
          <w:sz w:val="24"/>
        </w:rPr>
        <w:t>1200</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，将剥离的表土堆放</w:t>
      </w:r>
      <w:r>
        <w:rPr>
          <w:rFonts w:hint="eastAsia" w:ascii="Times New Roman" w:hAnsi="Times New Roman"/>
          <w:sz w:val="24"/>
        </w:rPr>
        <w:t>现有尾矿库厂区内。</w:t>
      </w:r>
    </w:p>
    <w:p>
      <w:pPr>
        <w:jc w:val="center"/>
        <w:rPr>
          <w:rFonts w:ascii="Times New Roman" w:hAnsi="Times New Roman"/>
          <w:sz w:val="24"/>
        </w:rPr>
      </w:pPr>
      <w:r>
        <w:rPr>
          <w:rFonts w:ascii="Times New Roman" w:hAnsi="Times New Roman"/>
          <w:b/>
          <w:sz w:val="24"/>
          <w:szCs w:val="24"/>
        </w:rPr>
        <w:t>表3-</w:t>
      </w:r>
      <w:r>
        <w:rPr>
          <w:rFonts w:hint="eastAsia" w:ascii="Times New Roman" w:hAnsi="Times New Roman"/>
          <w:b/>
          <w:sz w:val="24"/>
          <w:szCs w:val="24"/>
        </w:rPr>
        <w:t>16</w:t>
      </w:r>
      <w:r>
        <w:rPr>
          <w:rFonts w:ascii="Times New Roman" w:hAnsi="Times New Roman"/>
          <w:b/>
          <w:sz w:val="24"/>
          <w:szCs w:val="24"/>
        </w:rPr>
        <w:t xml:space="preserve"> </w:t>
      </w:r>
      <w:r>
        <w:rPr>
          <w:rFonts w:hint="eastAsia" w:ascii="Times New Roman" w:hAnsi="Times New Roman"/>
          <w:b/>
          <w:sz w:val="24"/>
          <w:szCs w:val="24"/>
        </w:rPr>
        <w:t>土石方平衡表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28"/>
        <w:gridCol w:w="1155"/>
        <w:gridCol w:w="1285"/>
        <w:gridCol w:w="1191"/>
        <w:gridCol w:w="1173"/>
        <w:gridCol w:w="14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228" w:type="dxa"/>
            <w:vMerge w:val="restart"/>
            <w:vAlign w:val="center"/>
          </w:tcPr>
          <w:p>
            <w:pPr>
              <w:widowControl/>
              <w:jc w:val="center"/>
              <w:rPr>
                <w:rFonts w:ascii="Times New Roman" w:hAnsi="Times New Roman"/>
                <w:kern w:val="0"/>
                <w:szCs w:val="21"/>
              </w:rPr>
            </w:pPr>
            <w:r>
              <w:rPr>
                <w:rFonts w:ascii="Times New Roman" w:hAnsi="Times New Roman"/>
                <w:kern w:val="0"/>
                <w:szCs w:val="21"/>
              </w:rPr>
              <w:t>分区</w:t>
            </w:r>
          </w:p>
        </w:tc>
        <w:tc>
          <w:tcPr>
            <w:tcW w:w="1155" w:type="dxa"/>
            <w:vMerge w:val="restart"/>
            <w:vAlign w:val="center"/>
          </w:tcPr>
          <w:p>
            <w:pPr>
              <w:widowControl/>
              <w:jc w:val="center"/>
              <w:rPr>
                <w:rFonts w:ascii="Times New Roman" w:hAnsi="Times New Roman"/>
                <w:bCs/>
                <w:kern w:val="0"/>
                <w:szCs w:val="21"/>
              </w:rPr>
            </w:pPr>
            <w:r>
              <w:rPr>
                <w:rFonts w:ascii="Times New Roman" w:hAnsi="Times New Roman"/>
                <w:bCs/>
                <w:kern w:val="0"/>
                <w:szCs w:val="21"/>
              </w:rPr>
              <w:t>分类</w:t>
            </w:r>
          </w:p>
        </w:tc>
        <w:tc>
          <w:tcPr>
            <w:tcW w:w="1285" w:type="dxa"/>
            <w:vMerge w:val="restart"/>
            <w:vAlign w:val="center"/>
          </w:tcPr>
          <w:p>
            <w:pPr>
              <w:widowControl/>
              <w:jc w:val="center"/>
              <w:rPr>
                <w:rFonts w:ascii="Times New Roman" w:hAnsi="Times New Roman"/>
                <w:bCs/>
                <w:kern w:val="0"/>
                <w:szCs w:val="21"/>
              </w:rPr>
            </w:pPr>
            <w:r>
              <w:rPr>
                <w:rFonts w:ascii="Times New Roman" w:hAnsi="Times New Roman"/>
                <w:bCs/>
                <w:kern w:val="0"/>
                <w:szCs w:val="21"/>
              </w:rPr>
              <w:t>挖方</w:t>
            </w:r>
          </w:p>
        </w:tc>
        <w:tc>
          <w:tcPr>
            <w:tcW w:w="1191" w:type="dxa"/>
            <w:vMerge w:val="restart"/>
            <w:vAlign w:val="center"/>
          </w:tcPr>
          <w:p>
            <w:pPr>
              <w:widowControl/>
              <w:jc w:val="center"/>
              <w:rPr>
                <w:rFonts w:ascii="Times New Roman" w:hAnsi="Times New Roman"/>
                <w:bCs/>
                <w:kern w:val="0"/>
                <w:szCs w:val="21"/>
              </w:rPr>
            </w:pPr>
            <w:r>
              <w:rPr>
                <w:rFonts w:ascii="Times New Roman" w:hAnsi="Times New Roman"/>
                <w:bCs/>
                <w:kern w:val="0"/>
                <w:szCs w:val="21"/>
              </w:rPr>
              <w:t>填方</w:t>
            </w:r>
          </w:p>
        </w:tc>
        <w:tc>
          <w:tcPr>
            <w:tcW w:w="2663" w:type="dxa"/>
            <w:gridSpan w:val="2"/>
            <w:vAlign w:val="center"/>
          </w:tcPr>
          <w:p>
            <w:pPr>
              <w:widowControl/>
              <w:jc w:val="center"/>
              <w:rPr>
                <w:rFonts w:ascii="Times New Roman" w:hAnsi="Times New Roman"/>
                <w:bCs/>
                <w:kern w:val="0"/>
                <w:szCs w:val="21"/>
              </w:rPr>
            </w:pPr>
            <w:r>
              <w:rPr>
                <w:rFonts w:ascii="Times New Roman" w:hAnsi="Times New Roman"/>
                <w:bCs/>
                <w:kern w:val="0"/>
                <w:szCs w:val="21"/>
              </w:rPr>
              <w:t>弃方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228" w:type="dxa"/>
            <w:vMerge w:val="continue"/>
            <w:vAlign w:val="center"/>
          </w:tcPr>
          <w:p>
            <w:pPr>
              <w:widowControl/>
              <w:jc w:val="left"/>
              <w:rPr>
                <w:rFonts w:ascii="Times New Roman" w:hAnsi="Times New Roman"/>
                <w:kern w:val="0"/>
                <w:szCs w:val="21"/>
              </w:rPr>
            </w:pPr>
          </w:p>
        </w:tc>
        <w:tc>
          <w:tcPr>
            <w:tcW w:w="1155" w:type="dxa"/>
            <w:vMerge w:val="continue"/>
            <w:vAlign w:val="center"/>
          </w:tcPr>
          <w:p>
            <w:pPr>
              <w:widowControl/>
              <w:jc w:val="left"/>
              <w:rPr>
                <w:rFonts w:ascii="Times New Roman" w:hAnsi="Times New Roman"/>
                <w:bCs/>
                <w:kern w:val="0"/>
                <w:szCs w:val="21"/>
              </w:rPr>
            </w:pPr>
          </w:p>
        </w:tc>
        <w:tc>
          <w:tcPr>
            <w:tcW w:w="1285" w:type="dxa"/>
            <w:vMerge w:val="continue"/>
            <w:vAlign w:val="center"/>
          </w:tcPr>
          <w:p>
            <w:pPr>
              <w:widowControl/>
              <w:jc w:val="left"/>
              <w:rPr>
                <w:rFonts w:ascii="Times New Roman" w:hAnsi="Times New Roman"/>
                <w:bCs/>
                <w:kern w:val="0"/>
                <w:szCs w:val="21"/>
              </w:rPr>
            </w:pPr>
          </w:p>
        </w:tc>
        <w:tc>
          <w:tcPr>
            <w:tcW w:w="1191" w:type="dxa"/>
            <w:vMerge w:val="continue"/>
            <w:vAlign w:val="center"/>
          </w:tcPr>
          <w:p>
            <w:pPr>
              <w:widowControl/>
              <w:jc w:val="left"/>
              <w:rPr>
                <w:rFonts w:ascii="Times New Roman" w:hAnsi="Times New Roman"/>
                <w:bCs/>
                <w:kern w:val="0"/>
                <w:szCs w:val="21"/>
              </w:rPr>
            </w:pPr>
          </w:p>
        </w:tc>
        <w:tc>
          <w:tcPr>
            <w:tcW w:w="1173" w:type="dxa"/>
            <w:vAlign w:val="center"/>
          </w:tcPr>
          <w:p>
            <w:pPr>
              <w:widowControl/>
              <w:jc w:val="center"/>
              <w:rPr>
                <w:rFonts w:ascii="Times New Roman" w:hAnsi="Times New Roman"/>
                <w:bCs/>
                <w:kern w:val="0"/>
                <w:szCs w:val="21"/>
              </w:rPr>
            </w:pPr>
            <w:r>
              <w:rPr>
                <w:rFonts w:ascii="Times New Roman" w:hAnsi="Times New Roman"/>
                <w:bCs/>
                <w:kern w:val="0"/>
                <w:szCs w:val="21"/>
              </w:rPr>
              <w:t>数量</w:t>
            </w:r>
          </w:p>
        </w:tc>
        <w:tc>
          <w:tcPr>
            <w:tcW w:w="1490" w:type="dxa"/>
            <w:vAlign w:val="center"/>
          </w:tcPr>
          <w:p>
            <w:pPr>
              <w:widowControl/>
              <w:jc w:val="center"/>
              <w:rPr>
                <w:rFonts w:ascii="Times New Roman" w:hAnsi="Times New Roman"/>
                <w:bCs/>
                <w:kern w:val="0"/>
                <w:szCs w:val="21"/>
              </w:rPr>
            </w:pPr>
            <w:r>
              <w:rPr>
                <w:rFonts w:ascii="Times New Roman" w:hAnsi="Times New Roman"/>
                <w:bCs/>
                <w:kern w:val="0"/>
                <w:szCs w:val="21"/>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228" w:type="dxa"/>
            <w:vAlign w:val="center"/>
          </w:tcPr>
          <w:p>
            <w:pPr>
              <w:widowControl/>
              <w:jc w:val="center"/>
              <w:rPr>
                <w:rFonts w:ascii="Times New Roman" w:hAnsi="Times New Roman"/>
                <w:kern w:val="0"/>
                <w:szCs w:val="21"/>
              </w:rPr>
            </w:pPr>
            <w:r>
              <w:rPr>
                <w:rFonts w:ascii="Times New Roman" w:hAnsi="Times New Roman"/>
                <w:kern w:val="0"/>
                <w:szCs w:val="21"/>
              </w:rPr>
              <w:t>尾矿库扩建工程</w:t>
            </w:r>
          </w:p>
        </w:tc>
        <w:tc>
          <w:tcPr>
            <w:tcW w:w="1155" w:type="dxa"/>
            <w:vAlign w:val="center"/>
          </w:tcPr>
          <w:p>
            <w:pPr>
              <w:widowControl/>
              <w:jc w:val="center"/>
              <w:rPr>
                <w:rFonts w:ascii="Times New Roman" w:hAnsi="Times New Roman"/>
                <w:kern w:val="0"/>
                <w:szCs w:val="21"/>
              </w:rPr>
            </w:pPr>
            <w:r>
              <w:rPr>
                <w:rFonts w:ascii="Times New Roman" w:hAnsi="Times New Roman"/>
                <w:kern w:val="0"/>
                <w:szCs w:val="21"/>
              </w:rPr>
              <w:t>表土</w:t>
            </w:r>
          </w:p>
        </w:tc>
        <w:tc>
          <w:tcPr>
            <w:tcW w:w="1285" w:type="dxa"/>
            <w:vAlign w:val="center"/>
          </w:tcPr>
          <w:p>
            <w:pPr>
              <w:widowControl/>
              <w:jc w:val="center"/>
              <w:rPr>
                <w:rFonts w:ascii="Times New Roman" w:hAnsi="Times New Roman"/>
                <w:bCs/>
                <w:kern w:val="0"/>
                <w:szCs w:val="21"/>
              </w:rPr>
            </w:pPr>
            <w:r>
              <w:rPr>
                <w:rFonts w:ascii="Times New Roman" w:hAnsi="Times New Roman"/>
                <w:bCs/>
                <w:kern w:val="0"/>
                <w:szCs w:val="21"/>
              </w:rPr>
              <w:t>1200</w:t>
            </w:r>
          </w:p>
        </w:tc>
        <w:tc>
          <w:tcPr>
            <w:tcW w:w="1191" w:type="dxa"/>
            <w:vAlign w:val="center"/>
          </w:tcPr>
          <w:p>
            <w:pPr>
              <w:widowControl/>
              <w:jc w:val="center"/>
              <w:rPr>
                <w:rFonts w:ascii="Times New Roman" w:hAnsi="Times New Roman"/>
                <w:bCs/>
                <w:kern w:val="0"/>
                <w:szCs w:val="21"/>
              </w:rPr>
            </w:pPr>
            <w:r>
              <w:rPr>
                <w:rFonts w:ascii="Times New Roman" w:hAnsi="Times New Roman"/>
                <w:bCs/>
                <w:kern w:val="0"/>
                <w:szCs w:val="21"/>
              </w:rPr>
              <w:t>0</w:t>
            </w:r>
          </w:p>
        </w:tc>
        <w:tc>
          <w:tcPr>
            <w:tcW w:w="1173" w:type="dxa"/>
            <w:vAlign w:val="center"/>
          </w:tcPr>
          <w:p>
            <w:pPr>
              <w:widowControl/>
              <w:jc w:val="center"/>
              <w:rPr>
                <w:rFonts w:ascii="Times New Roman" w:hAnsi="Times New Roman"/>
                <w:bCs/>
                <w:kern w:val="0"/>
                <w:szCs w:val="21"/>
              </w:rPr>
            </w:pPr>
            <w:r>
              <w:rPr>
                <w:rFonts w:ascii="Times New Roman" w:hAnsi="Times New Roman"/>
                <w:bCs/>
                <w:kern w:val="0"/>
                <w:szCs w:val="21"/>
              </w:rPr>
              <w:t>1200</w:t>
            </w:r>
          </w:p>
        </w:tc>
        <w:tc>
          <w:tcPr>
            <w:tcW w:w="1490" w:type="dxa"/>
            <w:vAlign w:val="center"/>
          </w:tcPr>
          <w:p>
            <w:pPr>
              <w:widowControl/>
              <w:jc w:val="center"/>
              <w:rPr>
                <w:rFonts w:ascii="Times New Roman" w:hAnsi="Times New Roman"/>
                <w:bCs/>
                <w:kern w:val="0"/>
                <w:szCs w:val="21"/>
              </w:rPr>
            </w:pPr>
            <w:r>
              <w:rPr>
                <w:rFonts w:ascii="Times New Roman" w:hAnsi="Times New Roman"/>
                <w:bCs/>
                <w:kern w:val="0"/>
                <w:szCs w:val="21"/>
              </w:rPr>
              <w:t>现有尾矿库</w:t>
            </w:r>
          </w:p>
        </w:tc>
      </w:tr>
    </w:tbl>
    <w:p>
      <w:pPr>
        <w:pStyle w:val="4"/>
        <w:rPr>
          <w:rFonts w:ascii="Times New Roman" w:hAnsi="Times New Roman" w:eastAsia="宋体"/>
          <w:bCs/>
          <w:szCs w:val="32"/>
        </w:rPr>
      </w:pPr>
      <w:bookmarkStart w:id="198" w:name="_Toc21705"/>
      <w:bookmarkStart w:id="199" w:name="_Toc912"/>
      <w:bookmarkStart w:id="200" w:name="_Toc12602"/>
      <w:r>
        <w:rPr>
          <w:rFonts w:hint="eastAsia" w:ascii="Times New Roman" w:hAnsi="Times New Roman" w:eastAsia="宋体"/>
          <w:bCs/>
          <w:szCs w:val="32"/>
        </w:rPr>
        <w:t>3.3扩建项目工程分析</w:t>
      </w:r>
      <w:bookmarkEnd w:id="198"/>
      <w:bookmarkEnd w:id="199"/>
      <w:bookmarkEnd w:id="200"/>
    </w:p>
    <w:p>
      <w:pPr>
        <w:widowControl/>
        <w:adjustRightInd w:val="0"/>
        <w:snapToGrid w:val="0"/>
        <w:spacing w:line="360" w:lineRule="auto"/>
        <w:outlineLvl w:val="2"/>
        <w:rPr>
          <w:rFonts w:ascii="Times New Roman" w:hAnsi="Times New Roman"/>
          <w:b/>
          <w:sz w:val="24"/>
        </w:rPr>
      </w:pPr>
      <w:bookmarkStart w:id="201" w:name="_Toc31571"/>
      <w:bookmarkStart w:id="202" w:name="_Toc30667"/>
      <w:bookmarkStart w:id="203" w:name="_Toc24493"/>
      <w:r>
        <w:rPr>
          <w:rFonts w:ascii="Times New Roman" w:hAnsi="Times New Roman"/>
          <w:b/>
          <w:sz w:val="24"/>
        </w:rPr>
        <w:t>3.</w:t>
      </w:r>
      <w:r>
        <w:rPr>
          <w:rFonts w:hint="eastAsia" w:ascii="Times New Roman" w:hAnsi="Times New Roman"/>
          <w:b/>
          <w:sz w:val="24"/>
        </w:rPr>
        <w:t>3.1</w:t>
      </w:r>
      <w:r>
        <w:rPr>
          <w:rFonts w:ascii="Times New Roman" w:hAnsi="Times New Roman"/>
          <w:b/>
          <w:sz w:val="24"/>
        </w:rPr>
        <w:t>矿石化学成分</w:t>
      </w:r>
      <w:bookmarkEnd w:id="201"/>
      <w:bookmarkEnd w:id="202"/>
      <w:bookmarkEnd w:id="203"/>
    </w:p>
    <w:p>
      <w:pPr>
        <w:pStyle w:val="61"/>
        <w:ind w:firstLine="480"/>
        <w:rPr>
          <w:rFonts w:hint="default" w:ascii="Times New Roman" w:hAnsi="Times New Roman"/>
          <w:bCs/>
          <w:color w:val="auto"/>
          <w:sz w:val="24"/>
        </w:rPr>
      </w:pPr>
      <w:r>
        <w:rPr>
          <w:rFonts w:hint="default" w:ascii="Times New Roman" w:hAnsi="Times New Roman"/>
          <w:bCs/>
          <w:color w:val="auto"/>
          <w:sz w:val="24"/>
        </w:rPr>
        <w:t>矿石主要有用组分：磁性铁为铁矿石的主要有益组份，物相分析主要查明矿石内有益组分赋存状态、物相种类、含量及分配率见表3-4。</w:t>
      </w:r>
    </w:p>
    <w:p>
      <w:pPr>
        <w:pStyle w:val="61"/>
        <w:ind w:firstLine="480"/>
        <w:rPr>
          <w:rFonts w:hint="default" w:ascii="Times New Roman" w:hAnsi="Times New Roman"/>
          <w:bCs/>
          <w:color w:val="auto"/>
          <w:sz w:val="24"/>
        </w:rPr>
      </w:pPr>
      <w:r>
        <w:rPr>
          <w:rFonts w:hint="default" w:ascii="Times New Roman" w:hAnsi="Times New Roman"/>
          <w:bCs/>
          <w:color w:val="auto"/>
          <w:sz w:val="24"/>
        </w:rPr>
        <w:t>表中可见，该矿床矿石的TFe最高可达62.43%，一般为30%～40%之间，属于中等品位的矿石，全区TFe平均品位35.67%，有害组分S、P的含量都远远低于工业指标要求。具体成分见矿石化学全分析结果表和矿石多元素分析结果表。</w:t>
      </w:r>
    </w:p>
    <w:p>
      <w:pPr>
        <w:jc w:val="center"/>
        <w:rPr>
          <w:rFonts w:ascii="Times New Roman" w:hAnsi="Times New Roman"/>
          <w:b/>
          <w:sz w:val="24"/>
        </w:rPr>
      </w:pPr>
      <w:r>
        <w:rPr>
          <w:rFonts w:ascii="Times New Roman" w:hAnsi="Times New Roman"/>
          <w:b/>
          <w:sz w:val="24"/>
        </w:rPr>
        <w:t>表3-</w:t>
      </w:r>
      <w:r>
        <w:rPr>
          <w:rFonts w:hint="eastAsia" w:ascii="Times New Roman" w:hAnsi="Times New Roman"/>
          <w:b/>
          <w:sz w:val="24"/>
        </w:rPr>
        <w:t>17</w:t>
      </w:r>
      <w:r>
        <w:rPr>
          <w:rFonts w:ascii="Times New Roman" w:hAnsi="Times New Roman"/>
          <w:b/>
          <w:sz w:val="24"/>
        </w:rPr>
        <w:t xml:space="preserve"> 矿石化学全分析结果表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1"/>
        <w:gridCol w:w="759"/>
        <w:gridCol w:w="578"/>
        <w:gridCol w:w="698"/>
        <w:gridCol w:w="699"/>
        <w:gridCol w:w="606"/>
        <w:gridCol w:w="493"/>
        <w:gridCol w:w="639"/>
        <w:gridCol w:w="462"/>
        <w:gridCol w:w="578"/>
        <w:gridCol w:w="477"/>
        <w:gridCol w:w="545"/>
        <w:gridCol w:w="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241"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样品</w:t>
            </w:r>
          </w:p>
          <w:p>
            <w:pPr>
              <w:jc w:val="center"/>
              <w:rPr>
                <w:rFonts w:ascii="Times New Roman" w:hAnsi="Times New Roman"/>
                <w:szCs w:val="21"/>
              </w:rPr>
            </w:pPr>
            <w:r>
              <w:rPr>
                <w:rFonts w:ascii="Times New Roman" w:hAnsi="Times New Roman"/>
                <w:szCs w:val="21"/>
              </w:rPr>
              <w:t>编号</w:t>
            </w:r>
          </w:p>
        </w:tc>
        <w:tc>
          <w:tcPr>
            <w:tcW w:w="759"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矿石</w:t>
            </w:r>
          </w:p>
          <w:p>
            <w:pPr>
              <w:jc w:val="center"/>
              <w:rPr>
                <w:rFonts w:ascii="Times New Roman" w:hAnsi="Times New Roman"/>
                <w:szCs w:val="21"/>
              </w:rPr>
            </w:pPr>
            <w:r>
              <w:rPr>
                <w:rFonts w:ascii="Times New Roman" w:hAnsi="Times New Roman"/>
                <w:szCs w:val="21"/>
              </w:rPr>
              <w:t>类型</w:t>
            </w:r>
          </w:p>
        </w:tc>
        <w:tc>
          <w:tcPr>
            <w:tcW w:w="578"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SiO</w:t>
            </w:r>
            <w:r>
              <w:rPr>
                <w:rFonts w:ascii="Times New Roman" w:hAnsi="Times New Roman"/>
                <w:szCs w:val="21"/>
                <w:vertAlign w:val="subscript"/>
              </w:rPr>
              <w:t>2</w:t>
            </w:r>
          </w:p>
        </w:tc>
        <w:tc>
          <w:tcPr>
            <w:tcW w:w="698"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Fe</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p>
        </w:tc>
        <w:tc>
          <w:tcPr>
            <w:tcW w:w="699"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FeO</w:t>
            </w:r>
          </w:p>
        </w:tc>
        <w:tc>
          <w:tcPr>
            <w:tcW w:w="606"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Al</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3</w:t>
            </w:r>
          </w:p>
        </w:tc>
        <w:tc>
          <w:tcPr>
            <w:tcW w:w="493"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TiO</w:t>
            </w:r>
            <w:r>
              <w:rPr>
                <w:rFonts w:ascii="Times New Roman" w:hAnsi="Times New Roman"/>
                <w:szCs w:val="21"/>
                <w:vertAlign w:val="subscript"/>
              </w:rPr>
              <w:t>2</w:t>
            </w:r>
          </w:p>
        </w:tc>
        <w:tc>
          <w:tcPr>
            <w:tcW w:w="639"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P</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5</w:t>
            </w:r>
          </w:p>
        </w:tc>
        <w:tc>
          <w:tcPr>
            <w:tcW w:w="462"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K</w:t>
            </w:r>
            <w:r>
              <w:rPr>
                <w:rFonts w:ascii="Times New Roman" w:hAnsi="Times New Roman"/>
                <w:szCs w:val="21"/>
                <w:vertAlign w:val="subscript"/>
              </w:rPr>
              <w:t>2</w:t>
            </w:r>
            <w:r>
              <w:rPr>
                <w:rFonts w:ascii="Times New Roman" w:hAnsi="Times New Roman"/>
                <w:szCs w:val="21"/>
              </w:rPr>
              <w:t>O</w:t>
            </w:r>
          </w:p>
        </w:tc>
        <w:tc>
          <w:tcPr>
            <w:tcW w:w="578"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Na</w:t>
            </w:r>
            <w:r>
              <w:rPr>
                <w:rFonts w:ascii="Times New Roman" w:hAnsi="Times New Roman"/>
                <w:szCs w:val="21"/>
                <w:vertAlign w:val="subscript"/>
              </w:rPr>
              <w:t>2</w:t>
            </w:r>
            <w:r>
              <w:rPr>
                <w:rFonts w:ascii="Times New Roman" w:hAnsi="Times New Roman"/>
                <w:szCs w:val="21"/>
              </w:rPr>
              <w:t>O</w:t>
            </w:r>
          </w:p>
        </w:tc>
        <w:tc>
          <w:tcPr>
            <w:tcW w:w="477"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CaO</w:t>
            </w:r>
          </w:p>
        </w:tc>
        <w:tc>
          <w:tcPr>
            <w:tcW w:w="545"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MgO</w:t>
            </w:r>
          </w:p>
        </w:tc>
        <w:tc>
          <w:tcPr>
            <w:tcW w:w="759" w:type="dxa"/>
            <w:vMerge w:val="restart"/>
            <w:tcMar>
              <w:top w:w="15" w:type="dxa"/>
              <w:left w:w="15" w:type="dxa"/>
              <w:bottom w:w="0" w:type="dxa"/>
              <w:right w:w="15" w:type="dxa"/>
            </w:tcMar>
            <w:vAlign w:val="center"/>
          </w:tcPr>
          <w:p>
            <w:pPr>
              <w:jc w:val="center"/>
              <w:rPr>
                <w:rFonts w:ascii="Times New Roman" w:hAnsi="Times New Roman"/>
                <w:szCs w:val="21"/>
              </w:rPr>
            </w:pPr>
            <w:r>
              <w:rPr>
                <w:rFonts w:ascii="Times New Roman" w:hAnsi="Times New Roman"/>
                <w:szCs w:val="21"/>
              </w:rPr>
              <w:t>LOI</w:t>
            </w:r>
          </w:p>
          <w:p>
            <w:pPr>
              <w:jc w:val="center"/>
              <w:rPr>
                <w:rFonts w:ascii="Times New Roman" w:hAnsi="Times New Roman"/>
                <w:szCs w:val="21"/>
              </w:rPr>
            </w:pPr>
            <w:r>
              <w:rPr>
                <w:rFonts w:ascii="Times New Roman" w:hAnsi="Times New Roman"/>
                <w:szCs w:val="21"/>
              </w:rPr>
              <w:t>烧失量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241" w:type="dxa"/>
            <w:vMerge w:val="continue"/>
            <w:vAlign w:val="center"/>
          </w:tcPr>
          <w:p>
            <w:pPr>
              <w:jc w:val="center"/>
              <w:rPr>
                <w:rFonts w:ascii="Times New Roman" w:hAnsi="Times New Roman"/>
                <w:sz w:val="18"/>
                <w:szCs w:val="18"/>
              </w:rPr>
            </w:pPr>
          </w:p>
        </w:tc>
        <w:tc>
          <w:tcPr>
            <w:tcW w:w="759" w:type="dxa"/>
            <w:vMerge w:val="continue"/>
            <w:vAlign w:val="center"/>
          </w:tcPr>
          <w:p>
            <w:pPr>
              <w:jc w:val="center"/>
              <w:rPr>
                <w:rFonts w:ascii="Times New Roman" w:hAnsi="Times New Roman"/>
                <w:sz w:val="18"/>
                <w:szCs w:val="18"/>
              </w:rPr>
            </w:pPr>
          </w:p>
        </w:tc>
        <w:tc>
          <w:tcPr>
            <w:tcW w:w="578" w:type="dxa"/>
            <w:vMerge w:val="continue"/>
            <w:vAlign w:val="center"/>
          </w:tcPr>
          <w:p>
            <w:pPr>
              <w:jc w:val="center"/>
              <w:rPr>
                <w:rFonts w:ascii="Times New Roman" w:hAnsi="Times New Roman"/>
                <w:sz w:val="18"/>
                <w:szCs w:val="18"/>
              </w:rPr>
            </w:pPr>
          </w:p>
        </w:tc>
        <w:tc>
          <w:tcPr>
            <w:tcW w:w="698" w:type="dxa"/>
            <w:vMerge w:val="continue"/>
            <w:vAlign w:val="center"/>
          </w:tcPr>
          <w:p>
            <w:pPr>
              <w:jc w:val="center"/>
              <w:rPr>
                <w:rFonts w:ascii="Times New Roman" w:hAnsi="Times New Roman"/>
                <w:sz w:val="18"/>
                <w:szCs w:val="18"/>
              </w:rPr>
            </w:pPr>
          </w:p>
        </w:tc>
        <w:tc>
          <w:tcPr>
            <w:tcW w:w="699" w:type="dxa"/>
            <w:vMerge w:val="continue"/>
            <w:vAlign w:val="center"/>
          </w:tcPr>
          <w:p>
            <w:pPr>
              <w:jc w:val="center"/>
              <w:rPr>
                <w:rFonts w:ascii="Times New Roman" w:hAnsi="Times New Roman"/>
                <w:sz w:val="18"/>
                <w:szCs w:val="18"/>
              </w:rPr>
            </w:pPr>
          </w:p>
        </w:tc>
        <w:tc>
          <w:tcPr>
            <w:tcW w:w="606" w:type="dxa"/>
            <w:vMerge w:val="continue"/>
            <w:vAlign w:val="center"/>
          </w:tcPr>
          <w:p>
            <w:pPr>
              <w:jc w:val="center"/>
              <w:rPr>
                <w:rFonts w:ascii="Times New Roman" w:hAnsi="Times New Roman"/>
                <w:sz w:val="18"/>
                <w:szCs w:val="18"/>
              </w:rPr>
            </w:pPr>
          </w:p>
        </w:tc>
        <w:tc>
          <w:tcPr>
            <w:tcW w:w="493" w:type="dxa"/>
            <w:vMerge w:val="continue"/>
            <w:vAlign w:val="center"/>
          </w:tcPr>
          <w:p>
            <w:pPr>
              <w:jc w:val="center"/>
              <w:rPr>
                <w:rFonts w:ascii="Times New Roman" w:hAnsi="Times New Roman"/>
                <w:sz w:val="18"/>
                <w:szCs w:val="18"/>
              </w:rPr>
            </w:pPr>
          </w:p>
        </w:tc>
        <w:tc>
          <w:tcPr>
            <w:tcW w:w="639" w:type="dxa"/>
            <w:vMerge w:val="continue"/>
            <w:vAlign w:val="center"/>
          </w:tcPr>
          <w:p>
            <w:pPr>
              <w:jc w:val="center"/>
              <w:rPr>
                <w:rFonts w:ascii="Times New Roman" w:hAnsi="Times New Roman"/>
                <w:sz w:val="18"/>
                <w:szCs w:val="18"/>
              </w:rPr>
            </w:pPr>
          </w:p>
        </w:tc>
        <w:tc>
          <w:tcPr>
            <w:tcW w:w="462" w:type="dxa"/>
            <w:vMerge w:val="continue"/>
            <w:vAlign w:val="center"/>
          </w:tcPr>
          <w:p>
            <w:pPr>
              <w:jc w:val="center"/>
              <w:rPr>
                <w:rFonts w:ascii="Times New Roman" w:hAnsi="Times New Roman"/>
                <w:sz w:val="18"/>
                <w:szCs w:val="18"/>
              </w:rPr>
            </w:pPr>
          </w:p>
        </w:tc>
        <w:tc>
          <w:tcPr>
            <w:tcW w:w="578" w:type="dxa"/>
            <w:vMerge w:val="continue"/>
            <w:vAlign w:val="center"/>
          </w:tcPr>
          <w:p>
            <w:pPr>
              <w:jc w:val="center"/>
              <w:rPr>
                <w:rFonts w:ascii="Times New Roman" w:hAnsi="Times New Roman"/>
                <w:sz w:val="18"/>
                <w:szCs w:val="18"/>
              </w:rPr>
            </w:pPr>
          </w:p>
        </w:tc>
        <w:tc>
          <w:tcPr>
            <w:tcW w:w="477" w:type="dxa"/>
            <w:vMerge w:val="continue"/>
            <w:vAlign w:val="center"/>
          </w:tcPr>
          <w:p>
            <w:pPr>
              <w:jc w:val="center"/>
              <w:rPr>
                <w:rFonts w:ascii="Times New Roman" w:hAnsi="Times New Roman"/>
                <w:sz w:val="18"/>
                <w:szCs w:val="18"/>
              </w:rPr>
            </w:pPr>
          </w:p>
        </w:tc>
        <w:tc>
          <w:tcPr>
            <w:tcW w:w="545" w:type="dxa"/>
            <w:vMerge w:val="continue"/>
            <w:vAlign w:val="center"/>
          </w:tcPr>
          <w:p>
            <w:pPr>
              <w:jc w:val="center"/>
              <w:rPr>
                <w:rFonts w:ascii="Times New Roman" w:hAnsi="Times New Roman"/>
                <w:sz w:val="18"/>
                <w:szCs w:val="18"/>
              </w:rPr>
            </w:pPr>
          </w:p>
        </w:tc>
        <w:tc>
          <w:tcPr>
            <w:tcW w:w="759" w:type="dxa"/>
            <w:vMerge w:val="continue"/>
            <w:vAlign w:val="center"/>
          </w:tcPr>
          <w:p>
            <w:pPr>
              <w:jc w:val="center"/>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41"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2-2矿体</w:t>
            </w:r>
          </w:p>
          <w:p>
            <w:pPr>
              <w:jc w:val="center"/>
              <w:rPr>
                <w:rFonts w:ascii="Times New Roman" w:hAnsi="Times New Roman"/>
                <w:sz w:val="18"/>
                <w:szCs w:val="18"/>
              </w:rPr>
            </w:pPr>
            <w:r>
              <w:rPr>
                <w:rFonts w:ascii="Times New Roman" w:hAnsi="Times New Roman"/>
                <w:sz w:val="18"/>
                <w:szCs w:val="18"/>
              </w:rPr>
              <w:t>（收集）</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石英</w:t>
            </w:r>
          </w:p>
          <w:p>
            <w:pPr>
              <w:jc w:val="center"/>
              <w:rPr>
                <w:rFonts w:ascii="Times New Roman" w:hAnsi="Times New Roman"/>
                <w:sz w:val="18"/>
                <w:szCs w:val="18"/>
              </w:rPr>
            </w:pPr>
            <w:r>
              <w:rPr>
                <w:rFonts w:ascii="Times New Roman" w:hAnsi="Times New Roman"/>
                <w:sz w:val="18"/>
                <w:szCs w:val="18"/>
              </w:rPr>
              <w:t>磁铁矿</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42.18</w:t>
            </w:r>
          </w:p>
        </w:tc>
        <w:tc>
          <w:tcPr>
            <w:tcW w:w="69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33.99</w:t>
            </w:r>
          </w:p>
        </w:tc>
        <w:tc>
          <w:tcPr>
            <w:tcW w:w="69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15.83</w:t>
            </w:r>
          </w:p>
        </w:tc>
        <w:tc>
          <w:tcPr>
            <w:tcW w:w="606"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2.00</w:t>
            </w:r>
          </w:p>
        </w:tc>
        <w:tc>
          <w:tcPr>
            <w:tcW w:w="493"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0.15</w:t>
            </w:r>
          </w:p>
        </w:tc>
        <w:tc>
          <w:tcPr>
            <w:tcW w:w="63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0。60</w:t>
            </w:r>
          </w:p>
        </w:tc>
        <w:tc>
          <w:tcPr>
            <w:tcW w:w="462"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0.10</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0.30</w:t>
            </w:r>
          </w:p>
        </w:tc>
        <w:tc>
          <w:tcPr>
            <w:tcW w:w="477"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2.59</w:t>
            </w:r>
          </w:p>
        </w:tc>
        <w:tc>
          <w:tcPr>
            <w:tcW w:w="545"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0.86</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41"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3-2矿体</w:t>
            </w:r>
          </w:p>
          <w:p>
            <w:pPr>
              <w:jc w:val="center"/>
              <w:rPr>
                <w:rFonts w:ascii="Times New Roman" w:hAnsi="Times New Roman"/>
                <w:sz w:val="18"/>
                <w:szCs w:val="18"/>
              </w:rPr>
            </w:pPr>
            <w:r>
              <w:rPr>
                <w:rFonts w:ascii="Times New Roman" w:hAnsi="Times New Roman"/>
                <w:sz w:val="18"/>
                <w:szCs w:val="18"/>
              </w:rPr>
              <w:t>（收集）</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石英</w:t>
            </w:r>
          </w:p>
          <w:p>
            <w:pPr>
              <w:jc w:val="center"/>
              <w:rPr>
                <w:rFonts w:ascii="Times New Roman" w:hAnsi="Times New Roman"/>
                <w:sz w:val="18"/>
                <w:szCs w:val="18"/>
              </w:rPr>
            </w:pPr>
            <w:r>
              <w:rPr>
                <w:rFonts w:ascii="Times New Roman" w:hAnsi="Times New Roman"/>
                <w:sz w:val="18"/>
                <w:szCs w:val="18"/>
              </w:rPr>
              <w:t>磁铁矿</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33.56</w:t>
            </w:r>
          </w:p>
        </w:tc>
        <w:tc>
          <w:tcPr>
            <w:tcW w:w="69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42.49</w:t>
            </w:r>
          </w:p>
        </w:tc>
        <w:tc>
          <w:tcPr>
            <w:tcW w:w="69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19.94</w:t>
            </w:r>
          </w:p>
        </w:tc>
        <w:tc>
          <w:tcPr>
            <w:tcW w:w="606"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0.28</w:t>
            </w:r>
          </w:p>
        </w:tc>
        <w:tc>
          <w:tcPr>
            <w:tcW w:w="493"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0.08</w:t>
            </w:r>
          </w:p>
        </w:tc>
        <w:tc>
          <w:tcPr>
            <w:tcW w:w="63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0.32</w:t>
            </w:r>
          </w:p>
        </w:tc>
        <w:tc>
          <w:tcPr>
            <w:tcW w:w="462"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0.00</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0.08</w:t>
            </w:r>
          </w:p>
        </w:tc>
        <w:tc>
          <w:tcPr>
            <w:tcW w:w="477"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2.01</w:t>
            </w:r>
          </w:p>
        </w:tc>
        <w:tc>
          <w:tcPr>
            <w:tcW w:w="545"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1.45</w:t>
            </w:r>
          </w:p>
        </w:tc>
        <w:tc>
          <w:tcPr>
            <w:tcW w:w="759" w:type="dxa"/>
            <w:tcMar>
              <w:top w:w="15" w:type="dxa"/>
              <w:left w:w="15" w:type="dxa"/>
              <w:bottom w:w="0" w:type="dxa"/>
              <w:right w:w="15" w:type="dxa"/>
            </w:tcMar>
            <w:vAlign w:val="center"/>
          </w:tcPr>
          <w:p>
            <w:pPr>
              <w:jc w:val="center"/>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41"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2-2矿体</w:t>
            </w:r>
          </w:p>
          <w:p>
            <w:pPr>
              <w:jc w:val="center"/>
              <w:rPr>
                <w:rFonts w:ascii="Times New Roman" w:hAnsi="Times New Roman"/>
                <w:sz w:val="18"/>
                <w:szCs w:val="18"/>
              </w:rPr>
            </w:pPr>
            <w:r>
              <w:rPr>
                <w:rFonts w:ascii="Times New Roman" w:hAnsi="Times New Roman"/>
                <w:sz w:val="18"/>
                <w:szCs w:val="18"/>
              </w:rPr>
              <w:t>（收集）</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石英</w:t>
            </w:r>
          </w:p>
          <w:p>
            <w:pPr>
              <w:jc w:val="center"/>
              <w:rPr>
                <w:rFonts w:ascii="Times New Roman" w:hAnsi="Times New Roman"/>
                <w:sz w:val="18"/>
                <w:szCs w:val="18"/>
              </w:rPr>
            </w:pPr>
            <w:r>
              <w:rPr>
                <w:rFonts w:ascii="Times New Roman" w:hAnsi="Times New Roman"/>
                <w:sz w:val="18"/>
                <w:szCs w:val="18"/>
              </w:rPr>
              <w:t>磁铁矿</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37.40</w:t>
            </w:r>
          </w:p>
        </w:tc>
        <w:tc>
          <w:tcPr>
            <w:tcW w:w="69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38.53</w:t>
            </w:r>
          </w:p>
        </w:tc>
        <w:tc>
          <w:tcPr>
            <w:tcW w:w="69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18.74</w:t>
            </w:r>
          </w:p>
        </w:tc>
        <w:tc>
          <w:tcPr>
            <w:tcW w:w="606"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0.66</w:t>
            </w:r>
          </w:p>
        </w:tc>
        <w:tc>
          <w:tcPr>
            <w:tcW w:w="493"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0.42</w:t>
            </w:r>
          </w:p>
        </w:tc>
        <w:tc>
          <w:tcPr>
            <w:tcW w:w="63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0.24</w:t>
            </w:r>
          </w:p>
        </w:tc>
        <w:tc>
          <w:tcPr>
            <w:tcW w:w="462"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0.04</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0.18</w:t>
            </w:r>
          </w:p>
        </w:tc>
        <w:tc>
          <w:tcPr>
            <w:tcW w:w="477"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2.18</w:t>
            </w:r>
          </w:p>
        </w:tc>
        <w:tc>
          <w:tcPr>
            <w:tcW w:w="545"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1.36</w:t>
            </w:r>
          </w:p>
        </w:tc>
        <w:tc>
          <w:tcPr>
            <w:tcW w:w="759" w:type="dxa"/>
            <w:tcMar>
              <w:top w:w="15" w:type="dxa"/>
              <w:left w:w="15" w:type="dxa"/>
              <w:bottom w:w="0" w:type="dxa"/>
              <w:right w:w="15" w:type="dxa"/>
            </w:tcMar>
            <w:vAlign w:val="center"/>
          </w:tcPr>
          <w:p>
            <w:pPr>
              <w:jc w:val="center"/>
              <w:rPr>
                <w:rFonts w:ascii="Times New Roman" w:hAnsi="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41"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QH-1</w:t>
            </w:r>
          </w:p>
          <w:p>
            <w:pPr>
              <w:jc w:val="center"/>
              <w:rPr>
                <w:rFonts w:ascii="Times New Roman" w:hAnsi="Times New Roman"/>
                <w:sz w:val="18"/>
                <w:szCs w:val="18"/>
              </w:rPr>
            </w:pPr>
            <w:r>
              <w:rPr>
                <w:rFonts w:ascii="Times New Roman" w:hAnsi="Times New Roman"/>
                <w:sz w:val="18"/>
                <w:szCs w:val="18"/>
              </w:rPr>
              <w:t>（本区）</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石英</w:t>
            </w:r>
          </w:p>
          <w:p>
            <w:pPr>
              <w:jc w:val="center"/>
              <w:rPr>
                <w:rFonts w:ascii="Times New Roman" w:hAnsi="Times New Roman"/>
                <w:sz w:val="18"/>
                <w:szCs w:val="18"/>
              </w:rPr>
            </w:pPr>
            <w:r>
              <w:rPr>
                <w:rFonts w:ascii="Times New Roman" w:hAnsi="Times New Roman"/>
                <w:sz w:val="18"/>
                <w:szCs w:val="18"/>
              </w:rPr>
              <w:t>磁铁矿</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33.70</w:t>
            </w:r>
          </w:p>
        </w:tc>
        <w:tc>
          <w:tcPr>
            <w:tcW w:w="69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40.31</w:t>
            </w:r>
          </w:p>
        </w:tc>
        <w:tc>
          <w:tcPr>
            <w:tcW w:w="69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19.36</w:t>
            </w:r>
          </w:p>
        </w:tc>
        <w:tc>
          <w:tcPr>
            <w:tcW w:w="606"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1.05</w:t>
            </w:r>
          </w:p>
        </w:tc>
        <w:tc>
          <w:tcPr>
            <w:tcW w:w="493"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0.08</w:t>
            </w:r>
          </w:p>
        </w:tc>
        <w:tc>
          <w:tcPr>
            <w:tcW w:w="63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0.20</w:t>
            </w:r>
          </w:p>
        </w:tc>
        <w:tc>
          <w:tcPr>
            <w:tcW w:w="462"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0.50</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0.15</w:t>
            </w:r>
          </w:p>
        </w:tc>
        <w:tc>
          <w:tcPr>
            <w:tcW w:w="477"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2.38</w:t>
            </w:r>
          </w:p>
        </w:tc>
        <w:tc>
          <w:tcPr>
            <w:tcW w:w="545"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1.42</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41" w:type="dxa"/>
            <w:tcMar>
              <w:top w:w="15" w:type="dxa"/>
              <w:left w:w="15" w:type="dxa"/>
              <w:bottom w:w="0" w:type="dxa"/>
              <w:right w:w="15" w:type="dxa"/>
            </w:tcMar>
            <w:vAlign w:val="center"/>
          </w:tcPr>
          <w:p>
            <w:pPr>
              <w:ind w:firstLine="270" w:firstLineChars="150"/>
              <w:jc w:val="center"/>
              <w:rPr>
                <w:rFonts w:ascii="Times New Roman" w:hAnsi="Times New Roman"/>
                <w:sz w:val="18"/>
                <w:szCs w:val="18"/>
              </w:rPr>
            </w:pPr>
            <w:r>
              <w:rPr>
                <w:rFonts w:ascii="Times New Roman" w:hAnsi="Times New Roman"/>
                <w:sz w:val="18"/>
                <w:szCs w:val="18"/>
              </w:rPr>
              <w:t>QH-2</w:t>
            </w:r>
          </w:p>
          <w:p>
            <w:pPr>
              <w:ind w:firstLine="180" w:firstLineChars="100"/>
              <w:jc w:val="center"/>
              <w:rPr>
                <w:rFonts w:ascii="Times New Roman" w:hAnsi="Times New Roman"/>
                <w:sz w:val="18"/>
                <w:szCs w:val="18"/>
              </w:rPr>
            </w:pPr>
            <w:r>
              <w:rPr>
                <w:rFonts w:ascii="Times New Roman" w:hAnsi="Times New Roman"/>
                <w:sz w:val="18"/>
                <w:szCs w:val="18"/>
              </w:rPr>
              <w:t>（本区）</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石英</w:t>
            </w:r>
          </w:p>
          <w:p>
            <w:pPr>
              <w:jc w:val="center"/>
              <w:rPr>
                <w:rFonts w:ascii="Times New Roman" w:hAnsi="Times New Roman"/>
                <w:sz w:val="18"/>
                <w:szCs w:val="18"/>
              </w:rPr>
            </w:pPr>
            <w:r>
              <w:rPr>
                <w:rFonts w:ascii="Times New Roman" w:hAnsi="Times New Roman"/>
                <w:sz w:val="18"/>
                <w:szCs w:val="18"/>
              </w:rPr>
              <w:t>磁铁矿</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30.96</w:t>
            </w:r>
          </w:p>
        </w:tc>
        <w:tc>
          <w:tcPr>
            <w:tcW w:w="69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41.24</w:t>
            </w:r>
          </w:p>
        </w:tc>
        <w:tc>
          <w:tcPr>
            <w:tcW w:w="69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20.55</w:t>
            </w:r>
          </w:p>
        </w:tc>
        <w:tc>
          <w:tcPr>
            <w:tcW w:w="606"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1.49</w:t>
            </w:r>
          </w:p>
        </w:tc>
        <w:tc>
          <w:tcPr>
            <w:tcW w:w="493"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0.20</w:t>
            </w:r>
          </w:p>
        </w:tc>
        <w:tc>
          <w:tcPr>
            <w:tcW w:w="63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0.23</w:t>
            </w:r>
          </w:p>
        </w:tc>
        <w:tc>
          <w:tcPr>
            <w:tcW w:w="462"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0.04</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0.00</w:t>
            </w:r>
          </w:p>
        </w:tc>
        <w:tc>
          <w:tcPr>
            <w:tcW w:w="477"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2.88</w:t>
            </w:r>
          </w:p>
        </w:tc>
        <w:tc>
          <w:tcPr>
            <w:tcW w:w="545"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1.60</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41" w:type="dxa"/>
            <w:tcMar>
              <w:top w:w="15" w:type="dxa"/>
              <w:left w:w="15" w:type="dxa"/>
              <w:bottom w:w="0" w:type="dxa"/>
              <w:right w:w="15" w:type="dxa"/>
            </w:tcMar>
            <w:vAlign w:val="center"/>
          </w:tcPr>
          <w:p>
            <w:pPr>
              <w:ind w:firstLine="180" w:firstLineChars="100"/>
              <w:jc w:val="center"/>
              <w:rPr>
                <w:rFonts w:ascii="Times New Roman" w:hAnsi="Times New Roman"/>
                <w:sz w:val="18"/>
                <w:szCs w:val="18"/>
              </w:rPr>
            </w:pPr>
            <w:r>
              <w:rPr>
                <w:rFonts w:ascii="Times New Roman" w:hAnsi="Times New Roman"/>
                <w:sz w:val="18"/>
                <w:szCs w:val="18"/>
              </w:rPr>
              <w:t>平  均</w:t>
            </w:r>
          </w:p>
        </w:tc>
        <w:tc>
          <w:tcPr>
            <w:tcW w:w="759" w:type="dxa"/>
            <w:tcMar>
              <w:top w:w="15" w:type="dxa"/>
              <w:left w:w="15" w:type="dxa"/>
              <w:bottom w:w="0" w:type="dxa"/>
              <w:right w:w="15" w:type="dxa"/>
            </w:tcMar>
            <w:vAlign w:val="center"/>
          </w:tcPr>
          <w:p>
            <w:pPr>
              <w:jc w:val="center"/>
              <w:rPr>
                <w:rFonts w:ascii="Times New Roman" w:hAnsi="Times New Roman"/>
                <w:sz w:val="18"/>
                <w:szCs w:val="18"/>
              </w:rPr>
            </w:pP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32.33</w:t>
            </w:r>
          </w:p>
        </w:tc>
        <w:tc>
          <w:tcPr>
            <w:tcW w:w="69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40.775</w:t>
            </w:r>
          </w:p>
        </w:tc>
        <w:tc>
          <w:tcPr>
            <w:tcW w:w="69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19.955</w:t>
            </w:r>
          </w:p>
        </w:tc>
        <w:tc>
          <w:tcPr>
            <w:tcW w:w="606"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1.27</w:t>
            </w:r>
          </w:p>
        </w:tc>
        <w:tc>
          <w:tcPr>
            <w:tcW w:w="493"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0.14</w:t>
            </w:r>
          </w:p>
        </w:tc>
        <w:tc>
          <w:tcPr>
            <w:tcW w:w="63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0.215</w:t>
            </w:r>
          </w:p>
        </w:tc>
        <w:tc>
          <w:tcPr>
            <w:tcW w:w="462"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0.27</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0.075</w:t>
            </w:r>
          </w:p>
        </w:tc>
        <w:tc>
          <w:tcPr>
            <w:tcW w:w="477"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2.63</w:t>
            </w:r>
          </w:p>
        </w:tc>
        <w:tc>
          <w:tcPr>
            <w:tcW w:w="545"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1.51</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41" w:type="dxa"/>
            <w:tcMar>
              <w:top w:w="15" w:type="dxa"/>
              <w:left w:w="15" w:type="dxa"/>
              <w:bottom w:w="0" w:type="dxa"/>
              <w:right w:w="15" w:type="dxa"/>
            </w:tcMar>
            <w:vAlign w:val="center"/>
          </w:tcPr>
          <w:p>
            <w:pPr>
              <w:ind w:firstLine="270" w:firstLineChars="150"/>
              <w:jc w:val="center"/>
              <w:rPr>
                <w:rFonts w:ascii="Times New Roman" w:hAnsi="Times New Roman"/>
                <w:sz w:val="18"/>
                <w:szCs w:val="18"/>
              </w:rPr>
            </w:pPr>
            <w:r>
              <w:rPr>
                <w:rFonts w:ascii="Times New Roman" w:hAnsi="Times New Roman"/>
                <w:sz w:val="18"/>
                <w:szCs w:val="18"/>
              </w:rPr>
              <w:t>区域</w:t>
            </w:r>
          </w:p>
          <w:p>
            <w:pPr>
              <w:ind w:firstLine="90" w:firstLineChars="50"/>
              <w:jc w:val="center"/>
              <w:rPr>
                <w:rFonts w:ascii="Times New Roman" w:hAnsi="Times New Roman"/>
                <w:sz w:val="18"/>
                <w:szCs w:val="18"/>
              </w:rPr>
            </w:pPr>
            <w:r>
              <w:rPr>
                <w:rFonts w:ascii="Times New Roman" w:hAnsi="Times New Roman"/>
                <w:sz w:val="18"/>
                <w:szCs w:val="18"/>
              </w:rPr>
              <w:t>（收集）</w:t>
            </w:r>
          </w:p>
        </w:tc>
        <w:tc>
          <w:tcPr>
            <w:tcW w:w="75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石英</w:t>
            </w:r>
          </w:p>
          <w:p>
            <w:pPr>
              <w:jc w:val="center"/>
              <w:rPr>
                <w:rFonts w:ascii="Times New Roman" w:hAnsi="Times New Roman"/>
                <w:sz w:val="18"/>
                <w:szCs w:val="18"/>
              </w:rPr>
            </w:pPr>
            <w:r>
              <w:rPr>
                <w:rFonts w:ascii="Times New Roman" w:hAnsi="Times New Roman"/>
                <w:sz w:val="18"/>
                <w:szCs w:val="18"/>
              </w:rPr>
              <w:t>磁铁矿</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37.12</w:t>
            </w:r>
          </w:p>
        </w:tc>
        <w:tc>
          <w:tcPr>
            <w:tcW w:w="69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39.72</w:t>
            </w:r>
          </w:p>
        </w:tc>
        <w:tc>
          <w:tcPr>
            <w:tcW w:w="69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18.74</w:t>
            </w:r>
          </w:p>
        </w:tc>
        <w:tc>
          <w:tcPr>
            <w:tcW w:w="606"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0.40</w:t>
            </w:r>
          </w:p>
        </w:tc>
        <w:tc>
          <w:tcPr>
            <w:tcW w:w="493"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0.00</w:t>
            </w:r>
          </w:p>
        </w:tc>
        <w:tc>
          <w:tcPr>
            <w:tcW w:w="639"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0.20</w:t>
            </w:r>
          </w:p>
        </w:tc>
        <w:tc>
          <w:tcPr>
            <w:tcW w:w="462"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0.40</w:t>
            </w:r>
          </w:p>
        </w:tc>
        <w:tc>
          <w:tcPr>
            <w:tcW w:w="578"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0.32</w:t>
            </w:r>
          </w:p>
        </w:tc>
        <w:tc>
          <w:tcPr>
            <w:tcW w:w="477"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1.57</w:t>
            </w:r>
          </w:p>
        </w:tc>
        <w:tc>
          <w:tcPr>
            <w:tcW w:w="545" w:type="dxa"/>
            <w:tcMar>
              <w:top w:w="15" w:type="dxa"/>
              <w:left w:w="15" w:type="dxa"/>
              <w:bottom w:w="0" w:type="dxa"/>
              <w:right w:w="15" w:type="dxa"/>
            </w:tcMar>
            <w:vAlign w:val="center"/>
          </w:tcPr>
          <w:p>
            <w:pPr>
              <w:jc w:val="center"/>
              <w:rPr>
                <w:rFonts w:ascii="Times New Roman" w:hAnsi="Times New Roman"/>
                <w:sz w:val="18"/>
                <w:szCs w:val="18"/>
              </w:rPr>
            </w:pPr>
            <w:r>
              <w:rPr>
                <w:rFonts w:ascii="Times New Roman" w:hAnsi="Times New Roman"/>
                <w:sz w:val="18"/>
                <w:szCs w:val="18"/>
              </w:rPr>
              <w:t>0.96</w:t>
            </w:r>
          </w:p>
        </w:tc>
        <w:tc>
          <w:tcPr>
            <w:tcW w:w="759" w:type="dxa"/>
            <w:tcMar>
              <w:top w:w="15" w:type="dxa"/>
              <w:left w:w="15" w:type="dxa"/>
              <w:bottom w:w="0" w:type="dxa"/>
              <w:right w:w="15" w:type="dxa"/>
            </w:tcMar>
            <w:vAlign w:val="center"/>
          </w:tcPr>
          <w:p>
            <w:pPr>
              <w:jc w:val="center"/>
              <w:rPr>
                <w:rFonts w:ascii="Times New Roman" w:hAnsi="Times New Roman"/>
                <w:sz w:val="18"/>
                <w:szCs w:val="18"/>
              </w:rPr>
            </w:pPr>
          </w:p>
        </w:tc>
      </w:tr>
    </w:tbl>
    <w:p>
      <w:pPr>
        <w:widowControl/>
        <w:adjustRightInd w:val="0"/>
        <w:snapToGrid w:val="0"/>
        <w:spacing w:beforeLines="50" w:line="360" w:lineRule="auto"/>
        <w:outlineLvl w:val="2"/>
        <w:rPr>
          <w:rFonts w:ascii="Times New Roman" w:hAnsi="Times New Roman"/>
          <w:b/>
          <w:sz w:val="24"/>
        </w:rPr>
      </w:pPr>
      <w:bookmarkStart w:id="204" w:name="_Toc14848"/>
      <w:bookmarkStart w:id="205" w:name="_Toc13478"/>
      <w:bookmarkStart w:id="206" w:name="_Toc6534"/>
      <w:r>
        <w:rPr>
          <w:rFonts w:hint="eastAsia" w:ascii="Times New Roman" w:hAnsi="Times New Roman"/>
          <w:b/>
          <w:sz w:val="24"/>
        </w:rPr>
        <w:t>3.3.2工程设计方案</w:t>
      </w:r>
      <w:bookmarkEnd w:id="204"/>
      <w:bookmarkEnd w:id="205"/>
      <w:bookmarkEnd w:id="206"/>
    </w:p>
    <w:p>
      <w:pPr>
        <w:spacing w:line="360" w:lineRule="auto"/>
        <w:jc w:val="left"/>
        <w:rPr>
          <w:rFonts w:ascii="Times New Roman" w:hAnsi="Times New Roman"/>
          <w:b/>
          <w:bCs/>
          <w:sz w:val="24"/>
          <w:szCs w:val="24"/>
        </w:rPr>
      </w:pPr>
      <w:r>
        <w:rPr>
          <w:rFonts w:hint="eastAsia" w:ascii="Times New Roman" w:hAnsi="Times New Roman"/>
          <w:b/>
          <w:bCs/>
          <w:sz w:val="24"/>
          <w:szCs w:val="24"/>
        </w:rPr>
        <w:t>3.3.2.1尾矿库扩建工程</w:t>
      </w:r>
    </w:p>
    <w:p>
      <w:pPr>
        <w:spacing w:line="360" w:lineRule="auto"/>
        <w:ind w:firstLine="480" w:firstLineChars="200"/>
        <w:jc w:val="left"/>
        <w:outlineLvl w:val="0"/>
        <w:rPr>
          <w:rFonts w:ascii="Times New Roman" w:hAnsi="Times New Roman"/>
          <w:sz w:val="24"/>
          <w:szCs w:val="24"/>
        </w:rPr>
      </w:pPr>
      <w:r>
        <w:rPr>
          <w:rFonts w:hint="eastAsia" w:ascii="Times New Roman" w:hAnsi="Times New Roman"/>
          <w:sz w:val="24"/>
          <w:szCs w:val="24"/>
        </w:rPr>
        <w:t>1、尾矿库设计技术参数</w:t>
      </w:r>
    </w:p>
    <w:p>
      <w:pPr>
        <w:spacing w:line="360" w:lineRule="auto"/>
        <w:ind w:firstLine="373"/>
        <w:jc w:val="left"/>
        <w:rPr>
          <w:rFonts w:ascii="Times New Roman" w:hAnsi="Times New Roman"/>
          <w:sz w:val="24"/>
          <w:szCs w:val="24"/>
        </w:rPr>
      </w:pPr>
      <w:r>
        <w:rPr>
          <w:rFonts w:hint="eastAsia" w:ascii="Times New Roman" w:hAnsi="Times New Roman"/>
          <w:sz w:val="24"/>
          <w:szCs w:val="24"/>
        </w:rPr>
        <w:t>本次尾矿库建设技术参数设置如下表。</w:t>
      </w:r>
    </w:p>
    <w:p>
      <w:pPr>
        <w:jc w:val="center"/>
        <w:rPr>
          <w:rFonts w:ascii="Times New Roman" w:hAnsi="Times New Roman"/>
          <w:b/>
          <w:bCs/>
          <w:sz w:val="24"/>
          <w:szCs w:val="24"/>
        </w:rPr>
      </w:pPr>
      <w:r>
        <w:rPr>
          <w:rFonts w:hint="eastAsia" w:ascii="Times New Roman" w:hAnsi="Times New Roman"/>
          <w:b/>
          <w:bCs/>
          <w:sz w:val="24"/>
          <w:szCs w:val="24"/>
        </w:rPr>
        <w:t>表3-18 尾矿库技术参数一览表</w:t>
      </w:r>
    </w:p>
    <w:tbl>
      <w:tblPr>
        <w:tblStyle w:val="24"/>
        <w:tblW w:w="0" w:type="auto"/>
        <w:tblInd w:w="0" w:type="dxa"/>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804"/>
        <w:gridCol w:w="2465"/>
        <w:gridCol w:w="912"/>
        <w:gridCol w:w="2134"/>
        <w:gridCol w:w="2207"/>
      </w:tblGrid>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b/>
                <w:szCs w:val="21"/>
              </w:rPr>
            </w:pPr>
            <w:bookmarkStart w:id="207" w:name="_Toc518647962"/>
            <w:r>
              <w:rPr>
                <w:rFonts w:ascii="Times New Roman" w:hAnsi="Times New Roman"/>
                <w:b/>
                <w:szCs w:val="21"/>
              </w:rPr>
              <w:t>序号</w:t>
            </w:r>
          </w:p>
        </w:tc>
        <w:tc>
          <w:tcPr>
            <w:tcW w:w="2465" w:type="dxa"/>
            <w:tcBorders>
              <w:top w:val="single" w:color="auto" w:sz="12" w:space="0"/>
            </w:tcBorders>
            <w:vAlign w:val="center"/>
          </w:tcPr>
          <w:p>
            <w:pPr>
              <w:rPr>
                <w:rFonts w:ascii="Times New Roman" w:hAnsi="Times New Roman"/>
                <w:b/>
                <w:szCs w:val="21"/>
              </w:rPr>
            </w:pPr>
            <w:r>
              <w:rPr>
                <w:rFonts w:ascii="Times New Roman" w:hAnsi="Times New Roman"/>
                <w:b/>
                <w:szCs w:val="21"/>
              </w:rPr>
              <w:t>指标名称</w:t>
            </w:r>
          </w:p>
        </w:tc>
        <w:tc>
          <w:tcPr>
            <w:tcW w:w="912" w:type="dxa"/>
            <w:tcBorders>
              <w:top w:val="single" w:color="auto" w:sz="12" w:space="0"/>
            </w:tcBorders>
            <w:vAlign w:val="center"/>
          </w:tcPr>
          <w:p>
            <w:pPr>
              <w:rPr>
                <w:rFonts w:ascii="Times New Roman" w:hAnsi="Times New Roman"/>
                <w:b/>
                <w:szCs w:val="21"/>
              </w:rPr>
            </w:pPr>
            <w:r>
              <w:rPr>
                <w:rFonts w:ascii="Times New Roman" w:hAnsi="Times New Roman"/>
                <w:b/>
                <w:szCs w:val="21"/>
              </w:rPr>
              <w:t>单位</w:t>
            </w:r>
          </w:p>
        </w:tc>
        <w:tc>
          <w:tcPr>
            <w:tcW w:w="2134" w:type="dxa"/>
            <w:tcBorders>
              <w:top w:val="single" w:color="auto" w:sz="12" w:space="0"/>
            </w:tcBorders>
            <w:vAlign w:val="center"/>
          </w:tcPr>
          <w:p>
            <w:pPr>
              <w:rPr>
                <w:rFonts w:ascii="Times New Roman" w:hAnsi="Times New Roman"/>
                <w:b/>
                <w:szCs w:val="21"/>
              </w:rPr>
            </w:pPr>
            <w:r>
              <w:rPr>
                <w:rFonts w:ascii="Times New Roman" w:hAnsi="Times New Roman"/>
                <w:b/>
                <w:szCs w:val="21"/>
              </w:rPr>
              <w:t>数量</w:t>
            </w:r>
          </w:p>
        </w:tc>
        <w:tc>
          <w:tcPr>
            <w:tcW w:w="2207" w:type="dxa"/>
            <w:tcBorders>
              <w:top w:val="single" w:color="auto" w:sz="12" w:space="0"/>
            </w:tcBorders>
            <w:vAlign w:val="center"/>
          </w:tcPr>
          <w:p>
            <w:pPr>
              <w:rPr>
                <w:rFonts w:ascii="Times New Roman" w:hAnsi="Times New Roman"/>
                <w:b/>
                <w:szCs w:val="21"/>
              </w:rPr>
            </w:pPr>
            <w:r>
              <w:rPr>
                <w:rFonts w:ascii="Times New Roman" w:hAnsi="Times New Roman"/>
                <w:b/>
                <w:szCs w:val="21"/>
              </w:rPr>
              <w:t>说明</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r>
              <w:rPr>
                <w:rFonts w:ascii="Times New Roman" w:hAnsi="Times New Roman"/>
                <w:szCs w:val="21"/>
              </w:rPr>
              <w:t>1</w:t>
            </w:r>
          </w:p>
        </w:tc>
        <w:tc>
          <w:tcPr>
            <w:tcW w:w="2465" w:type="dxa"/>
            <w:vAlign w:val="center"/>
          </w:tcPr>
          <w:p>
            <w:pPr>
              <w:rPr>
                <w:rFonts w:ascii="Times New Roman" w:hAnsi="Times New Roman"/>
                <w:szCs w:val="21"/>
              </w:rPr>
            </w:pPr>
            <w:r>
              <w:rPr>
                <w:rFonts w:ascii="Times New Roman" w:hAnsi="Times New Roman"/>
                <w:szCs w:val="21"/>
              </w:rPr>
              <w:t>尾矿堆存工艺条件</w:t>
            </w:r>
          </w:p>
        </w:tc>
        <w:tc>
          <w:tcPr>
            <w:tcW w:w="912" w:type="dxa"/>
            <w:tcBorders>
              <w:bottom w:val="single" w:color="auto" w:sz="4" w:space="0"/>
            </w:tcBorders>
            <w:vAlign w:val="center"/>
          </w:tcPr>
          <w:p>
            <w:pPr>
              <w:rPr>
                <w:rFonts w:ascii="Times New Roman" w:hAnsi="Times New Roman"/>
                <w:szCs w:val="21"/>
              </w:rPr>
            </w:pPr>
          </w:p>
        </w:tc>
        <w:tc>
          <w:tcPr>
            <w:tcW w:w="2134" w:type="dxa"/>
            <w:vAlign w:val="center"/>
          </w:tcPr>
          <w:p>
            <w:pPr>
              <w:rPr>
                <w:rFonts w:ascii="Times New Roman" w:hAnsi="Times New Roman"/>
                <w:szCs w:val="21"/>
              </w:rPr>
            </w:pP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尾矿比重</w:t>
            </w:r>
          </w:p>
        </w:tc>
        <w:tc>
          <w:tcPr>
            <w:tcW w:w="912" w:type="dxa"/>
            <w:tcBorders>
              <w:top w:val="single" w:color="auto" w:sz="4" w:space="0"/>
            </w:tcBorders>
            <w:vAlign w:val="center"/>
          </w:tcPr>
          <w:p>
            <w:pPr>
              <w:rPr>
                <w:rFonts w:ascii="Times New Roman" w:hAnsi="Times New Roman"/>
                <w:szCs w:val="21"/>
              </w:rPr>
            </w:pPr>
            <w:r>
              <w:rPr>
                <w:rFonts w:ascii="Times New Roman" w:hAnsi="Times New Roman"/>
                <w:szCs w:val="21"/>
              </w:rPr>
              <w:t>t/m³</w:t>
            </w:r>
          </w:p>
        </w:tc>
        <w:tc>
          <w:tcPr>
            <w:tcW w:w="2134" w:type="dxa"/>
            <w:vAlign w:val="center"/>
          </w:tcPr>
          <w:p>
            <w:pPr>
              <w:rPr>
                <w:rFonts w:ascii="Times New Roman" w:hAnsi="Times New Roman"/>
                <w:szCs w:val="21"/>
              </w:rPr>
            </w:pPr>
            <w:r>
              <w:rPr>
                <w:rFonts w:ascii="Times New Roman" w:hAnsi="Times New Roman"/>
                <w:szCs w:val="21"/>
              </w:rPr>
              <w:t>3.07</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堆存总尾矿量</w:t>
            </w:r>
          </w:p>
        </w:tc>
        <w:tc>
          <w:tcPr>
            <w:tcW w:w="912" w:type="dxa"/>
            <w:vAlign w:val="center"/>
          </w:tcPr>
          <w:p>
            <w:pPr>
              <w:rPr>
                <w:rFonts w:ascii="Times New Roman" w:hAnsi="Times New Roman"/>
                <w:szCs w:val="21"/>
              </w:rPr>
            </w:pPr>
            <w:r>
              <w:rPr>
                <w:rFonts w:ascii="Times New Roman" w:hAnsi="Times New Roman"/>
                <w:szCs w:val="21"/>
              </w:rPr>
              <w:t>万t</w:t>
            </w:r>
          </w:p>
        </w:tc>
        <w:tc>
          <w:tcPr>
            <w:tcW w:w="2134" w:type="dxa"/>
            <w:vAlign w:val="center"/>
          </w:tcPr>
          <w:p>
            <w:pPr>
              <w:rPr>
                <w:rFonts w:ascii="Times New Roman" w:hAnsi="Times New Roman"/>
                <w:szCs w:val="21"/>
              </w:rPr>
            </w:pPr>
            <w:r>
              <w:rPr>
                <w:rFonts w:ascii="Times New Roman" w:hAnsi="Times New Roman"/>
                <w:szCs w:val="21"/>
              </w:rPr>
              <w:t>10.0</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设计尾矿堆积干容重</w:t>
            </w:r>
          </w:p>
        </w:tc>
        <w:tc>
          <w:tcPr>
            <w:tcW w:w="912" w:type="dxa"/>
            <w:vAlign w:val="center"/>
          </w:tcPr>
          <w:p>
            <w:pPr>
              <w:rPr>
                <w:rFonts w:ascii="Times New Roman" w:hAnsi="Times New Roman"/>
                <w:szCs w:val="21"/>
              </w:rPr>
            </w:pPr>
            <w:r>
              <w:rPr>
                <w:rFonts w:ascii="Times New Roman" w:hAnsi="Times New Roman"/>
                <w:szCs w:val="21"/>
              </w:rPr>
              <w:t>t/m³</w:t>
            </w:r>
          </w:p>
        </w:tc>
        <w:tc>
          <w:tcPr>
            <w:tcW w:w="2134" w:type="dxa"/>
            <w:vAlign w:val="center"/>
          </w:tcPr>
          <w:p>
            <w:pPr>
              <w:rPr>
                <w:rFonts w:ascii="Times New Roman" w:hAnsi="Times New Roman"/>
                <w:szCs w:val="21"/>
              </w:rPr>
            </w:pPr>
            <w:r>
              <w:rPr>
                <w:rFonts w:ascii="Times New Roman" w:hAnsi="Times New Roman"/>
                <w:szCs w:val="21"/>
              </w:rPr>
              <w:t>1.5</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尾矿粒度</w:t>
            </w:r>
          </w:p>
        </w:tc>
        <w:tc>
          <w:tcPr>
            <w:tcW w:w="912" w:type="dxa"/>
            <w:vAlign w:val="center"/>
          </w:tcPr>
          <w:p>
            <w:pPr>
              <w:rPr>
                <w:rFonts w:ascii="Times New Roman" w:hAnsi="Times New Roman"/>
                <w:szCs w:val="21"/>
              </w:rPr>
            </w:pPr>
          </w:p>
        </w:tc>
        <w:tc>
          <w:tcPr>
            <w:tcW w:w="2134" w:type="dxa"/>
            <w:vAlign w:val="center"/>
          </w:tcPr>
          <w:p>
            <w:pPr>
              <w:rPr>
                <w:rFonts w:ascii="Times New Roman" w:hAnsi="Times New Roman"/>
                <w:szCs w:val="21"/>
              </w:rPr>
            </w:pPr>
            <w:r>
              <w:rPr>
                <w:rFonts w:ascii="Times New Roman" w:hAnsi="Times New Roman"/>
                <w:szCs w:val="21"/>
              </w:rPr>
              <w:t>-200目占75%</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堆存方式</w:t>
            </w:r>
          </w:p>
        </w:tc>
        <w:tc>
          <w:tcPr>
            <w:tcW w:w="912" w:type="dxa"/>
            <w:vAlign w:val="center"/>
          </w:tcPr>
          <w:p>
            <w:pPr>
              <w:rPr>
                <w:rFonts w:ascii="Times New Roman" w:hAnsi="Times New Roman"/>
                <w:szCs w:val="21"/>
              </w:rPr>
            </w:pPr>
          </w:p>
        </w:tc>
        <w:tc>
          <w:tcPr>
            <w:tcW w:w="2134" w:type="dxa"/>
            <w:vAlign w:val="center"/>
          </w:tcPr>
          <w:p>
            <w:pPr>
              <w:rPr>
                <w:rFonts w:ascii="Times New Roman" w:hAnsi="Times New Roman"/>
                <w:szCs w:val="21"/>
              </w:rPr>
            </w:pPr>
            <w:r>
              <w:rPr>
                <w:rFonts w:ascii="Times New Roman" w:hAnsi="Times New Roman"/>
                <w:szCs w:val="21"/>
              </w:rPr>
              <w:t>湿排转干堆</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排放方式</w:t>
            </w:r>
          </w:p>
        </w:tc>
        <w:tc>
          <w:tcPr>
            <w:tcW w:w="912" w:type="dxa"/>
            <w:vAlign w:val="center"/>
          </w:tcPr>
          <w:p>
            <w:pPr>
              <w:rPr>
                <w:rFonts w:ascii="Times New Roman" w:hAnsi="Times New Roman"/>
                <w:szCs w:val="21"/>
              </w:rPr>
            </w:pPr>
          </w:p>
        </w:tc>
        <w:tc>
          <w:tcPr>
            <w:tcW w:w="2134" w:type="dxa"/>
            <w:vAlign w:val="center"/>
          </w:tcPr>
          <w:p>
            <w:pPr>
              <w:rPr>
                <w:rFonts w:ascii="Times New Roman" w:hAnsi="Times New Roman"/>
                <w:szCs w:val="21"/>
              </w:rPr>
            </w:pPr>
            <w:r>
              <w:rPr>
                <w:rFonts w:ascii="Times New Roman" w:hAnsi="Times New Roman"/>
                <w:szCs w:val="21"/>
              </w:rPr>
              <w:t>坝前排放</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工作制度</w:t>
            </w:r>
          </w:p>
        </w:tc>
        <w:tc>
          <w:tcPr>
            <w:tcW w:w="912" w:type="dxa"/>
            <w:vAlign w:val="center"/>
          </w:tcPr>
          <w:p>
            <w:pPr>
              <w:rPr>
                <w:rFonts w:ascii="Times New Roman" w:hAnsi="Times New Roman"/>
                <w:szCs w:val="21"/>
              </w:rPr>
            </w:pPr>
            <w:r>
              <w:rPr>
                <w:rFonts w:ascii="Times New Roman" w:hAnsi="Times New Roman"/>
                <w:szCs w:val="21"/>
              </w:rPr>
              <w:t>d/a</w:t>
            </w:r>
          </w:p>
        </w:tc>
        <w:tc>
          <w:tcPr>
            <w:tcW w:w="2134" w:type="dxa"/>
            <w:vAlign w:val="center"/>
          </w:tcPr>
          <w:p>
            <w:pPr>
              <w:rPr>
                <w:rFonts w:ascii="Times New Roman" w:hAnsi="Times New Roman"/>
                <w:szCs w:val="21"/>
              </w:rPr>
            </w:pPr>
            <w:r>
              <w:rPr>
                <w:rFonts w:ascii="Times New Roman" w:hAnsi="Times New Roman"/>
                <w:szCs w:val="21"/>
              </w:rPr>
              <w:t>300</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p>
        </w:tc>
        <w:tc>
          <w:tcPr>
            <w:tcW w:w="912" w:type="dxa"/>
            <w:vAlign w:val="center"/>
          </w:tcPr>
          <w:p>
            <w:pPr>
              <w:rPr>
                <w:rFonts w:ascii="Times New Roman" w:hAnsi="Times New Roman"/>
                <w:szCs w:val="21"/>
              </w:rPr>
            </w:pPr>
            <w:r>
              <w:rPr>
                <w:rFonts w:ascii="Times New Roman" w:hAnsi="Times New Roman"/>
                <w:szCs w:val="21"/>
              </w:rPr>
              <w:t>班/d</w:t>
            </w:r>
          </w:p>
        </w:tc>
        <w:tc>
          <w:tcPr>
            <w:tcW w:w="2134" w:type="dxa"/>
            <w:vAlign w:val="center"/>
          </w:tcPr>
          <w:p>
            <w:pPr>
              <w:rPr>
                <w:rFonts w:ascii="Times New Roman" w:hAnsi="Times New Roman"/>
                <w:szCs w:val="21"/>
              </w:rPr>
            </w:pPr>
            <w:r>
              <w:rPr>
                <w:rFonts w:ascii="Times New Roman" w:hAnsi="Times New Roman"/>
                <w:szCs w:val="21"/>
              </w:rPr>
              <w:t>3</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p>
        </w:tc>
        <w:tc>
          <w:tcPr>
            <w:tcW w:w="912" w:type="dxa"/>
            <w:vAlign w:val="center"/>
          </w:tcPr>
          <w:p>
            <w:pPr>
              <w:rPr>
                <w:rFonts w:ascii="Times New Roman" w:hAnsi="Times New Roman"/>
                <w:szCs w:val="21"/>
              </w:rPr>
            </w:pPr>
            <w:r>
              <w:rPr>
                <w:rFonts w:ascii="Times New Roman" w:hAnsi="Times New Roman"/>
                <w:szCs w:val="21"/>
              </w:rPr>
              <w:t>h/班</w:t>
            </w:r>
          </w:p>
        </w:tc>
        <w:tc>
          <w:tcPr>
            <w:tcW w:w="2134" w:type="dxa"/>
            <w:vAlign w:val="center"/>
          </w:tcPr>
          <w:p>
            <w:pPr>
              <w:rPr>
                <w:rFonts w:ascii="Times New Roman" w:hAnsi="Times New Roman"/>
                <w:szCs w:val="21"/>
              </w:rPr>
            </w:pPr>
            <w:r>
              <w:rPr>
                <w:rFonts w:ascii="Times New Roman" w:hAnsi="Times New Roman"/>
                <w:szCs w:val="21"/>
              </w:rPr>
              <w:t>8</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r>
              <w:rPr>
                <w:rFonts w:ascii="Times New Roman" w:hAnsi="Times New Roman"/>
                <w:szCs w:val="21"/>
              </w:rPr>
              <w:t>2</w:t>
            </w:r>
          </w:p>
        </w:tc>
        <w:tc>
          <w:tcPr>
            <w:tcW w:w="2465" w:type="dxa"/>
            <w:vAlign w:val="center"/>
          </w:tcPr>
          <w:p>
            <w:pPr>
              <w:rPr>
                <w:rFonts w:ascii="Times New Roman" w:hAnsi="Times New Roman"/>
                <w:szCs w:val="21"/>
              </w:rPr>
            </w:pPr>
            <w:r>
              <w:rPr>
                <w:rFonts w:ascii="Times New Roman" w:hAnsi="Times New Roman"/>
                <w:szCs w:val="21"/>
              </w:rPr>
              <w:t>尾矿库</w:t>
            </w:r>
          </w:p>
        </w:tc>
        <w:tc>
          <w:tcPr>
            <w:tcW w:w="912" w:type="dxa"/>
            <w:vAlign w:val="center"/>
          </w:tcPr>
          <w:p>
            <w:pPr>
              <w:rPr>
                <w:rFonts w:ascii="Times New Roman" w:hAnsi="Times New Roman"/>
                <w:szCs w:val="21"/>
              </w:rPr>
            </w:pPr>
          </w:p>
        </w:tc>
        <w:tc>
          <w:tcPr>
            <w:tcW w:w="2134" w:type="dxa"/>
            <w:vAlign w:val="center"/>
          </w:tcPr>
          <w:p>
            <w:pPr>
              <w:rPr>
                <w:rFonts w:ascii="Times New Roman" w:hAnsi="Times New Roman"/>
                <w:szCs w:val="21"/>
              </w:rPr>
            </w:pP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占地面积</w:t>
            </w:r>
          </w:p>
        </w:tc>
        <w:tc>
          <w:tcPr>
            <w:tcW w:w="912" w:type="dxa"/>
            <w:vAlign w:val="center"/>
          </w:tcPr>
          <w:p>
            <w:pPr>
              <w:rPr>
                <w:rFonts w:ascii="Times New Roman" w:hAnsi="Times New Roman"/>
                <w:szCs w:val="21"/>
              </w:rPr>
            </w:pPr>
            <w:r>
              <w:rPr>
                <w:rFonts w:ascii="Times New Roman" w:hAnsi="Times New Roman"/>
                <w:szCs w:val="21"/>
              </w:rPr>
              <w:t>km</w:t>
            </w:r>
            <w:r>
              <w:rPr>
                <w:rFonts w:ascii="Times New Roman" w:hAnsi="Times New Roman"/>
                <w:szCs w:val="21"/>
                <w:vertAlign w:val="superscript"/>
              </w:rPr>
              <w:t>2</w:t>
            </w:r>
          </w:p>
        </w:tc>
        <w:tc>
          <w:tcPr>
            <w:tcW w:w="2134" w:type="dxa"/>
            <w:vAlign w:val="center"/>
          </w:tcPr>
          <w:p>
            <w:pPr>
              <w:rPr>
                <w:rFonts w:ascii="Times New Roman" w:hAnsi="Times New Roman"/>
                <w:szCs w:val="21"/>
              </w:rPr>
            </w:pPr>
            <w:r>
              <w:rPr>
                <w:rFonts w:ascii="Times New Roman" w:hAnsi="Times New Roman"/>
                <w:szCs w:val="21"/>
              </w:rPr>
              <w:t>0.024</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总库容</w:t>
            </w:r>
          </w:p>
        </w:tc>
        <w:tc>
          <w:tcPr>
            <w:tcW w:w="912" w:type="dxa"/>
            <w:vAlign w:val="center"/>
          </w:tcPr>
          <w:p>
            <w:pPr>
              <w:rPr>
                <w:rFonts w:ascii="Times New Roman" w:hAnsi="Times New Roman"/>
                <w:szCs w:val="21"/>
              </w:rPr>
            </w:pPr>
            <w:r>
              <w:rPr>
                <w:rFonts w:ascii="Times New Roman" w:hAnsi="Times New Roman"/>
                <w:szCs w:val="21"/>
              </w:rPr>
              <w:t>万m³</w:t>
            </w:r>
          </w:p>
        </w:tc>
        <w:tc>
          <w:tcPr>
            <w:tcW w:w="2134" w:type="dxa"/>
            <w:vAlign w:val="center"/>
          </w:tcPr>
          <w:p>
            <w:pPr>
              <w:rPr>
                <w:rFonts w:ascii="Times New Roman" w:hAnsi="Times New Roman"/>
                <w:szCs w:val="21"/>
              </w:rPr>
            </w:pPr>
            <w:r>
              <w:rPr>
                <w:rFonts w:ascii="Times New Roman" w:hAnsi="Times New Roman"/>
                <w:szCs w:val="21"/>
              </w:rPr>
              <w:t>11.40</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总坝高</w:t>
            </w:r>
          </w:p>
        </w:tc>
        <w:tc>
          <w:tcPr>
            <w:tcW w:w="912" w:type="dxa"/>
            <w:vAlign w:val="center"/>
          </w:tcPr>
          <w:p>
            <w:pPr>
              <w:rPr>
                <w:rFonts w:ascii="Times New Roman" w:hAnsi="Times New Roman"/>
                <w:szCs w:val="21"/>
              </w:rPr>
            </w:pPr>
            <w:r>
              <w:rPr>
                <w:rFonts w:ascii="Times New Roman" w:hAnsi="Times New Roman"/>
                <w:szCs w:val="21"/>
              </w:rPr>
              <w:t>m</w:t>
            </w:r>
          </w:p>
        </w:tc>
        <w:tc>
          <w:tcPr>
            <w:tcW w:w="2134" w:type="dxa"/>
            <w:vAlign w:val="center"/>
          </w:tcPr>
          <w:p>
            <w:pPr>
              <w:rPr>
                <w:rFonts w:ascii="Times New Roman" w:hAnsi="Times New Roman"/>
                <w:szCs w:val="21"/>
              </w:rPr>
            </w:pPr>
            <w:r>
              <w:rPr>
                <w:rFonts w:ascii="Times New Roman" w:hAnsi="Times New Roman"/>
                <w:szCs w:val="21"/>
              </w:rPr>
              <w:t>10</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服务年限</w:t>
            </w:r>
          </w:p>
        </w:tc>
        <w:tc>
          <w:tcPr>
            <w:tcW w:w="912" w:type="dxa"/>
            <w:vAlign w:val="center"/>
          </w:tcPr>
          <w:p>
            <w:pPr>
              <w:rPr>
                <w:rFonts w:ascii="Times New Roman" w:hAnsi="Times New Roman"/>
                <w:szCs w:val="21"/>
              </w:rPr>
            </w:pPr>
            <w:r>
              <w:rPr>
                <w:rFonts w:ascii="Times New Roman" w:hAnsi="Times New Roman"/>
                <w:szCs w:val="21"/>
              </w:rPr>
              <w:t>a</w:t>
            </w:r>
          </w:p>
        </w:tc>
        <w:tc>
          <w:tcPr>
            <w:tcW w:w="2134" w:type="dxa"/>
            <w:vAlign w:val="center"/>
          </w:tcPr>
          <w:p>
            <w:pPr>
              <w:rPr>
                <w:rFonts w:ascii="Times New Roman" w:hAnsi="Times New Roman"/>
                <w:szCs w:val="21"/>
              </w:rPr>
            </w:pPr>
            <w:r>
              <w:rPr>
                <w:rFonts w:ascii="Times New Roman" w:hAnsi="Times New Roman"/>
                <w:szCs w:val="21"/>
              </w:rPr>
              <w:t>5.52</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等别</w:t>
            </w:r>
          </w:p>
        </w:tc>
        <w:tc>
          <w:tcPr>
            <w:tcW w:w="912" w:type="dxa"/>
            <w:vAlign w:val="center"/>
          </w:tcPr>
          <w:p>
            <w:pPr>
              <w:rPr>
                <w:rFonts w:ascii="Times New Roman" w:hAnsi="Times New Roman"/>
                <w:szCs w:val="21"/>
              </w:rPr>
            </w:pPr>
          </w:p>
        </w:tc>
        <w:tc>
          <w:tcPr>
            <w:tcW w:w="2134" w:type="dxa"/>
            <w:vAlign w:val="center"/>
          </w:tcPr>
          <w:p>
            <w:pPr>
              <w:rPr>
                <w:rFonts w:ascii="Times New Roman" w:hAnsi="Times New Roman"/>
                <w:szCs w:val="21"/>
              </w:rPr>
            </w:pPr>
            <w:r>
              <w:rPr>
                <w:rFonts w:ascii="Times New Roman" w:hAnsi="Times New Roman"/>
                <w:szCs w:val="21"/>
              </w:rPr>
              <w:t>五等库</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r>
              <w:rPr>
                <w:rFonts w:ascii="Times New Roman" w:hAnsi="Times New Roman"/>
                <w:szCs w:val="21"/>
              </w:rPr>
              <w:t>3</w:t>
            </w:r>
          </w:p>
        </w:tc>
        <w:tc>
          <w:tcPr>
            <w:tcW w:w="2465" w:type="dxa"/>
            <w:vAlign w:val="center"/>
          </w:tcPr>
          <w:p>
            <w:pPr>
              <w:rPr>
                <w:rFonts w:ascii="Times New Roman" w:hAnsi="Times New Roman"/>
                <w:szCs w:val="21"/>
              </w:rPr>
            </w:pPr>
            <w:r>
              <w:rPr>
                <w:rFonts w:ascii="Times New Roman" w:hAnsi="Times New Roman"/>
                <w:szCs w:val="21"/>
              </w:rPr>
              <w:t>尾矿坝</w:t>
            </w:r>
          </w:p>
        </w:tc>
        <w:tc>
          <w:tcPr>
            <w:tcW w:w="912" w:type="dxa"/>
            <w:vAlign w:val="center"/>
          </w:tcPr>
          <w:p>
            <w:pPr>
              <w:rPr>
                <w:rFonts w:ascii="Times New Roman" w:hAnsi="Times New Roman"/>
                <w:szCs w:val="21"/>
              </w:rPr>
            </w:pPr>
          </w:p>
        </w:tc>
        <w:tc>
          <w:tcPr>
            <w:tcW w:w="2134" w:type="dxa"/>
            <w:vAlign w:val="center"/>
          </w:tcPr>
          <w:p>
            <w:pPr>
              <w:rPr>
                <w:rFonts w:ascii="Times New Roman" w:hAnsi="Times New Roman"/>
                <w:szCs w:val="21"/>
              </w:rPr>
            </w:pP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r>
              <w:rPr>
                <w:rFonts w:ascii="Times New Roman" w:hAnsi="Times New Roman"/>
                <w:szCs w:val="21"/>
              </w:rPr>
              <w:t>3.1</w:t>
            </w:r>
          </w:p>
        </w:tc>
        <w:tc>
          <w:tcPr>
            <w:tcW w:w="2465" w:type="dxa"/>
            <w:vAlign w:val="center"/>
          </w:tcPr>
          <w:p>
            <w:pPr>
              <w:rPr>
                <w:rFonts w:ascii="Times New Roman" w:hAnsi="Times New Roman"/>
                <w:szCs w:val="21"/>
              </w:rPr>
            </w:pPr>
            <w:r>
              <w:rPr>
                <w:rFonts w:ascii="Times New Roman" w:hAnsi="Times New Roman"/>
                <w:szCs w:val="21"/>
              </w:rPr>
              <w:t>初期坝</w:t>
            </w:r>
          </w:p>
        </w:tc>
        <w:tc>
          <w:tcPr>
            <w:tcW w:w="912" w:type="dxa"/>
            <w:vAlign w:val="center"/>
          </w:tcPr>
          <w:p>
            <w:pPr>
              <w:rPr>
                <w:rFonts w:ascii="Times New Roman" w:hAnsi="Times New Roman"/>
                <w:szCs w:val="21"/>
              </w:rPr>
            </w:pPr>
          </w:p>
        </w:tc>
        <w:tc>
          <w:tcPr>
            <w:tcW w:w="2134" w:type="dxa"/>
            <w:vAlign w:val="center"/>
          </w:tcPr>
          <w:p>
            <w:pPr>
              <w:rPr>
                <w:rFonts w:ascii="Times New Roman" w:hAnsi="Times New Roman"/>
                <w:szCs w:val="21"/>
              </w:rPr>
            </w:pP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坝型</w:t>
            </w:r>
          </w:p>
        </w:tc>
        <w:tc>
          <w:tcPr>
            <w:tcW w:w="912" w:type="dxa"/>
            <w:vAlign w:val="center"/>
          </w:tcPr>
          <w:p>
            <w:pPr>
              <w:rPr>
                <w:rFonts w:ascii="Times New Roman" w:hAnsi="Times New Roman"/>
                <w:szCs w:val="21"/>
              </w:rPr>
            </w:pPr>
          </w:p>
        </w:tc>
        <w:tc>
          <w:tcPr>
            <w:tcW w:w="2134" w:type="dxa"/>
            <w:vAlign w:val="center"/>
          </w:tcPr>
          <w:p>
            <w:pPr>
              <w:rPr>
                <w:rFonts w:ascii="Times New Roman" w:hAnsi="Times New Roman"/>
                <w:szCs w:val="21"/>
              </w:rPr>
            </w:pPr>
            <w:r>
              <w:rPr>
                <w:rFonts w:ascii="Times New Roman" w:hAnsi="Times New Roman"/>
                <w:szCs w:val="21"/>
              </w:rPr>
              <w:t>碾压土坝</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坝顶标高</w:t>
            </w:r>
          </w:p>
        </w:tc>
        <w:tc>
          <w:tcPr>
            <w:tcW w:w="912" w:type="dxa"/>
            <w:vAlign w:val="center"/>
          </w:tcPr>
          <w:p>
            <w:pPr>
              <w:rPr>
                <w:rFonts w:ascii="Times New Roman" w:hAnsi="Times New Roman"/>
                <w:szCs w:val="21"/>
              </w:rPr>
            </w:pPr>
            <w:r>
              <w:rPr>
                <w:rFonts w:ascii="Times New Roman" w:hAnsi="Times New Roman"/>
                <w:szCs w:val="21"/>
              </w:rPr>
              <w:t>m</w:t>
            </w:r>
          </w:p>
        </w:tc>
        <w:tc>
          <w:tcPr>
            <w:tcW w:w="2134" w:type="dxa"/>
            <w:vAlign w:val="center"/>
          </w:tcPr>
          <w:p>
            <w:pPr>
              <w:rPr>
                <w:rFonts w:ascii="Times New Roman" w:hAnsi="Times New Roman"/>
                <w:szCs w:val="21"/>
              </w:rPr>
            </w:pPr>
            <w:r>
              <w:rPr>
                <w:rFonts w:ascii="Times New Roman" w:hAnsi="Times New Roman"/>
                <w:szCs w:val="21"/>
              </w:rPr>
              <w:t>719.0</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坝顶宽度</w:t>
            </w:r>
          </w:p>
        </w:tc>
        <w:tc>
          <w:tcPr>
            <w:tcW w:w="912" w:type="dxa"/>
            <w:vAlign w:val="center"/>
          </w:tcPr>
          <w:p>
            <w:pPr>
              <w:rPr>
                <w:rFonts w:ascii="Times New Roman" w:hAnsi="Times New Roman"/>
                <w:szCs w:val="21"/>
              </w:rPr>
            </w:pPr>
            <w:r>
              <w:rPr>
                <w:rFonts w:ascii="Times New Roman" w:hAnsi="Times New Roman"/>
                <w:szCs w:val="21"/>
              </w:rPr>
              <w:t>m</w:t>
            </w:r>
          </w:p>
        </w:tc>
        <w:tc>
          <w:tcPr>
            <w:tcW w:w="2134" w:type="dxa"/>
            <w:vAlign w:val="center"/>
          </w:tcPr>
          <w:p>
            <w:pPr>
              <w:rPr>
                <w:rFonts w:ascii="Times New Roman" w:hAnsi="Times New Roman"/>
                <w:szCs w:val="21"/>
              </w:rPr>
            </w:pPr>
            <w:r>
              <w:rPr>
                <w:rFonts w:ascii="Times New Roman" w:hAnsi="Times New Roman"/>
                <w:szCs w:val="21"/>
              </w:rPr>
              <w:t>3</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坝高</w:t>
            </w:r>
          </w:p>
        </w:tc>
        <w:tc>
          <w:tcPr>
            <w:tcW w:w="912" w:type="dxa"/>
            <w:vAlign w:val="center"/>
          </w:tcPr>
          <w:p>
            <w:pPr>
              <w:rPr>
                <w:rFonts w:ascii="Times New Roman" w:hAnsi="Times New Roman"/>
                <w:szCs w:val="21"/>
              </w:rPr>
            </w:pPr>
            <w:r>
              <w:rPr>
                <w:rFonts w:ascii="Times New Roman" w:hAnsi="Times New Roman"/>
                <w:szCs w:val="21"/>
              </w:rPr>
              <w:t>m</w:t>
            </w:r>
          </w:p>
        </w:tc>
        <w:tc>
          <w:tcPr>
            <w:tcW w:w="2134" w:type="dxa"/>
            <w:vAlign w:val="center"/>
          </w:tcPr>
          <w:p>
            <w:pPr>
              <w:rPr>
                <w:rFonts w:ascii="Times New Roman" w:hAnsi="Times New Roman"/>
                <w:szCs w:val="21"/>
              </w:rPr>
            </w:pPr>
            <w:r>
              <w:rPr>
                <w:rFonts w:ascii="Times New Roman" w:hAnsi="Times New Roman"/>
                <w:szCs w:val="21"/>
              </w:rPr>
              <w:t>10</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vAlign w:val="center"/>
          </w:tcPr>
          <w:p>
            <w:pPr>
              <w:jc w:val="center"/>
              <w:rPr>
                <w:rFonts w:ascii="Times New Roman" w:hAnsi="Times New Roman"/>
                <w:szCs w:val="21"/>
              </w:rPr>
            </w:pPr>
          </w:p>
        </w:tc>
        <w:tc>
          <w:tcPr>
            <w:tcW w:w="2465" w:type="dxa"/>
            <w:vAlign w:val="center"/>
          </w:tcPr>
          <w:p>
            <w:pPr>
              <w:rPr>
                <w:rFonts w:ascii="Times New Roman" w:hAnsi="Times New Roman"/>
                <w:szCs w:val="21"/>
              </w:rPr>
            </w:pPr>
            <w:r>
              <w:rPr>
                <w:rFonts w:ascii="Times New Roman" w:hAnsi="Times New Roman"/>
                <w:szCs w:val="21"/>
              </w:rPr>
              <w:t>上游坡比</w:t>
            </w:r>
          </w:p>
        </w:tc>
        <w:tc>
          <w:tcPr>
            <w:tcW w:w="912" w:type="dxa"/>
            <w:vAlign w:val="center"/>
          </w:tcPr>
          <w:p>
            <w:pPr>
              <w:rPr>
                <w:rFonts w:ascii="Times New Roman" w:hAnsi="Times New Roman"/>
                <w:szCs w:val="21"/>
              </w:rPr>
            </w:pPr>
          </w:p>
        </w:tc>
        <w:tc>
          <w:tcPr>
            <w:tcW w:w="2134" w:type="dxa"/>
            <w:vAlign w:val="center"/>
          </w:tcPr>
          <w:p>
            <w:pPr>
              <w:rPr>
                <w:rFonts w:ascii="Times New Roman" w:hAnsi="Times New Roman"/>
                <w:szCs w:val="21"/>
              </w:rPr>
            </w:pPr>
            <w:r>
              <w:rPr>
                <w:rFonts w:ascii="Times New Roman" w:hAnsi="Times New Roman"/>
                <w:szCs w:val="21"/>
              </w:rPr>
              <w:t>1:1.5</w:t>
            </w:r>
          </w:p>
        </w:tc>
        <w:tc>
          <w:tcPr>
            <w:tcW w:w="2207" w:type="dxa"/>
            <w:vAlign w:val="center"/>
          </w:tcPr>
          <w:p>
            <w:pPr>
              <w:rPr>
                <w:rFonts w:ascii="Times New Roman" w:hAnsi="Times New Roman"/>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c>
          <w:tcPr>
            <w:tcW w:w="804" w:type="dxa"/>
            <w:tcBorders>
              <w:bottom w:val="single" w:color="auto" w:sz="12" w:space="0"/>
            </w:tcBorders>
            <w:vAlign w:val="center"/>
          </w:tcPr>
          <w:p>
            <w:pPr>
              <w:jc w:val="center"/>
              <w:rPr>
                <w:rFonts w:ascii="Times New Roman" w:hAnsi="Times New Roman"/>
                <w:szCs w:val="21"/>
              </w:rPr>
            </w:pPr>
          </w:p>
        </w:tc>
        <w:tc>
          <w:tcPr>
            <w:tcW w:w="2465" w:type="dxa"/>
            <w:tcBorders>
              <w:bottom w:val="single" w:color="auto" w:sz="12" w:space="0"/>
            </w:tcBorders>
            <w:vAlign w:val="center"/>
          </w:tcPr>
          <w:p>
            <w:pPr>
              <w:rPr>
                <w:rFonts w:ascii="Times New Roman" w:hAnsi="Times New Roman"/>
                <w:szCs w:val="21"/>
              </w:rPr>
            </w:pPr>
            <w:r>
              <w:rPr>
                <w:rFonts w:ascii="Times New Roman" w:hAnsi="Times New Roman"/>
                <w:szCs w:val="21"/>
              </w:rPr>
              <w:t>下游坡比</w:t>
            </w:r>
          </w:p>
        </w:tc>
        <w:tc>
          <w:tcPr>
            <w:tcW w:w="912" w:type="dxa"/>
            <w:vAlign w:val="center"/>
          </w:tcPr>
          <w:p>
            <w:pPr>
              <w:rPr>
                <w:rFonts w:ascii="Times New Roman" w:hAnsi="Times New Roman"/>
                <w:szCs w:val="21"/>
              </w:rPr>
            </w:pPr>
          </w:p>
        </w:tc>
        <w:tc>
          <w:tcPr>
            <w:tcW w:w="2134" w:type="dxa"/>
            <w:tcBorders>
              <w:bottom w:val="single" w:color="auto" w:sz="12" w:space="0"/>
            </w:tcBorders>
            <w:vAlign w:val="center"/>
          </w:tcPr>
          <w:p>
            <w:pPr>
              <w:rPr>
                <w:rFonts w:ascii="Times New Roman" w:hAnsi="Times New Roman"/>
                <w:szCs w:val="21"/>
              </w:rPr>
            </w:pPr>
            <w:r>
              <w:rPr>
                <w:rFonts w:ascii="Times New Roman" w:hAnsi="Times New Roman"/>
                <w:szCs w:val="21"/>
              </w:rPr>
              <w:t>1:1.75</w:t>
            </w:r>
          </w:p>
        </w:tc>
        <w:tc>
          <w:tcPr>
            <w:tcW w:w="2207" w:type="dxa"/>
            <w:tcBorders>
              <w:bottom w:val="single" w:color="auto" w:sz="12" w:space="0"/>
            </w:tcBorders>
            <w:vAlign w:val="center"/>
          </w:tcPr>
          <w:p>
            <w:pPr>
              <w:rPr>
                <w:rFonts w:ascii="Times New Roman" w:hAnsi="Times New Roman"/>
                <w:szCs w:val="21"/>
              </w:rPr>
            </w:pPr>
          </w:p>
        </w:tc>
      </w:tr>
    </w:tbl>
    <w:p>
      <w:pPr>
        <w:spacing w:beforeLines="50" w:line="360" w:lineRule="auto"/>
        <w:ind w:firstLine="480" w:firstLineChars="200"/>
        <w:jc w:val="left"/>
        <w:rPr>
          <w:rFonts w:ascii="Times New Roman" w:hAnsi="Times New Roman"/>
          <w:sz w:val="24"/>
          <w:szCs w:val="24"/>
        </w:rPr>
      </w:pPr>
      <w:r>
        <w:rPr>
          <w:rFonts w:ascii="Times New Roman" w:hAnsi="Times New Roman"/>
          <w:sz w:val="24"/>
          <w:szCs w:val="24"/>
        </w:rPr>
        <w:t>2、尾矿坝设计</w:t>
      </w:r>
    </w:p>
    <w:p>
      <w:pPr>
        <w:spacing w:beforeLines="50" w:line="360" w:lineRule="auto"/>
        <w:ind w:firstLine="480" w:firstLineChars="200"/>
        <w:jc w:val="left"/>
        <w:rPr>
          <w:rFonts w:ascii="Times New Roman" w:hAnsi="Times New Roman"/>
          <w:sz w:val="24"/>
          <w:szCs w:val="24"/>
          <w:u w:val="single"/>
        </w:rPr>
      </w:pPr>
      <w:bookmarkStart w:id="208" w:name="_Toc115664534"/>
      <w:bookmarkStart w:id="209" w:name="_Toc177267021"/>
      <w:bookmarkStart w:id="210" w:name="_Toc115663319"/>
      <w:bookmarkStart w:id="211" w:name="_Toc177268207"/>
      <w:bookmarkStart w:id="212" w:name="_Toc115663645"/>
      <w:r>
        <w:rPr>
          <w:rFonts w:ascii="Times New Roman" w:hAnsi="Times New Roman"/>
          <w:sz w:val="24"/>
          <w:szCs w:val="24"/>
        </w:rPr>
        <w:t>根据尾矿库的实际情况尾矿坝设计方案为：在现有尾砂坝外新建四面围土石混合坝，一次性筑坝，尾矿坝顶标高719.0m，尾矿坝高8~10.0m，坝长约480m。尾矿坝顶宽3.5m，外坡比1.75，内坡比1:1.5。尾矿坝内坡设置反滤层，结构为400g/</w:t>
      </w:r>
      <w:r>
        <w:rPr>
          <w:rFonts w:hint="eastAsia" w:ascii="Times New Roman" w:hAnsi="Times New Roman"/>
          <w:sz w:val="24"/>
          <w:szCs w:val="24"/>
        </w:rPr>
        <w:t>m</w:t>
      </w:r>
      <w:r>
        <w:rPr>
          <w:rFonts w:hint="eastAsia" w:ascii="Times New Roman" w:hAnsi="Times New Roman"/>
          <w:sz w:val="24"/>
          <w:szCs w:val="24"/>
          <w:vertAlign w:val="superscript"/>
        </w:rPr>
        <w:t>2</w:t>
      </w:r>
      <w:r>
        <w:rPr>
          <w:rFonts w:ascii="Times New Roman" w:hAnsi="Times New Roman"/>
          <w:sz w:val="24"/>
          <w:szCs w:val="24"/>
        </w:rPr>
        <w:t>土工布，前后设300mm厚砂卵石保护层，内外坡铺设300mm厚块石护坡。</w:t>
      </w:r>
      <w:r>
        <w:rPr>
          <w:rFonts w:hint="eastAsia" w:ascii="Times New Roman" w:hAnsi="Times New Roman"/>
          <w:sz w:val="24"/>
          <w:szCs w:val="24"/>
          <w:u w:val="single"/>
        </w:rPr>
        <w:t>主坝所用原料一部分来自厂区内部尾渣另一部分来自企业外购砂石料。</w:t>
      </w:r>
    </w:p>
    <w:bookmarkEnd w:id="208"/>
    <w:bookmarkEnd w:id="209"/>
    <w:bookmarkEnd w:id="210"/>
    <w:bookmarkEnd w:id="211"/>
    <w:bookmarkEnd w:id="212"/>
    <w:p>
      <w:pPr>
        <w:spacing w:beforeLines="50" w:line="360" w:lineRule="auto"/>
        <w:ind w:firstLine="480" w:firstLineChars="200"/>
        <w:jc w:val="left"/>
        <w:outlineLvl w:val="0"/>
        <w:rPr>
          <w:rFonts w:ascii="Times New Roman" w:hAnsi="Times New Roman"/>
          <w:sz w:val="24"/>
          <w:szCs w:val="24"/>
        </w:rPr>
      </w:pPr>
      <w:r>
        <w:rPr>
          <w:rFonts w:ascii="Times New Roman" w:hAnsi="Times New Roman"/>
          <w:sz w:val="24"/>
          <w:szCs w:val="24"/>
        </w:rPr>
        <w:t>3、尾矿排放及堆积</w:t>
      </w:r>
    </w:p>
    <w:p>
      <w:pPr>
        <w:spacing w:line="360" w:lineRule="auto"/>
        <w:ind w:firstLine="480" w:firstLineChars="200"/>
        <w:rPr>
          <w:rFonts w:ascii="Times New Roman" w:hAnsi="Times New Roman"/>
          <w:bCs/>
          <w:kern w:val="0"/>
          <w:sz w:val="24"/>
          <w:szCs w:val="24"/>
        </w:rPr>
      </w:pPr>
      <w:r>
        <w:rPr>
          <w:rFonts w:ascii="Times New Roman" w:hAnsi="Times New Roman"/>
          <w:bCs/>
          <w:kern w:val="0"/>
          <w:sz w:val="24"/>
          <w:szCs w:val="24"/>
        </w:rPr>
        <w:t>现状尾矿库内尾砂标高713.0m，由于尾矿库排尾方式由湿排转为干排。干排前先将库内水排干后对尾矿库内未固结的尾泥处进行抛毛石碾压加固处理，防止干排后尾泥失稳影响堆积坝稳定。排矿从尾矿库北侧向南侧以1:100的坡度逐层摊平碾压。尾砂摊平至尾矿库南侧，底层留有18m区域为预留洪水汇集区，按1:3.0坡度逐层上升，雨洪水汇集至此通过尾矿坝下埋设的钢砼排水圆管排出库外。</w:t>
      </w:r>
    </w:p>
    <w:p>
      <w:pPr>
        <w:spacing w:line="360" w:lineRule="auto"/>
        <w:ind w:firstLine="480" w:firstLineChars="200"/>
        <w:rPr>
          <w:rFonts w:ascii="Times New Roman" w:hAnsi="Times New Roman"/>
          <w:bCs/>
          <w:kern w:val="0"/>
          <w:sz w:val="24"/>
          <w:szCs w:val="24"/>
        </w:rPr>
      </w:pPr>
      <w:r>
        <w:rPr>
          <w:rFonts w:ascii="Times New Roman" w:hAnsi="Times New Roman"/>
          <w:bCs/>
          <w:kern w:val="0"/>
          <w:sz w:val="24"/>
          <w:szCs w:val="24"/>
        </w:rPr>
        <w:t>为了保证尾矿库的安全，生产时在旱季采用胶带输送机或汽车运输配合推土机及铲运机分层铺筑，分层碾压，从尾矿库北侧向南侧推进，以1%的坡度坡向南侧。安全有序的实施干尾砂堆放工作。汛期来临前筑好不少于40m宽，高2m子坝，形成的库容迎接雨季尾矿堆存及防洪。雨季坝上尾砂及时摊平碾压，以免造成坝面高低不平甚至冲沟现象。尾矿排放、卸料、晾晒及碾压后，进行下一层铺设。尾矿压滤后卸料宽度15～20m，层厚控制在碾压后0.5 m以内。卸料区卸料完成后进入晾晒阶段，即为晾晒区。晾晒物料含水率降低至15%以下时，采用湿地推土机碾压，碾压控制干容重达到1.5以上即可进行下一轮。为保证库内有充足的防洪库容，雨季排矿自北向南在保证向库内1%坡度的前提下，齐头并进的向南堆积，堆积坝面可延伸至南侧排水管进水口附近。尾矿在汛期堆积过程中，应派专人守护，降雨期允许洪水位上升至子坝处，安全超高0.4 m。汛后应及时排除库内积水，保持库内干燥。尾矿排放及堆积胶带输送机配合1台湿地推土机进行。</w:t>
      </w:r>
    </w:p>
    <w:p>
      <w:pPr>
        <w:spacing w:line="360" w:lineRule="auto"/>
        <w:ind w:firstLine="480" w:firstLineChars="200"/>
        <w:rPr>
          <w:rFonts w:ascii="Times New Roman" w:hAnsi="Times New Roman"/>
          <w:bCs/>
          <w:kern w:val="0"/>
          <w:sz w:val="24"/>
          <w:szCs w:val="24"/>
          <w:u w:val="single"/>
        </w:rPr>
      </w:pPr>
      <w:r>
        <w:rPr>
          <w:rFonts w:ascii="Times New Roman" w:hAnsi="Times New Roman"/>
          <w:bCs/>
          <w:kern w:val="0"/>
          <w:sz w:val="24"/>
          <w:szCs w:val="24"/>
          <w:u w:val="single"/>
        </w:rPr>
        <w:t>尾矿库内尾砂堆至库内排水管附近预留距排水管进水口10m区域汇水泄洪，尾砂坡度控制在1:3.0坡向排水管。</w:t>
      </w:r>
    </w:p>
    <w:bookmarkEnd w:id="207"/>
    <w:p>
      <w:pPr>
        <w:spacing w:line="360" w:lineRule="auto"/>
        <w:ind w:firstLine="480" w:firstLineChars="200"/>
        <w:jc w:val="left"/>
        <w:outlineLvl w:val="0"/>
        <w:rPr>
          <w:rFonts w:ascii="Times New Roman" w:hAnsi="Times New Roman"/>
          <w:sz w:val="24"/>
          <w:szCs w:val="24"/>
          <w:u w:val="single"/>
        </w:rPr>
      </w:pPr>
      <w:r>
        <w:rPr>
          <w:rFonts w:ascii="Times New Roman" w:hAnsi="Times New Roman"/>
          <w:sz w:val="24"/>
          <w:szCs w:val="24"/>
          <w:u w:val="single"/>
        </w:rPr>
        <w:t>4、防洪标准</w:t>
      </w:r>
    </w:p>
    <w:p>
      <w:pPr>
        <w:spacing w:line="360" w:lineRule="auto"/>
        <w:ind w:firstLine="480" w:firstLineChars="200"/>
        <w:rPr>
          <w:u w:val="single"/>
        </w:rPr>
      </w:pPr>
      <w:r>
        <w:rPr>
          <w:rFonts w:ascii="Times New Roman" w:hAnsi="Times New Roman"/>
          <w:sz w:val="24"/>
          <w:szCs w:val="24"/>
          <w:u w:val="single"/>
        </w:rPr>
        <w:t>根据《尾矿设施设计规范》（GB50863-2013）规定，尾矿库的等别由尾矿库总库容、尾矿坝总堆高确定。该尾矿库总库容11.40×10</w:t>
      </w:r>
      <w:r>
        <w:rPr>
          <w:rFonts w:ascii="Times New Roman" w:hAnsi="Times New Roman"/>
          <w:sz w:val="24"/>
          <w:szCs w:val="24"/>
          <w:u w:val="single"/>
          <w:vertAlign w:val="superscript"/>
        </w:rPr>
        <w:t>4</w:t>
      </w:r>
      <w:r>
        <w:rPr>
          <w:rFonts w:ascii="Times New Roman" w:hAnsi="Times New Roman"/>
          <w:sz w:val="24"/>
          <w:szCs w:val="24"/>
          <w:u w:val="single"/>
        </w:rPr>
        <w:t>m</w:t>
      </w:r>
      <w:r>
        <w:rPr>
          <w:rFonts w:ascii="Times New Roman" w:hAnsi="Times New Roman"/>
          <w:sz w:val="24"/>
          <w:szCs w:val="24"/>
          <w:u w:val="single"/>
          <w:vertAlign w:val="superscript"/>
        </w:rPr>
        <w:t>3</w:t>
      </w:r>
      <w:r>
        <w:rPr>
          <w:rFonts w:ascii="Times New Roman" w:hAnsi="Times New Roman"/>
          <w:sz w:val="24"/>
          <w:szCs w:val="24"/>
          <w:u w:val="single"/>
        </w:rPr>
        <w:t>，尾矿坝总坝高10m。故该尾矿库等级标准为五等库。尾矿库下游2km无村庄，无工矿企业或铁路干线。</w:t>
      </w:r>
    </w:p>
    <w:p>
      <w:pPr>
        <w:spacing w:line="360" w:lineRule="auto"/>
        <w:jc w:val="center"/>
        <w:rPr>
          <w:rFonts w:ascii="Times New Roman" w:hAnsi="Times New Roman"/>
          <w:b/>
          <w:bCs/>
          <w:sz w:val="24"/>
          <w:szCs w:val="24"/>
          <w:u w:val="single"/>
        </w:rPr>
      </w:pPr>
      <w:r>
        <w:rPr>
          <w:rFonts w:ascii="Times New Roman" w:hAnsi="Times New Roman"/>
          <w:b/>
          <w:bCs/>
          <w:sz w:val="24"/>
          <w:szCs w:val="24"/>
          <w:u w:val="single"/>
        </w:rPr>
        <w:t xml:space="preserve"> 表3-19   尾矿库等别表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84"/>
        <w:gridCol w:w="2941"/>
        <w:gridCol w:w="28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4" w:type="dxa"/>
            <w:vAlign w:val="center"/>
          </w:tcPr>
          <w:p>
            <w:pPr>
              <w:jc w:val="center"/>
              <w:rPr>
                <w:rFonts w:ascii="Times New Roman" w:hAnsi="Times New Roman"/>
                <w:szCs w:val="21"/>
                <w:u w:val="single"/>
              </w:rPr>
            </w:pPr>
            <w:r>
              <w:rPr>
                <w:rFonts w:ascii="Times New Roman" w:hAnsi="Times New Roman"/>
                <w:szCs w:val="21"/>
                <w:u w:val="single"/>
              </w:rPr>
              <w:t>等别</w:t>
            </w:r>
          </w:p>
        </w:tc>
        <w:tc>
          <w:tcPr>
            <w:tcW w:w="2941" w:type="dxa"/>
            <w:vAlign w:val="center"/>
          </w:tcPr>
          <w:p>
            <w:pPr>
              <w:jc w:val="center"/>
              <w:rPr>
                <w:rFonts w:ascii="Times New Roman" w:hAnsi="Times New Roman"/>
                <w:szCs w:val="21"/>
                <w:u w:val="single"/>
              </w:rPr>
            </w:pPr>
            <w:r>
              <w:rPr>
                <w:rFonts w:ascii="Times New Roman" w:hAnsi="Times New Roman"/>
                <w:szCs w:val="21"/>
                <w:u w:val="single"/>
              </w:rPr>
              <w:t>全库容V×10</w:t>
            </w:r>
            <w:r>
              <w:rPr>
                <w:rFonts w:ascii="Times New Roman" w:hAnsi="Times New Roman"/>
                <w:szCs w:val="21"/>
                <w:u w:val="single"/>
                <w:vertAlign w:val="superscript"/>
              </w:rPr>
              <w:t>4</w:t>
            </w:r>
            <w:r>
              <w:rPr>
                <w:rFonts w:ascii="Times New Roman" w:hAnsi="Times New Roman"/>
                <w:szCs w:val="21"/>
                <w:u w:val="single"/>
              </w:rPr>
              <w:t>m</w:t>
            </w:r>
            <w:r>
              <w:rPr>
                <w:rFonts w:ascii="Times New Roman" w:hAnsi="Times New Roman"/>
                <w:szCs w:val="21"/>
                <w:u w:val="single"/>
                <w:vertAlign w:val="superscript"/>
              </w:rPr>
              <w:t>3</w:t>
            </w:r>
          </w:p>
        </w:tc>
        <w:tc>
          <w:tcPr>
            <w:tcW w:w="2897" w:type="dxa"/>
            <w:vAlign w:val="center"/>
          </w:tcPr>
          <w:p>
            <w:pPr>
              <w:jc w:val="center"/>
              <w:rPr>
                <w:rFonts w:ascii="Times New Roman" w:hAnsi="Times New Roman"/>
                <w:szCs w:val="21"/>
                <w:u w:val="single"/>
              </w:rPr>
            </w:pPr>
            <w:r>
              <w:rPr>
                <w:rFonts w:ascii="Times New Roman" w:hAnsi="Times New Roman"/>
                <w:szCs w:val="21"/>
                <w:u w:val="single"/>
              </w:rPr>
              <w:t>坝高Hm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4" w:type="dxa"/>
            <w:vAlign w:val="center"/>
          </w:tcPr>
          <w:p>
            <w:pPr>
              <w:jc w:val="center"/>
              <w:rPr>
                <w:rFonts w:ascii="Times New Roman" w:hAnsi="Times New Roman"/>
                <w:szCs w:val="21"/>
                <w:u w:val="single"/>
              </w:rPr>
            </w:pPr>
            <w:r>
              <w:rPr>
                <w:rFonts w:ascii="Times New Roman" w:hAnsi="Times New Roman"/>
                <w:szCs w:val="21"/>
                <w:u w:val="single"/>
              </w:rPr>
              <w:t>四</w:t>
            </w:r>
          </w:p>
        </w:tc>
        <w:tc>
          <w:tcPr>
            <w:tcW w:w="2941" w:type="dxa"/>
            <w:vAlign w:val="center"/>
          </w:tcPr>
          <w:p>
            <w:pPr>
              <w:jc w:val="center"/>
              <w:rPr>
                <w:rFonts w:ascii="Times New Roman" w:hAnsi="Times New Roman"/>
                <w:szCs w:val="21"/>
                <w:u w:val="single"/>
              </w:rPr>
            </w:pPr>
            <w:r>
              <w:rPr>
                <w:rFonts w:ascii="Times New Roman" w:hAnsi="Times New Roman"/>
                <w:szCs w:val="21"/>
                <w:u w:val="single"/>
              </w:rPr>
              <w:t>100≤V＜1000</w:t>
            </w:r>
          </w:p>
        </w:tc>
        <w:tc>
          <w:tcPr>
            <w:tcW w:w="2897" w:type="dxa"/>
            <w:vAlign w:val="center"/>
          </w:tcPr>
          <w:p>
            <w:pPr>
              <w:jc w:val="center"/>
              <w:rPr>
                <w:rFonts w:ascii="Times New Roman" w:hAnsi="Times New Roman"/>
                <w:szCs w:val="21"/>
                <w:u w:val="single"/>
              </w:rPr>
            </w:pPr>
            <w:r>
              <w:rPr>
                <w:rFonts w:ascii="Times New Roman" w:hAnsi="Times New Roman"/>
                <w:szCs w:val="21"/>
                <w:u w:val="single"/>
              </w:rPr>
              <w:t>30≤H＜60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4" w:type="dxa"/>
            <w:vAlign w:val="center"/>
          </w:tcPr>
          <w:p>
            <w:pPr>
              <w:jc w:val="center"/>
              <w:rPr>
                <w:rFonts w:ascii="Times New Roman" w:hAnsi="Times New Roman"/>
                <w:szCs w:val="21"/>
                <w:u w:val="single"/>
              </w:rPr>
            </w:pPr>
            <w:r>
              <w:rPr>
                <w:rFonts w:ascii="Times New Roman" w:hAnsi="Times New Roman"/>
                <w:szCs w:val="21"/>
                <w:u w:val="single"/>
              </w:rPr>
              <w:t>五</w:t>
            </w:r>
          </w:p>
        </w:tc>
        <w:tc>
          <w:tcPr>
            <w:tcW w:w="2941" w:type="dxa"/>
            <w:vAlign w:val="center"/>
          </w:tcPr>
          <w:p>
            <w:pPr>
              <w:jc w:val="center"/>
              <w:rPr>
                <w:rFonts w:ascii="Times New Roman" w:hAnsi="Times New Roman"/>
                <w:szCs w:val="21"/>
                <w:u w:val="single"/>
              </w:rPr>
            </w:pPr>
            <w:r>
              <w:rPr>
                <w:rFonts w:ascii="Times New Roman" w:hAnsi="Times New Roman"/>
                <w:szCs w:val="21"/>
                <w:u w:val="single"/>
              </w:rPr>
              <w:t>V＜100</w:t>
            </w:r>
          </w:p>
        </w:tc>
        <w:tc>
          <w:tcPr>
            <w:tcW w:w="2897" w:type="dxa"/>
            <w:vAlign w:val="center"/>
          </w:tcPr>
          <w:p>
            <w:pPr>
              <w:jc w:val="center"/>
              <w:rPr>
                <w:rFonts w:ascii="Times New Roman" w:hAnsi="Times New Roman"/>
                <w:szCs w:val="21"/>
                <w:u w:val="single"/>
              </w:rPr>
            </w:pPr>
            <w:r>
              <w:rPr>
                <w:rFonts w:ascii="Times New Roman" w:hAnsi="Times New Roman"/>
                <w:szCs w:val="21"/>
                <w:u w:val="single"/>
              </w:rPr>
              <w:t>H＜30</w:t>
            </w:r>
          </w:p>
        </w:tc>
      </w:tr>
    </w:tbl>
    <w:p>
      <w:pPr>
        <w:pStyle w:val="12"/>
        <w:spacing w:line="360" w:lineRule="auto"/>
        <w:ind w:firstLine="560"/>
        <w:rPr>
          <w:rFonts w:ascii="Times New Roman" w:hAnsi="Times New Roman" w:cs="Times New Roman"/>
          <w:sz w:val="24"/>
          <w:szCs w:val="24"/>
          <w:u w:val="single"/>
        </w:rPr>
      </w:pPr>
      <w:r>
        <w:rPr>
          <w:rFonts w:ascii="Times New Roman" w:hAnsi="Times New Roman" w:cs="Times New Roman"/>
          <w:sz w:val="24"/>
          <w:szCs w:val="24"/>
          <w:u w:val="single"/>
        </w:rPr>
        <w:t>《尾矿设施设计规范》GB50863-2013规定，五等尾矿库防洪标准为100年一遇洪水设防。</w:t>
      </w:r>
    </w:p>
    <w:p>
      <w:pPr>
        <w:spacing w:line="360" w:lineRule="auto"/>
        <w:jc w:val="center"/>
        <w:rPr>
          <w:rFonts w:ascii="Times New Roman" w:hAnsi="Times New Roman"/>
          <w:b/>
          <w:bCs/>
          <w:sz w:val="24"/>
          <w:szCs w:val="24"/>
          <w:u w:val="single"/>
        </w:rPr>
      </w:pPr>
      <w:r>
        <w:rPr>
          <w:rFonts w:ascii="Times New Roman" w:hAnsi="Times New Roman"/>
          <w:b/>
          <w:bCs/>
          <w:sz w:val="24"/>
          <w:szCs w:val="24"/>
          <w:u w:val="single"/>
        </w:rPr>
        <w:t>表3-20  尾矿库防洪标准</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519"/>
        <w:gridCol w:w="2403"/>
        <w:gridCol w:w="26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519" w:type="dxa"/>
            <w:vAlign w:val="center"/>
          </w:tcPr>
          <w:p>
            <w:pPr>
              <w:jc w:val="center"/>
              <w:rPr>
                <w:rFonts w:ascii="Times New Roman" w:hAnsi="Times New Roman"/>
                <w:szCs w:val="21"/>
                <w:u w:val="single"/>
              </w:rPr>
            </w:pPr>
            <w:r>
              <w:rPr>
                <w:rFonts w:ascii="Times New Roman" w:hAnsi="Times New Roman"/>
                <w:szCs w:val="21"/>
                <w:u w:val="single"/>
              </w:rPr>
              <w:t>尾矿库等别</w:t>
            </w:r>
          </w:p>
        </w:tc>
        <w:tc>
          <w:tcPr>
            <w:tcW w:w="2403" w:type="dxa"/>
            <w:vAlign w:val="center"/>
          </w:tcPr>
          <w:p>
            <w:pPr>
              <w:jc w:val="center"/>
              <w:rPr>
                <w:rFonts w:ascii="Times New Roman" w:hAnsi="Times New Roman"/>
                <w:szCs w:val="21"/>
                <w:u w:val="single"/>
              </w:rPr>
            </w:pPr>
            <w:r>
              <w:rPr>
                <w:rFonts w:ascii="Times New Roman" w:hAnsi="Times New Roman"/>
                <w:szCs w:val="21"/>
                <w:u w:val="single"/>
              </w:rPr>
              <w:t>四</w:t>
            </w:r>
          </w:p>
        </w:tc>
        <w:tc>
          <w:tcPr>
            <w:tcW w:w="2600" w:type="dxa"/>
            <w:vAlign w:val="center"/>
          </w:tcPr>
          <w:p>
            <w:pPr>
              <w:jc w:val="center"/>
              <w:rPr>
                <w:rFonts w:ascii="Times New Roman" w:hAnsi="Times New Roman"/>
                <w:szCs w:val="21"/>
                <w:u w:val="single"/>
              </w:rPr>
            </w:pPr>
            <w:r>
              <w:rPr>
                <w:rFonts w:ascii="Times New Roman" w:hAnsi="Times New Roman"/>
                <w:szCs w:val="21"/>
                <w:u w:val="single"/>
              </w:rPr>
              <w:t>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3519" w:type="dxa"/>
            <w:vAlign w:val="center"/>
          </w:tcPr>
          <w:p>
            <w:pPr>
              <w:jc w:val="center"/>
              <w:rPr>
                <w:rFonts w:ascii="Times New Roman" w:hAnsi="Times New Roman"/>
                <w:szCs w:val="21"/>
                <w:u w:val="single"/>
              </w:rPr>
            </w:pPr>
            <w:r>
              <w:rPr>
                <w:rFonts w:ascii="Times New Roman" w:hAnsi="Times New Roman"/>
                <w:szCs w:val="21"/>
                <w:u w:val="single"/>
              </w:rPr>
              <w:t>洪水重现期（年）</w:t>
            </w:r>
          </w:p>
        </w:tc>
        <w:tc>
          <w:tcPr>
            <w:tcW w:w="2403" w:type="dxa"/>
            <w:vAlign w:val="center"/>
          </w:tcPr>
          <w:p>
            <w:pPr>
              <w:jc w:val="center"/>
              <w:rPr>
                <w:rFonts w:ascii="Times New Roman" w:hAnsi="Times New Roman"/>
                <w:szCs w:val="21"/>
                <w:u w:val="single"/>
              </w:rPr>
            </w:pPr>
            <w:r>
              <w:rPr>
                <w:rFonts w:ascii="Times New Roman" w:hAnsi="Times New Roman"/>
                <w:szCs w:val="21"/>
                <w:u w:val="single"/>
              </w:rPr>
              <w:t>100～200</w:t>
            </w:r>
          </w:p>
        </w:tc>
        <w:tc>
          <w:tcPr>
            <w:tcW w:w="2600" w:type="dxa"/>
            <w:vAlign w:val="center"/>
          </w:tcPr>
          <w:p>
            <w:pPr>
              <w:jc w:val="center"/>
              <w:rPr>
                <w:rFonts w:ascii="Times New Roman" w:hAnsi="Times New Roman"/>
                <w:szCs w:val="21"/>
                <w:u w:val="single"/>
              </w:rPr>
            </w:pPr>
            <w:r>
              <w:rPr>
                <w:rFonts w:ascii="Times New Roman" w:hAnsi="Times New Roman"/>
                <w:szCs w:val="21"/>
                <w:u w:val="single"/>
              </w:rPr>
              <w:t>100</w:t>
            </w:r>
          </w:p>
        </w:tc>
      </w:tr>
    </w:tbl>
    <w:p/>
    <w:p>
      <w:pPr>
        <w:spacing w:line="360" w:lineRule="auto"/>
        <w:ind w:firstLine="480" w:firstLineChars="200"/>
        <w:jc w:val="left"/>
        <w:outlineLvl w:val="0"/>
        <w:rPr>
          <w:rFonts w:ascii="Times New Roman" w:hAnsi="Times New Roman"/>
          <w:sz w:val="24"/>
          <w:szCs w:val="24"/>
          <w:u w:val="single"/>
        </w:rPr>
      </w:pPr>
      <w:r>
        <w:rPr>
          <w:rFonts w:hint="eastAsia" w:ascii="Times New Roman" w:hAnsi="Times New Roman"/>
          <w:sz w:val="24"/>
          <w:szCs w:val="24"/>
          <w:u w:val="single"/>
        </w:rPr>
        <w:t>5、防洪设施</w:t>
      </w:r>
    </w:p>
    <w:p>
      <w:pPr>
        <w:spacing w:line="360" w:lineRule="auto"/>
        <w:ind w:firstLine="480" w:firstLineChars="200"/>
        <w:jc w:val="left"/>
        <w:rPr>
          <w:rFonts w:ascii="Times New Roman" w:hAnsi="Times New Roman"/>
          <w:sz w:val="24"/>
          <w:szCs w:val="24"/>
          <w:u w:val="single"/>
        </w:rPr>
      </w:pPr>
      <w:r>
        <w:rPr>
          <w:rFonts w:ascii="Times New Roman" w:hAnsi="Times New Roman"/>
          <w:sz w:val="24"/>
          <w:szCs w:val="24"/>
          <w:u w:val="single"/>
        </w:rPr>
        <w:t>原尾矿库内无排水设施，采用机械排水。根据《尾矿库设计规范》规定：“排水管或斜槽净高不宜小于1.2m。”因此本次设计在尾矿库西南侧设置钢筋混凝土排水圆管，穿过西南侧坝体将尾矿库内雨洪水排出库外。排水管管径1.2m，管长40m，排水管最小敷设坡度0.1，埋于西南侧坝下。进水口标高715.0m，出水口标高709.75m。</w:t>
      </w:r>
    </w:p>
    <w:p>
      <w:pPr>
        <w:spacing w:line="360" w:lineRule="auto"/>
        <w:ind w:firstLine="480" w:firstLineChars="200"/>
        <w:rPr>
          <w:rFonts w:ascii="Times New Roman" w:hAnsi="Times New Roman"/>
          <w:kern w:val="0"/>
          <w:sz w:val="24"/>
          <w:szCs w:val="24"/>
          <w:u w:val="single"/>
        </w:rPr>
      </w:pPr>
      <w:r>
        <w:rPr>
          <w:rFonts w:ascii="Times New Roman" w:hAnsi="Times New Roman"/>
          <w:kern w:val="0"/>
          <w:sz w:val="24"/>
          <w:szCs w:val="24"/>
          <w:u w:val="single"/>
        </w:rPr>
        <w:t>原尾矿库内无排水设施，采用机械排水。规范规定：“排水管或斜槽净高不宜小于1.2m。”因此本次设计在尾矿库西南侧设置钢筋混凝土排水圆管，穿过西南侧坝体将尾矿库内雨洪水排出库外。</w:t>
      </w:r>
    </w:p>
    <w:p>
      <w:pPr>
        <w:spacing w:line="360" w:lineRule="auto"/>
        <w:ind w:firstLine="480" w:firstLineChars="200"/>
        <w:rPr>
          <w:rFonts w:ascii="Times New Roman" w:hAnsi="Times New Roman"/>
          <w:kern w:val="0"/>
          <w:sz w:val="24"/>
          <w:szCs w:val="24"/>
          <w:u w:val="single"/>
        </w:rPr>
      </w:pPr>
      <w:r>
        <w:rPr>
          <w:rFonts w:ascii="Times New Roman" w:hAnsi="Times New Roman"/>
          <w:kern w:val="0"/>
          <w:sz w:val="24"/>
          <w:szCs w:val="24"/>
          <w:u w:val="single"/>
        </w:rPr>
        <w:t>排水管管径1.2m，管长40m，排水管最小敷设坡度0.1，埋于西南侧坝下。进水口标高715.0m，出水口标高709.75m</w:t>
      </w:r>
    </w:p>
    <w:p>
      <w:pPr>
        <w:spacing w:line="360" w:lineRule="auto"/>
        <w:ind w:firstLine="480" w:firstLineChars="200"/>
        <w:rPr>
          <w:rFonts w:ascii="Times New Roman" w:hAnsi="Times New Roman"/>
          <w:kern w:val="0"/>
          <w:sz w:val="24"/>
          <w:szCs w:val="24"/>
          <w:u w:val="single"/>
        </w:rPr>
      </w:pPr>
      <w:r>
        <w:rPr>
          <w:rFonts w:ascii="Times New Roman" w:hAnsi="Times New Roman"/>
          <w:kern w:val="0"/>
          <w:sz w:val="24"/>
          <w:szCs w:val="24"/>
          <w:u w:val="single"/>
        </w:rPr>
        <w:t>排水管泄流能力复核，按明渠均匀流计算：</w:t>
      </w:r>
    </w:p>
    <w:p>
      <w:pPr>
        <w:spacing w:line="360" w:lineRule="auto"/>
        <w:ind w:firstLine="480" w:firstLineChars="200"/>
        <w:rPr>
          <w:rFonts w:ascii="Times New Roman" w:hAnsi="Times New Roman"/>
          <w:kern w:val="0"/>
          <w:sz w:val="24"/>
          <w:szCs w:val="24"/>
          <w:u w:val="single"/>
        </w:rPr>
      </w:pPr>
      <w:r>
        <w:rPr>
          <w:rFonts w:ascii="Times New Roman" w:hAnsi="Times New Roman"/>
          <w:kern w:val="0"/>
          <w:sz w:val="24"/>
          <w:szCs w:val="24"/>
          <w:u w:val="single"/>
        </w:rPr>
        <w:t xml:space="preserve">    泄流量计算公式：Q=CA（Ri）</w:t>
      </w:r>
      <w:r>
        <w:rPr>
          <w:rFonts w:ascii="Times New Roman" w:hAnsi="Times New Roman"/>
          <w:kern w:val="0"/>
          <w:sz w:val="24"/>
          <w:szCs w:val="24"/>
          <w:u w:val="single"/>
          <w:vertAlign w:val="superscript"/>
        </w:rPr>
        <w:t>0.5</w:t>
      </w:r>
    </w:p>
    <w:p>
      <w:pPr>
        <w:spacing w:line="360" w:lineRule="auto"/>
        <w:ind w:firstLine="480" w:firstLineChars="200"/>
        <w:rPr>
          <w:rFonts w:ascii="Times New Roman" w:hAnsi="Times New Roman"/>
          <w:kern w:val="0"/>
          <w:sz w:val="24"/>
          <w:szCs w:val="24"/>
          <w:u w:val="single"/>
        </w:rPr>
      </w:pPr>
      <w:r>
        <w:rPr>
          <w:rFonts w:ascii="Times New Roman" w:hAnsi="Times New Roman"/>
          <w:kern w:val="0"/>
          <w:sz w:val="24"/>
          <w:szCs w:val="24"/>
          <w:u w:val="single"/>
        </w:rPr>
        <w:t xml:space="preserve">    计算参数：C=60.51，</w:t>
      </w:r>
    </w:p>
    <w:p>
      <w:pPr>
        <w:spacing w:line="360" w:lineRule="auto"/>
        <w:ind w:firstLine="2160" w:firstLineChars="900"/>
        <w:rPr>
          <w:rFonts w:ascii="Times New Roman" w:hAnsi="Times New Roman"/>
          <w:kern w:val="0"/>
          <w:sz w:val="24"/>
          <w:szCs w:val="24"/>
          <w:u w:val="single"/>
        </w:rPr>
      </w:pPr>
      <w:r>
        <w:rPr>
          <w:rFonts w:ascii="Times New Roman" w:hAnsi="Times New Roman"/>
          <w:kern w:val="0"/>
          <w:sz w:val="24"/>
          <w:szCs w:val="24"/>
          <w:u w:val="single"/>
        </w:rPr>
        <w:t>A=0.801，</w:t>
      </w:r>
    </w:p>
    <w:p>
      <w:pPr>
        <w:spacing w:line="360" w:lineRule="auto"/>
        <w:ind w:firstLine="2160" w:firstLineChars="900"/>
        <w:rPr>
          <w:rFonts w:ascii="Times New Roman" w:hAnsi="Times New Roman"/>
          <w:kern w:val="0"/>
          <w:sz w:val="24"/>
          <w:szCs w:val="24"/>
          <w:u w:val="single"/>
        </w:rPr>
      </w:pPr>
      <w:r>
        <w:rPr>
          <w:rFonts w:ascii="Times New Roman" w:hAnsi="Times New Roman"/>
          <w:kern w:val="0"/>
          <w:sz w:val="24"/>
          <w:szCs w:val="24"/>
          <w:u w:val="single"/>
        </w:rPr>
        <w:t>R=0.349，</w:t>
      </w:r>
    </w:p>
    <w:p>
      <w:pPr>
        <w:spacing w:line="360" w:lineRule="auto"/>
        <w:ind w:firstLine="2160" w:firstLineChars="900"/>
        <w:rPr>
          <w:rFonts w:ascii="Times New Roman" w:hAnsi="Times New Roman"/>
          <w:kern w:val="0"/>
          <w:sz w:val="24"/>
          <w:szCs w:val="24"/>
          <w:u w:val="single"/>
        </w:rPr>
      </w:pPr>
      <w:r>
        <w:rPr>
          <w:rFonts w:ascii="Times New Roman" w:hAnsi="Times New Roman"/>
          <w:kern w:val="0"/>
          <w:sz w:val="24"/>
          <w:szCs w:val="24"/>
          <w:u w:val="single"/>
        </w:rPr>
        <w:t>i=0.1，</w:t>
      </w:r>
    </w:p>
    <w:p>
      <w:pPr>
        <w:spacing w:line="360" w:lineRule="auto"/>
        <w:ind w:firstLine="2160" w:firstLineChars="900"/>
        <w:rPr>
          <w:rFonts w:ascii="Times New Roman" w:hAnsi="Times New Roman"/>
          <w:kern w:val="0"/>
          <w:sz w:val="24"/>
          <w:szCs w:val="24"/>
          <w:u w:val="single"/>
        </w:rPr>
      </w:pPr>
      <w:r>
        <w:rPr>
          <w:rFonts w:ascii="Times New Roman" w:hAnsi="Times New Roman"/>
          <w:kern w:val="0"/>
          <w:sz w:val="24"/>
          <w:szCs w:val="24"/>
          <w:u w:val="single"/>
        </w:rPr>
        <w:t>n=0.014</w:t>
      </w:r>
    </w:p>
    <w:p>
      <w:pPr>
        <w:spacing w:line="360" w:lineRule="auto"/>
        <w:ind w:firstLine="480" w:firstLineChars="200"/>
        <w:rPr>
          <w:rFonts w:ascii="Times New Roman" w:hAnsi="Times New Roman"/>
          <w:sz w:val="24"/>
          <w:szCs w:val="24"/>
          <w:u w:val="single"/>
        </w:rPr>
      </w:pPr>
      <w:r>
        <w:rPr>
          <w:rFonts w:ascii="Times New Roman" w:hAnsi="Times New Roman"/>
          <w:kern w:val="0"/>
          <w:sz w:val="24"/>
          <w:szCs w:val="24"/>
          <w:u w:val="single"/>
        </w:rPr>
        <w:t xml:space="preserve">    计算结果：Q=</w:t>
      </w:r>
      <w:r>
        <w:rPr>
          <w:rFonts w:ascii="Times New Roman" w:hAnsi="Times New Roman"/>
          <w:sz w:val="24"/>
          <w:szCs w:val="24"/>
          <w:u w:val="single"/>
        </w:rPr>
        <w:t>9.05m</w:t>
      </w:r>
      <w:r>
        <w:rPr>
          <w:rFonts w:ascii="Times New Roman" w:hAnsi="Times New Roman"/>
          <w:sz w:val="24"/>
          <w:szCs w:val="24"/>
          <w:u w:val="single"/>
          <w:vertAlign w:val="superscript"/>
        </w:rPr>
        <w:t>3</w:t>
      </w:r>
      <w:r>
        <w:rPr>
          <w:rFonts w:ascii="Times New Roman" w:hAnsi="Times New Roman"/>
          <w:sz w:val="24"/>
          <w:szCs w:val="24"/>
          <w:u w:val="single"/>
        </w:rPr>
        <w:t>/s &gt; 0.33m</w:t>
      </w:r>
      <w:r>
        <w:rPr>
          <w:rFonts w:ascii="Times New Roman" w:hAnsi="Times New Roman"/>
          <w:sz w:val="24"/>
          <w:szCs w:val="24"/>
          <w:u w:val="single"/>
          <w:vertAlign w:val="superscript"/>
        </w:rPr>
        <w:t>3</w:t>
      </w:r>
      <w:r>
        <w:rPr>
          <w:rFonts w:ascii="Times New Roman" w:hAnsi="Times New Roman"/>
          <w:sz w:val="24"/>
          <w:szCs w:val="24"/>
          <w:u w:val="single"/>
        </w:rPr>
        <w:t>/s，</w:t>
      </w:r>
    </w:p>
    <w:p>
      <w:pPr>
        <w:pStyle w:val="52"/>
        <w:spacing w:line="360" w:lineRule="auto"/>
        <w:ind w:firstLine="480"/>
        <w:rPr>
          <w:rFonts w:ascii="Times New Roman" w:hAnsi="Times New Roman"/>
          <w:sz w:val="24"/>
          <w:szCs w:val="24"/>
          <w:u w:val="single"/>
        </w:rPr>
      </w:pPr>
      <w:r>
        <w:rPr>
          <w:rFonts w:ascii="Times New Roman" w:hAnsi="Times New Roman" w:cs="Times New Roman"/>
          <w:color w:val="auto"/>
          <w:sz w:val="24"/>
          <w:szCs w:val="24"/>
          <w:u w:val="single"/>
        </w:rPr>
        <w:t>则尾矿库内排水管泄流量大于库内一次洪水洪峰流量，排水管满足泄流要求。</w:t>
      </w:r>
    </w:p>
    <w:p>
      <w:pPr>
        <w:spacing w:line="360" w:lineRule="auto"/>
        <w:ind w:firstLine="480" w:firstLineChars="200"/>
        <w:jc w:val="left"/>
        <w:outlineLvl w:val="0"/>
        <w:rPr>
          <w:rFonts w:ascii="Times New Roman" w:hAnsi="Times New Roman"/>
          <w:sz w:val="24"/>
          <w:szCs w:val="24"/>
          <w:u w:val="single"/>
        </w:rPr>
      </w:pPr>
      <w:r>
        <w:rPr>
          <w:rFonts w:hint="eastAsia" w:ascii="Times New Roman" w:hAnsi="Times New Roman"/>
          <w:sz w:val="24"/>
          <w:szCs w:val="24"/>
          <w:u w:val="single"/>
        </w:rPr>
        <w:t>6、排渗设施</w:t>
      </w:r>
    </w:p>
    <w:p>
      <w:pPr>
        <w:spacing w:line="360" w:lineRule="auto"/>
        <w:ind w:firstLine="480" w:firstLineChars="200"/>
        <w:jc w:val="left"/>
        <w:rPr>
          <w:rFonts w:ascii="Times New Roman" w:hAnsi="Times New Roman"/>
          <w:sz w:val="24"/>
          <w:szCs w:val="24"/>
          <w:u w:val="single"/>
        </w:rPr>
      </w:pPr>
      <w:r>
        <w:rPr>
          <w:rFonts w:hint="eastAsia" w:ascii="Times New Roman" w:hAnsi="Times New Roman"/>
          <w:sz w:val="24"/>
          <w:szCs w:val="24"/>
          <w:u w:val="single"/>
        </w:rPr>
        <w:t>尾矿库内原排尾方式采用湿排，现设计排尾由湿排转为干排。干排前先将库内水排干后对尾矿库尾尾泥处进行抛毛石碾压加固处理，防止干排后尾泥失稳影响堆积坝稳定。尾矿堆积坝采用干排碾压继续堆存，因此不设排渗设施。</w:t>
      </w:r>
    </w:p>
    <w:p>
      <w:pPr>
        <w:spacing w:line="360" w:lineRule="auto"/>
        <w:ind w:firstLine="480" w:firstLineChars="200"/>
        <w:jc w:val="left"/>
        <w:outlineLvl w:val="0"/>
        <w:rPr>
          <w:rFonts w:ascii="Times New Roman" w:hAnsi="Times New Roman"/>
          <w:sz w:val="24"/>
          <w:szCs w:val="24"/>
        </w:rPr>
      </w:pPr>
      <w:r>
        <w:rPr>
          <w:rFonts w:hint="eastAsia" w:ascii="Times New Roman" w:hAnsi="Times New Roman"/>
          <w:sz w:val="24"/>
          <w:szCs w:val="24"/>
        </w:rPr>
        <w:t>7、尾矿输送</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尾矿浆通过压滤机压滤后，经分运胶带运输机运至主胶带运输机，主胶带运输机将干尾砂运至尾矿库内，推土机摊平分层碾压。皮带机总长45m，分为两段，分运皮带15m，主运皮带30m。</w:t>
      </w:r>
    </w:p>
    <w:p>
      <w:pPr>
        <w:spacing w:line="360" w:lineRule="auto"/>
        <w:ind w:firstLine="480" w:firstLineChars="200"/>
        <w:jc w:val="left"/>
        <w:outlineLvl w:val="0"/>
        <w:rPr>
          <w:rFonts w:ascii="Times New Roman" w:hAnsi="Times New Roman"/>
          <w:sz w:val="24"/>
          <w:szCs w:val="24"/>
        </w:rPr>
      </w:pPr>
      <w:r>
        <w:rPr>
          <w:rFonts w:hint="eastAsia" w:ascii="Times New Roman" w:hAnsi="Times New Roman"/>
          <w:sz w:val="24"/>
          <w:szCs w:val="24"/>
        </w:rPr>
        <w:t>8、尾矿坝位移监测设施</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由于该尾矿库为平地型，尾矿坝为四面筑坝，尾矿坝位移观测点设置在尾矿坝顶。在尾矿坝顶标高719.0m设置位移观测设施，坝上轴线相应拐点处，通过各点互相观察相对位置。</w:t>
      </w:r>
    </w:p>
    <w:p>
      <w:pPr>
        <w:spacing w:line="360" w:lineRule="auto"/>
        <w:ind w:firstLine="480" w:firstLineChars="200"/>
        <w:jc w:val="left"/>
        <w:outlineLvl w:val="0"/>
        <w:rPr>
          <w:rFonts w:ascii="Times New Roman" w:hAnsi="Times New Roman"/>
          <w:sz w:val="24"/>
          <w:szCs w:val="24"/>
        </w:rPr>
      </w:pPr>
      <w:r>
        <w:rPr>
          <w:rFonts w:ascii="Times New Roman" w:hAnsi="Times New Roman"/>
          <w:sz w:val="24"/>
          <w:szCs w:val="24"/>
        </w:rPr>
        <w:t>9、地质灾害及雪崩防护设施</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尾矿库周边内森林覆盖率高，山体坡度25-45°，岩石埋藏浅，且该区域山体岩石为花岗岩，强度高、稳定性好、无破碎带，无滑坡、泥石流、雪崩、采空区等不良地质现象；尾矿库位于周围山体所围处的相对平整区域，尾矿库为平地型，占地面积较小，受周围山体影响较小。因此未设置专门的防护措施，但是在正常生产过程中应注意观察周围山体及坝体是否有位移情况，提前预警，防止意外发生。</w:t>
      </w:r>
    </w:p>
    <w:p>
      <w:pPr>
        <w:pStyle w:val="2"/>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10、厂区布局合理性分析</w:t>
      </w:r>
    </w:p>
    <w:p>
      <w:pPr>
        <w:pStyle w:val="2"/>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本项目在现有厂区内一处空地仅增设一座压滤间，占地面积150m</w:t>
      </w:r>
      <w:r>
        <w:rPr>
          <w:rFonts w:ascii="Times New Roman" w:hAnsi="Times New Roman"/>
          <w:sz w:val="24"/>
          <w:szCs w:val="24"/>
          <w:u w:val="single"/>
          <w:vertAlign w:val="superscript"/>
        </w:rPr>
        <w:t>2</w:t>
      </w:r>
      <w:r>
        <w:rPr>
          <w:rFonts w:ascii="Times New Roman" w:hAnsi="Times New Roman"/>
          <w:sz w:val="24"/>
          <w:szCs w:val="24"/>
          <w:u w:val="single"/>
        </w:rPr>
        <w:t>，拟安装现有选矿厂西侧，占地面积较小。新增尾矿库仅外扩4m，距各个建筑物距离较远，</w:t>
      </w:r>
      <w:r>
        <w:rPr>
          <w:rFonts w:hint="eastAsia" w:ascii="Times New Roman" w:hAnsi="Times New Roman"/>
          <w:sz w:val="24"/>
          <w:szCs w:val="24"/>
          <w:u w:val="single"/>
        </w:rPr>
        <w:t>布局合理。</w:t>
      </w:r>
    </w:p>
    <w:p>
      <w:pPr>
        <w:pStyle w:val="2"/>
        <w:rPr>
          <w:rFonts w:ascii="Times New Roman" w:hAnsi="Times New Roman"/>
          <w:sz w:val="24"/>
          <w:szCs w:val="24"/>
        </w:rPr>
      </w:pPr>
    </w:p>
    <w:p>
      <w:pPr>
        <w:spacing w:line="360" w:lineRule="auto"/>
        <w:jc w:val="left"/>
        <w:outlineLvl w:val="0"/>
        <w:rPr>
          <w:rFonts w:ascii="Times New Roman" w:hAnsi="Times New Roman"/>
          <w:b/>
          <w:bCs/>
          <w:sz w:val="24"/>
          <w:szCs w:val="24"/>
        </w:rPr>
      </w:pPr>
      <w:r>
        <w:rPr>
          <w:rFonts w:hint="eastAsia" w:ascii="Times New Roman" w:hAnsi="Times New Roman"/>
          <w:b/>
          <w:bCs/>
          <w:sz w:val="24"/>
          <w:szCs w:val="24"/>
        </w:rPr>
        <w:t>3.3.2.2压滤间工程</w:t>
      </w:r>
    </w:p>
    <w:p>
      <w:pPr>
        <w:pStyle w:val="2"/>
        <w:spacing w:line="360" w:lineRule="auto"/>
        <w:ind w:firstLine="480" w:firstLineChars="200"/>
        <w:rPr>
          <w:rFonts w:ascii="Times New Roman" w:hAnsi="Times New Roman"/>
          <w:sz w:val="24"/>
          <w:szCs w:val="24"/>
        </w:rPr>
      </w:pPr>
      <w:r>
        <w:rPr>
          <w:rFonts w:ascii="Times New Roman" w:hAnsi="Times New Roman"/>
          <w:sz w:val="24"/>
          <w:szCs w:val="24"/>
        </w:rPr>
        <w:t>本扩建项目中，原有</w:t>
      </w:r>
      <w:r>
        <w:rPr>
          <w:rFonts w:hint="eastAsia" w:ascii="Times New Roman" w:hAnsi="Times New Roman"/>
          <w:sz w:val="24"/>
          <w:szCs w:val="24"/>
        </w:rPr>
        <w:t>铁矿选矿</w:t>
      </w:r>
      <w:r>
        <w:rPr>
          <w:rFonts w:ascii="Times New Roman" w:hAnsi="Times New Roman"/>
          <w:sz w:val="24"/>
          <w:szCs w:val="24"/>
        </w:rPr>
        <w:t>工艺不变，在</w:t>
      </w:r>
      <w:r>
        <w:rPr>
          <w:rFonts w:hint="eastAsia" w:ascii="Times New Roman" w:hAnsi="Times New Roman"/>
          <w:sz w:val="24"/>
          <w:szCs w:val="24"/>
        </w:rPr>
        <w:t>选矿</w:t>
      </w:r>
      <w:r>
        <w:rPr>
          <w:rFonts w:ascii="Times New Roman" w:hAnsi="Times New Roman"/>
          <w:sz w:val="24"/>
          <w:szCs w:val="24"/>
        </w:rPr>
        <w:t>后产生的固体废物尾</w:t>
      </w:r>
      <w:r>
        <w:rPr>
          <w:rFonts w:hint="eastAsia" w:ascii="Times New Roman" w:hAnsi="Times New Roman"/>
          <w:sz w:val="24"/>
          <w:szCs w:val="24"/>
        </w:rPr>
        <w:t>矿</w:t>
      </w:r>
      <w:r>
        <w:rPr>
          <w:rFonts w:ascii="Times New Roman" w:hAnsi="Times New Roman"/>
          <w:sz w:val="24"/>
          <w:szCs w:val="24"/>
        </w:rPr>
        <w:t>浆水经拟建的压滤设备压滤后堆放至本次扩建的</w:t>
      </w:r>
      <w:r>
        <w:rPr>
          <w:rFonts w:hint="eastAsia" w:ascii="Times New Roman" w:hAnsi="Times New Roman"/>
          <w:sz w:val="24"/>
          <w:szCs w:val="24"/>
        </w:rPr>
        <w:t>尾矿库内做</w:t>
      </w:r>
      <w:r>
        <w:rPr>
          <w:rFonts w:ascii="Times New Roman" w:hAnsi="Times New Roman"/>
          <w:sz w:val="24"/>
          <w:szCs w:val="24"/>
        </w:rPr>
        <w:t>堆存。</w:t>
      </w:r>
    </w:p>
    <w:p>
      <w:pPr>
        <w:pStyle w:val="61"/>
        <w:spacing w:line="360" w:lineRule="auto"/>
        <w:ind w:firstLine="480"/>
        <w:rPr>
          <w:rFonts w:hint="default"/>
        </w:rPr>
      </w:pPr>
      <w:r>
        <w:rPr>
          <w:rFonts w:hint="default" w:ascii="Times New Roman" w:hAnsi="Times New Roman"/>
          <w:color w:val="auto"/>
          <w:kern w:val="0"/>
          <w:sz w:val="24"/>
          <w:szCs w:val="24"/>
        </w:rPr>
        <w:t>本次扩建项目中压滤间总占地面积为150m</w:t>
      </w:r>
      <w:r>
        <w:rPr>
          <w:rFonts w:hint="default" w:ascii="Times New Roman" w:hAnsi="Times New Roman"/>
          <w:color w:val="auto"/>
          <w:kern w:val="0"/>
          <w:sz w:val="24"/>
          <w:szCs w:val="24"/>
          <w:vertAlign w:val="superscript"/>
        </w:rPr>
        <w:t>2</w:t>
      </w:r>
      <w:r>
        <w:rPr>
          <w:rFonts w:hint="default" w:ascii="Times New Roman" w:hAnsi="Times New Roman"/>
          <w:color w:val="auto"/>
          <w:kern w:val="0"/>
          <w:sz w:val="24"/>
          <w:szCs w:val="24"/>
        </w:rPr>
        <w:t>（30</w:t>
      </w:r>
      <w:r>
        <w:rPr>
          <w:rFonts w:hint="default" w:ascii="Times New Roman" w:hAnsi="Times New Roman"/>
          <w:color w:val="auto"/>
          <w:sz w:val="24"/>
          <w:szCs w:val="24"/>
        </w:rPr>
        <w:t>m*5m</w:t>
      </w:r>
      <w:r>
        <w:rPr>
          <w:rFonts w:hint="default" w:ascii="Times New Roman" w:hAnsi="Times New Roman"/>
          <w:color w:val="auto"/>
          <w:kern w:val="0"/>
          <w:sz w:val="24"/>
          <w:szCs w:val="24"/>
        </w:rPr>
        <w:t>）。在现有厂区预留空地选矿车间西侧与其相邻，不新增占地。在压滤间至选矿车间之间新增一条回水管网和输水管网，长度分别为40m，DN1000高密度聚乙烯水管（露天明管），压滤后的通过水泵打回至选矿车间内。并在拟建的压滤车间内新建一座沉淀池（40m</w:t>
      </w:r>
      <w:r>
        <w:rPr>
          <w:rFonts w:hint="default" w:ascii="Times New Roman" w:hAnsi="Times New Roman"/>
          <w:color w:val="auto"/>
          <w:kern w:val="0"/>
          <w:sz w:val="24"/>
          <w:szCs w:val="24"/>
          <w:vertAlign w:val="superscript"/>
        </w:rPr>
        <w:t>3</w:t>
      </w:r>
      <w:r>
        <w:rPr>
          <w:rFonts w:hint="default" w:ascii="Times New Roman" w:hAnsi="Times New Roman"/>
          <w:color w:val="auto"/>
          <w:kern w:val="0"/>
          <w:sz w:val="24"/>
          <w:szCs w:val="24"/>
        </w:rPr>
        <w:t>，2m*5m*4m），对压滤废水暂存沉淀后回用于选矿工序。</w:t>
      </w:r>
      <w:r>
        <w:rPr>
          <w:rFonts w:hint="default" w:ascii="Times New Roman" w:hAnsi="Times New Roman"/>
          <w:color w:val="auto"/>
          <w:sz w:val="24"/>
          <w:szCs w:val="24"/>
        </w:rPr>
        <w:t>根据可研，本次扩建的压滤间规模为干尾矿排放量为</w:t>
      </w:r>
      <w:r>
        <w:rPr>
          <w:rFonts w:ascii="Times New Roman" w:hAnsi="Times New Roman"/>
          <w:color w:val="auto"/>
          <w:sz w:val="24"/>
          <w:szCs w:val="24"/>
        </w:rPr>
        <w:t>500</w:t>
      </w:r>
      <w:r>
        <w:rPr>
          <w:rFonts w:hint="default" w:ascii="Times New Roman" w:hAnsi="Times New Roman"/>
          <w:color w:val="auto"/>
          <w:sz w:val="24"/>
          <w:szCs w:val="24"/>
        </w:rPr>
        <w:t>t/d。压滤后的含水率15%以下，干容重1.5t/m</w:t>
      </w:r>
      <w:r>
        <w:rPr>
          <w:rFonts w:hint="default" w:ascii="Times New Roman" w:hAnsi="Times New Roman"/>
          <w:color w:val="auto"/>
          <w:sz w:val="24"/>
          <w:szCs w:val="24"/>
          <w:vertAlign w:val="superscript"/>
        </w:rPr>
        <w:t>3</w:t>
      </w:r>
      <w:r>
        <w:rPr>
          <w:rFonts w:hint="default" w:ascii="Times New Roman" w:hAnsi="Times New Roman"/>
          <w:color w:val="auto"/>
          <w:sz w:val="24"/>
          <w:szCs w:val="24"/>
        </w:rPr>
        <w:t>。</w:t>
      </w:r>
      <w:r>
        <w:rPr>
          <w:rFonts w:ascii="Times New Roman" w:hAnsi="Times New Roman"/>
          <w:color w:val="auto"/>
          <w:sz w:val="24"/>
          <w:szCs w:val="24"/>
        </w:rPr>
        <w:t>满负荷</w:t>
      </w:r>
      <w:r>
        <w:rPr>
          <w:rFonts w:hint="default" w:ascii="Times New Roman" w:hAnsi="Times New Roman"/>
          <w:color w:val="auto"/>
          <w:sz w:val="24"/>
          <w:szCs w:val="24"/>
        </w:rPr>
        <w:t>年</w:t>
      </w:r>
      <w:r>
        <w:rPr>
          <w:rFonts w:ascii="Times New Roman" w:hAnsi="Times New Roman"/>
          <w:color w:val="auto"/>
          <w:sz w:val="24"/>
          <w:szCs w:val="24"/>
        </w:rPr>
        <w:t>处理</w:t>
      </w:r>
      <w:r>
        <w:rPr>
          <w:rFonts w:hint="default" w:ascii="Times New Roman" w:hAnsi="Times New Roman"/>
          <w:color w:val="auto"/>
          <w:sz w:val="24"/>
          <w:szCs w:val="24"/>
        </w:rPr>
        <w:t>1</w:t>
      </w:r>
      <w:r>
        <w:rPr>
          <w:rFonts w:ascii="Times New Roman" w:hAnsi="Times New Roman"/>
          <w:color w:val="auto"/>
          <w:sz w:val="24"/>
          <w:szCs w:val="24"/>
        </w:rPr>
        <w:t>5</w:t>
      </w:r>
      <w:r>
        <w:rPr>
          <w:rFonts w:hint="default" w:ascii="Times New Roman" w:hAnsi="Times New Roman"/>
          <w:color w:val="auto"/>
          <w:sz w:val="24"/>
          <w:szCs w:val="24"/>
        </w:rPr>
        <w:t>×10</w:t>
      </w:r>
      <w:r>
        <w:rPr>
          <w:rFonts w:hint="default" w:ascii="Times New Roman" w:hAnsi="Times New Roman"/>
          <w:color w:val="auto"/>
          <w:sz w:val="24"/>
          <w:szCs w:val="24"/>
          <w:vertAlign w:val="superscript"/>
        </w:rPr>
        <w:t>4</w:t>
      </w:r>
      <w:r>
        <w:rPr>
          <w:rFonts w:hint="default" w:ascii="Times New Roman" w:hAnsi="Times New Roman"/>
          <w:color w:val="auto"/>
          <w:sz w:val="24"/>
          <w:szCs w:val="24"/>
        </w:rPr>
        <w:t>t其中2×10</w:t>
      </w:r>
      <w:r>
        <w:rPr>
          <w:rFonts w:ascii="Times New Roman" w:hAnsi="Times New Roman"/>
          <w:color w:val="auto"/>
          <w:sz w:val="24"/>
          <w:szCs w:val="24"/>
          <w:vertAlign w:val="superscript"/>
        </w:rPr>
        <w:t>4</w:t>
      </w:r>
      <w:r>
        <w:rPr>
          <w:rFonts w:hint="default" w:ascii="Times New Roman" w:hAnsi="Times New Roman"/>
          <w:color w:val="auto"/>
          <w:sz w:val="24"/>
          <w:szCs w:val="24"/>
        </w:rPr>
        <w:t>t存入尾矿库，其余外卖吉林市智德利商贸有限公司</w:t>
      </w:r>
      <w:r>
        <w:rPr>
          <w:rFonts w:ascii="Times New Roman" w:hAnsi="Times New Roman"/>
          <w:color w:val="auto"/>
          <w:sz w:val="24"/>
          <w:szCs w:val="24"/>
        </w:rPr>
        <w:t>（协议见附件）。</w:t>
      </w:r>
    </w:p>
    <w:p>
      <w:pPr>
        <w:widowControl/>
        <w:adjustRightInd w:val="0"/>
        <w:snapToGrid w:val="0"/>
        <w:spacing w:beforeLines="50" w:line="360" w:lineRule="auto"/>
        <w:outlineLvl w:val="0"/>
        <w:rPr>
          <w:rFonts w:ascii="Times New Roman" w:hAnsi="Times New Roman"/>
          <w:b/>
          <w:sz w:val="24"/>
        </w:rPr>
      </w:pPr>
      <w:bookmarkStart w:id="213" w:name="_Toc911"/>
      <w:bookmarkStart w:id="214" w:name="_Toc17635"/>
      <w:bookmarkStart w:id="215" w:name="_Toc1925"/>
      <w:r>
        <w:rPr>
          <w:rFonts w:hint="eastAsia" w:ascii="Times New Roman" w:hAnsi="Times New Roman"/>
          <w:b/>
          <w:sz w:val="24"/>
        </w:rPr>
        <w:t>3.3.3工艺流程及产排污环节分析</w:t>
      </w:r>
      <w:bookmarkEnd w:id="213"/>
      <w:bookmarkEnd w:id="214"/>
      <w:bookmarkEnd w:id="215"/>
    </w:p>
    <w:p>
      <w:pPr>
        <w:spacing w:line="360" w:lineRule="auto"/>
        <w:ind w:firstLine="480" w:firstLineChars="200"/>
        <w:jc w:val="left"/>
        <w:rPr>
          <w:rFonts w:ascii="Times New Roman" w:hAnsi="Times New Roman"/>
          <w:color w:val="000000"/>
          <w:sz w:val="24"/>
          <w:szCs w:val="24"/>
          <w:u w:val="single"/>
        </w:rPr>
      </w:pPr>
      <w:r>
        <w:rPr>
          <w:rFonts w:hint="eastAsia" w:ascii="Times New Roman" w:hAnsi="Times New Roman"/>
          <w:color w:val="000000"/>
          <w:sz w:val="24"/>
          <w:szCs w:val="24"/>
          <w:u w:val="single"/>
        </w:rPr>
        <w:t>尾矿由浓密机底流排出，不经污水处理，用水泵直接给入压滤车间搅拌槽，然后再打入压滤机内，尾矿浆经压滤后，含水率在15%以下的滤饼渣落在胶带运输机上，通过胶带运输机将滤饼运送至本次扩建的尾矿库内，用推土机推入。</w:t>
      </w:r>
    </w:p>
    <w:p>
      <w:pPr>
        <w:tabs>
          <w:tab w:val="left" w:pos="2880"/>
          <w:tab w:val="left" w:pos="3420"/>
        </w:tabs>
        <w:spacing w:line="360" w:lineRule="auto"/>
        <w:ind w:firstLine="480" w:firstLineChars="200"/>
        <w:rPr>
          <w:rFonts w:ascii="Times New Roman" w:hAnsi="Times New Roman"/>
          <w:color w:val="000000"/>
          <w:sz w:val="24"/>
          <w:szCs w:val="24"/>
          <w:u w:val="single"/>
        </w:rPr>
      </w:pPr>
      <w:r>
        <w:rPr>
          <w:rFonts w:hint="eastAsia" w:ascii="Times New Roman" w:hAnsi="Times New Roman"/>
          <w:color w:val="000000"/>
          <w:sz w:val="24"/>
          <w:szCs w:val="24"/>
          <w:u w:val="single"/>
        </w:rPr>
        <w:t>压滤</w:t>
      </w:r>
      <w:r>
        <w:rPr>
          <w:rFonts w:ascii="Times New Roman" w:hAnsi="Times New Roman"/>
          <w:color w:val="000000"/>
          <w:sz w:val="24"/>
          <w:szCs w:val="24"/>
          <w:u w:val="single"/>
        </w:rPr>
        <w:t>工艺流程见下图。</w:t>
      </w:r>
    </w:p>
    <w:p>
      <w:pPr>
        <w:pStyle w:val="2"/>
        <w:rPr>
          <w:u w:val="single"/>
        </w:rPr>
      </w:pPr>
    </w:p>
    <w:p>
      <w:pPr>
        <w:pStyle w:val="2"/>
        <w:rPr>
          <w:u w:val="single"/>
        </w:rPr>
      </w:pPr>
    </w:p>
    <w:p>
      <w:pPr>
        <w:pStyle w:val="2"/>
        <w:rPr>
          <w:u w:val="single"/>
        </w:rPr>
      </w:pPr>
    </w:p>
    <w:p>
      <w:pPr>
        <w:pStyle w:val="2"/>
        <w:rPr>
          <w:u w:val="single"/>
        </w:rPr>
      </w:pPr>
    </w:p>
    <w:p>
      <w:pPr>
        <w:pStyle w:val="2"/>
        <w:rPr>
          <w:u w:val="single"/>
        </w:rPr>
      </w:pPr>
    </w:p>
    <w:p>
      <w:pPr>
        <w:pStyle w:val="2"/>
        <w:rPr>
          <w:u w:val="single"/>
        </w:rPr>
      </w:pPr>
    </w:p>
    <w:p>
      <w:pPr>
        <w:pStyle w:val="2"/>
        <w:rPr>
          <w:u w:val="single"/>
        </w:rPr>
      </w:pPr>
    </w:p>
    <w:p>
      <w:pPr>
        <w:pStyle w:val="2"/>
        <w:rPr>
          <w:u w:val="single"/>
        </w:rPr>
      </w:pPr>
    </w:p>
    <w:p>
      <w:pPr>
        <w:pStyle w:val="2"/>
        <w:rPr>
          <w:u w:val="single"/>
        </w:rPr>
      </w:pPr>
    </w:p>
    <w:p>
      <w:pPr>
        <w:pStyle w:val="2"/>
        <w:rPr>
          <w:u w:val="single"/>
        </w:rPr>
      </w:pPr>
    </w:p>
    <w:p>
      <w:pPr>
        <w:pStyle w:val="2"/>
        <w:rPr>
          <w:u w:val="single"/>
        </w:rPr>
      </w:pPr>
    </w:p>
    <w:p>
      <w:pPr>
        <w:pStyle w:val="2"/>
        <w:rPr>
          <w:u w:val="single"/>
        </w:rPr>
      </w:pPr>
    </w:p>
    <w:p>
      <w:pPr>
        <w:spacing w:line="360" w:lineRule="auto"/>
        <w:ind w:firstLine="420" w:firstLineChars="200"/>
        <w:jc w:val="center"/>
        <w:rPr>
          <w:rFonts w:ascii="Times New Roman" w:hAnsi="Times New Roman"/>
          <w:b/>
          <w:bCs/>
          <w:color w:val="000000"/>
          <w:sz w:val="24"/>
          <w:szCs w:val="24"/>
          <w:u w:val="single"/>
        </w:rPr>
      </w:pPr>
      <w:r>
        <w:rPr>
          <w:u w:val="single"/>
        </w:rPr>
        <mc:AlternateContent>
          <mc:Choice Requires="wpc">
            <w:drawing>
              <wp:anchor distT="0" distB="0" distL="114300" distR="114300" simplePos="0" relativeHeight="251556864" behindDoc="0" locked="0" layoutInCell="1" allowOverlap="1">
                <wp:simplePos x="0" y="0"/>
                <wp:positionH relativeFrom="column">
                  <wp:posOffset>-95250</wp:posOffset>
                </wp:positionH>
                <wp:positionV relativeFrom="paragraph">
                  <wp:posOffset>27940</wp:posOffset>
                </wp:positionV>
                <wp:extent cx="5274310" cy="3803650"/>
                <wp:effectExtent l="0" t="0" r="0" b="0"/>
                <wp:wrapNone/>
                <wp:docPr id="46" name="画布 4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自选图形 404"/>
                        <wps:cNvSpPr/>
                        <wps:spPr>
                          <a:xfrm>
                            <a:off x="2164665" y="104802"/>
                            <a:ext cx="742799" cy="2784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选矿车间</w:t>
                              </w:r>
                            </w:p>
                          </w:txbxContent>
                        </wps:txbx>
                        <wps:bodyPr upright="1"/>
                      </wps:wsp>
                      <wps:wsp>
                        <wps:cNvPr id="23" name="自选图形 405"/>
                        <wps:cNvSpPr/>
                        <wps:spPr>
                          <a:xfrm>
                            <a:off x="2257698" y="1224643"/>
                            <a:ext cx="738403" cy="27043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压滤车间</w:t>
                              </w:r>
                            </w:p>
                          </w:txbxContent>
                        </wps:txbx>
                        <wps:bodyPr upright="1"/>
                      </wps:wsp>
                      <wps:wsp>
                        <wps:cNvPr id="24" name="自选图形 406"/>
                        <wps:cNvSpPr/>
                        <wps:spPr>
                          <a:xfrm>
                            <a:off x="1571305" y="2448554"/>
                            <a:ext cx="591162" cy="884587"/>
                          </a:xfrm>
                          <a:prstGeom prst="downArrow">
                            <a:avLst>
                              <a:gd name="adj1" fmla="val 50000"/>
                              <a:gd name="adj2" fmla="val 37391"/>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胶带运输机</w:t>
                              </w:r>
                            </w:p>
                          </w:txbxContent>
                        </wps:txbx>
                        <wps:bodyPr vert="eaVert" upright="1"/>
                      </wps:wsp>
                      <wps:wsp>
                        <wps:cNvPr id="25" name="文本框 2"/>
                        <wps:cNvSpPr txBox="1"/>
                        <wps:spPr>
                          <a:xfrm>
                            <a:off x="2727258" y="688908"/>
                            <a:ext cx="609476" cy="305611"/>
                          </a:xfrm>
                          <a:prstGeom prst="rect">
                            <a:avLst/>
                          </a:prstGeom>
                          <a:noFill/>
                          <a:ln>
                            <a:noFill/>
                          </a:ln>
                        </wps:spPr>
                        <wps:txbx>
                          <w:txbxContent>
                            <w:p>
                              <w:pPr>
                                <w:rPr>
                                  <w:szCs w:val="21"/>
                                </w:rPr>
                              </w:pPr>
                              <w:r>
                                <w:rPr>
                                  <w:rFonts w:hint="eastAsia"/>
                                  <w:szCs w:val="21"/>
                                </w:rPr>
                                <w:t>尾矿浆</w:t>
                              </w:r>
                            </w:p>
                          </w:txbxContent>
                        </wps:txbx>
                        <wps:bodyPr upright="1"/>
                      </wps:wsp>
                      <wps:wsp>
                        <wps:cNvPr id="26" name="自选图形 408"/>
                        <wps:cNvCnPr/>
                        <wps:spPr>
                          <a:xfrm>
                            <a:off x="1870182" y="1832201"/>
                            <a:ext cx="1468016" cy="733"/>
                          </a:xfrm>
                          <a:prstGeom prst="straightConnector1">
                            <a:avLst/>
                          </a:prstGeom>
                          <a:ln w="9525" cap="flat" cmpd="sng">
                            <a:solidFill>
                              <a:srgbClr val="000000"/>
                            </a:solidFill>
                            <a:prstDash val="solid"/>
                            <a:headEnd type="none" w="med" len="med"/>
                            <a:tailEnd type="none" w="med" len="med"/>
                          </a:ln>
                        </wps:spPr>
                        <wps:bodyPr/>
                      </wps:wsp>
                      <wps:wsp>
                        <wps:cNvPr id="27" name="自选图形 409"/>
                        <wps:cNvCnPr/>
                        <wps:spPr>
                          <a:xfrm>
                            <a:off x="2626899" y="1495076"/>
                            <a:ext cx="733" cy="378166"/>
                          </a:xfrm>
                          <a:prstGeom prst="straightConnector1">
                            <a:avLst/>
                          </a:prstGeom>
                          <a:ln w="9525" cap="flat" cmpd="sng">
                            <a:solidFill>
                              <a:srgbClr val="000000"/>
                            </a:solidFill>
                            <a:prstDash val="solid"/>
                            <a:headEnd type="none" w="med" len="med"/>
                            <a:tailEnd type="none" w="med" len="med"/>
                          </a:ln>
                        </wps:spPr>
                        <wps:bodyPr/>
                      </wps:wsp>
                      <wps:wsp>
                        <wps:cNvPr id="28" name="自选图形 410"/>
                        <wps:cNvCnPr/>
                        <wps:spPr>
                          <a:xfrm>
                            <a:off x="1870182" y="1832201"/>
                            <a:ext cx="1465" cy="270433"/>
                          </a:xfrm>
                          <a:prstGeom prst="straightConnector1">
                            <a:avLst/>
                          </a:prstGeom>
                          <a:ln w="9525" cap="flat" cmpd="sng">
                            <a:solidFill>
                              <a:srgbClr val="000000"/>
                            </a:solidFill>
                            <a:prstDash val="solid"/>
                            <a:headEnd type="none" w="med" len="med"/>
                            <a:tailEnd type="triangle" w="med" len="med"/>
                          </a:ln>
                        </wps:spPr>
                        <wps:bodyPr/>
                      </wps:wsp>
                      <wps:wsp>
                        <wps:cNvPr id="29" name="自选图形 411"/>
                        <wps:cNvCnPr/>
                        <wps:spPr>
                          <a:xfrm>
                            <a:off x="3336734" y="1832201"/>
                            <a:ext cx="733" cy="270433"/>
                          </a:xfrm>
                          <a:prstGeom prst="straightConnector1">
                            <a:avLst/>
                          </a:prstGeom>
                          <a:ln w="9525" cap="flat" cmpd="sng">
                            <a:solidFill>
                              <a:srgbClr val="000000"/>
                            </a:solidFill>
                            <a:prstDash val="solid"/>
                            <a:headEnd type="none" w="med" len="med"/>
                            <a:tailEnd type="triangle" w="med" len="med"/>
                          </a:ln>
                        </wps:spPr>
                        <wps:bodyPr/>
                      </wps:wsp>
                      <wps:wsp>
                        <wps:cNvPr id="30" name="文本框 2"/>
                        <wps:cNvSpPr txBox="1"/>
                        <wps:spPr>
                          <a:xfrm>
                            <a:off x="2401276" y="1884236"/>
                            <a:ext cx="515710" cy="290221"/>
                          </a:xfrm>
                          <a:prstGeom prst="rect">
                            <a:avLst/>
                          </a:prstGeom>
                          <a:solidFill>
                            <a:srgbClr val="FFFFFF"/>
                          </a:solidFill>
                          <a:ln>
                            <a:noFill/>
                          </a:ln>
                        </wps:spPr>
                        <wps:txbx>
                          <w:txbxContent>
                            <w:p>
                              <w:pPr>
                                <w:rPr>
                                  <w:szCs w:val="21"/>
                                </w:rPr>
                              </w:pPr>
                              <w:r>
                                <w:rPr>
                                  <w:rFonts w:hint="eastAsia"/>
                                  <w:szCs w:val="21"/>
                                </w:rPr>
                                <w:t>压滤</w:t>
                              </w:r>
                            </w:p>
                          </w:txbxContent>
                        </wps:txbx>
                        <wps:bodyPr upright="1"/>
                      </wps:wsp>
                      <wps:wsp>
                        <wps:cNvPr id="31" name="自选图形 413"/>
                        <wps:cNvCnPr/>
                        <wps:spPr>
                          <a:xfrm flipH="1" flipV="1">
                            <a:off x="2916986" y="244782"/>
                            <a:ext cx="753054" cy="2008826"/>
                          </a:xfrm>
                          <a:prstGeom prst="bentConnector3">
                            <a:avLst>
                              <a:gd name="adj1" fmla="val -30269"/>
                            </a:avLst>
                          </a:prstGeom>
                          <a:ln w="9525" cap="flat" cmpd="sng">
                            <a:solidFill>
                              <a:srgbClr val="000000"/>
                            </a:solidFill>
                            <a:prstDash val="solid"/>
                            <a:miter/>
                            <a:headEnd type="none" w="med" len="med"/>
                            <a:tailEnd type="triangle" w="med" len="med"/>
                          </a:ln>
                        </wps:spPr>
                        <wps:bodyPr/>
                      </wps:wsp>
                      <wps:wsp>
                        <wps:cNvPr id="32" name="自选图形 414"/>
                        <wps:cNvSpPr/>
                        <wps:spPr>
                          <a:xfrm>
                            <a:off x="1533945" y="2102634"/>
                            <a:ext cx="673207" cy="300481"/>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szCs w:val="21"/>
                                </w:rPr>
                              </w:pPr>
                              <w:r>
                                <w:rPr>
                                  <w:rFonts w:hint="eastAsia"/>
                                  <w:szCs w:val="21"/>
                                </w:rPr>
                                <w:t>尾矿渣</w:t>
                              </w:r>
                            </w:p>
                          </w:txbxContent>
                        </wps:txbx>
                        <wps:bodyPr upright="1"/>
                      </wps:wsp>
                      <wps:wsp>
                        <wps:cNvPr id="33" name="自选图形 415"/>
                        <wps:cNvSpPr/>
                        <wps:spPr>
                          <a:xfrm>
                            <a:off x="3004159" y="2102634"/>
                            <a:ext cx="665882" cy="30048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压滤液</w:t>
                              </w:r>
                            </w:p>
                          </w:txbxContent>
                        </wps:txbx>
                        <wps:bodyPr upright="1"/>
                      </wps:wsp>
                      <wps:wsp>
                        <wps:cNvPr id="34" name="自选图形 416"/>
                        <wps:cNvSpPr/>
                        <wps:spPr>
                          <a:xfrm>
                            <a:off x="1485597" y="3341202"/>
                            <a:ext cx="781623" cy="2997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尾矿库</w:t>
                              </w:r>
                            </w:p>
                          </w:txbxContent>
                        </wps:txbx>
                        <wps:bodyPr upright="1"/>
                      </wps:wsp>
                      <wps:wsp>
                        <wps:cNvPr id="35" name="自选图形 417"/>
                        <wps:cNvSpPr/>
                        <wps:spPr>
                          <a:xfrm>
                            <a:off x="2314836" y="430934"/>
                            <a:ext cx="602150" cy="754134"/>
                          </a:xfrm>
                          <a:prstGeom prst="downArrow">
                            <a:avLst>
                              <a:gd name="adj1" fmla="val 50000"/>
                              <a:gd name="adj2" fmla="val 31295"/>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输水管线</w:t>
                              </w:r>
                            </w:p>
                          </w:txbxContent>
                        </wps:txbx>
                        <wps:bodyPr vert="eaVert" upright="1"/>
                      </wps:wsp>
                      <wps:wsp>
                        <wps:cNvPr id="36" name="自选图形 418"/>
                        <wps:cNvCnPr/>
                        <wps:spPr>
                          <a:xfrm flipH="1">
                            <a:off x="1914868" y="1354363"/>
                            <a:ext cx="334040" cy="733"/>
                          </a:xfrm>
                          <a:prstGeom prst="straightConnector1">
                            <a:avLst/>
                          </a:prstGeom>
                          <a:ln w="9525" cap="flat" cmpd="sng">
                            <a:solidFill>
                              <a:srgbClr val="000000"/>
                            </a:solidFill>
                            <a:prstDash val="sysDot"/>
                            <a:headEnd type="none" w="med" len="med"/>
                            <a:tailEnd type="triangle" w="med" len="med"/>
                          </a:ln>
                        </wps:spPr>
                        <wps:bodyPr/>
                      </wps:wsp>
                      <wps:wsp>
                        <wps:cNvPr id="37" name="文本框 2"/>
                        <wps:cNvSpPr txBox="1"/>
                        <wps:spPr>
                          <a:xfrm>
                            <a:off x="1338356" y="1209253"/>
                            <a:ext cx="481281" cy="289488"/>
                          </a:xfrm>
                          <a:prstGeom prst="rect">
                            <a:avLst/>
                          </a:prstGeom>
                          <a:solidFill>
                            <a:srgbClr val="FFFFFF"/>
                          </a:solidFill>
                          <a:ln>
                            <a:noFill/>
                          </a:ln>
                        </wps:spPr>
                        <wps:txbx>
                          <w:txbxContent>
                            <w:p>
                              <w:pPr>
                                <w:rPr>
                                  <w:szCs w:val="21"/>
                                </w:rPr>
                              </w:pPr>
                              <w:r>
                                <w:rPr>
                                  <w:rFonts w:hint="eastAsia"/>
                                  <w:szCs w:val="21"/>
                                </w:rPr>
                                <w:t>噪声</w:t>
                              </w:r>
                            </w:p>
                          </w:txbxContent>
                        </wps:txbx>
                        <wps:bodyPr upright="1">
                          <a:spAutoFit/>
                        </wps:bodyPr>
                      </wps:wsp>
                      <wps:wsp>
                        <wps:cNvPr id="38" name="自选图形 420"/>
                        <wps:cNvCnPr/>
                        <wps:spPr>
                          <a:xfrm flipH="1">
                            <a:off x="1237265" y="2550424"/>
                            <a:ext cx="334040" cy="733"/>
                          </a:xfrm>
                          <a:prstGeom prst="straightConnector1">
                            <a:avLst/>
                          </a:prstGeom>
                          <a:ln w="9525" cap="flat" cmpd="sng">
                            <a:solidFill>
                              <a:srgbClr val="000000"/>
                            </a:solidFill>
                            <a:prstDash val="sysDot"/>
                            <a:headEnd type="none" w="med" len="med"/>
                            <a:tailEnd type="triangle" w="med" len="med"/>
                          </a:ln>
                        </wps:spPr>
                        <wps:bodyPr/>
                      </wps:wsp>
                      <wps:wsp>
                        <wps:cNvPr id="39" name="文本框 2"/>
                        <wps:cNvSpPr txBox="1"/>
                        <wps:spPr>
                          <a:xfrm>
                            <a:off x="709834" y="2403115"/>
                            <a:ext cx="487874" cy="289488"/>
                          </a:xfrm>
                          <a:prstGeom prst="rect">
                            <a:avLst/>
                          </a:prstGeom>
                          <a:solidFill>
                            <a:srgbClr val="FFFFFF"/>
                          </a:solidFill>
                          <a:ln>
                            <a:noFill/>
                          </a:ln>
                        </wps:spPr>
                        <wps:txbx>
                          <w:txbxContent>
                            <w:p>
                              <w:pPr>
                                <w:rPr>
                                  <w:szCs w:val="21"/>
                                </w:rPr>
                              </w:pPr>
                              <w:r>
                                <w:rPr>
                                  <w:rFonts w:hint="eastAsia"/>
                                  <w:szCs w:val="21"/>
                                </w:rPr>
                                <w:t>噪声</w:t>
                              </w:r>
                            </w:p>
                          </w:txbxContent>
                        </wps:txbx>
                        <wps:bodyPr upright="1">
                          <a:spAutoFit/>
                        </wps:bodyPr>
                      </wps:wsp>
                      <wps:wsp>
                        <wps:cNvPr id="40" name="自选图形 422"/>
                        <wps:cNvCnPr/>
                        <wps:spPr>
                          <a:xfrm flipH="1">
                            <a:off x="1237265" y="2899275"/>
                            <a:ext cx="334040" cy="733"/>
                          </a:xfrm>
                          <a:prstGeom prst="straightConnector1">
                            <a:avLst/>
                          </a:prstGeom>
                          <a:ln w="9525" cap="flat" cmpd="sng">
                            <a:solidFill>
                              <a:srgbClr val="000000"/>
                            </a:solidFill>
                            <a:prstDash val="sysDot"/>
                            <a:headEnd type="none" w="med" len="med"/>
                            <a:tailEnd type="triangle" w="med" len="med"/>
                          </a:ln>
                        </wps:spPr>
                        <wps:bodyPr/>
                      </wps:wsp>
                      <wps:wsp>
                        <wps:cNvPr id="41" name="文本框 2"/>
                        <wps:cNvSpPr txBox="1"/>
                        <wps:spPr>
                          <a:xfrm>
                            <a:off x="709834" y="2739507"/>
                            <a:ext cx="487874" cy="289488"/>
                          </a:xfrm>
                          <a:prstGeom prst="rect">
                            <a:avLst/>
                          </a:prstGeom>
                          <a:solidFill>
                            <a:srgbClr val="FFFFFF"/>
                          </a:solidFill>
                          <a:ln>
                            <a:noFill/>
                          </a:ln>
                        </wps:spPr>
                        <wps:txbx>
                          <w:txbxContent>
                            <w:p>
                              <w:pPr>
                                <w:rPr>
                                  <w:szCs w:val="21"/>
                                </w:rPr>
                              </w:pPr>
                              <w:r>
                                <w:rPr>
                                  <w:rFonts w:hint="eastAsia"/>
                                  <w:szCs w:val="21"/>
                                </w:rPr>
                                <w:t>粉尘</w:t>
                              </w:r>
                            </w:p>
                          </w:txbxContent>
                        </wps:txbx>
                        <wps:bodyPr upright="1">
                          <a:spAutoFit/>
                        </wps:bodyPr>
                      </wps:wsp>
                      <wps:wsp>
                        <wps:cNvPr id="42" name="文本框 2"/>
                        <wps:cNvSpPr txBox="1"/>
                        <wps:spPr>
                          <a:xfrm>
                            <a:off x="3932291" y="261638"/>
                            <a:ext cx="364074" cy="883854"/>
                          </a:xfrm>
                          <a:prstGeom prst="rect">
                            <a:avLst/>
                          </a:prstGeom>
                          <a:solidFill>
                            <a:srgbClr val="FFFFFF"/>
                          </a:solidFill>
                          <a:ln>
                            <a:noFill/>
                          </a:ln>
                        </wps:spPr>
                        <wps:txbx>
                          <w:txbxContent>
                            <w:p>
                              <w:pPr>
                                <w:rPr>
                                  <w:szCs w:val="21"/>
                                </w:rPr>
                              </w:pPr>
                              <w:r>
                                <w:rPr>
                                  <w:rFonts w:hint="eastAsia"/>
                                  <w:szCs w:val="21"/>
                                </w:rPr>
                                <w:t>回水管线</w:t>
                              </w:r>
                            </w:p>
                          </w:txbxContent>
                        </wps:txbx>
                        <wps:bodyPr upright="1">
                          <a:spAutoFit/>
                        </wps:bodyPr>
                      </wps:wsp>
                      <wps:wsp>
                        <wps:cNvPr id="43" name="文本框 2"/>
                        <wps:cNvSpPr txBox="1"/>
                        <wps:spPr>
                          <a:xfrm>
                            <a:off x="728880" y="3349264"/>
                            <a:ext cx="482746" cy="289488"/>
                          </a:xfrm>
                          <a:prstGeom prst="rect">
                            <a:avLst/>
                          </a:prstGeom>
                          <a:solidFill>
                            <a:srgbClr val="FFFFFF"/>
                          </a:solidFill>
                          <a:ln>
                            <a:noFill/>
                          </a:ln>
                        </wps:spPr>
                        <wps:txbx>
                          <w:txbxContent>
                            <w:p>
                              <w:pPr>
                                <w:rPr>
                                  <w:szCs w:val="21"/>
                                </w:rPr>
                              </w:pPr>
                              <w:r>
                                <w:rPr>
                                  <w:rFonts w:hint="eastAsia"/>
                                  <w:szCs w:val="21"/>
                                </w:rPr>
                                <w:t>扬尘</w:t>
                              </w:r>
                            </w:p>
                          </w:txbxContent>
                        </wps:txbx>
                        <wps:bodyPr upright="1">
                          <a:spAutoFit/>
                        </wps:bodyPr>
                      </wps:wsp>
                      <wps:wsp>
                        <wps:cNvPr id="44" name="自选图形 426"/>
                        <wps:cNvCnPr/>
                        <wps:spPr>
                          <a:xfrm flipH="1">
                            <a:off x="1151558" y="3518559"/>
                            <a:ext cx="330377" cy="0"/>
                          </a:xfrm>
                          <a:prstGeom prst="straightConnector1">
                            <a:avLst/>
                          </a:prstGeom>
                          <a:ln w="9525" cap="flat" cmpd="sng">
                            <a:solidFill>
                              <a:srgbClr val="000000"/>
                            </a:solidFill>
                            <a:prstDash val="sysDot"/>
                            <a:headEnd type="none" w="med" len="med"/>
                            <a:tailEnd type="triangle" w="med" len="med"/>
                          </a:ln>
                        </wps:spPr>
                        <wps:bodyPr/>
                      </wps:wsp>
                      <wps:wsp>
                        <wps:cNvPr id="45" name="自选图形 427"/>
                        <wps:cNvSpPr/>
                        <wps:spPr>
                          <a:xfrm>
                            <a:off x="3566020" y="1492878"/>
                            <a:ext cx="660754" cy="29241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沉淀池</w:t>
                              </w:r>
                            </w:p>
                          </w:txbxContent>
                        </wps:txbx>
                        <wps:bodyPr upright="1"/>
                      </wps:wsp>
                    </wpc:wpc>
                  </a:graphicData>
                </a:graphic>
              </wp:anchor>
            </w:drawing>
          </mc:Choice>
          <mc:Fallback>
            <w:pict>
              <v:group id="画布 402" o:spid="_x0000_s1026" o:spt="203" style="position:absolute;left:0pt;margin-left:-7.5pt;margin-top:2.2pt;height:299.5pt;width:415.3pt;z-index:251556864;mso-width-relative:page;mso-height-relative:page;" coordsize="5274310,3803650" editas="canvas" o:gfxdata="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v3Cpb9oAAAAJAQAADwAAAAAAAAAB&#10;ACAAAAAiAAAAZHJzL2Rvd25yZXYueG1sUEsBAhQAFAAAAAgAh07iQDssQe5mBwAAbDYAAA4AAAAA&#10;AAAAAQAgAAAAKQEAAGRycy9lMm9Eb2MueG1sUEsFBgAAAAAGAAYAWQEAAAELAAAAAA==&#10;">
                <o:lock v:ext="edit" aspectratio="f"/>
                <v:rect id="画布 402" o:spid="_x0000_s1026" o:spt="1" style="position:absolute;left:0;top:0;height:3803650;width:5274310;" filled="f" stroked="f" coordsize="21600,21600" o:gfxdata="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v3Cpb9oAAAAJAQAADwAAAAAAAAABACAAAAAi&#10;AAAAZHJzL2Rvd25yZXYueG1sUEsBAhQAFAAAAAgAh07iQHhuBfUnBwAA5jUAAA4AAAAAAAAAAQAg&#10;AAAAKQEAAGRycy9lMm9Eb2MueG1sUEsFBgAAAAAGAAYAWQEAAMIKAAAAAA==&#10;">
                  <v:fill on="f" focussize="0,0"/>
                  <v:stroke on="f"/>
                  <v:imagedata o:title=""/>
                  <o:lock v:ext="edit" rotation="t" text="t" aspectratio="t"/>
                </v:rect>
                <v:shape id="自选图形 404" o:spid="_x0000_s1026" o:spt="109" type="#_x0000_t109" style="position:absolute;left:2164664;top:104801;height:278494;width:742798;" fillcolor="#FFFFFF" filled="t" stroked="t" coordsize="21600,21600" o:gfxdata="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03&#10;lknZAAAACQEAAA8AAAAAAAAAAQAgAAAAIgAAAGRycy9kb3ducmV2LnhtbFBLAQIUABQAAAAIAIdO&#10;4kDGSlTBIgIAAEgEAAAOAAAAAAAAAAEAIAAAACgBAABkcnMvZTJvRG9jLnhtbFBLBQYAAAAABgAG&#10;AFkBAAC8BQAAAAA=&#10;">
                  <v:fill on="t" focussize="0,0"/>
                  <v:stroke color="#000000" joinstyle="miter"/>
                  <v:imagedata o:title=""/>
                  <o:lock v:ext="edit" aspectratio="f"/>
                  <v:textbox>
                    <w:txbxContent>
                      <w:p>
                        <w:pPr>
                          <w:rPr>
                            <w:szCs w:val="21"/>
                          </w:rPr>
                        </w:pPr>
                        <w:r>
                          <w:rPr>
                            <w:rFonts w:hint="eastAsia"/>
                            <w:szCs w:val="21"/>
                          </w:rPr>
                          <w:t>选矿车间</w:t>
                        </w:r>
                      </w:p>
                    </w:txbxContent>
                  </v:textbox>
                </v:shape>
                <v:shape id="自选图形 405" o:spid="_x0000_s1026" o:spt="109" type="#_x0000_t109" style="position:absolute;left:2257697;top:1224643;height:270432;width:738403;" fillcolor="#FFFFFF" filled="t" stroked="t" coordsize="21600,21600" o:gfxdata="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03lknZAAAACQEAAA8AAAAAAAAAAQAgAAAAIgAAAGRycy9kb3ducmV2LnhtbFBLAQIUABQAAAAI&#10;AIdO4kCFFm2ZJQIAAEkEAAAOAAAAAAAAAAEAIAAAACgBAABkcnMvZTJvRG9jLnhtbFBLBQYAAAAA&#10;BgAGAFkBAAC/BQAAAAA=&#10;">
                  <v:fill on="t" focussize="0,0"/>
                  <v:stroke color="#000000" joinstyle="miter"/>
                  <v:imagedata o:title=""/>
                  <o:lock v:ext="edit" aspectratio="f"/>
                  <v:textbox>
                    <w:txbxContent>
                      <w:p>
                        <w:pPr>
                          <w:rPr>
                            <w:szCs w:val="21"/>
                          </w:rPr>
                        </w:pPr>
                        <w:r>
                          <w:rPr>
                            <w:rFonts w:hint="eastAsia"/>
                            <w:szCs w:val="21"/>
                          </w:rPr>
                          <w:t>压滤车间</w:t>
                        </w:r>
                      </w:p>
                    </w:txbxContent>
                  </v:textbox>
                </v:shape>
                <v:shape id="自选图形 406" o:spid="_x0000_s1026" o:spt="67" type="#_x0000_t67" style="position:absolute;left:1571304;top:2448553;height:884586;width:591162;" fillcolor="#FFFFFF" filled="t" stroked="t" coordsize="21600,21600" o:gfxdata="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TpLeN1wAAAAkBAAAPAAAAAAAA&#10;AAEAIAAAACIAAABkcnMvZG93bnJldi54bWxQSwECFAAUAAAACACHTuJAQCY6kUwCAAChBAAADgAA&#10;AAAAAAABACAAAAAmAQAAZHJzL2Uyb0RvYy54bWxQSwUGAAAAAAYABgBZAQAA5AUAAAAA&#10;" adj="16203,5400">
                  <v:fill on="t" focussize="0,0"/>
                  <v:stroke color="#000000" joinstyle="miter"/>
                  <v:imagedata o:title=""/>
                  <o:lock v:ext="edit" aspectratio="f"/>
                  <v:textbox style="layout-flow:vertical-ideographic;">
                    <w:txbxContent>
                      <w:p>
                        <w:pPr>
                          <w:rPr>
                            <w:szCs w:val="21"/>
                          </w:rPr>
                        </w:pPr>
                        <w:r>
                          <w:rPr>
                            <w:rFonts w:hint="eastAsia"/>
                            <w:szCs w:val="21"/>
                          </w:rPr>
                          <w:t>胶带运输机</w:t>
                        </w:r>
                      </w:p>
                    </w:txbxContent>
                  </v:textbox>
                </v:shape>
                <v:shape id="文本框 2" o:spid="_x0000_s1026" o:spt="202" type="#_x0000_t202" style="position:absolute;left:2727257;top:688907;height:305611;width:609475;"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P9OAIAAFA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">
                  <v:fill on="f" focussize="0,0"/>
                  <v:stroke on="f"/>
                  <v:imagedata o:title=""/>
                  <o:lock v:ext="edit" aspectratio="f"/>
                  <v:textbox>
                    <w:txbxContent>
                      <w:p>
                        <w:pPr>
                          <w:rPr>
                            <w:szCs w:val="21"/>
                          </w:rPr>
                        </w:pPr>
                        <w:r>
                          <w:rPr>
                            <w:rFonts w:hint="eastAsia"/>
                            <w:szCs w:val="21"/>
                          </w:rPr>
                          <w:t>尾矿浆</w:t>
                        </w:r>
                      </w:p>
                    </w:txbxContent>
                  </v:textbox>
                </v:shape>
                <v:shape id="自选图形 408" o:spid="_x0000_s1026" o:spt="32" type="#_x0000_t32" style="position:absolute;left:1870182;top:1832201;height:732;width:1468016;" filled="f" stroked="t" coordsize="21600,21600" o:gfxdata="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mTf9gAAAAJAQAADwAAAAAAAAABACAAAAAiAAAAZHJz&#10;L2Rvd25yZXYueG1sUEsBAhQAFAAAAAgAh07iQKGaUecEAgAA9AMAAA4AAAAAAAAAAQAgAAAAJwEA&#10;AGRycy9lMm9Eb2MueG1sUEsFBgAAAAAGAAYAWQEAAJ0FAAAAAA==&#10;">
                  <v:fill on="f" focussize="0,0"/>
                  <v:stroke color="#000000" joinstyle="round"/>
                  <v:imagedata o:title=""/>
                  <o:lock v:ext="edit" aspectratio="f"/>
                </v:shape>
                <v:shape id="自选图形 409" o:spid="_x0000_s1026" o:spt="32" type="#_x0000_t32" style="position:absolute;left:2626899;top:1495076;height:378166;width:732;" filled="f" stroked="t" coordsize="21600,21600" o:gfxdata="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6ZN/2AAAAAkBAAAPAAAAAAAAAAEAIAAAACIA&#10;AABkcnMvZG93bnJldi54bWxQSwECFAAUAAAACACHTuJAo42ljAkCAADzAwAADgAAAAAAAAABACAA&#10;AAAnAQAAZHJzL2Uyb0RvYy54bWxQSwUGAAAAAAYABgBZAQAAogUAAAAA&#10;">
                  <v:fill on="f" focussize="0,0"/>
                  <v:stroke color="#000000" joinstyle="round"/>
                  <v:imagedata o:title=""/>
                  <o:lock v:ext="edit" aspectratio="f"/>
                </v:shape>
                <v:shape id="自选图形 410" o:spid="_x0000_s1026" o:spt="32" type="#_x0000_t32" style="position:absolute;left:1870182;top:1832201;height:270432;width:1465;" filled="f" stroked="t" coordsize="21600,21600" o:gfxdata="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CmqDaAAAACQEAAA8AAAAAAAAAAQAgAAAA&#10;IgAAAGRycy9kb3ducmV2LnhtbFBLAQIUABQAAAAIAIdO4kCsQksNCQIAAPgDAAAOAAAAAAAAAAEA&#10;IAAAACkBAABkcnMvZTJvRG9jLnhtbFBLBQYAAAAABgAGAFkBAACkBQAAAAA=&#10;">
                  <v:fill on="f" focussize="0,0"/>
                  <v:stroke color="#000000" joinstyle="round" endarrow="block"/>
                  <v:imagedata o:title=""/>
                  <o:lock v:ext="edit" aspectratio="f"/>
                </v:shape>
                <v:shape id="自选图形 411" o:spid="_x0000_s1026" o:spt="32" type="#_x0000_t32" style="position:absolute;left:3336733;top:1832201;height:270432;width:732;" filled="f" stroked="t" coordsize="21600,21600" o:gfxdata="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Qpqg2gAAAAkBAAAPAAAAAAAAAAEA&#10;IAAAACIAAABkcnMvZG93bnJldi54bWxQSwECFAAUAAAACACHTuJA61zigA0CAAD3AwAADgAAAAAA&#10;AAABACAAAAApAQAAZHJzL2Uyb0RvYy54bWxQSwUGAAAAAAYABgBZAQAAqAUAAAAA&#10;">
                  <v:fill on="f" focussize="0,0"/>
                  <v:stroke color="#000000" joinstyle="round" endarrow="block"/>
                  <v:imagedata o:title=""/>
                  <o:lock v:ext="edit" aspectratio="f"/>
                </v:shape>
                <v:shape id="文本框 2" o:spid="_x0000_s1026" o:spt="202" type="#_x0000_t202" style="position:absolute;left:2401276;top:1884235;height:290220;width:515710;"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iNOgIAAFA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ZuFCIHltS73SK3V&#10;/YjjSqJQa/uRkhbHu6DuwxYsp0S+UNie2XA8DvsQlfHkMkPFnlvW5xZQDKEK6inpxaWPOxSJM9fY&#10;xpWIBD9kcswZxzbyflyxsBfnevR6+BEsfg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ClKziNOgIAAFAEAAAOAAAAAAAAAAAA&#10;AAAAAC4CAABkcnMvZTJvRG9jLnhtbFBLAQItABQABgAIAAAAIQD9LzLW2wAAAAUBAAAPAAAAAAAA&#10;AAAAAAAAAJQEAABkcnMvZG93bnJldi54bWxQSwUGAAAAAAQABADzAAAAnAUAAAAA&#10;">
                  <v:fill on="t" focussize="0,0"/>
                  <v:stroke on="f"/>
                  <v:imagedata o:title=""/>
                  <o:lock v:ext="edit" aspectratio="f"/>
                  <v:textbox>
                    <w:txbxContent>
                      <w:p>
                        <w:pPr>
                          <w:rPr>
                            <w:szCs w:val="21"/>
                          </w:rPr>
                        </w:pPr>
                        <w:r>
                          <w:rPr>
                            <w:rFonts w:hint="eastAsia"/>
                            <w:szCs w:val="21"/>
                          </w:rPr>
                          <w:t>压滤</w:t>
                        </w:r>
                      </w:p>
                    </w:txbxContent>
                  </v:textbox>
                </v:shape>
                <v:shape id="自选图形 413" o:spid="_x0000_s1026" o:spt="34" type="#_x0000_t34" style="position:absolute;left:2916986;top:244782;flip:x y;height:2008825;width:753054;" filled="f" stroked="t" coordsize="21600,21600" o:gfxdata="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MhT1/YAAAACQEAAA8AAAAAAAAAAQAgAAAAIgAAAGRycy9kb3ducmV2&#10;LnhtbFBLAQIUABQAAAAIAIdO4kDfnakoNQIAAEIEAAAOAAAAAAAAAAEAIAAAACcBAABkcnMvZTJv&#10;RG9jLnhtbFBLBQYAAAAABgAGAFkBAADOBQAAAAA=&#10;" adj="-6538">
                  <v:fill on="f" focussize="0,0"/>
                  <v:stroke color="#000000" joinstyle="miter" endarrow="block"/>
                  <v:imagedata o:title=""/>
                  <o:lock v:ext="edit" aspectratio="f"/>
                </v:shape>
                <v:roundrect id="自选图形 414" o:spid="_x0000_s1026" o:spt="2" style="position:absolute;left:1533945;top:2102634;height:300481;width:673207;" fillcolor="#FFFFFF" filled="t" stroked="t" coordsize="21600,21600" arcsize="0.166666666666667" o:gfxdata="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A3y6LWAAAACQEAAA8AAAAAAAAAAQAgAAAAIgAAAGRycy9kb3ducmV2LnhtbFBL&#10;AQIUABQAAAAIAIdO4kB2yuqFMQIAAGQEAAAOAAAAAAAAAAEAIAAAACUBAABkcnMvZTJvRG9jLnht&#10;bFBLBQYAAAAABgAGAFkBAADIBQAAAAA=&#10;">
                  <v:fill on="t" focussize="0,0"/>
                  <v:stroke color="#000000" joinstyle="round"/>
                  <v:imagedata o:title=""/>
                  <o:lock v:ext="edit" aspectratio="f"/>
                  <v:textbox>
                    <w:txbxContent>
                      <w:p>
                        <w:pPr>
                          <w:rPr>
                            <w:szCs w:val="21"/>
                          </w:rPr>
                        </w:pPr>
                        <w:r>
                          <w:rPr>
                            <w:rFonts w:hint="eastAsia"/>
                            <w:szCs w:val="21"/>
                          </w:rPr>
                          <w:t>尾矿渣</w:t>
                        </w:r>
                      </w:p>
                    </w:txbxContent>
                  </v:textbox>
                </v:roundrect>
                <v:shape id="自选图形 415" o:spid="_x0000_s1026" o:spt="176" type="#_x0000_t176" style="position:absolute;left:3004159;top:2102634;height:300481;width:665881;" fillcolor="#FFFFFF" filled="t" stroked="t" coordsize="21600,21600" o:gfxdata="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wm2t9gAAAAJAQAADwAAAAAAAAABACAAAAAiAAAAZHJzL2Rvd25yZXYueG1sUEsBAhQAFAAA&#10;AAgAh07iQCHUu1soAgAAUgQAAA4AAAAAAAAAAQAgAAAAJwEAAGRycy9lMm9Eb2MueG1sUEsFBgAA&#10;AAAGAAYAWQEAAMEFAAAAAA==&#10;">
                  <v:fill on="t" focussize="0,0"/>
                  <v:stroke color="#000000" joinstyle="miter"/>
                  <v:imagedata o:title=""/>
                  <o:lock v:ext="edit" aspectratio="f"/>
                  <v:textbox>
                    <w:txbxContent>
                      <w:p>
                        <w:pPr>
                          <w:rPr>
                            <w:szCs w:val="21"/>
                          </w:rPr>
                        </w:pPr>
                        <w:r>
                          <w:rPr>
                            <w:rFonts w:hint="eastAsia"/>
                            <w:szCs w:val="21"/>
                          </w:rPr>
                          <w:t>压滤液</w:t>
                        </w:r>
                      </w:p>
                    </w:txbxContent>
                  </v:textbox>
                </v:shape>
                <v:shape id="自选图形 416" o:spid="_x0000_s1026" o:spt="109" type="#_x0000_t109" style="position:absolute;left:1485597;top:3341202;height:299748;width:781623;" fillcolor="#FFFFFF" filled="t" stroked="t" coordsize="21600,21600" o:gfxdata="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TeWSdkAAAAJAQAADwAAAAAAAAABACAAAAAiAAAAZHJzL2Rvd25yZXYueG1sUEsBAhQAFAAAAAgA&#10;h07iQE21KCUkAgAASQQAAA4AAAAAAAAAAQAgAAAAKAEAAGRycy9lMm9Eb2MueG1sUEsFBgAAAAAG&#10;AAYAWQEAAL4FAAAAAA==&#10;">
                  <v:fill on="t" focussize="0,0"/>
                  <v:stroke color="#000000" joinstyle="miter"/>
                  <v:imagedata o:title=""/>
                  <o:lock v:ext="edit" aspectratio="f"/>
                  <v:textbox>
                    <w:txbxContent>
                      <w:p>
                        <w:pPr>
                          <w:jc w:val="center"/>
                          <w:rPr>
                            <w:szCs w:val="21"/>
                          </w:rPr>
                        </w:pPr>
                        <w:r>
                          <w:rPr>
                            <w:rFonts w:hint="eastAsia"/>
                            <w:szCs w:val="21"/>
                          </w:rPr>
                          <w:t>尾矿库</w:t>
                        </w:r>
                      </w:p>
                    </w:txbxContent>
                  </v:textbox>
                </v:shape>
                <v:shape id="自选图形 417" o:spid="_x0000_s1026" o:spt="67" type="#_x0000_t67" style="position:absolute;left:2314836;top:430933;height:754134;width:602150;" fillcolor="#FFFFFF" filled="t" stroked="t" coordsize="21600,21600" o:gfxdata="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TpLeN1wAAAAkBAAAPAAAAAAAA&#10;AAEAIAAAACIAAABkcnMvZG93bnJldi54bWxQSwECFAAUAAAACACHTuJAuuAPbUwCAACgBAAADgAA&#10;AAAAAAABACAAAAAmAQAAZHJzL2Uyb0RvYy54bWxQSwUGAAAAAAYABgBZAQAA5AUAAAAA&#10;" adj="16203,5400">
                  <v:fill on="t" focussize="0,0"/>
                  <v:stroke color="#000000" joinstyle="miter"/>
                  <v:imagedata o:title=""/>
                  <o:lock v:ext="edit" aspectratio="f"/>
                  <v:textbox style="layout-flow:vertical-ideographic;">
                    <w:txbxContent>
                      <w:p>
                        <w:pPr>
                          <w:rPr>
                            <w:szCs w:val="21"/>
                          </w:rPr>
                        </w:pPr>
                        <w:r>
                          <w:rPr>
                            <w:rFonts w:hint="eastAsia"/>
                            <w:szCs w:val="21"/>
                          </w:rPr>
                          <w:t>输水管线</w:t>
                        </w:r>
                      </w:p>
                    </w:txbxContent>
                  </v:textbox>
                </v:shape>
                <v:shape id="自选图形 418" o:spid="_x0000_s1026" o:spt="32" type="#_x0000_t32" style="position:absolute;left:1914867;top:1354363;flip:x;height:732;width:334039;" filled="f" stroked="t" coordsize="21600,21600" o:gfxdata="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DelV2AAAAAkBAAAP&#10;AAAAAAAAAAEAIAAAACIAAABkcnMvZG93bnJldi54bWxQSwECFAAUAAAACACHTuJAa5XWhRgCAAAC&#10;BAAADgAAAAAAAAABACAAAAAnAQAAZHJzL2Uyb0RvYy54bWxQSwUGAAAAAAYABgBZAQAAsQUAAAAA&#10;">
                  <v:fill on="f" focussize="0,0"/>
                  <v:stroke color="#000000" joinstyle="round" dashstyle="1 1" endarrow="block"/>
                  <v:imagedata o:title=""/>
                  <o:lock v:ext="edit" aspectratio="f"/>
                </v:shape>
                <v:shape id="文本框 2" o:spid="_x0000_s1026" o:spt="202" type="#_x0000_t202" style="position:absolute;left:1338356;top:1209252;height:289487;width:481280;"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KOQ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luUhQmC50vUeqLV6&#10;GHFYSRBabT9i1MF4l9h92BLLMBIvFLRnPs7zsA9RyaeXG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nov8o5AgAAUAQAAA4AAAAAAAAAAAAA&#10;AAAALgIAAGRycy9lMm9Eb2MueG1sUEsBAi0AFAAGAAgAAAAhAP0vMtbbAAAABQEAAA8AAAAAAAAA&#10;AAAAAAAAkwQAAGRycy9kb3ducmV2LnhtbFBLBQYAAAAABAAEAPMAAACbBQAAAAA=&#10;">
                  <v:fill on="t" focussize="0,0"/>
                  <v:stroke on="f"/>
                  <v:imagedata o:title=""/>
                  <o:lock v:ext="edit" aspectratio="f"/>
                  <v:textbox style="mso-fit-shape-to-text:t;">
                    <w:txbxContent>
                      <w:p>
                        <w:pPr>
                          <w:rPr>
                            <w:szCs w:val="21"/>
                          </w:rPr>
                        </w:pPr>
                        <w:r>
                          <w:rPr>
                            <w:rFonts w:hint="eastAsia"/>
                            <w:szCs w:val="21"/>
                          </w:rPr>
                          <w:t>噪声</w:t>
                        </w:r>
                      </w:p>
                    </w:txbxContent>
                  </v:textbox>
                </v:shape>
                <v:shape id="自选图形 420" o:spid="_x0000_s1026" o:spt="32" type="#_x0000_t32" style="position:absolute;left:1237265;top:2550424;flip:x;height:732;width:334039;" filled="f" stroked="t" coordsize="21600,21600" o:gfxdata="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3DelV2AAAAAkBAAAPAAAA&#10;AAAAAAEAIAAAACIAAABkcnMvZG93bnJldi54bWxQSwECFAAUAAAACACHTuJA/4cPaRUCAAACBAAA&#10;DgAAAAAAAAABACAAAAAnAQAAZHJzL2Uyb0RvYy54bWxQSwUGAAAAAAYABgBZAQAArgUAAAAA&#10;">
                  <v:fill on="f" focussize="0,0"/>
                  <v:stroke color="#000000" joinstyle="round" dashstyle="1 1" endarrow="block"/>
                  <v:imagedata o:title=""/>
                  <o:lock v:ext="edit" aspectratio="f"/>
                </v:shape>
                <v:shape id="文本框 2" o:spid="_x0000_s1026" o:spt="202" type="#_x0000_t202" style="position:absolute;left:709834;top:2403115;height:289487;width:487873;"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KOQ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luUhQmC50vUeqLV6&#10;GHFYSRBabT9i1MF4l9h92BLLMBIvFLRnPs7zsA9RyaeXG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nov8o5AgAAUAQAAA4AAAAAAAAAAAAA&#10;AAAALgIAAGRycy9lMm9Eb2MueG1sUEsBAi0AFAAGAAgAAAAhAP0vMtbbAAAABQEAAA8AAAAAAAAA&#10;AAAAAAAAkwQAAGRycy9kb3ducmV2LnhtbFBLBQYAAAAABAAEAPMAAACbBQAAAAA=&#10;">
                  <v:fill on="t" focussize="0,0"/>
                  <v:stroke on="f"/>
                  <v:imagedata o:title=""/>
                  <o:lock v:ext="edit" aspectratio="f"/>
                  <v:textbox style="mso-fit-shape-to-text:t;">
                    <w:txbxContent>
                      <w:p>
                        <w:pPr>
                          <w:rPr>
                            <w:szCs w:val="21"/>
                          </w:rPr>
                        </w:pPr>
                        <w:r>
                          <w:rPr>
                            <w:rFonts w:hint="eastAsia"/>
                            <w:szCs w:val="21"/>
                          </w:rPr>
                          <w:t>噪声</w:t>
                        </w:r>
                      </w:p>
                    </w:txbxContent>
                  </v:textbox>
                </v:shape>
                <v:shape id="自选图形 422" o:spid="_x0000_s1026" o:spt="32" type="#_x0000_t32" style="position:absolute;left:1237265;top:2899275;flip:x;height:732;width:334039;" filled="f" stroked="t" coordsize="21600,21600" o:gfxdata="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w3pVdgAAAAJAQAADwAA&#10;AAAAAAABACAAAAAiAAAAZHJzL2Rvd25yZXYueG1sUEsBAhQAFAAAAAgAh07iQOeK7kcWAgAAAgQA&#10;AA4AAAAAAAAAAQAgAAAAJwEAAGRycy9lMm9Eb2MueG1sUEsFBgAAAAAGAAYAWQEAAK8FAAAAAA==&#10;">
                  <v:fill on="f" focussize="0,0"/>
                  <v:stroke color="#000000" joinstyle="round" dashstyle="1 1" endarrow="block"/>
                  <v:imagedata o:title=""/>
                  <o:lock v:ext="edit" aspectratio="f"/>
                </v:shape>
                <v:shape id="文本框 2" o:spid="_x0000_s1026" o:spt="202" type="#_x0000_t202" style="position:absolute;left:709834;top:2739507;height:289487;width:487873;"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KOQ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luUhQmC50vUeqLV6&#10;GHFYSRBabT9i1MF4l9h92BLLMBIvFLRnPs7zsA9RyaeXG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nov8o5AgAAUAQAAA4AAAAAAAAAAAAA&#10;AAAALgIAAGRycy9lMm9Eb2MueG1sUEsBAi0AFAAGAAgAAAAhAP0vMtbbAAAABQEAAA8AAAAAAAAA&#10;AAAAAAAAkwQAAGRycy9kb3ducmV2LnhtbFBLBQYAAAAABAAEAPMAAACbBQAAAAA=&#10;">
                  <v:fill on="t" focussize="0,0"/>
                  <v:stroke on="f"/>
                  <v:imagedata o:title=""/>
                  <o:lock v:ext="edit" aspectratio="f"/>
                  <v:textbox style="mso-fit-shape-to-text:t;">
                    <w:txbxContent>
                      <w:p>
                        <w:pPr>
                          <w:rPr>
                            <w:szCs w:val="21"/>
                          </w:rPr>
                        </w:pPr>
                        <w:r>
                          <w:rPr>
                            <w:rFonts w:hint="eastAsia"/>
                            <w:szCs w:val="21"/>
                          </w:rPr>
                          <w:t>粉尘</w:t>
                        </w:r>
                      </w:p>
                    </w:txbxContent>
                  </v:textbox>
                </v:shape>
                <v:shape id="文本框 2" o:spid="_x0000_s1026" o:spt="202" type="#_x0000_t202" style="position:absolute;left:3932291;top:261638;height:883853;width:364073;"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KOQ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luUhQmC50vUeqLV6&#10;GHFYSRBabT9i1MF4l9h92BLLMBIvFLRnPs7zsA9RyaeXG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nov8o5AgAAUAQAAA4AAAAAAAAAAAAA&#10;AAAALgIAAGRycy9lMm9Eb2MueG1sUEsBAi0AFAAGAAgAAAAhAP0vMtbbAAAABQEAAA8AAAAAAAAA&#10;AAAAAAAAkwQAAGRycy9kb3ducmV2LnhtbFBLBQYAAAAABAAEAPMAAACbBQAAAAA=&#10;">
                  <v:fill on="t" focussize="0,0"/>
                  <v:stroke on="f"/>
                  <v:imagedata o:title=""/>
                  <o:lock v:ext="edit" aspectratio="f"/>
                  <v:textbox style="mso-fit-shape-to-text:t;">
                    <w:txbxContent>
                      <w:p>
                        <w:pPr>
                          <w:rPr>
                            <w:szCs w:val="21"/>
                          </w:rPr>
                        </w:pPr>
                        <w:r>
                          <w:rPr>
                            <w:rFonts w:hint="eastAsia"/>
                            <w:szCs w:val="21"/>
                          </w:rPr>
                          <w:t>回水管线</w:t>
                        </w:r>
                      </w:p>
                    </w:txbxContent>
                  </v:textbox>
                </v:shape>
                <v:shape id="文本框 2" o:spid="_x0000_s1026" o:spt="202" type="#_x0000_t202" style="position:absolute;left:728880;top:3349264;height:289487;width:482745;"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KOQIAAFA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luUhQmC50vUeqLV6&#10;GHFYSRBabT9i1MF4l9h92BLLMBIvFLRnPs7zsA9RyaeXG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nov8o5AgAAUAQAAA4AAAAAAAAAAAAA&#10;AAAALgIAAGRycy9lMm9Eb2MueG1sUEsBAi0AFAAGAAgAAAAhAP0vMtbbAAAABQEAAA8AAAAAAAAA&#10;AAAAAAAAkwQAAGRycy9kb3ducmV2LnhtbFBLBQYAAAAABAAEAPMAAACbBQAAAAA=&#10;">
                  <v:fill on="t" focussize="0,0"/>
                  <v:stroke on="f"/>
                  <v:imagedata o:title=""/>
                  <o:lock v:ext="edit" aspectratio="f"/>
                  <v:textbox style="mso-fit-shape-to-text:t;">
                    <w:txbxContent>
                      <w:p>
                        <w:pPr>
                          <w:rPr>
                            <w:szCs w:val="21"/>
                          </w:rPr>
                        </w:pPr>
                        <w:r>
                          <w:rPr>
                            <w:rFonts w:hint="eastAsia"/>
                            <w:szCs w:val="21"/>
                          </w:rPr>
                          <w:t>扬尘</w:t>
                        </w:r>
                      </w:p>
                    </w:txbxContent>
                  </v:textbox>
                </v:shape>
                <v:shape id="自选图形 426" o:spid="_x0000_s1026" o:spt="32" type="#_x0000_t32" style="position:absolute;left:1151557;top:3518559;flip:x;height:0;width:330376;" filled="f" stroked="t" coordsize="21600,21600" o:gfxdata="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cN6VXYAAAACQEAAA8A&#10;AAAAAAAAAQAgAAAAIgAAAGRycy9kb3ducmV2LnhtbFBLAQIUABQAAAAIAIdO4kAm/z/IFwIAAAAE&#10;AAAOAAAAAAAAAAEAIAAAACcBAABkcnMvZTJvRG9jLnhtbFBLBQYAAAAABgAGAFkBAACwBQAAAAA=&#10;">
                  <v:fill on="f" focussize="0,0"/>
                  <v:stroke color="#000000" joinstyle="round" dashstyle="1 1" endarrow="block"/>
                  <v:imagedata o:title=""/>
                  <o:lock v:ext="edit" aspectratio="f"/>
                </v:shape>
                <v:shape id="自选图形 427" o:spid="_x0000_s1026" o:spt="176" type="#_x0000_t176" style="position:absolute;left:3566019;top:1492877;height:292419;width:660753;" fillcolor="#FFFFFF" filled="t" stroked="t" coordsize="21600,21600" o:gfxdata="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XCba32AAAAAkBAAAPAAAAAAAAAAEAIAAAACIAAABkcnMvZG93bnJldi54bWxQSwECFAAU&#10;AAAACACHTuJAKuHr4yoCAABSBAAADgAAAAAAAAABACAAAAAnAQAAZHJzL2Uyb0RvYy54bWxQSwUG&#10;AAAAAAYABgBZAQAAwwUAAAAA&#10;">
                  <v:fill on="t" focussize="0,0"/>
                  <v:stroke color="#000000" joinstyle="miter"/>
                  <v:imagedata o:title=""/>
                  <o:lock v:ext="edit" aspectratio="f"/>
                  <v:textbox>
                    <w:txbxContent>
                      <w:p>
                        <w:pPr>
                          <w:rPr>
                            <w:szCs w:val="21"/>
                          </w:rPr>
                        </w:pPr>
                        <w:r>
                          <w:rPr>
                            <w:rFonts w:hint="eastAsia"/>
                            <w:szCs w:val="21"/>
                          </w:rPr>
                          <w:t>沉淀池</w:t>
                        </w:r>
                      </w:p>
                    </w:txbxContent>
                  </v:textbox>
                </v:shape>
              </v:group>
            </w:pict>
          </mc:Fallback>
        </mc:AlternateContent>
      </w:r>
    </w:p>
    <w:p>
      <w:pPr>
        <w:spacing w:line="360" w:lineRule="auto"/>
        <w:ind w:firstLine="482" w:firstLineChars="200"/>
        <w:jc w:val="center"/>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p>
    <w:p>
      <w:pPr>
        <w:spacing w:line="360" w:lineRule="auto"/>
        <w:rPr>
          <w:rFonts w:ascii="Times New Roman" w:hAnsi="Times New Roman"/>
          <w:b/>
          <w:bCs/>
          <w:color w:val="000000"/>
          <w:sz w:val="24"/>
          <w:szCs w:val="24"/>
          <w:u w:val="single"/>
        </w:rPr>
      </w:pPr>
    </w:p>
    <w:p>
      <w:pPr>
        <w:spacing w:line="360" w:lineRule="auto"/>
        <w:rPr>
          <w:rFonts w:ascii="Times New Roman" w:hAnsi="Times New Roman"/>
          <w:b/>
          <w:bCs/>
          <w:color w:val="000000"/>
          <w:sz w:val="24"/>
          <w:szCs w:val="24"/>
          <w:u w:val="single"/>
        </w:rPr>
      </w:pPr>
    </w:p>
    <w:p>
      <w:pPr>
        <w:spacing w:line="360" w:lineRule="auto"/>
        <w:ind w:firstLine="482" w:firstLineChars="200"/>
        <w:jc w:val="center"/>
        <w:rPr>
          <w:rFonts w:ascii="Times New Roman" w:hAnsi="Times New Roman"/>
          <w:b/>
          <w:bCs/>
          <w:color w:val="000000"/>
          <w:sz w:val="24"/>
          <w:szCs w:val="24"/>
          <w:u w:val="single"/>
        </w:rPr>
      </w:pPr>
      <w:r>
        <w:rPr>
          <w:rFonts w:ascii="Times New Roman" w:hAnsi="Times New Roman"/>
          <w:b/>
          <w:bCs/>
          <w:color w:val="000000"/>
          <w:sz w:val="24"/>
          <w:szCs w:val="24"/>
          <w:u w:val="single"/>
        </w:rPr>
        <w:t xml:space="preserve">图3-8  </w:t>
      </w:r>
      <w:r>
        <w:rPr>
          <w:rFonts w:hint="eastAsia" w:ascii="Times New Roman" w:hAnsi="Times New Roman"/>
          <w:b/>
          <w:bCs/>
          <w:color w:val="000000"/>
          <w:sz w:val="24"/>
          <w:szCs w:val="24"/>
          <w:u w:val="single"/>
        </w:rPr>
        <w:t>压滤</w:t>
      </w:r>
      <w:r>
        <w:rPr>
          <w:rFonts w:ascii="Times New Roman" w:hAnsi="Times New Roman"/>
          <w:b/>
          <w:bCs/>
          <w:color w:val="000000"/>
          <w:sz w:val="24"/>
          <w:szCs w:val="24"/>
          <w:u w:val="single"/>
        </w:rPr>
        <w:t>工艺流程图</w:t>
      </w:r>
    </w:p>
    <w:p>
      <w:pPr>
        <w:pStyle w:val="4"/>
        <w:rPr>
          <w:rFonts w:ascii="Times New Roman" w:hAnsi="Times New Roman" w:eastAsia="宋体"/>
          <w:bCs/>
          <w:szCs w:val="32"/>
        </w:rPr>
      </w:pPr>
      <w:bookmarkStart w:id="216" w:name="_Toc27762"/>
      <w:bookmarkStart w:id="217" w:name="_Toc14934"/>
      <w:bookmarkStart w:id="218" w:name="_Toc5222"/>
      <w:r>
        <w:rPr>
          <w:rFonts w:hint="eastAsia" w:ascii="Times New Roman" w:hAnsi="Times New Roman" w:eastAsia="宋体"/>
          <w:bCs/>
          <w:szCs w:val="32"/>
        </w:rPr>
        <w:t>3</w:t>
      </w:r>
      <w:r>
        <w:rPr>
          <w:rFonts w:ascii="Times New Roman" w:hAnsi="Times New Roman" w:eastAsia="宋体"/>
          <w:bCs/>
          <w:szCs w:val="32"/>
        </w:rPr>
        <w:t>.4扩建项目环境影响污染分析</w:t>
      </w:r>
      <w:bookmarkEnd w:id="216"/>
      <w:bookmarkEnd w:id="217"/>
      <w:bookmarkEnd w:id="218"/>
    </w:p>
    <w:p>
      <w:pPr>
        <w:pStyle w:val="5"/>
        <w:rPr>
          <w:color w:val="000000"/>
          <w:sz w:val="24"/>
          <w:szCs w:val="24"/>
        </w:rPr>
      </w:pPr>
      <w:bookmarkStart w:id="219" w:name="_Toc30353"/>
      <w:bookmarkStart w:id="220" w:name="_Toc22083"/>
      <w:bookmarkStart w:id="221" w:name="_Toc4039"/>
      <w:r>
        <w:rPr>
          <w:color w:val="000000"/>
          <w:sz w:val="24"/>
          <w:szCs w:val="24"/>
        </w:rPr>
        <w:t>3.4.1施工期</w:t>
      </w:r>
      <w:bookmarkEnd w:id="219"/>
      <w:bookmarkEnd w:id="220"/>
      <w:bookmarkEnd w:id="221"/>
    </w:p>
    <w:p>
      <w:pPr>
        <w:widowControl/>
        <w:adjustRightInd w:val="0"/>
        <w:snapToGrid w:val="0"/>
        <w:spacing w:line="360" w:lineRule="auto"/>
        <w:outlineLvl w:val="2"/>
        <w:rPr>
          <w:rFonts w:ascii="Times New Roman" w:hAnsi="Times New Roman"/>
          <w:b/>
          <w:sz w:val="24"/>
        </w:rPr>
      </w:pPr>
      <w:bookmarkStart w:id="222" w:name="_Toc27408"/>
      <w:bookmarkStart w:id="223" w:name="_Toc28060"/>
      <w:bookmarkStart w:id="224" w:name="_Toc11214"/>
      <w:r>
        <w:rPr>
          <w:rFonts w:ascii="Times New Roman" w:hAnsi="Times New Roman"/>
          <w:b/>
          <w:sz w:val="24"/>
        </w:rPr>
        <w:t>3.4.1.1废气</w:t>
      </w:r>
      <w:bookmarkEnd w:id="222"/>
      <w:bookmarkEnd w:id="223"/>
      <w:bookmarkEnd w:id="224"/>
    </w:p>
    <w:p>
      <w:pPr>
        <w:spacing w:line="360" w:lineRule="auto"/>
        <w:ind w:firstLine="482"/>
        <w:outlineLvl w:val="0"/>
        <w:rPr>
          <w:rFonts w:ascii="Times New Roman" w:hAnsi="Times New Roman"/>
          <w:sz w:val="24"/>
        </w:rPr>
      </w:pPr>
      <w:r>
        <w:rPr>
          <w:rFonts w:ascii="Times New Roman" w:hAnsi="Times New Roman"/>
          <w:sz w:val="24"/>
        </w:rPr>
        <w:t>（1）施工扬尘</w:t>
      </w:r>
    </w:p>
    <w:p>
      <w:pPr>
        <w:spacing w:line="360" w:lineRule="auto"/>
        <w:ind w:firstLine="482"/>
        <w:rPr>
          <w:rFonts w:ascii="Times New Roman" w:hAnsi="Times New Roman"/>
          <w:sz w:val="24"/>
        </w:rPr>
      </w:pPr>
      <w:r>
        <w:rPr>
          <w:rFonts w:hint="eastAsia" w:ascii="Times New Roman" w:hAnsi="Times New Roman"/>
          <w:color w:val="FF0000"/>
          <w:sz w:val="24"/>
        </w:rPr>
        <w:t>本次扩建项目主要施工内容为尾矿库现有尾矿库尾渣清运以及扩建和压滤间建设。本次现有尾矿库清运尾矿渣13万t。</w:t>
      </w:r>
      <w:r>
        <w:rPr>
          <w:rFonts w:ascii="Times New Roman" w:hAnsi="Times New Roman"/>
          <w:color w:val="FF0000"/>
          <w:sz w:val="24"/>
        </w:rPr>
        <w:t>在</w:t>
      </w:r>
      <w:r>
        <w:rPr>
          <w:rFonts w:hint="eastAsia" w:ascii="Times New Roman" w:hAnsi="Times New Roman"/>
          <w:color w:val="FF0000"/>
          <w:sz w:val="24"/>
        </w:rPr>
        <w:t>现有尾渣清运和土建</w:t>
      </w:r>
      <w:r>
        <w:rPr>
          <w:rFonts w:ascii="Times New Roman" w:hAnsi="Times New Roman"/>
          <w:color w:val="FF0000"/>
          <w:sz w:val="24"/>
        </w:rPr>
        <w:t>过程中将要进行大量的土石方开挖、建筑材料拌合等</w:t>
      </w:r>
      <w:r>
        <w:rPr>
          <w:rFonts w:hint="eastAsia" w:ascii="Times New Roman" w:hAnsi="Times New Roman"/>
          <w:color w:val="FF0000"/>
          <w:sz w:val="24"/>
        </w:rPr>
        <w:t>，</w:t>
      </w:r>
      <w:r>
        <w:rPr>
          <w:rFonts w:ascii="Times New Roman" w:hAnsi="Times New Roman"/>
          <w:color w:val="FF0000"/>
          <w:sz w:val="24"/>
        </w:rPr>
        <w:t>在施工场地将产生施工扬尘。通过建筑施工场地的类比调查表明，在不洒水的条件下，施工场地下风向200m范围内TSP的浓度在0.56～11.03mg/m</w:t>
      </w:r>
      <w:r>
        <w:rPr>
          <w:rFonts w:ascii="Times New Roman" w:hAnsi="Times New Roman"/>
          <w:color w:val="FF0000"/>
          <w:sz w:val="24"/>
          <w:vertAlign w:val="superscript"/>
        </w:rPr>
        <w:t>3</w:t>
      </w:r>
      <w:r>
        <w:rPr>
          <w:rFonts w:ascii="Times New Roman" w:hAnsi="Times New Roman"/>
          <w:color w:val="FF0000"/>
          <w:sz w:val="24"/>
        </w:rPr>
        <w:t>之间，超过二类区环境空气标准限值数倍至数十倍；200m以外TSP浓度将逐渐下降，洒水后基本可达标，可见施工现场通过洒水降尘，效果比较明显，降尘效率在31～80％之间，平均可降尘50％左右。</w:t>
      </w:r>
      <w:r>
        <w:rPr>
          <w:rFonts w:ascii="Times New Roman" w:hAnsi="Times New Roman"/>
          <w:sz w:val="24"/>
        </w:rPr>
        <w:t>详见</w:t>
      </w:r>
      <w:r>
        <w:rPr>
          <w:rFonts w:hint="eastAsia" w:ascii="Times New Roman" w:hAnsi="Times New Roman"/>
          <w:sz w:val="24"/>
        </w:rPr>
        <w:t>下表</w:t>
      </w:r>
      <w:r>
        <w:rPr>
          <w:rFonts w:ascii="Times New Roman" w:hAnsi="Times New Roman"/>
          <w:sz w:val="24"/>
        </w:rPr>
        <w:t>。</w:t>
      </w:r>
    </w:p>
    <w:p>
      <w:pPr>
        <w:jc w:val="center"/>
        <w:rPr>
          <w:rFonts w:ascii="Times New Roman" w:hAnsi="Times New Roman"/>
          <w:b/>
          <w:sz w:val="24"/>
        </w:rPr>
      </w:pPr>
      <w:r>
        <w:rPr>
          <w:rFonts w:ascii="Times New Roman" w:hAnsi="Times New Roman"/>
          <w:b/>
          <w:sz w:val="24"/>
        </w:rPr>
        <w:t>表3-</w:t>
      </w:r>
      <w:r>
        <w:rPr>
          <w:rFonts w:hint="eastAsia" w:ascii="Times New Roman" w:hAnsi="Times New Roman"/>
          <w:b/>
          <w:sz w:val="24"/>
        </w:rPr>
        <w:t>19</w:t>
      </w:r>
      <w:r>
        <w:rPr>
          <w:rFonts w:ascii="Times New Roman" w:hAnsi="Times New Roman"/>
          <w:b/>
          <w:sz w:val="24"/>
        </w:rPr>
        <w:t xml:space="preserve"> 施工场地TSP浓度值表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210"/>
        <w:gridCol w:w="1212"/>
        <w:gridCol w:w="1212"/>
        <w:gridCol w:w="1213"/>
        <w:gridCol w:w="1212"/>
        <w:gridCol w:w="1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2488" w:type="dxa"/>
            <w:gridSpan w:val="2"/>
            <w:vAlign w:val="center"/>
          </w:tcPr>
          <w:p>
            <w:pPr>
              <w:pStyle w:val="56"/>
              <w:adjustRightInd w:val="0"/>
              <w:snapToGrid w:val="0"/>
              <w:rPr>
                <w:kern w:val="2"/>
              </w:rPr>
            </w:pPr>
            <w:r>
              <w:rPr>
                <w:kern w:val="2"/>
              </w:rPr>
              <w:t>距施工场地距离（m）</w:t>
            </w:r>
          </w:p>
        </w:tc>
        <w:tc>
          <w:tcPr>
            <w:tcW w:w="1212" w:type="dxa"/>
            <w:vAlign w:val="center"/>
          </w:tcPr>
          <w:p>
            <w:pPr>
              <w:pStyle w:val="56"/>
              <w:adjustRightInd w:val="0"/>
              <w:snapToGrid w:val="0"/>
              <w:rPr>
                <w:kern w:val="2"/>
              </w:rPr>
            </w:pPr>
            <w:r>
              <w:rPr>
                <w:kern w:val="2"/>
              </w:rPr>
              <w:t>0</w:t>
            </w:r>
          </w:p>
        </w:tc>
        <w:tc>
          <w:tcPr>
            <w:tcW w:w="1212" w:type="dxa"/>
            <w:vAlign w:val="center"/>
          </w:tcPr>
          <w:p>
            <w:pPr>
              <w:pStyle w:val="56"/>
              <w:adjustRightInd w:val="0"/>
              <w:snapToGrid w:val="0"/>
              <w:rPr>
                <w:kern w:val="2"/>
              </w:rPr>
            </w:pPr>
            <w:r>
              <w:rPr>
                <w:kern w:val="2"/>
              </w:rPr>
              <w:t>20</w:t>
            </w:r>
          </w:p>
        </w:tc>
        <w:tc>
          <w:tcPr>
            <w:tcW w:w="1213" w:type="dxa"/>
            <w:vAlign w:val="center"/>
          </w:tcPr>
          <w:p>
            <w:pPr>
              <w:pStyle w:val="56"/>
              <w:adjustRightInd w:val="0"/>
              <w:snapToGrid w:val="0"/>
              <w:rPr>
                <w:kern w:val="2"/>
              </w:rPr>
            </w:pPr>
            <w:r>
              <w:rPr>
                <w:kern w:val="2"/>
              </w:rPr>
              <w:t>50</w:t>
            </w:r>
          </w:p>
        </w:tc>
        <w:tc>
          <w:tcPr>
            <w:tcW w:w="1212" w:type="dxa"/>
            <w:vAlign w:val="center"/>
          </w:tcPr>
          <w:p>
            <w:pPr>
              <w:pStyle w:val="56"/>
              <w:adjustRightInd w:val="0"/>
              <w:snapToGrid w:val="0"/>
              <w:rPr>
                <w:kern w:val="2"/>
              </w:rPr>
            </w:pPr>
            <w:r>
              <w:rPr>
                <w:kern w:val="2"/>
              </w:rPr>
              <w:t>100</w:t>
            </w:r>
          </w:p>
        </w:tc>
        <w:tc>
          <w:tcPr>
            <w:tcW w:w="1213" w:type="dxa"/>
            <w:vAlign w:val="center"/>
          </w:tcPr>
          <w:p>
            <w:pPr>
              <w:pStyle w:val="56"/>
              <w:adjustRightInd w:val="0"/>
              <w:snapToGrid w:val="0"/>
              <w:rPr>
                <w:kern w:val="2"/>
              </w:rPr>
            </w:pPr>
            <w:r>
              <w:rPr>
                <w:kern w:val="2"/>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278" w:type="dxa"/>
            <w:vMerge w:val="restart"/>
            <w:vAlign w:val="center"/>
          </w:tcPr>
          <w:p>
            <w:pPr>
              <w:pStyle w:val="56"/>
              <w:adjustRightInd w:val="0"/>
              <w:snapToGrid w:val="0"/>
              <w:rPr>
                <w:kern w:val="2"/>
              </w:rPr>
            </w:pPr>
            <w:r>
              <w:rPr>
                <w:kern w:val="2"/>
              </w:rPr>
              <w:t>TSP(mg/m</w:t>
            </w:r>
            <w:r>
              <w:rPr>
                <w:kern w:val="2"/>
                <w:vertAlign w:val="superscript"/>
              </w:rPr>
              <w:t>3</w:t>
            </w:r>
            <w:r>
              <w:rPr>
                <w:kern w:val="2"/>
              </w:rPr>
              <w:t>)</w:t>
            </w:r>
          </w:p>
        </w:tc>
        <w:tc>
          <w:tcPr>
            <w:tcW w:w="1210" w:type="dxa"/>
            <w:vAlign w:val="center"/>
          </w:tcPr>
          <w:p>
            <w:pPr>
              <w:pStyle w:val="56"/>
              <w:adjustRightInd w:val="0"/>
              <w:snapToGrid w:val="0"/>
              <w:ind w:firstLine="88" w:firstLineChars="42"/>
              <w:rPr>
                <w:kern w:val="2"/>
              </w:rPr>
            </w:pPr>
            <w:r>
              <w:rPr>
                <w:kern w:val="2"/>
              </w:rPr>
              <w:t>不洒水</w:t>
            </w:r>
          </w:p>
        </w:tc>
        <w:tc>
          <w:tcPr>
            <w:tcW w:w="1212" w:type="dxa"/>
            <w:vAlign w:val="center"/>
          </w:tcPr>
          <w:p>
            <w:pPr>
              <w:pStyle w:val="56"/>
              <w:adjustRightInd w:val="0"/>
              <w:snapToGrid w:val="0"/>
              <w:rPr>
                <w:kern w:val="2"/>
              </w:rPr>
            </w:pPr>
            <w:r>
              <w:rPr>
                <w:kern w:val="2"/>
              </w:rPr>
              <w:t>11.03</w:t>
            </w:r>
          </w:p>
        </w:tc>
        <w:tc>
          <w:tcPr>
            <w:tcW w:w="1212" w:type="dxa"/>
            <w:vAlign w:val="center"/>
          </w:tcPr>
          <w:p>
            <w:pPr>
              <w:pStyle w:val="56"/>
              <w:adjustRightInd w:val="0"/>
              <w:snapToGrid w:val="0"/>
              <w:rPr>
                <w:kern w:val="2"/>
              </w:rPr>
            </w:pPr>
            <w:r>
              <w:rPr>
                <w:kern w:val="2"/>
              </w:rPr>
              <w:t>2.89</w:t>
            </w:r>
          </w:p>
        </w:tc>
        <w:tc>
          <w:tcPr>
            <w:tcW w:w="1213" w:type="dxa"/>
            <w:vAlign w:val="center"/>
          </w:tcPr>
          <w:p>
            <w:pPr>
              <w:pStyle w:val="56"/>
              <w:adjustRightInd w:val="0"/>
              <w:snapToGrid w:val="0"/>
              <w:rPr>
                <w:kern w:val="2"/>
              </w:rPr>
            </w:pPr>
            <w:r>
              <w:rPr>
                <w:kern w:val="2"/>
              </w:rPr>
              <w:t>1.15</w:t>
            </w:r>
          </w:p>
        </w:tc>
        <w:tc>
          <w:tcPr>
            <w:tcW w:w="1212" w:type="dxa"/>
            <w:vAlign w:val="center"/>
          </w:tcPr>
          <w:p>
            <w:pPr>
              <w:pStyle w:val="56"/>
              <w:adjustRightInd w:val="0"/>
              <w:snapToGrid w:val="0"/>
              <w:rPr>
                <w:kern w:val="2"/>
              </w:rPr>
            </w:pPr>
            <w:r>
              <w:rPr>
                <w:kern w:val="2"/>
              </w:rPr>
              <w:t>0.86</w:t>
            </w:r>
          </w:p>
        </w:tc>
        <w:tc>
          <w:tcPr>
            <w:tcW w:w="1213" w:type="dxa"/>
            <w:vAlign w:val="center"/>
          </w:tcPr>
          <w:p>
            <w:pPr>
              <w:pStyle w:val="56"/>
              <w:adjustRightInd w:val="0"/>
              <w:snapToGrid w:val="0"/>
              <w:rPr>
                <w:kern w:val="2"/>
              </w:rPr>
            </w:pPr>
            <w:r>
              <w:rPr>
                <w:kern w:val="2"/>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1278" w:type="dxa"/>
            <w:vMerge w:val="continue"/>
            <w:vAlign w:val="center"/>
          </w:tcPr>
          <w:p>
            <w:pPr>
              <w:widowControl/>
              <w:jc w:val="left"/>
              <w:rPr>
                <w:rFonts w:ascii="Times New Roman" w:hAnsi="Times New Roman"/>
              </w:rPr>
            </w:pPr>
          </w:p>
        </w:tc>
        <w:tc>
          <w:tcPr>
            <w:tcW w:w="1210" w:type="dxa"/>
            <w:vAlign w:val="center"/>
          </w:tcPr>
          <w:p>
            <w:pPr>
              <w:pStyle w:val="56"/>
              <w:adjustRightInd w:val="0"/>
              <w:snapToGrid w:val="0"/>
              <w:ind w:firstLine="88" w:firstLineChars="42"/>
              <w:rPr>
                <w:kern w:val="2"/>
              </w:rPr>
            </w:pPr>
            <w:r>
              <w:rPr>
                <w:kern w:val="2"/>
              </w:rPr>
              <w:t>洒水</w:t>
            </w:r>
          </w:p>
        </w:tc>
        <w:tc>
          <w:tcPr>
            <w:tcW w:w="1212" w:type="dxa"/>
            <w:vAlign w:val="center"/>
          </w:tcPr>
          <w:p>
            <w:pPr>
              <w:pStyle w:val="56"/>
              <w:adjustRightInd w:val="0"/>
              <w:snapToGrid w:val="0"/>
              <w:rPr>
                <w:kern w:val="2"/>
              </w:rPr>
            </w:pPr>
            <w:r>
              <w:rPr>
                <w:kern w:val="2"/>
              </w:rPr>
              <w:t>2.11</w:t>
            </w:r>
          </w:p>
        </w:tc>
        <w:tc>
          <w:tcPr>
            <w:tcW w:w="1212" w:type="dxa"/>
            <w:vAlign w:val="center"/>
          </w:tcPr>
          <w:p>
            <w:pPr>
              <w:pStyle w:val="56"/>
              <w:adjustRightInd w:val="0"/>
              <w:snapToGrid w:val="0"/>
              <w:rPr>
                <w:kern w:val="2"/>
              </w:rPr>
            </w:pPr>
            <w:r>
              <w:rPr>
                <w:kern w:val="2"/>
              </w:rPr>
              <w:t>1.40</w:t>
            </w:r>
          </w:p>
        </w:tc>
        <w:tc>
          <w:tcPr>
            <w:tcW w:w="1213" w:type="dxa"/>
            <w:vAlign w:val="center"/>
          </w:tcPr>
          <w:p>
            <w:pPr>
              <w:pStyle w:val="56"/>
              <w:adjustRightInd w:val="0"/>
              <w:snapToGrid w:val="0"/>
              <w:rPr>
                <w:kern w:val="2"/>
              </w:rPr>
            </w:pPr>
            <w:r>
              <w:rPr>
                <w:kern w:val="2"/>
              </w:rPr>
              <w:t>0.68</w:t>
            </w:r>
          </w:p>
        </w:tc>
        <w:tc>
          <w:tcPr>
            <w:tcW w:w="1212" w:type="dxa"/>
            <w:vAlign w:val="center"/>
          </w:tcPr>
          <w:p>
            <w:pPr>
              <w:pStyle w:val="56"/>
              <w:adjustRightInd w:val="0"/>
              <w:snapToGrid w:val="0"/>
              <w:rPr>
                <w:kern w:val="2"/>
              </w:rPr>
            </w:pPr>
            <w:r>
              <w:rPr>
                <w:kern w:val="2"/>
              </w:rPr>
              <w:t>0.60</w:t>
            </w:r>
          </w:p>
        </w:tc>
        <w:tc>
          <w:tcPr>
            <w:tcW w:w="1213" w:type="dxa"/>
            <w:vAlign w:val="center"/>
          </w:tcPr>
          <w:p>
            <w:pPr>
              <w:pStyle w:val="56"/>
              <w:adjustRightInd w:val="0"/>
              <w:snapToGrid w:val="0"/>
              <w:rPr>
                <w:kern w:val="2"/>
              </w:rPr>
            </w:pPr>
            <w:r>
              <w:rPr>
                <w:kern w:val="2"/>
              </w:rPr>
              <w:t>0.28～0.29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2488" w:type="dxa"/>
            <w:gridSpan w:val="2"/>
            <w:vAlign w:val="center"/>
          </w:tcPr>
          <w:p>
            <w:pPr>
              <w:pStyle w:val="56"/>
              <w:adjustRightInd w:val="0"/>
              <w:snapToGrid w:val="0"/>
              <w:ind w:firstLine="480"/>
              <w:rPr>
                <w:kern w:val="2"/>
              </w:rPr>
            </w:pPr>
            <w:r>
              <w:rPr>
                <w:kern w:val="2"/>
              </w:rPr>
              <w:t>降尘效率（％）</w:t>
            </w:r>
          </w:p>
        </w:tc>
        <w:tc>
          <w:tcPr>
            <w:tcW w:w="1212" w:type="dxa"/>
            <w:vAlign w:val="center"/>
          </w:tcPr>
          <w:p>
            <w:pPr>
              <w:pStyle w:val="56"/>
              <w:adjustRightInd w:val="0"/>
              <w:snapToGrid w:val="0"/>
              <w:rPr>
                <w:kern w:val="2"/>
              </w:rPr>
            </w:pPr>
            <w:r>
              <w:rPr>
                <w:kern w:val="2"/>
              </w:rPr>
              <w:t>80</w:t>
            </w:r>
          </w:p>
        </w:tc>
        <w:tc>
          <w:tcPr>
            <w:tcW w:w="1212" w:type="dxa"/>
            <w:vAlign w:val="center"/>
          </w:tcPr>
          <w:p>
            <w:pPr>
              <w:pStyle w:val="56"/>
              <w:adjustRightInd w:val="0"/>
              <w:snapToGrid w:val="0"/>
              <w:rPr>
                <w:kern w:val="2"/>
              </w:rPr>
            </w:pPr>
            <w:r>
              <w:rPr>
                <w:kern w:val="2"/>
              </w:rPr>
              <w:t>52</w:t>
            </w:r>
          </w:p>
        </w:tc>
        <w:tc>
          <w:tcPr>
            <w:tcW w:w="1213" w:type="dxa"/>
            <w:vAlign w:val="center"/>
          </w:tcPr>
          <w:p>
            <w:pPr>
              <w:pStyle w:val="56"/>
              <w:adjustRightInd w:val="0"/>
              <w:snapToGrid w:val="0"/>
              <w:rPr>
                <w:kern w:val="2"/>
              </w:rPr>
            </w:pPr>
            <w:r>
              <w:rPr>
                <w:kern w:val="2"/>
              </w:rPr>
              <w:t>41</w:t>
            </w:r>
          </w:p>
        </w:tc>
        <w:tc>
          <w:tcPr>
            <w:tcW w:w="1212" w:type="dxa"/>
            <w:vAlign w:val="center"/>
          </w:tcPr>
          <w:p>
            <w:pPr>
              <w:pStyle w:val="56"/>
              <w:adjustRightInd w:val="0"/>
              <w:snapToGrid w:val="0"/>
              <w:rPr>
                <w:kern w:val="2"/>
              </w:rPr>
            </w:pPr>
            <w:r>
              <w:rPr>
                <w:kern w:val="2"/>
              </w:rPr>
              <w:t>31</w:t>
            </w:r>
          </w:p>
        </w:tc>
        <w:tc>
          <w:tcPr>
            <w:tcW w:w="1213" w:type="dxa"/>
            <w:vAlign w:val="center"/>
          </w:tcPr>
          <w:p>
            <w:pPr>
              <w:pStyle w:val="56"/>
              <w:adjustRightInd w:val="0"/>
              <w:snapToGrid w:val="0"/>
              <w:rPr>
                <w:kern w:val="2"/>
              </w:rPr>
            </w:pPr>
            <w:r>
              <w:rPr>
                <w:kern w:val="2"/>
              </w:rPr>
              <w:t>50</w:t>
            </w:r>
          </w:p>
        </w:tc>
      </w:tr>
    </w:tbl>
    <w:p>
      <w:pPr>
        <w:spacing w:line="360" w:lineRule="auto"/>
        <w:ind w:firstLine="482"/>
        <w:rPr>
          <w:rFonts w:ascii="Times New Roman" w:hAnsi="Times New Roman"/>
          <w:color w:val="FF0000"/>
          <w:sz w:val="24"/>
        </w:rPr>
      </w:pPr>
      <w:r>
        <w:rPr>
          <w:rFonts w:ascii="Times New Roman" w:hAnsi="Times New Roman"/>
          <w:color w:val="FF0000"/>
          <w:sz w:val="24"/>
        </w:rPr>
        <w:t>（</w:t>
      </w:r>
      <w:r>
        <w:rPr>
          <w:rFonts w:hint="eastAsia" w:ascii="Times New Roman" w:hAnsi="Times New Roman"/>
          <w:color w:val="FF0000"/>
          <w:sz w:val="24"/>
        </w:rPr>
        <w:t>2</w:t>
      </w:r>
      <w:r>
        <w:rPr>
          <w:rFonts w:ascii="Times New Roman" w:hAnsi="Times New Roman"/>
          <w:color w:val="FF0000"/>
          <w:sz w:val="24"/>
        </w:rPr>
        <w:t>）车辆尾气及运输扬尘</w:t>
      </w:r>
    </w:p>
    <w:p>
      <w:pPr>
        <w:spacing w:line="360" w:lineRule="auto"/>
        <w:ind w:firstLine="482"/>
        <w:rPr>
          <w:rFonts w:ascii="Times New Roman" w:hAnsi="Times New Roman"/>
          <w:b/>
          <w:color w:val="FF0000"/>
          <w:sz w:val="24"/>
        </w:rPr>
      </w:pPr>
      <w:r>
        <w:rPr>
          <w:rFonts w:hint="eastAsia" w:ascii="Times New Roman" w:hAnsi="Times New Roman"/>
          <w:color w:val="FF0000"/>
          <w:sz w:val="24"/>
        </w:rPr>
        <w:t>本项目施工期现有尾渣需清运13万t，</w:t>
      </w:r>
      <w:r>
        <w:rPr>
          <w:rFonts w:ascii="Times New Roman" w:hAnsi="Times New Roman"/>
          <w:color w:val="FF0000"/>
          <w:sz w:val="24"/>
        </w:rPr>
        <w:t>车辆排放的尾气比较集中，据对燃油车辆调查，每辆车日耗油量为20kg/d，其中70%为柴油，30%为汽油，单车平均日排放污染物见</w:t>
      </w:r>
      <w:r>
        <w:rPr>
          <w:rFonts w:hint="eastAsia" w:ascii="Times New Roman" w:hAnsi="Times New Roman"/>
          <w:color w:val="FF0000"/>
          <w:sz w:val="24"/>
        </w:rPr>
        <w:t>下表</w:t>
      </w:r>
      <w:r>
        <w:rPr>
          <w:rFonts w:ascii="Times New Roman" w:hAnsi="Times New Roman"/>
          <w:color w:val="FF0000"/>
          <w:sz w:val="24"/>
        </w:rPr>
        <w:t>。</w:t>
      </w:r>
    </w:p>
    <w:p>
      <w:pPr>
        <w:jc w:val="center"/>
        <w:rPr>
          <w:rFonts w:ascii="Times New Roman" w:hAnsi="Times New Roman"/>
          <w:szCs w:val="21"/>
        </w:rPr>
      </w:pPr>
      <w:r>
        <w:rPr>
          <w:rFonts w:ascii="Times New Roman" w:hAnsi="Times New Roman"/>
          <w:b/>
          <w:sz w:val="24"/>
        </w:rPr>
        <w:t>表3-</w:t>
      </w:r>
      <w:r>
        <w:rPr>
          <w:rFonts w:hint="eastAsia" w:ascii="Times New Roman" w:hAnsi="Times New Roman"/>
          <w:b/>
          <w:sz w:val="24"/>
        </w:rPr>
        <w:t>20</w:t>
      </w:r>
      <w:r>
        <w:rPr>
          <w:rFonts w:ascii="Times New Roman" w:hAnsi="Times New Roman"/>
          <w:b/>
          <w:sz w:val="24"/>
        </w:rPr>
        <w:t xml:space="preserve">单车排放尾气污染物       </w:t>
      </w:r>
      <w:r>
        <w:rPr>
          <w:rFonts w:ascii="Times New Roman" w:hAnsi="Times New Roman"/>
          <w:szCs w:val="21"/>
        </w:rPr>
        <w:t>单位：kg/d</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180"/>
        <w:gridCol w:w="2180"/>
        <w:gridCol w:w="2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180" w:type="dxa"/>
            <w:vAlign w:val="center"/>
          </w:tcPr>
          <w:p>
            <w:pPr>
              <w:jc w:val="center"/>
              <w:rPr>
                <w:rFonts w:ascii="Times New Roman" w:hAnsi="Times New Roman"/>
                <w:kern w:val="0"/>
              </w:rPr>
            </w:pPr>
            <w:r>
              <w:rPr>
                <w:rFonts w:ascii="Times New Roman" w:hAnsi="Times New Roman"/>
                <w:kern w:val="0"/>
              </w:rPr>
              <w:t>非甲烷总烃</w:t>
            </w:r>
          </w:p>
        </w:tc>
        <w:tc>
          <w:tcPr>
            <w:tcW w:w="2180" w:type="dxa"/>
            <w:vAlign w:val="center"/>
          </w:tcPr>
          <w:p>
            <w:pPr>
              <w:jc w:val="center"/>
              <w:rPr>
                <w:rFonts w:ascii="Times New Roman" w:hAnsi="Times New Roman"/>
                <w:kern w:val="0"/>
              </w:rPr>
            </w:pPr>
            <w:r>
              <w:rPr>
                <w:rFonts w:ascii="Times New Roman" w:hAnsi="Times New Roman"/>
                <w:kern w:val="0"/>
              </w:rPr>
              <w:t>SO</w:t>
            </w:r>
            <w:r>
              <w:rPr>
                <w:rFonts w:ascii="Times New Roman" w:hAnsi="Times New Roman"/>
                <w:kern w:val="0"/>
                <w:vertAlign w:val="subscript"/>
              </w:rPr>
              <w:t>2</w:t>
            </w:r>
          </w:p>
        </w:tc>
        <w:tc>
          <w:tcPr>
            <w:tcW w:w="2180" w:type="dxa"/>
            <w:vAlign w:val="center"/>
          </w:tcPr>
          <w:p>
            <w:pPr>
              <w:jc w:val="center"/>
              <w:rPr>
                <w:rFonts w:ascii="Times New Roman" w:hAnsi="Times New Roman"/>
                <w:kern w:val="0"/>
              </w:rPr>
            </w:pPr>
            <w:r>
              <w:rPr>
                <w:rFonts w:ascii="Times New Roman" w:hAnsi="Times New Roman"/>
                <w:kern w:val="0"/>
              </w:rPr>
              <w:t>NO</w:t>
            </w:r>
            <w:r>
              <w:rPr>
                <w:rFonts w:hint="eastAsia" w:ascii="Times New Roman" w:hAnsi="Times New Roman"/>
                <w:kern w:val="0"/>
                <w:vertAlign w:val="subscript"/>
              </w:rPr>
              <w:t>x</w:t>
            </w:r>
          </w:p>
        </w:tc>
        <w:tc>
          <w:tcPr>
            <w:tcW w:w="2180" w:type="dxa"/>
            <w:vAlign w:val="center"/>
          </w:tcPr>
          <w:p>
            <w:pPr>
              <w:jc w:val="center"/>
              <w:rPr>
                <w:rFonts w:ascii="Times New Roman" w:hAnsi="Times New Roman"/>
                <w:kern w:val="0"/>
              </w:rPr>
            </w:pPr>
            <w:r>
              <w:rPr>
                <w:rFonts w:ascii="Times New Roman" w:hAnsi="Times New Roman"/>
                <w:kern w:val="0"/>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180" w:type="dxa"/>
            <w:vAlign w:val="center"/>
          </w:tcPr>
          <w:p>
            <w:pPr>
              <w:jc w:val="center"/>
              <w:rPr>
                <w:rFonts w:ascii="Times New Roman" w:hAnsi="Times New Roman"/>
                <w:kern w:val="0"/>
              </w:rPr>
            </w:pPr>
            <w:r>
              <w:rPr>
                <w:rFonts w:ascii="Times New Roman" w:hAnsi="Times New Roman"/>
                <w:kern w:val="0"/>
              </w:rPr>
              <w:t>2.69</w:t>
            </w:r>
          </w:p>
        </w:tc>
        <w:tc>
          <w:tcPr>
            <w:tcW w:w="2180" w:type="dxa"/>
            <w:vAlign w:val="center"/>
          </w:tcPr>
          <w:p>
            <w:pPr>
              <w:jc w:val="center"/>
              <w:rPr>
                <w:rFonts w:ascii="Times New Roman" w:hAnsi="Times New Roman"/>
                <w:kern w:val="0"/>
              </w:rPr>
            </w:pPr>
            <w:r>
              <w:rPr>
                <w:rFonts w:ascii="Times New Roman" w:hAnsi="Times New Roman"/>
                <w:kern w:val="0"/>
              </w:rPr>
              <w:t>0.27</w:t>
            </w:r>
          </w:p>
        </w:tc>
        <w:tc>
          <w:tcPr>
            <w:tcW w:w="2180" w:type="dxa"/>
            <w:vAlign w:val="center"/>
          </w:tcPr>
          <w:p>
            <w:pPr>
              <w:jc w:val="center"/>
              <w:rPr>
                <w:rFonts w:ascii="Times New Roman" w:hAnsi="Times New Roman"/>
                <w:kern w:val="0"/>
              </w:rPr>
            </w:pPr>
            <w:r>
              <w:rPr>
                <w:rFonts w:ascii="Times New Roman" w:hAnsi="Times New Roman"/>
                <w:kern w:val="0"/>
              </w:rPr>
              <w:t>4.31</w:t>
            </w:r>
          </w:p>
        </w:tc>
        <w:tc>
          <w:tcPr>
            <w:tcW w:w="2180" w:type="dxa"/>
            <w:vAlign w:val="center"/>
          </w:tcPr>
          <w:p>
            <w:pPr>
              <w:jc w:val="center"/>
              <w:rPr>
                <w:rFonts w:ascii="Times New Roman" w:hAnsi="Times New Roman"/>
                <w:kern w:val="0"/>
              </w:rPr>
            </w:pPr>
            <w:r>
              <w:rPr>
                <w:rFonts w:ascii="Times New Roman" w:hAnsi="Times New Roman"/>
                <w:kern w:val="0"/>
              </w:rPr>
              <w:t>0.4</w:t>
            </w:r>
          </w:p>
        </w:tc>
      </w:tr>
    </w:tbl>
    <w:p>
      <w:pPr>
        <w:widowControl/>
        <w:adjustRightInd w:val="0"/>
        <w:snapToGrid w:val="0"/>
        <w:spacing w:beforeLines="50" w:line="360" w:lineRule="auto"/>
        <w:outlineLvl w:val="2"/>
        <w:rPr>
          <w:rFonts w:ascii="Times New Roman" w:hAnsi="Times New Roman"/>
          <w:b/>
          <w:sz w:val="24"/>
        </w:rPr>
      </w:pPr>
      <w:bookmarkStart w:id="225" w:name="_Toc29037"/>
      <w:bookmarkStart w:id="226" w:name="_Toc31522"/>
      <w:bookmarkStart w:id="227" w:name="_Toc7139"/>
      <w:r>
        <w:rPr>
          <w:rFonts w:ascii="Times New Roman" w:hAnsi="Times New Roman"/>
          <w:b/>
          <w:sz w:val="24"/>
        </w:rPr>
        <w:t>3.</w:t>
      </w:r>
      <w:r>
        <w:rPr>
          <w:rFonts w:hint="eastAsia" w:ascii="Times New Roman" w:hAnsi="Times New Roman"/>
          <w:b/>
          <w:sz w:val="24"/>
        </w:rPr>
        <w:t>4</w:t>
      </w:r>
      <w:r>
        <w:rPr>
          <w:rFonts w:ascii="Times New Roman" w:hAnsi="Times New Roman"/>
          <w:b/>
          <w:sz w:val="24"/>
        </w:rPr>
        <w:t>.1.2废水</w:t>
      </w:r>
      <w:bookmarkEnd w:id="225"/>
      <w:bookmarkEnd w:id="226"/>
      <w:bookmarkEnd w:id="227"/>
    </w:p>
    <w:p>
      <w:pPr>
        <w:spacing w:line="360" w:lineRule="auto"/>
        <w:ind w:firstLine="480" w:firstLineChars="200"/>
        <w:rPr>
          <w:rFonts w:ascii="Times New Roman" w:hAnsi="Times New Roman"/>
          <w:sz w:val="24"/>
        </w:rPr>
      </w:pPr>
      <w:r>
        <w:rPr>
          <w:rFonts w:ascii="Times New Roman" w:hAnsi="Times New Roman"/>
          <w:sz w:val="24"/>
        </w:rPr>
        <w:t>（1）施工生产废水</w:t>
      </w:r>
    </w:p>
    <w:p>
      <w:pPr>
        <w:spacing w:line="360" w:lineRule="auto"/>
        <w:ind w:firstLine="480" w:firstLineChars="200"/>
        <w:rPr>
          <w:rFonts w:ascii="Times New Roman" w:hAnsi="Times New Roman"/>
          <w:sz w:val="24"/>
        </w:rPr>
      </w:pPr>
      <w:r>
        <w:rPr>
          <w:rFonts w:ascii="Times New Roman" w:hAnsi="Times New Roman"/>
          <w:sz w:val="24"/>
        </w:rPr>
        <w:t>施工生产废水主要产生于砂石料搅拌、施工机械车轮等冲洗废水。砂石料生产废水</w:t>
      </w:r>
      <w:r>
        <w:rPr>
          <w:rFonts w:ascii="Times New Roman" w:hAnsi="Times New Roman"/>
          <w:snapToGrid w:val="0"/>
          <w:sz w:val="24"/>
        </w:rPr>
        <w:t>产生量约为10t/d，</w:t>
      </w:r>
      <w:r>
        <w:rPr>
          <w:rFonts w:ascii="Times New Roman" w:hAnsi="Times New Roman"/>
          <w:sz w:val="24"/>
        </w:rPr>
        <w:t>如果不加处理，将浪费水资源且污染环境。机械车辆维修冲洗废水中主要含泥沙及油污，废水</w:t>
      </w:r>
      <w:r>
        <w:rPr>
          <w:rFonts w:ascii="Times New Roman" w:hAnsi="Times New Roman"/>
          <w:snapToGrid w:val="0"/>
          <w:sz w:val="24"/>
        </w:rPr>
        <w:t>产生量约为2t/d，</w:t>
      </w:r>
      <w:r>
        <w:rPr>
          <w:rFonts w:ascii="Times New Roman" w:hAnsi="Times New Roman"/>
          <w:sz w:val="24"/>
        </w:rPr>
        <w:t>其主要污染控制指标为SS、石油类，需经除油、沉淀处理。废水中</w:t>
      </w:r>
      <w:r>
        <w:rPr>
          <w:rFonts w:hint="eastAsia" w:ascii="Times New Roman" w:hAnsi="Times New Roman"/>
          <w:sz w:val="24"/>
        </w:rPr>
        <w:t>各项水污染物的产生浓度分别为</w:t>
      </w:r>
      <w:r>
        <w:rPr>
          <w:rFonts w:ascii="Times New Roman" w:hAnsi="Times New Roman"/>
          <w:sz w:val="24"/>
        </w:rPr>
        <w:t>COD：280mg/</w:t>
      </w:r>
      <w:r>
        <w:rPr>
          <w:rFonts w:hint="eastAsia" w:ascii="Times New Roman" w:hAnsi="Times New Roman"/>
          <w:sz w:val="24"/>
        </w:rPr>
        <w:t>L</w:t>
      </w:r>
      <w:r>
        <w:rPr>
          <w:rFonts w:ascii="Times New Roman" w:hAnsi="Times New Roman"/>
          <w:sz w:val="24"/>
        </w:rPr>
        <w:t>；BOD</w:t>
      </w:r>
      <w:r>
        <w:rPr>
          <w:rFonts w:ascii="Times New Roman" w:hAnsi="Times New Roman"/>
          <w:sz w:val="24"/>
          <w:vertAlign w:val="subscript"/>
        </w:rPr>
        <w:t>5</w:t>
      </w:r>
      <w:r>
        <w:rPr>
          <w:rFonts w:ascii="Times New Roman" w:hAnsi="Times New Roman"/>
          <w:sz w:val="24"/>
        </w:rPr>
        <w:t>：180mg/</w:t>
      </w:r>
      <w:r>
        <w:rPr>
          <w:rFonts w:hint="eastAsia" w:ascii="Times New Roman" w:hAnsi="Times New Roman"/>
          <w:sz w:val="24"/>
        </w:rPr>
        <w:t>L</w:t>
      </w:r>
      <w:r>
        <w:rPr>
          <w:rFonts w:ascii="Times New Roman" w:hAnsi="Times New Roman"/>
          <w:sz w:val="24"/>
        </w:rPr>
        <w:t>；SS：500mg/</w:t>
      </w:r>
      <w:r>
        <w:rPr>
          <w:rFonts w:hint="eastAsia" w:ascii="Times New Roman" w:hAnsi="Times New Roman"/>
          <w:sz w:val="24"/>
        </w:rPr>
        <w:t>L</w:t>
      </w:r>
      <w:r>
        <w:rPr>
          <w:rFonts w:ascii="Times New Roman" w:hAnsi="Times New Roman"/>
          <w:sz w:val="24"/>
        </w:rPr>
        <w:t>；石油类：10mg/</w:t>
      </w:r>
      <w:r>
        <w:rPr>
          <w:rFonts w:hint="eastAsia" w:ascii="Times New Roman" w:hAnsi="Times New Roman"/>
          <w:sz w:val="24"/>
        </w:rPr>
        <w:t>L</w:t>
      </w:r>
      <w:r>
        <w:rPr>
          <w:rFonts w:ascii="Times New Roman" w:hAnsi="Times New Roman"/>
          <w:sz w:val="24"/>
        </w:rPr>
        <w:t>。</w:t>
      </w:r>
    </w:p>
    <w:p>
      <w:pPr>
        <w:spacing w:line="360" w:lineRule="auto"/>
        <w:ind w:firstLine="480" w:firstLineChars="200"/>
        <w:outlineLvl w:val="0"/>
        <w:rPr>
          <w:rFonts w:ascii="Times New Roman" w:hAnsi="Times New Roman"/>
          <w:sz w:val="24"/>
        </w:rPr>
      </w:pPr>
      <w:r>
        <w:rPr>
          <w:rFonts w:ascii="Times New Roman" w:hAnsi="Times New Roman"/>
          <w:sz w:val="24"/>
        </w:rPr>
        <w:t>（2）施工生活污水</w:t>
      </w:r>
    </w:p>
    <w:p>
      <w:pPr>
        <w:spacing w:line="360" w:lineRule="auto"/>
        <w:ind w:firstLine="480" w:firstLineChars="200"/>
        <w:rPr>
          <w:rFonts w:ascii="Times New Roman" w:hAnsi="Times New Roman"/>
          <w:sz w:val="24"/>
        </w:rPr>
      </w:pPr>
      <w:r>
        <w:rPr>
          <w:rFonts w:ascii="Times New Roman" w:hAnsi="Times New Roman"/>
          <w:sz w:val="24"/>
        </w:rPr>
        <w:t>施工生活污水来自施工期进场的管理人员和施工人员。工程施工人员50人，生活污水水量约为1t/d，生活污水的主要污染控制指标是BOD</w:t>
      </w:r>
      <w:r>
        <w:rPr>
          <w:rFonts w:ascii="Times New Roman" w:hAnsi="Times New Roman"/>
          <w:sz w:val="24"/>
          <w:vertAlign w:val="subscript"/>
        </w:rPr>
        <w:t>5</w:t>
      </w:r>
      <w:r>
        <w:rPr>
          <w:rFonts w:ascii="Times New Roman" w:hAnsi="Times New Roman"/>
          <w:sz w:val="24"/>
        </w:rPr>
        <w:t>、COD、SS等，</w:t>
      </w:r>
      <w:r>
        <w:rPr>
          <w:rFonts w:hint="eastAsia" w:ascii="Times New Roman" w:hAnsi="Times New Roman"/>
          <w:sz w:val="24"/>
        </w:rPr>
        <w:t>产生浓度分别为</w:t>
      </w:r>
      <w:r>
        <w:rPr>
          <w:rFonts w:ascii="Times New Roman" w:hAnsi="Times New Roman"/>
          <w:sz w:val="24"/>
        </w:rPr>
        <w:t>COD：280mg/</w:t>
      </w:r>
      <w:r>
        <w:rPr>
          <w:rFonts w:hint="eastAsia" w:ascii="Times New Roman" w:hAnsi="Times New Roman"/>
          <w:sz w:val="24"/>
        </w:rPr>
        <w:t>L</w:t>
      </w:r>
      <w:r>
        <w:rPr>
          <w:rFonts w:ascii="Times New Roman" w:hAnsi="Times New Roman"/>
          <w:sz w:val="24"/>
        </w:rPr>
        <w:t>；BOD</w:t>
      </w:r>
      <w:r>
        <w:rPr>
          <w:rFonts w:ascii="Times New Roman" w:hAnsi="Times New Roman"/>
          <w:sz w:val="24"/>
          <w:vertAlign w:val="subscript"/>
        </w:rPr>
        <w:t>5</w:t>
      </w:r>
      <w:r>
        <w:rPr>
          <w:rFonts w:ascii="Times New Roman" w:hAnsi="Times New Roman"/>
          <w:sz w:val="24"/>
        </w:rPr>
        <w:t>：180mg/</w:t>
      </w:r>
      <w:r>
        <w:rPr>
          <w:rFonts w:hint="eastAsia" w:ascii="Times New Roman" w:hAnsi="Times New Roman"/>
          <w:sz w:val="24"/>
        </w:rPr>
        <w:t>L</w:t>
      </w:r>
      <w:r>
        <w:rPr>
          <w:rFonts w:ascii="Times New Roman" w:hAnsi="Times New Roman"/>
          <w:sz w:val="24"/>
        </w:rPr>
        <w:t>；SS：250mg/</w:t>
      </w:r>
      <w:r>
        <w:rPr>
          <w:rFonts w:hint="eastAsia" w:ascii="Times New Roman" w:hAnsi="Times New Roman"/>
          <w:sz w:val="24"/>
        </w:rPr>
        <w:t>L</w:t>
      </w:r>
      <w:r>
        <w:rPr>
          <w:rFonts w:ascii="Times New Roman" w:hAnsi="Times New Roman"/>
          <w:sz w:val="24"/>
        </w:rPr>
        <w:t>。</w:t>
      </w:r>
    </w:p>
    <w:p>
      <w:pPr>
        <w:spacing w:line="360" w:lineRule="auto"/>
        <w:ind w:firstLine="482"/>
        <w:rPr>
          <w:rFonts w:ascii="Times New Roman" w:hAnsi="Times New Roman"/>
          <w:sz w:val="24"/>
        </w:rPr>
      </w:pPr>
      <w:r>
        <w:rPr>
          <w:rFonts w:ascii="Times New Roman" w:hAnsi="Times New Roman"/>
          <w:sz w:val="24"/>
        </w:rPr>
        <w:t>施工废水主要污染物见</w:t>
      </w:r>
      <w:r>
        <w:rPr>
          <w:rFonts w:hint="eastAsia" w:ascii="Times New Roman" w:hAnsi="Times New Roman"/>
          <w:sz w:val="24"/>
        </w:rPr>
        <w:t>下表</w:t>
      </w:r>
      <w:r>
        <w:rPr>
          <w:rFonts w:ascii="Times New Roman" w:hAnsi="Times New Roman"/>
          <w:sz w:val="24"/>
        </w:rPr>
        <w:t>。</w:t>
      </w:r>
    </w:p>
    <w:p>
      <w:pPr>
        <w:pStyle w:val="76"/>
        <w:jc w:val="center"/>
        <w:rPr>
          <w:b/>
          <w:sz w:val="24"/>
        </w:rPr>
      </w:pPr>
      <w:r>
        <w:rPr>
          <w:b/>
          <w:sz w:val="24"/>
        </w:rPr>
        <w:t>表3-</w:t>
      </w:r>
      <w:r>
        <w:rPr>
          <w:rFonts w:hint="eastAsia"/>
          <w:b/>
          <w:sz w:val="24"/>
        </w:rPr>
        <w:t>21</w:t>
      </w:r>
      <w:r>
        <w:rPr>
          <w:b/>
          <w:sz w:val="24"/>
        </w:rPr>
        <w:t xml:space="preserve"> 施工废水主要污染物一览表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04"/>
        <w:gridCol w:w="1359"/>
        <w:gridCol w:w="1277"/>
        <w:gridCol w:w="1275"/>
        <w:gridCol w:w="1352"/>
        <w:gridCol w:w="11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8" w:type="dxa"/>
            <w:vMerge w:val="restart"/>
            <w:vAlign w:val="center"/>
          </w:tcPr>
          <w:p>
            <w:pPr>
              <w:adjustRightInd w:val="0"/>
              <w:jc w:val="center"/>
              <w:rPr>
                <w:rFonts w:ascii="Times New Roman" w:hAnsi="Times New Roman"/>
                <w:kern w:val="0"/>
                <w:szCs w:val="21"/>
              </w:rPr>
            </w:pPr>
            <w:r>
              <w:rPr>
                <w:rFonts w:ascii="Times New Roman" w:hAnsi="Times New Roman"/>
                <w:kern w:val="0"/>
                <w:szCs w:val="21"/>
              </w:rPr>
              <w:t>废水来源</w:t>
            </w:r>
          </w:p>
        </w:tc>
        <w:tc>
          <w:tcPr>
            <w:tcW w:w="1104" w:type="dxa"/>
            <w:vMerge w:val="restart"/>
            <w:vAlign w:val="center"/>
          </w:tcPr>
          <w:p>
            <w:pPr>
              <w:adjustRightInd w:val="0"/>
              <w:jc w:val="center"/>
              <w:rPr>
                <w:rFonts w:ascii="Times New Roman" w:hAnsi="Times New Roman"/>
                <w:kern w:val="0"/>
                <w:szCs w:val="21"/>
              </w:rPr>
            </w:pPr>
            <w:r>
              <w:rPr>
                <w:rFonts w:ascii="Times New Roman" w:hAnsi="Times New Roman"/>
                <w:kern w:val="0"/>
                <w:szCs w:val="21"/>
              </w:rPr>
              <w:t>废水量</w:t>
            </w:r>
          </w:p>
          <w:p>
            <w:pPr>
              <w:adjustRightInd w:val="0"/>
              <w:jc w:val="center"/>
              <w:rPr>
                <w:rFonts w:ascii="Times New Roman" w:hAnsi="Times New Roman"/>
                <w:kern w:val="0"/>
                <w:szCs w:val="21"/>
              </w:rPr>
            </w:pP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/d）</w:t>
            </w:r>
          </w:p>
        </w:tc>
        <w:tc>
          <w:tcPr>
            <w:tcW w:w="6428" w:type="dxa"/>
            <w:gridSpan w:val="5"/>
            <w:vAlign w:val="center"/>
          </w:tcPr>
          <w:p>
            <w:pPr>
              <w:adjustRightInd w:val="0"/>
              <w:jc w:val="center"/>
              <w:rPr>
                <w:rFonts w:ascii="Times New Roman" w:hAnsi="Times New Roman"/>
                <w:kern w:val="0"/>
                <w:szCs w:val="21"/>
              </w:rPr>
            </w:pPr>
            <w:r>
              <w:rPr>
                <w:rFonts w:ascii="Times New Roman" w:hAnsi="Times New Roman"/>
                <w:kern w:val="0"/>
                <w:szCs w:val="21"/>
              </w:rPr>
              <w:t>污染物（mg/L）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188" w:type="dxa"/>
            <w:vMerge w:val="continue"/>
            <w:vAlign w:val="center"/>
          </w:tcPr>
          <w:p>
            <w:pPr>
              <w:widowControl/>
              <w:jc w:val="left"/>
              <w:rPr>
                <w:rFonts w:ascii="Times New Roman" w:hAnsi="Times New Roman"/>
                <w:kern w:val="0"/>
                <w:szCs w:val="21"/>
              </w:rPr>
            </w:pPr>
          </w:p>
        </w:tc>
        <w:tc>
          <w:tcPr>
            <w:tcW w:w="1104" w:type="dxa"/>
            <w:vMerge w:val="continue"/>
            <w:vAlign w:val="center"/>
          </w:tcPr>
          <w:p>
            <w:pPr>
              <w:widowControl/>
              <w:jc w:val="left"/>
              <w:rPr>
                <w:rFonts w:ascii="Times New Roman" w:hAnsi="Times New Roman"/>
                <w:kern w:val="0"/>
                <w:szCs w:val="21"/>
              </w:rPr>
            </w:pPr>
          </w:p>
        </w:tc>
        <w:tc>
          <w:tcPr>
            <w:tcW w:w="1359" w:type="dxa"/>
            <w:vAlign w:val="center"/>
          </w:tcPr>
          <w:p>
            <w:pPr>
              <w:adjustRightInd w:val="0"/>
              <w:jc w:val="center"/>
              <w:rPr>
                <w:rFonts w:ascii="Times New Roman" w:hAnsi="Times New Roman"/>
                <w:kern w:val="0"/>
                <w:szCs w:val="21"/>
              </w:rPr>
            </w:pPr>
            <w:r>
              <w:rPr>
                <w:rFonts w:ascii="Times New Roman" w:hAnsi="Times New Roman"/>
                <w:kern w:val="0"/>
                <w:szCs w:val="21"/>
              </w:rPr>
              <w:t>pH</w:t>
            </w:r>
          </w:p>
        </w:tc>
        <w:tc>
          <w:tcPr>
            <w:tcW w:w="1277" w:type="dxa"/>
            <w:vAlign w:val="center"/>
          </w:tcPr>
          <w:p>
            <w:pPr>
              <w:adjustRightInd w:val="0"/>
              <w:jc w:val="center"/>
              <w:rPr>
                <w:rFonts w:ascii="Times New Roman" w:hAnsi="Times New Roman"/>
                <w:kern w:val="0"/>
                <w:szCs w:val="21"/>
              </w:rPr>
            </w:pPr>
            <w:r>
              <w:rPr>
                <w:rFonts w:ascii="Times New Roman" w:hAnsi="Times New Roman"/>
                <w:kern w:val="0"/>
                <w:szCs w:val="21"/>
              </w:rPr>
              <w:t>COD</w:t>
            </w:r>
          </w:p>
        </w:tc>
        <w:tc>
          <w:tcPr>
            <w:tcW w:w="1275" w:type="dxa"/>
            <w:vAlign w:val="center"/>
          </w:tcPr>
          <w:p>
            <w:pPr>
              <w:adjustRightInd w:val="0"/>
              <w:jc w:val="center"/>
              <w:rPr>
                <w:rFonts w:ascii="Times New Roman" w:hAnsi="Times New Roman"/>
                <w:kern w:val="0"/>
                <w:szCs w:val="21"/>
              </w:rPr>
            </w:pPr>
            <w:r>
              <w:rPr>
                <w:rFonts w:ascii="Times New Roman" w:hAnsi="Times New Roman"/>
                <w:kern w:val="0"/>
                <w:szCs w:val="21"/>
              </w:rPr>
              <w:t>BOD</w:t>
            </w:r>
            <w:r>
              <w:rPr>
                <w:rFonts w:ascii="Times New Roman" w:hAnsi="Times New Roman"/>
                <w:kern w:val="0"/>
                <w:szCs w:val="21"/>
                <w:vertAlign w:val="subscript"/>
              </w:rPr>
              <w:t>5</w:t>
            </w:r>
          </w:p>
        </w:tc>
        <w:tc>
          <w:tcPr>
            <w:tcW w:w="1352" w:type="dxa"/>
            <w:vAlign w:val="center"/>
          </w:tcPr>
          <w:p>
            <w:pPr>
              <w:adjustRightInd w:val="0"/>
              <w:jc w:val="center"/>
              <w:rPr>
                <w:rFonts w:ascii="Times New Roman" w:hAnsi="Times New Roman"/>
                <w:kern w:val="0"/>
                <w:szCs w:val="21"/>
              </w:rPr>
            </w:pPr>
            <w:r>
              <w:rPr>
                <w:rFonts w:ascii="Times New Roman" w:hAnsi="Times New Roman"/>
                <w:kern w:val="0"/>
                <w:szCs w:val="21"/>
              </w:rPr>
              <w:t>SS</w:t>
            </w:r>
          </w:p>
        </w:tc>
        <w:tc>
          <w:tcPr>
            <w:tcW w:w="1165" w:type="dxa"/>
            <w:vAlign w:val="center"/>
          </w:tcPr>
          <w:p>
            <w:pPr>
              <w:adjustRightInd w:val="0"/>
              <w:jc w:val="center"/>
              <w:rPr>
                <w:rFonts w:ascii="Times New Roman" w:hAnsi="Times New Roman"/>
                <w:kern w:val="0"/>
                <w:szCs w:val="21"/>
              </w:rPr>
            </w:pPr>
            <w:r>
              <w:rPr>
                <w:rFonts w:ascii="Times New Roman" w:hAnsi="Times New Roman"/>
                <w:kern w:val="0"/>
                <w:szCs w:val="21"/>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8" w:type="dxa"/>
            <w:vAlign w:val="center"/>
          </w:tcPr>
          <w:p>
            <w:pPr>
              <w:adjustRightInd w:val="0"/>
              <w:jc w:val="center"/>
              <w:rPr>
                <w:rFonts w:ascii="Times New Roman" w:hAnsi="Times New Roman"/>
                <w:kern w:val="0"/>
                <w:szCs w:val="21"/>
              </w:rPr>
            </w:pPr>
            <w:r>
              <w:rPr>
                <w:rFonts w:ascii="Times New Roman" w:hAnsi="Times New Roman"/>
                <w:kern w:val="0"/>
                <w:szCs w:val="21"/>
              </w:rPr>
              <w:t>生活污水</w:t>
            </w:r>
          </w:p>
        </w:tc>
        <w:tc>
          <w:tcPr>
            <w:tcW w:w="1104" w:type="dxa"/>
            <w:vAlign w:val="center"/>
          </w:tcPr>
          <w:p>
            <w:pPr>
              <w:adjustRightInd w:val="0"/>
              <w:jc w:val="center"/>
              <w:rPr>
                <w:rFonts w:ascii="Times New Roman" w:hAnsi="Times New Roman"/>
                <w:kern w:val="0"/>
                <w:szCs w:val="21"/>
              </w:rPr>
            </w:pPr>
            <w:r>
              <w:rPr>
                <w:rFonts w:ascii="Times New Roman" w:hAnsi="Times New Roman"/>
                <w:kern w:val="0"/>
                <w:szCs w:val="21"/>
              </w:rPr>
              <w:t>1</w:t>
            </w:r>
          </w:p>
        </w:tc>
        <w:tc>
          <w:tcPr>
            <w:tcW w:w="1359" w:type="dxa"/>
            <w:vAlign w:val="center"/>
          </w:tcPr>
          <w:p>
            <w:pPr>
              <w:adjustRightInd w:val="0"/>
              <w:jc w:val="center"/>
              <w:rPr>
                <w:rFonts w:ascii="Times New Roman" w:hAnsi="Times New Roman"/>
                <w:kern w:val="0"/>
                <w:szCs w:val="21"/>
              </w:rPr>
            </w:pPr>
            <w:r>
              <w:rPr>
                <w:rFonts w:ascii="Times New Roman" w:hAnsi="Times New Roman"/>
                <w:kern w:val="0"/>
                <w:szCs w:val="21"/>
              </w:rPr>
              <w:t>6~8</w:t>
            </w:r>
          </w:p>
        </w:tc>
        <w:tc>
          <w:tcPr>
            <w:tcW w:w="1277" w:type="dxa"/>
            <w:vAlign w:val="center"/>
          </w:tcPr>
          <w:p>
            <w:pPr>
              <w:adjustRightInd w:val="0"/>
              <w:jc w:val="center"/>
              <w:rPr>
                <w:rFonts w:ascii="Times New Roman" w:hAnsi="Times New Roman"/>
                <w:kern w:val="0"/>
                <w:szCs w:val="21"/>
              </w:rPr>
            </w:pPr>
            <w:r>
              <w:rPr>
                <w:rFonts w:ascii="Times New Roman" w:hAnsi="Times New Roman"/>
                <w:kern w:val="0"/>
                <w:szCs w:val="21"/>
              </w:rPr>
              <w:t>280</w:t>
            </w:r>
          </w:p>
        </w:tc>
        <w:tc>
          <w:tcPr>
            <w:tcW w:w="1275" w:type="dxa"/>
            <w:vAlign w:val="center"/>
          </w:tcPr>
          <w:p>
            <w:pPr>
              <w:adjustRightInd w:val="0"/>
              <w:jc w:val="center"/>
              <w:rPr>
                <w:rFonts w:ascii="Times New Roman" w:hAnsi="Times New Roman"/>
                <w:kern w:val="0"/>
                <w:szCs w:val="21"/>
              </w:rPr>
            </w:pPr>
            <w:r>
              <w:rPr>
                <w:rFonts w:ascii="Times New Roman" w:hAnsi="Times New Roman"/>
                <w:kern w:val="0"/>
                <w:szCs w:val="21"/>
              </w:rPr>
              <w:t>180</w:t>
            </w:r>
          </w:p>
        </w:tc>
        <w:tc>
          <w:tcPr>
            <w:tcW w:w="1352" w:type="dxa"/>
            <w:vAlign w:val="center"/>
          </w:tcPr>
          <w:p>
            <w:pPr>
              <w:adjustRightInd w:val="0"/>
              <w:jc w:val="center"/>
              <w:rPr>
                <w:rFonts w:ascii="Times New Roman" w:hAnsi="Times New Roman"/>
                <w:kern w:val="0"/>
                <w:szCs w:val="21"/>
              </w:rPr>
            </w:pPr>
            <w:r>
              <w:rPr>
                <w:rFonts w:ascii="Times New Roman" w:hAnsi="Times New Roman"/>
                <w:kern w:val="0"/>
                <w:szCs w:val="21"/>
              </w:rPr>
              <w:t>250</w:t>
            </w:r>
          </w:p>
        </w:tc>
        <w:tc>
          <w:tcPr>
            <w:tcW w:w="1165" w:type="dxa"/>
            <w:vAlign w:val="center"/>
          </w:tcPr>
          <w:p>
            <w:pPr>
              <w:adjustRightInd w:val="0"/>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88" w:type="dxa"/>
            <w:vAlign w:val="center"/>
          </w:tcPr>
          <w:p>
            <w:pPr>
              <w:adjustRightInd w:val="0"/>
              <w:jc w:val="center"/>
              <w:rPr>
                <w:rFonts w:ascii="Times New Roman" w:hAnsi="Times New Roman"/>
                <w:kern w:val="0"/>
                <w:szCs w:val="21"/>
              </w:rPr>
            </w:pPr>
            <w:r>
              <w:rPr>
                <w:rFonts w:ascii="Times New Roman" w:hAnsi="Times New Roman"/>
                <w:kern w:val="0"/>
                <w:szCs w:val="21"/>
              </w:rPr>
              <w:t>生产废水</w:t>
            </w:r>
          </w:p>
        </w:tc>
        <w:tc>
          <w:tcPr>
            <w:tcW w:w="1104" w:type="dxa"/>
            <w:vAlign w:val="center"/>
          </w:tcPr>
          <w:p>
            <w:pPr>
              <w:adjustRightInd w:val="0"/>
              <w:jc w:val="center"/>
              <w:rPr>
                <w:rFonts w:ascii="Times New Roman" w:hAnsi="Times New Roman"/>
                <w:kern w:val="0"/>
                <w:szCs w:val="21"/>
              </w:rPr>
            </w:pPr>
            <w:r>
              <w:rPr>
                <w:rFonts w:ascii="Times New Roman" w:hAnsi="Times New Roman"/>
                <w:kern w:val="0"/>
                <w:szCs w:val="21"/>
              </w:rPr>
              <w:t>12</w:t>
            </w:r>
          </w:p>
        </w:tc>
        <w:tc>
          <w:tcPr>
            <w:tcW w:w="1359" w:type="dxa"/>
            <w:vAlign w:val="center"/>
          </w:tcPr>
          <w:p>
            <w:pPr>
              <w:adjustRightInd w:val="0"/>
              <w:jc w:val="center"/>
              <w:rPr>
                <w:rFonts w:ascii="Times New Roman" w:hAnsi="Times New Roman"/>
                <w:kern w:val="0"/>
                <w:szCs w:val="21"/>
              </w:rPr>
            </w:pPr>
            <w:r>
              <w:rPr>
                <w:rFonts w:ascii="Times New Roman" w:hAnsi="Times New Roman"/>
                <w:kern w:val="0"/>
                <w:szCs w:val="21"/>
              </w:rPr>
              <w:t>6~8</w:t>
            </w:r>
          </w:p>
        </w:tc>
        <w:tc>
          <w:tcPr>
            <w:tcW w:w="1277" w:type="dxa"/>
            <w:vAlign w:val="center"/>
          </w:tcPr>
          <w:p>
            <w:pPr>
              <w:adjustRightInd w:val="0"/>
              <w:jc w:val="center"/>
              <w:rPr>
                <w:rFonts w:ascii="Times New Roman" w:hAnsi="Times New Roman"/>
                <w:kern w:val="0"/>
                <w:szCs w:val="21"/>
              </w:rPr>
            </w:pPr>
            <w:r>
              <w:rPr>
                <w:rFonts w:ascii="Times New Roman" w:hAnsi="Times New Roman"/>
                <w:kern w:val="0"/>
                <w:szCs w:val="21"/>
              </w:rPr>
              <w:t>280</w:t>
            </w:r>
          </w:p>
        </w:tc>
        <w:tc>
          <w:tcPr>
            <w:tcW w:w="1275" w:type="dxa"/>
            <w:vAlign w:val="center"/>
          </w:tcPr>
          <w:p>
            <w:pPr>
              <w:adjustRightInd w:val="0"/>
              <w:jc w:val="center"/>
              <w:rPr>
                <w:rFonts w:ascii="Times New Roman" w:hAnsi="Times New Roman"/>
                <w:kern w:val="0"/>
                <w:szCs w:val="21"/>
              </w:rPr>
            </w:pPr>
            <w:r>
              <w:rPr>
                <w:rFonts w:ascii="Times New Roman" w:hAnsi="Times New Roman"/>
                <w:kern w:val="0"/>
                <w:szCs w:val="21"/>
              </w:rPr>
              <w:t>180</w:t>
            </w:r>
          </w:p>
        </w:tc>
        <w:tc>
          <w:tcPr>
            <w:tcW w:w="1352" w:type="dxa"/>
            <w:vAlign w:val="center"/>
          </w:tcPr>
          <w:p>
            <w:pPr>
              <w:adjustRightInd w:val="0"/>
              <w:jc w:val="center"/>
              <w:rPr>
                <w:rFonts w:ascii="Times New Roman" w:hAnsi="Times New Roman"/>
                <w:kern w:val="0"/>
                <w:szCs w:val="21"/>
              </w:rPr>
            </w:pPr>
            <w:r>
              <w:rPr>
                <w:rFonts w:ascii="Times New Roman" w:hAnsi="Times New Roman"/>
                <w:kern w:val="0"/>
                <w:szCs w:val="21"/>
              </w:rPr>
              <w:t>500</w:t>
            </w:r>
          </w:p>
        </w:tc>
        <w:tc>
          <w:tcPr>
            <w:tcW w:w="1165" w:type="dxa"/>
            <w:vAlign w:val="center"/>
          </w:tcPr>
          <w:p>
            <w:pPr>
              <w:adjustRightInd w:val="0"/>
              <w:jc w:val="center"/>
              <w:rPr>
                <w:rFonts w:ascii="Times New Roman" w:hAnsi="Times New Roman"/>
                <w:kern w:val="0"/>
                <w:szCs w:val="21"/>
              </w:rPr>
            </w:pPr>
            <w:r>
              <w:rPr>
                <w:rFonts w:ascii="Times New Roman" w:hAnsi="Times New Roman"/>
                <w:kern w:val="0"/>
                <w:szCs w:val="21"/>
              </w:rPr>
              <w:t>10</w:t>
            </w:r>
          </w:p>
        </w:tc>
      </w:tr>
    </w:tbl>
    <w:p>
      <w:pPr>
        <w:widowControl/>
        <w:adjustRightInd w:val="0"/>
        <w:snapToGrid w:val="0"/>
        <w:spacing w:beforeLines="50" w:line="360" w:lineRule="auto"/>
        <w:outlineLvl w:val="2"/>
        <w:rPr>
          <w:rFonts w:ascii="Times New Roman" w:hAnsi="Times New Roman"/>
          <w:b/>
          <w:sz w:val="24"/>
        </w:rPr>
      </w:pPr>
      <w:bookmarkStart w:id="228" w:name="_Toc29555"/>
      <w:bookmarkStart w:id="229" w:name="_Toc22705"/>
      <w:bookmarkStart w:id="230" w:name="_Toc7543"/>
      <w:r>
        <w:rPr>
          <w:rFonts w:ascii="Times New Roman" w:hAnsi="Times New Roman"/>
          <w:b/>
          <w:sz w:val="24"/>
        </w:rPr>
        <w:t>3.</w:t>
      </w:r>
      <w:r>
        <w:rPr>
          <w:rFonts w:hint="eastAsia" w:ascii="Times New Roman" w:hAnsi="Times New Roman"/>
          <w:b/>
          <w:sz w:val="24"/>
        </w:rPr>
        <w:t>4</w:t>
      </w:r>
      <w:r>
        <w:rPr>
          <w:rFonts w:ascii="Times New Roman" w:hAnsi="Times New Roman"/>
          <w:b/>
          <w:sz w:val="24"/>
        </w:rPr>
        <w:t>.1.3噪声</w:t>
      </w:r>
      <w:bookmarkEnd w:id="228"/>
      <w:bookmarkEnd w:id="229"/>
      <w:bookmarkEnd w:id="230"/>
    </w:p>
    <w:p>
      <w:pPr>
        <w:spacing w:line="360" w:lineRule="auto"/>
        <w:ind w:firstLine="480" w:firstLineChars="200"/>
        <w:rPr>
          <w:rFonts w:ascii="Times New Roman" w:hAnsi="Times New Roman"/>
          <w:sz w:val="24"/>
        </w:rPr>
      </w:pPr>
      <w:r>
        <w:rPr>
          <w:rFonts w:ascii="Times New Roman" w:hAnsi="Times New Roman"/>
          <w:sz w:val="24"/>
        </w:rPr>
        <w:t>施工机械包括运输车辆、推土机、挖掘机、装载机等设备，这些机械运行时将会不同程度的产生噪声，其声级值最高为95dB（A），需要采取一定的防护措施。</w:t>
      </w:r>
      <w:r>
        <w:rPr>
          <w:rFonts w:hint="eastAsia" w:ascii="Times New Roman" w:hAnsi="Times New Roman"/>
          <w:sz w:val="24"/>
        </w:rPr>
        <w:t>各</w:t>
      </w:r>
      <w:r>
        <w:rPr>
          <w:rFonts w:ascii="Times New Roman" w:hAnsi="Times New Roman"/>
          <w:sz w:val="24"/>
        </w:rPr>
        <w:t>施工阶段施工机械噪声源强见</w:t>
      </w:r>
      <w:r>
        <w:rPr>
          <w:rFonts w:hint="eastAsia" w:ascii="Times New Roman" w:hAnsi="Times New Roman"/>
          <w:sz w:val="24"/>
        </w:rPr>
        <w:t>下表</w:t>
      </w:r>
      <w:r>
        <w:rPr>
          <w:rFonts w:ascii="Times New Roman" w:hAnsi="Times New Roman"/>
          <w:sz w:val="24"/>
        </w:rPr>
        <w:t>。</w:t>
      </w:r>
    </w:p>
    <w:p>
      <w:pPr>
        <w:jc w:val="center"/>
        <w:rPr>
          <w:rFonts w:ascii="Times New Roman" w:hAnsi="Times New Roman"/>
          <w:b/>
          <w:sz w:val="24"/>
        </w:rPr>
      </w:pPr>
    </w:p>
    <w:p>
      <w:pPr>
        <w:jc w:val="center"/>
        <w:rPr>
          <w:rFonts w:ascii="Times New Roman" w:hAnsi="Times New Roman"/>
          <w:b/>
          <w:sz w:val="24"/>
        </w:rPr>
      </w:pPr>
      <w:r>
        <w:rPr>
          <w:rFonts w:ascii="Times New Roman" w:hAnsi="Times New Roman"/>
          <w:b/>
          <w:sz w:val="24"/>
        </w:rPr>
        <w:t>表3-</w:t>
      </w:r>
      <w:r>
        <w:rPr>
          <w:rFonts w:hint="eastAsia" w:ascii="Times New Roman" w:hAnsi="Times New Roman"/>
          <w:b/>
          <w:sz w:val="24"/>
        </w:rPr>
        <w:t>22</w:t>
      </w:r>
      <w:r>
        <w:rPr>
          <w:rFonts w:ascii="Times New Roman" w:hAnsi="Times New Roman"/>
          <w:b/>
          <w:sz w:val="24"/>
        </w:rPr>
        <w:t xml:space="preserve"> 施工噪声源强一览表</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2834"/>
        <w:gridCol w:w="2835"/>
        <w:gridCol w:w="2835"/>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51" w:hRule="exact"/>
          <w:jc w:val="center"/>
        </w:trPr>
        <w:tc>
          <w:tcPr>
            <w:tcW w:w="2834" w:type="dxa"/>
            <w:vAlign w:val="center"/>
          </w:tcPr>
          <w:p>
            <w:pPr>
              <w:jc w:val="center"/>
              <w:rPr>
                <w:rFonts w:ascii="Times New Roman" w:hAnsi="Times New Roman"/>
                <w:kern w:val="0"/>
              </w:rPr>
            </w:pPr>
            <w:r>
              <w:rPr>
                <w:rFonts w:ascii="Times New Roman" w:hAnsi="Times New Roman"/>
                <w:kern w:val="0"/>
              </w:rPr>
              <w:t>施工阶段</w:t>
            </w:r>
          </w:p>
        </w:tc>
        <w:tc>
          <w:tcPr>
            <w:tcW w:w="2835" w:type="dxa"/>
            <w:vAlign w:val="center"/>
          </w:tcPr>
          <w:p>
            <w:pPr>
              <w:jc w:val="center"/>
              <w:rPr>
                <w:rFonts w:ascii="Times New Roman" w:hAnsi="Times New Roman"/>
                <w:kern w:val="0"/>
              </w:rPr>
            </w:pPr>
            <w:r>
              <w:rPr>
                <w:rFonts w:ascii="Times New Roman" w:hAnsi="Times New Roman"/>
                <w:kern w:val="0"/>
              </w:rPr>
              <w:t>主要设备</w:t>
            </w:r>
          </w:p>
        </w:tc>
        <w:tc>
          <w:tcPr>
            <w:tcW w:w="2835" w:type="dxa"/>
            <w:vAlign w:val="center"/>
          </w:tcPr>
          <w:p>
            <w:pPr>
              <w:jc w:val="center"/>
              <w:rPr>
                <w:rFonts w:ascii="Times New Roman" w:hAnsi="Times New Roman"/>
                <w:kern w:val="0"/>
              </w:rPr>
            </w:pPr>
            <w:r>
              <w:rPr>
                <w:rFonts w:ascii="Times New Roman" w:hAnsi="Times New Roman"/>
                <w:kern w:val="0"/>
              </w:rPr>
              <w:t>声功率级dB（A）</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6" w:hRule="exact"/>
          <w:jc w:val="center"/>
        </w:trPr>
        <w:tc>
          <w:tcPr>
            <w:tcW w:w="2834" w:type="dxa"/>
            <w:vAlign w:val="center"/>
          </w:tcPr>
          <w:p>
            <w:pPr>
              <w:jc w:val="center"/>
              <w:rPr>
                <w:rFonts w:ascii="Times New Roman" w:hAnsi="Times New Roman"/>
                <w:kern w:val="0"/>
              </w:rPr>
            </w:pPr>
            <w:r>
              <w:rPr>
                <w:rFonts w:ascii="Times New Roman" w:hAnsi="Times New Roman"/>
                <w:kern w:val="0"/>
              </w:rPr>
              <w:t>土石方阶段</w:t>
            </w:r>
          </w:p>
        </w:tc>
        <w:tc>
          <w:tcPr>
            <w:tcW w:w="2835" w:type="dxa"/>
            <w:vAlign w:val="center"/>
          </w:tcPr>
          <w:p>
            <w:pPr>
              <w:jc w:val="center"/>
              <w:rPr>
                <w:rFonts w:ascii="Times New Roman" w:hAnsi="Times New Roman"/>
                <w:kern w:val="0"/>
              </w:rPr>
            </w:pPr>
            <w:r>
              <w:rPr>
                <w:rFonts w:ascii="Times New Roman" w:hAnsi="Times New Roman"/>
                <w:kern w:val="0"/>
              </w:rPr>
              <w:t>推土机、挖掘机等</w:t>
            </w:r>
          </w:p>
        </w:tc>
        <w:tc>
          <w:tcPr>
            <w:tcW w:w="2835" w:type="dxa"/>
            <w:vAlign w:val="center"/>
          </w:tcPr>
          <w:p>
            <w:pPr>
              <w:jc w:val="center"/>
              <w:rPr>
                <w:rFonts w:ascii="Times New Roman" w:hAnsi="Times New Roman"/>
                <w:kern w:val="0"/>
              </w:rPr>
            </w:pPr>
            <w:r>
              <w:rPr>
                <w:rFonts w:ascii="Times New Roman" w:hAnsi="Times New Roman"/>
                <w:kern w:val="0"/>
              </w:rPr>
              <w:t>90～95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29" w:hRule="exact"/>
          <w:jc w:val="center"/>
        </w:trPr>
        <w:tc>
          <w:tcPr>
            <w:tcW w:w="2834" w:type="dxa"/>
            <w:vAlign w:val="center"/>
          </w:tcPr>
          <w:p>
            <w:pPr>
              <w:jc w:val="center"/>
              <w:rPr>
                <w:rFonts w:ascii="Times New Roman" w:hAnsi="Times New Roman"/>
                <w:kern w:val="0"/>
              </w:rPr>
            </w:pPr>
            <w:r>
              <w:rPr>
                <w:rFonts w:ascii="Times New Roman" w:hAnsi="Times New Roman"/>
                <w:kern w:val="0"/>
              </w:rPr>
              <w:t>基础阶段</w:t>
            </w:r>
          </w:p>
        </w:tc>
        <w:tc>
          <w:tcPr>
            <w:tcW w:w="2835" w:type="dxa"/>
            <w:vAlign w:val="center"/>
          </w:tcPr>
          <w:p>
            <w:pPr>
              <w:jc w:val="center"/>
              <w:rPr>
                <w:rFonts w:ascii="Times New Roman" w:hAnsi="Times New Roman"/>
                <w:kern w:val="0"/>
              </w:rPr>
            </w:pPr>
            <w:r>
              <w:rPr>
                <w:rFonts w:ascii="Times New Roman" w:hAnsi="Times New Roman"/>
                <w:kern w:val="0"/>
              </w:rPr>
              <w:t>各种吊车等</w:t>
            </w:r>
          </w:p>
        </w:tc>
        <w:tc>
          <w:tcPr>
            <w:tcW w:w="2835" w:type="dxa"/>
            <w:vAlign w:val="center"/>
          </w:tcPr>
          <w:p>
            <w:pPr>
              <w:jc w:val="center"/>
              <w:rPr>
                <w:rFonts w:ascii="Times New Roman" w:hAnsi="Times New Roman"/>
                <w:kern w:val="0"/>
              </w:rPr>
            </w:pPr>
            <w:r>
              <w:rPr>
                <w:rFonts w:ascii="Times New Roman" w:hAnsi="Times New Roman"/>
                <w:kern w:val="0"/>
              </w:rPr>
              <w:t>82～90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86" w:hRule="exact"/>
          <w:jc w:val="center"/>
        </w:trPr>
        <w:tc>
          <w:tcPr>
            <w:tcW w:w="2834" w:type="dxa"/>
            <w:vAlign w:val="center"/>
          </w:tcPr>
          <w:p>
            <w:pPr>
              <w:jc w:val="center"/>
              <w:rPr>
                <w:rFonts w:ascii="Times New Roman" w:hAnsi="Times New Roman"/>
                <w:kern w:val="0"/>
              </w:rPr>
            </w:pPr>
            <w:r>
              <w:rPr>
                <w:rFonts w:ascii="Times New Roman" w:hAnsi="Times New Roman"/>
                <w:kern w:val="0"/>
              </w:rPr>
              <w:t>结构阶段</w:t>
            </w:r>
          </w:p>
        </w:tc>
        <w:tc>
          <w:tcPr>
            <w:tcW w:w="2835" w:type="dxa"/>
            <w:vAlign w:val="center"/>
          </w:tcPr>
          <w:p>
            <w:pPr>
              <w:jc w:val="center"/>
              <w:rPr>
                <w:rFonts w:ascii="Times New Roman" w:hAnsi="Times New Roman"/>
                <w:kern w:val="0"/>
              </w:rPr>
            </w:pPr>
            <w:r>
              <w:rPr>
                <w:rFonts w:ascii="Times New Roman" w:hAnsi="Times New Roman"/>
                <w:kern w:val="0"/>
              </w:rPr>
              <w:t>砼搅拌机、掘搅棒等</w:t>
            </w:r>
          </w:p>
        </w:tc>
        <w:tc>
          <w:tcPr>
            <w:tcW w:w="2835" w:type="dxa"/>
            <w:vAlign w:val="center"/>
          </w:tcPr>
          <w:p>
            <w:pPr>
              <w:jc w:val="center"/>
              <w:rPr>
                <w:rFonts w:ascii="Times New Roman" w:hAnsi="Times New Roman"/>
                <w:kern w:val="0"/>
              </w:rPr>
            </w:pPr>
            <w:r>
              <w:rPr>
                <w:rFonts w:ascii="Times New Roman" w:hAnsi="Times New Roman"/>
                <w:kern w:val="0"/>
              </w:rPr>
              <w:t>85～90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89" w:hRule="exact"/>
          <w:jc w:val="center"/>
        </w:trPr>
        <w:tc>
          <w:tcPr>
            <w:tcW w:w="2834" w:type="dxa"/>
            <w:vAlign w:val="center"/>
          </w:tcPr>
          <w:p>
            <w:pPr>
              <w:jc w:val="center"/>
              <w:rPr>
                <w:rFonts w:ascii="Times New Roman" w:hAnsi="Times New Roman"/>
                <w:kern w:val="0"/>
              </w:rPr>
            </w:pPr>
            <w:r>
              <w:rPr>
                <w:rFonts w:ascii="Times New Roman" w:hAnsi="Times New Roman"/>
                <w:kern w:val="0"/>
              </w:rPr>
              <w:t>装修阶段</w:t>
            </w:r>
          </w:p>
        </w:tc>
        <w:tc>
          <w:tcPr>
            <w:tcW w:w="2835" w:type="dxa"/>
            <w:vAlign w:val="center"/>
          </w:tcPr>
          <w:p>
            <w:pPr>
              <w:jc w:val="center"/>
              <w:rPr>
                <w:rFonts w:ascii="Times New Roman" w:hAnsi="Times New Roman"/>
                <w:kern w:val="0"/>
              </w:rPr>
            </w:pPr>
            <w:r>
              <w:rPr>
                <w:rFonts w:ascii="Times New Roman" w:hAnsi="Times New Roman"/>
                <w:kern w:val="0"/>
              </w:rPr>
              <w:t>电钻、切割机等</w:t>
            </w:r>
          </w:p>
        </w:tc>
        <w:tc>
          <w:tcPr>
            <w:tcW w:w="2835" w:type="dxa"/>
            <w:vAlign w:val="center"/>
          </w:tcPr>
          <w:p>
            <w:pPr>
              <w:jc w:val="center"/>
              <w:rPr>
                <w:rFonts w:ascii="Times New Roman" w:hAnsi="Times New Roman"/>
                <w:kern w:val="0"/>
              </w:rPr>
            </w:pPr>
            <w:r>
              <w:rPr>
                <w:rFonts w:ascii="Times New Roman" w:hAnsi="Times New Roman"/>
                <w:kern w:val="0"/>
              </w:rPr>
              <w:t>85～90</w:t>
            </w:r>
          </w:p>
        </w:tc>
      </w:tr>
    </w:tbl>
    <w:p>
      <w:pPr>
        <w:spacing w:line="360" w:lineRule="auto"/>
        <w:ind w:firstLine="480"/>
        <w:rPr>
          <w:rFonts w:ascii="Times New Roman" w:hAnsi="Times New Roman"/>
          <w:sz w:val="24"/>
        </w:rPr>
      </w:pPr>
      <w:bookmarkStart w:id="231" w:name="_Toc18312"/>
      <w:r>
        <w:rPr>
          <w:rFonts w:hint="eastAsia" w:ascii="Times New Roman" w:hAnsi="Times New Roman"/>
          <w:sz w:val="24"/>
        </w:rPr>
        <w:t>另外，现有选矿厂内各种设备拆除过程中会产生噪声，其噪声值较小，不会对周围环境造成较大影响。并且随着拆除工作结束而消失。</w:t>
      </w:r>
    </w:p>
    <w:p>
      <w:pPr>
        <w:widowControl/>
        <w:adjustRightInd w:val="0"/>
        <w:snapToGrid w:val="0"/>
        <w:spacing w:beforeLines="50" w:line="360" w:lineRule="auto"/>
        <w:outlineLvl w:val="0"/>
        <w:rPr>
          <w:rFonts w:ascii="Times New Roman" w:hAnsi="Times New Roman"/>
          <w:b/>
          <w:sz w:val="24"/>
        </w:rPr>
      </w:pPr>
      <w:bookmarkStart w:id="232" w:name="_Toc23531"/>
      <w:bookmarkStart w:id="233" w:name="_Toc31761"/>
      <w:r>
        <w:rPr>
          <w:rFonts w:ascii="Times New Roman" w:hAnsi="Times New Roman"/>
          <w:b/>
          <w:sz w:val="24"/>
        </w:rPr>
        <w:t>3.</w:t>
      </w:r>
      <w:r>
        <w:rPr>
          <w:rFonts w:hint="eastAsia" w:ascii="Times New Roman" w:hAnsi="Times New Roman"/>
          <w:b/>
          <w:sz w:val="24"/>
        </w:rPr>
        <w:t>4</w:t>
      </w:r>
      <w:r>
        <w:rPr>
          <w:rFonts w:ascii="Times New Roman" w:hAnsi="Times New Roman"/>
          <w:b/>
          <w:sz w:val="24"/>
        </w:rPr>
        <w:t>.1.4固体废物</w:t>
      </w:r>
      <w:bookmarkEnd w:id="231"/>
      <w:bookmarkEnd w:id="232"/>
      <w:bookmarkEnd w:id="233"/>
    </w:p>
    <w:p>
      <w:pPr>
        <w:spacing w:line="360" w:lineRule="auto"/>
        <w:ind w:firstLine="480"/>
        <w:rPr>
          <w:rFonts w:ascii="Times New Roman" w:hAnsi="Times New Roman"/>
          <w:sz w:val="24"/>
        </w:rPr>
      </w:pPr>
      <w:r>
        <w:rPr>
          <w:rFonts w:ascii="Times New Roman" w:hAnsi="Times New Roman"/>
          <w:sz w:val="24"/>
        </w:rPr>
        <w:t>本项目施工期产生的固体废物主要是施工建筑垃圾及施工人员生活垃圾。</w:t>
      </w:r>
    </w:p>
    <w:p>
      <w:pPr>
        <w:spacing w:line="360" w:lineRule="auto"/>
        <w:ind w:firstLine="480" w:firstLineChars="200"/>
        <w:jc w:val="left"/>
        <w:rPr>
          <w:bCs/>
          <w:color w:val="FF0000"/>
          <w:sz w:val="24"/>
          <w:szCs w:val="24"/>
        </w:rPr>
      </w:pPr>
      <w:r>
        <w:rPr>
          <w:rFonts w:ascii="Times New Roman" w:hAnsi="Times New Roman"/>
          <w:color w:val="FF0000"/>
          <w:sz w:val="24"/>
        </w:rPr>
        <w:t>施工建筑垃圾产生量约为5t/a，全部运至建筑垃圾填埋场堆存。施工人员生活垃圾产生量约为2t/a，全部运至当地生活垃圾填埋场。</w:t>
      </w:r>
      <w:r>
        <w:rPr>
          <w:rFonts w:hint="eastAsia" w:ascii="Times New Roman" w:hAnsi="Times New Roman"/>
          <w:color w:val="FF0000"/>
          <w:sz w:val="24"/>
        </w:rPr>
        <w:t>施工期运输的尾渣13万t，直接外卖吉林市智德利商贸有限公司运送尾渣。</w:t>
      </w:r>
    </w:p>
    <w:p>
      <w:pPr>
        <w:widowControl/>
        <w:adjustRightInd w:val="0"/>
        <w:snapToGrid w:val="0"/>
        <w:spacing w:line="360" w:lineRule="auto"/>
        <w:outlineLvl w:val="0"/>
        <w:rPr>
          <w:rFonts w:ascii="Times New Roman" w:hAnsi="Times New Roman"/>
          <w:b/>
          <w:color w:val="000000"/>
          <w:sz w:val="24"/>
        </w:rPr>
      </w:pPr>
      <w:bookmarkStart w:id="234" w:name="_Toc1132"/>
      <w:bookmarkStart w:id="235" w:name="_Toc12919"/>
      <w:bookmarkStart w:id="236" w:name="_Toc6408"/>
      <w:r>
        <w:rPr>
          <w:rFonts w:ascii="Times New Roman" w:hAnsi="Times New Roman"/>
          <w:b/>
          <w:color w:val="000000"/>
          <w:sz w:val="24"/>
        </w:rPr>
        <w:t>3.</w:t>
      </w:r>
      <w:r>
        <w:rPr>
          <w:rFonts w:hint="eastAsia" w:ascii="Times New Roman" w:hAnsi="Times New Roman"/>
          <w:b/>
          <w:color w:val="000000"/>
          <w:sz w:val="24"/>
        </w:rPr>
        <w:t>4</w:t>
      </w:r>
      <w:r>
        <w:rPr>
          <w:rFonts w:ascii="Times New Roman" w:hAnsi="Times New Roman"/>
          <w:b/>
          <w:color w:val="000000"/>
          <w:sz w:val="24"/>
        </w:rPr>
        <w:t>.1.5生态影响分析</w:t>
      </w:r>
      <w:bookmarkEnd w:id="234"/>
      <w:bookmarkEnd w:id="235"/>
      <w:bookmarkEnd w:id="236"/>
    </w:p>
    <w:p>
      <w:pPr>
        <w:spacing w:line="360" w:lineRule="auto"/>
        <w:ind w:firstLine="480" w:firstLineChars="200"/>
        <w:jc w:val="left"/>
        <w:rPr>
          <w:rFonts w:hAnsi="宋体"/>
          <w:color w:val="000000"/>
          <w:sz w:val="24"/>
          <w:szCs w:val="24"/>
        </w:rPr>
      </w:pPr>
      <w:r>
        <w:rPr>
          <w:rFonts w:hint="eastAsia"/>
          <w:bCs/>
          <w:color w:val="000000"/>
          <w:sz w:val="24"/>
          <w:szCs w:val="24"/>
        </w:rPr>
        <w:t>本次扩建项目主要施工内容为尾矿库现有尾矿库尾渣清运以及扩建和压滤间建设。尾矿库新增占地面积</w:t>
      </w:r>
      <w:r>
        <w:rPr>
          <w:rFonts w:ascii="Times New Roman" w:hAnsi="Times New Roman"/>
          <w:bCs/>
          <w:color w:val="000000"/>
          <w:sz w:val="24"/>
          <w:szCs w:val="24"/>
        </w:rPr>
        <w:t>4000m</w:t>
      </w:r>
      <w:r>
        <w:rPr>
          <w:rFonts w:ascii="Times New Roman" w:hAnsi="Times New Roman"/>
          <w:bCs/>
          <w:color w:val="000000"/>
          <w:sz w:val="24"/>
          <w:szCs w:val="24"/>
          <w:vertAlign w:val="superscript"/>
        </w:rPr>
        <w:t>2</w:t>
      </w:r>
      <w:r>
        <w:rPr>
          <w:rFonts w:ascii="Times New Roman" w:hAnsi="Times New Roman"/>
          <w:bCs/>
          <w:color w:val="000000"/>
          <w:sz w:val="24"/>
          <w:szCs w:val="24"/>
        </w:rPr>
        <w:t>，</w:t>
      </w:r>
      <w:r>
        <w:rPr>
          <w:rFonts w:hint="eastAsia" w:ascii="Times New Roman" w:hAnsi="Times New Roman"/>
          <w:bCs/>
          <w:color w:val="000000"/>
          <w:sz w:val="24"/>
          <w:szCs w:val="24"/>
        </w:rPr>
        <w:t>占地性质为林地，目前企业正在办理相关手续（见附件）</w:t>
      </w:r>
      <w:r>
        <w:rPr>
          <w:rFonts w:hint="eastAsia"/>
          <w:bCs/>
          <w:color w:val="000000"/>
          <w:sz w:val="24"/>
          <w:szCs w:val="24"/>
        </w:rPr>
        <w:t>。压滤车间建施工产生的粉尘及尾矿库扬尘随风飘扬，会散落到周围树林中，影响树木的生长，施工期工程施工对土壤产生的破坏可能引起水土流失。</w:t>
      </w:r>
      <w:r>
        <w:rPr>
          <w:rFonts w:hAnsi="宋体"/>
          <w:color w:val="000000"/>
          <w:sz w:val="24"/>
          <w:szCs w:val="24"/>
        </w:rPr>
        <w:t>但这种不利影响仅限于项目区范围，对整个区域生态系统的综合生产力不会产生较大的影响。</w:t>
      </w:r>
    </w:p>
    <w:p>
      <w:pPr>
        <w:spacing w:line="360" w:lineRule="auto"/>
        <w:ind w:firstLine="480"/>
        <w:rPr>
          <w:rFonts w:ascii="Times New Roman" w:hAnsi="Times New Roman"/>
          <w:sz w:val="24"/>
        </w:rPr>
      </w:pPr>
      <w:r>
        <w:rPr>
          <w:rFonts w:ascii="Times New Roman" w:hAnsi="Times New Roman"/>
          <w:sz w:val="24"/>
        </w:rPr>
        <w:t>施工期污染因素汇总情况见</w:t>
      </w:r>
      <w:r>
        <w:rPr>
          <w:rFonts w:hint="eastAsia" w:ascii="Times New Roman" w:hAnsi="Times New Roman"/>
          <w:sz w:val="24"/>
        </w:rPr>
        <w:t>下表</w:t>
      </w:r>
      <w:r>
        <w:rPr>
          <w:rFonts w:ascii="Times New Roman" w:hAnsi="Times New Roman"/>
          <w:sz w:val="24"/>
        </w:rPr>
        <w:t>。</w:t>
      </w:r>
    </w:p>
    <w:p>
      <w:pPr>
        <w:jc w:val="center"/>
        <w:rPr>
          <w:rFonts w:ascii="Times New Roman" w:hAnsi="Times New Roman"/>
          <w:b/>
          <w:sz w:val="24"/>
        </w:rPr>
      </w:pPr>
      <w:r>
        <w:rPr>
          <w:rFonts w:ascii="Times New Roman" w:hAnsi="Times New Roman"/>
          <w:b/>
          <w:sz w:val="24"/>
        </w:rPr>
        <w:t>表3-</w:t>
      </w:r>
      <w:r>
        <w:rPr>
          <w:rFonts w:hint="eastAsia" w:ascii="Times New Roman" w:hAnsi="Times New Roman"/>
          <w:b/>
          <w:sz w:val="24"/>
        </w:rPr>
        <w:t>23</w:t>
      </w:r>
      <w:r>
        <w:rPr>
          <w:rFonts w:ascii="Times New Roman" w:hAnsi="Times New Roman"/>
          <w:b/>
          <w:sz w:val="24"/>
        </w:rPr>
        <w:t xml:space="preserve">  施工期污染因素汇总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59"/>
        <w:gridCol w:w="2126"/>
        <w:gridCol w:w="2128"/>
        <w:gridCol w:w="1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Align w:val="center"/>
          </w:tcPr>
          <w:p>
            <w:pPr>
              <w:pStyle w:val="56"/>
              <w:adjustRightInd w:val="0"/>
              <w:snapToGrid w:val="0"/>
              <w:rPr>
                <w:kern w:val="2"/>
                <w:szCs w:val="21"/>
              </w:rPr>
            </w:pPr>
            <w:r>
              <w:rPr>
                <w:kern w:val="2"/>
                <w:szCs w:val="21"/>
              </w:rPr>
              <w:t>环境要素</w:t>
            </w:r>
          </w:p>
        </w:tc>
        <w:tc>
          <w:tcPr>
            <w:tcW w:w="1559" w:type="dxa"/>
            <w:vAlign w:val="center"/>
          </w:tcPr>
          <w:p>
            <w:pPr>
              <w:pStyle w:val="56"/>
              <w:adjustRightInd w:val="0"/>
              <w:snapToGrid w:val="0"/>
              <w:rPr>
                <w:kern w:val="2"/>
                <w:szCs w:val="21"/>
              </w:rPr>
            </w:pPr>
            <w:r>
              <w:rPr>
                <w:kern w:val="2"/>
                <w:szCs w:val="21"/>
              </w:rPr>
              <w:t>影响因子</w:t>
            </w:r>
          </w:p>
        </w:tc>
        <w:tc>
          <w:tcPr>
            <w:tcW w:w="2126" w:type="dxa"/>
            <w:vAlign w:val="center"/>
          </w:tcPr>
          <w:p>
            <w:pPr>
              <w:pStyle w:val="56"/>
              <w:adjustRightInd w:val="0"/>
              <w:snapToGrid w:val="0"/>
              <w:rPr>
                <w:kern w:val="2"/>
                <w:szCs w:val="21"/>
              </w:rPr>
            </w:pPr>
            <w:r>
              <w:rPr>
                <w:kern w:val="2"/>
                <w:szCs w:val="21"/>
              </w:rPr>
              <w:t>产生源</w:t>
            </w:r>
          </w:p>
        </w:tc>
        <w:tc>
          <w:tcPr>
            <w:tcW w:w="2128" w:type="dxa"/>
            <w:vAlign w:val="center"/>
          </w:tcPr>
          <w:p>
            <w:pPr>
              <w:pStyle w:val="56"/>
              <w:adjustRightInd w:val="0"/>
              <w:snapToGrid w:val="0"/>
              <w:rPr>
                <w:kern w:val="2"/>
                <w:szCs w:val="21"/>
              </w:rPr>
            </w:pPr>
            <w:r>
              <w:rPr>
                <w:kern w:val="2"/>
                <w:szCs w:val="21"/>
              </w:rPr>
              <w:t>源强</w:t>
            </w:r>
          </w:p>
        </w:tc>
        <w:tc>
          <w:tcPr>
            <w:tcW w:w="1807" w:type="dxa"/>
            <w:vAlign w:val="center"/>
          </w:tcPr>
          <w:p>
            <w:pPr>
              <w:pStyle w:val="56"/>
              <w:adjustRightInd w:val="0"/>
              <w:snapToGrid w:val="0"/>
              <w:rPr>
                <w:kern w:val="2"/>
                <w:szCs w:val="21"/>
              </w:rPr>
            </w:pPr>
            <w:r>
              <w:rPr>
                <w:kern w:val="2"/>
                <w:szCs w:val="21"/>
              </w:rPr>
              <w:t>排放特征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pStyle w:val="56"/>
              <w:adjustRightInd w:val="0"/>
              <w:snapToGrid w:val="0"/>
              <w:rPr>
                <w:kern w:val="2"/>
                <w:szCs w:val="21"/>
              </w:rPr>
            </w:pPr>
            <w:r>
              <w:rPr>
                <w:kern w:val="2"/>
                <w:szCs w:val="21"/>
              </w:rPr>
              <w:t>环境空气</w:t>
            </w:r>
          </w:p>
        </w:tc>
        <w:tc>
          <w:tcPr>
            <w:tcW w:w="1559" w:type="dxa"/>
            <w:vAlign w:val="center"/>
          </w:tcPr>
          <w:p>
            <w:pPr>
              <w:pStyle w:val="56"/>
              <w:adjustRightInd w:val="0"/>
              <w:snapToGrid w:val="0"/>
              <w:rPr>
                <w:kern w:val="2"/>
                <w:szCs w:val="21"/>
              </w:rPr>
            </w:pPr>
            <w:r>
              <w:rPr>
                <w:kern w:val="2"/>
                <w:szCs w:val="21"/>
              </w:rPr>
              <w:t>土石方扬尘</w:t>
            </w:r>
          </w:p>
        </w:tc>
        <w:tc>
          <w:tcPr>
            <w:tcW w:w="2126" w:type="dxa"/>
            <w:vAlign w:val="center"/>
          </w:tcPr>
          <w:p>
            <w:pPr>
              <w:pStyle w:val="56"/>
              <w:adjustRightInd w:val="0"/>
              <w:snapToGrid w:val="0"/>
              <w:rPr>
                <w:kern w:val="2"/>
                <w:szCs w:val="21"/>
              </w:rPr>
            </w:pPr>
            <w:r>
              <w:rPr>
                <w:kern w:val="2"/>
                <w:szCs w:val="21"/>
              </w:rPr>
              <w:t>土石方运输、物料装卸、建筑材料拌合</w:t>
            </w:r>
          </w:p>
        </w:tc>
        <w:tc>
          <w:tcPr>
            <w:tcW w:w="2128" w:type="dxa"/>
            <w:vAlign w:val="center"/>
          </w:tcPr>
          <w:p>
            <w:pPr>
              <w:pStyle w:val="56"/>
              <w:adjustRightInd w:val="0"/>
              <w:snapToGrid w:val="0"/>
              <w:rPr>
                <w:kern w:val="2"/>
                <w:szCs w:val="21"/>
              </w:rPr>
            </w:pPr>
            <w:r>
              <w:rPr>
                <w:kern w:val="2"/>
                <w:szCs w:val="21"/>
              </w:rPr>
              <w:t>200m内影响明显</w:t>
            </w:r>
          </w:p>
        </w:tc>
        <w:tc>
          <w:tcPr>
            <w:tcW w:w="1807" w:type="dxa"/>
            <w:vAlign w:val="center"/>
          </w:tcPr>
          <w:p>
            <w:pPr>
              <w:pStyle w:val="56"/>
              <w:adjustRightInd w:val="0"/>
              <w:snapToGrid w:val="0"/>
              <w:rPr>
                <w:kern w:val="2"/>
                <w:szCs w:val="21"/>
              </w:rPr>
            </w:pPr>
            <w:r>
              <w:rPr>
                <w:kern w:val="2"/>
                <w:szCs w:val="21"/>
              </w:rPr>
              <w:t>有风时影响下风向，时限性明显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100" w:type="dxa"/>
            <w:vMerge w:val="continue"/>
            <w:vAlign w:val="center"/>
          </w:tcPr>
          <w:p>
            <w:pPr>
              <w:widowControl/>
              <w:jc w:val="left"/>
              <w:rPr>
                <w:rFonts w:ascii="Times New Roman" w:hAnsi="Times New Roman"/>
                <w:szCs w:val="21"/>
              </w:rPr>
            </w:pPr>
          </w:p>
        </w:tc>
        <w:tc>
          <w:tcPr>
            <w:tcW w:w="1559" w:type="dxa"/>
            <w:vAlign w:val="center"/>
          </w:tcPr>
          <w:p>
            <w:pPr>
              <w:pStyle w:val="56"/>
              <w:adjustRightInd w:val="0"/>
              <w:snapToGrid w:val="0"/>
              <w:rPr>
                <w:kern w:val="2"/>
                <w:szCs w:val="21"/>
              </w:rPr>
            </w:pPr>
            <w:r>
              <w:rPr>
                <w:kern w:val="2"/>
                <w:szCs w:val="21"/>
              </w:rPr>
              <w:t>车辆、</w:t>
            </w:r>
          </w:p>
          <w:p>
            <w:pPr>
              <w:pStyle w:val="56"/>
              <w:adjustRightInd w:val="0"/>
              <w:snapToGrid w:val="0"/>
              <w:rPr>
                <w:kern w:val="2"/>
                <w:szCs w:val="21"/>
              </w:rPr>
            </w:pPr>
            <w:r>
              <w:rPr>
                <w:kern w:val="2"/>
                <w:szCs w:val="21"/>
              </w:rPr>
              <w:t>机械尾气</w:t>
            </w:r>
          </w:p>
        </w:tc>
        <w:tc>
          <w:tcPr>
            <w:tcW w:w="2126" w:type="dxa"/>
            <w:vAlign w:val="center"/>
          </w:tcPr>
          <w:p>
            <w:pPr>
              <w:pStyle w:val="56"/>
              <w:adjustRightInd w:val="0"/>
              <w:snapToGrid w:val="0"/>
              <w:rPr>
                <w:kern w:val="2"/>
                <w:szCs w:val="21"/>
              </w:rPr>
            </w:pPr>
            <w:r>
              <w:rPr>
                <w:kern w:val="2"/>
                <w:szCs w:val="21"/>
              </w:rPr>
              <w:t>施工燃油设备、车辆</w:t>
            </w:r>
          </w:p>
        </w:tc>
        <w:tc>
          <w:tcPr>
            <w:tcW w:w="2128" w:type="dxa"/>
            <w:vAlign w:val="center"/>
          </w:tcPr>
          <w:p>
            <w:pPr>
              <w:pStyle w:val="56"/>
              <w:adjustRightInd w:val="0"/>
              <w:snapToGrid w:val="0"/>
              <w:rPr>
                <w:kern w:val="2"/>
                <w:szCs w:val="21"/>
              </w:rPr>
            </w:pPr>
            <w:r>
              <w:rPr>
                <w:kern w:val="2"/>
                <w:szCs w:val="21"/>
              </w:rPr>
              <w:t>非甲烷总烃2.69kg/d</w:t>
            </w:r>
          </w:p>
          <w:p>
            <w:pPr>
              <w:pStyle w:val="56"/>
              <w:adjustRightInd w:val="0"/>
              <w:snapToGrid w:val="0"/>
              <w:rPr>
                <w:kern w:val="2"/>
                <w:szCs w:val="21"/>
              </w:rPr>
            </w:pPr>
            <w:r>
              <w:rPr>
                <w:kern w:val="2"/>
                <w:szCs w:val="21"/>
              </w:rPr>
              <w:t>颗粒物 0.4kg/d</w:t>
            </w:r>
          </w:p>
          <w:p>
            <w:pPr>
              <w:pStyle w:val="56"/>
              <w:adjustRightInd w:val="0"/>
              <w:snapToGrid w:val="0"/>
              <w:rPr>
                <w:kern w:val="2"/>
                <w:szCs w:val="21"/>
              </w:rPr>
            </w:pPr>
            <w:r>
              <w:rPr>
                <w:kern w:val="2"/>
                <w:szCs w:val="21"/>
              </w:rPr>
              <w:t>SO</w:t>
            </w:r>
            <w:r>
              <w:rPr>
                <w:kern w:val="2"/>
                <w:szCs w:val="21"/>
                <w:vertAlign w:val="subscript"/>
              </w:rPr>
              <w:t>2</w:t>
            </w:r>
            <w:r>
              <w:rPr>
                <w:kern w:val="2"/>
                <w:szCs w:val="21"/>
              </w:rPr>
              <w:t xml:space="preserve">  0.27kg/d</w:t>
            </w:r>
          </w:p>
          <w:p>
            <w:pPr>
              <w:pStyle w:val="56"/>
              <w:adjustRightInd w:val="0"/>
              <w:snapToGrid w:val="0"/>
              <w:rPr>
                <w:kern w:val="2"/>
                <w:szCs w:val="21"/>
              </w:rPr>
            </w:pPr>
            <w:r>
              <w:rPr>
                <w:kern w:val="2"/>
                <w:szCs w:val="21"/>
              </w:rPr>
              <w:t>NO</w:t>
            </w:r>
            <w:r>
              <w:rPr>
                <w:rFonts w:hint="eastAsia"/>
                <w:kern w:val="2"/>
                <w:szCs w:val="21"/>
                <w:vertAlign w:val="subscript"/>
              </w:rPr>
              <w:t>x</w:t>
            </w:r>
            <w:r>
              <w:rPr>
                <w:kern w:val="2"/>
                <w:szCs w:val="21"/>
              </w:rPr>
              <w:t xml:space="preserve">  4.31kg/d</w:t>
            </w:r>
          </w:p>
        </w:tc>
        <w:tc>
          <w:tcPr>
            <w:tcW w:w="1807" w:type="dxa"/>
            <w:vAlign w:val="center"/>
          </w:tcPr>
          <w:p>
            <w:pPr>
              <w:pStyle w:val="56"/>
              <w:adjustRightInd w:val="0"/>
              <w:snapToGrid w:val="0"/>
              <w:rPr>
                <w:kern w:val="2"/>
                <w:szCs w:val="21"/>
              </w:rPr>
            </w:pPr>
            <w:r>
              <w:rPr>
                <w:kern w:val="2"/>
                <w:szCs w:val="21"/>
              </w:rPr>
              <w:t>面源，扩散范围有限，排放不连续、流动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pStyle w:val="56"/>
              <w:adjustRightInd w:val="0"/>
              <w:snapToGrid w:val="0"/>
              <w:rPr>
                <w:kern w:val="2"/>
                <w:szCs w:val="21"/>
              </w:rPr>
            </w:pPr>
            <w:r>
              <w:rPr>
                <w:kern w:val="2"/>
                <w:szCs w:val="21"/>
              </w:rPr>
              <w:t>水环境</w:t>
            </w:r>
          </w:p>
        </w:tc>
        <w:tc>
          <w:tcPr>
            <w:tcW w:w="1559" w:type="dxa"/>
            <w:vMerge w:val="restart"/>
            <w:vAlign w:val="center"/>
          </w:tcPr>
          <w:p>
            <w:pPr>
              <w:pStyle w:val="56"/>
              <w:adjustRightInd w:val="0"/>
              <w:snapToGrid w:val="0"/>
              <w:rPr>
                <w:kern w:val="2"/>
                <w:szCs w:val="21"/>
              </w:rPr>
            </w:pPr>
            <w:r>
              <w:rPr>
                <w:kern w:val="2"/>
                <w:szCs w:val="21"/>
              </w:rPr>
              <w:t>施工废水</w:t>
            </w:r>
          </w:p>
        </w:tc>
        <w:tc>
          <w:tcPr>
            <w:tcW w:w="2126" w:type="dxa"/>
            <w:vAlign w:val="center"/>
          </w:tcPr>
          <w:p>
            <w:pPr>
              <w:pStyle w:val="56"/>
              <w:adjustRightInd w:val="0"/>
              <w:snapToGrid w:val="0"/>
              <w:rPr>
                <w:kern w:val="2"/>
                <w:szCs w:val="21"/>
              </w:rPr>
            </w:pPr>
            <w:r>
              <w:rPr>
                <w:kern w:val="2"/>
                <w:szCs w:val="21"/>
              </w:rPr>
              <w:t>生活污水</w:t>
            </w:r>
          </w:p>
        </w:tc>
        <w:tc>
          <w:tcPr>
            <w:tcW w:w="2128" w:type="dxa"/>
            <w:vAlign w:val="center"/>
          </w:tcPr>
          <w:p>
            <w:pPr>
              <w:pStyle w:val="56"/>
              <w:adjustRightInd w:val="0"/>
              <w:snapToGrid w:val="0"/>
              <w:rPr>
                <w:kern w:val="2"/>
                <w:szCs w:val="21"/>
              </w:rPr>
            </w:pPr>
            <w:r>
              <w:rPr>
                <w:kern w:val="2"/>
                <w:szCs w:val="21"/>
              </w:rPr>
              <w:t>COD：280mg/</w:t>
            </w:r>
            <w:r>
              <w:rPr>
                <w:rFonts w:hint="eastAsia"/>
                <w:kern w:val="2"/>
                <w:szCs w:val="21"/>
              </w:rPr>
              <w:t>L</w:t>
            </w:r>
          </w:p>
          <w:p>
            <w:pPr>
              <w:pStyle w:val="56"/>
              <w:adjustRightInd w:val="0"/>
              <w:snapToGrid w:val="0"/>
              <w:rPr>
                <w:kern w:val="2"/>
                <w:szCs w:val="21"/>
              </w:rPr>
            </w:pPr>
            <w:r>
              <w:rPr>
                <w:kern w:val="2"/>
                <w:szCs w:val="21"/>
              </w:rPr>
              <w:t>BOD：180mg/</w:t>
            </w:r>
            <w:r>
              <w:rPr>
                <w:rFonts w:hint="eastAsia"/>
                <w:kern w:val="2"/>
                <w:szCs w:val="21"/>
              </w:rPr>
              <w:t>L</w:t>
            </w:r>
          </w:p>
          <w:p>
            <w:pPr>
              <w:pStyle w:val="56"/>
              <w:adjustRightInd w:val="0"/>
              <w:snapToGrid w:val="0"/>
              <w:rPr>
                <w:kern w:val="2"/>
                <w:szCs w:val="21"/>
              </w:rPr>
            </w:pPr>
            <w:r>
              <w:rPr>
                <w:kern w:val="2"/>
                <w:szCs w:val="21"/>
              </w:rPr>
              <w:t>SS：250mg/</w:t>
            </w:r>
            <w:r>
              <w:rPr>
                <w:rFonts w:hint="eastAsia"/>
                <w:kern w:val="2"/>
                <w:szCs w:val="21"/>
              </w:rPr>
              <w:t>L</w:t>
            </w:r>
          </w:p>
        </w:tc>
        <w:tc>
          <w:tcPr>
            <w:tcW w:w="1807" w:type="dxa"/>
            <w:vMerge w:val="restart"/>
            <w:vAlign w:val="center"/>
          </w:tcPr>
          <w:p>
            <w:pPr>
              <w:pStyle w:val="56"/>
              <w:adjustRightInd w:val="0"/>
              <w:snapToGrid w:val="0"/>
              <w:rPr>
                <w:kern w:val="2"/>
                <w:szCs w:val="21"/>
              </w:rPr>
            </w:pPr>
            <w:r>
              <w:rPr>
                <w:kern w:val="2"/>
                <w:szCs w:val="21"/>
              </w:rPr>
              <w:t>点源，排放不连续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jc w:val="left"/>
              <w:rPr>
                <w:rFonts w:ascii="Times New Roman" w:hAnsi="Times New Roman"/>
                <w:szCs w:val="21"/>
              </w:rPr>
            </w:pPr>
          </w:p>
        </w:tc>
        <w:tc>
          <w:tcPr>
            <w:tcW w:w="1559" w:type="dxa"/>
            <w:vMerge w:val="continue"/>
            <w:vAlign w:val="center"/>
          </w:tcPr>
          <w:p>
            <w:pPr>
              <w:widowControl/>
              <w:jc w:val="left"/>
              <w:rPr>
                <w:rFonts w:ascii="Times New Roman" w:hAnsi="Times New Roman"/>
                <w:szCs w:val="21"/>
              </w:rPr>
            </w:pPr>
          </w:p>
        </w:tc>
        <w:tc>
          <w:tcPr>
            <w:tcW w:w="2126" w:type="dxa"/>
            <w:vAlign w:val="center"/>
          </w:tcPr>
          <w:p>
            <w:pPr>
              <w:pStyle w:val="56"/>
              <w:adjustRightInd w:val="0"/>
              <w:snapToGrid w:val="0"/>
              <w:rPr>
                <w:kern w:val="2"/>
                <w:szCs w:val="21"/>
              </w:rPr>
            </w:pPr>
            <w:r>
              <w:rPr>
                <w:kern w:val="2"/>
                <w:szCs w:val="21"/>
              </w:rPr>
              <w:t>生产废水</w:t>
            </w:r>
          </w:p>
        </w:tc>
        <w:tc>
          <w:tcPr>
            <w:tcW w:w="2128" w:type="dxa"/>
            <w:vAlign w:val="center"/>
          </w:tcPr>
          <w:p>
            <w:pPr>
              <w:pStyle w:val="56"/>
              <w:adjustRightInd w:val="0"/>
              <w:snapToGrid w:val="0"/>
              <w:rPr>
                <w:kern w:val="2"/>
                <w:szCs w:val="21"/>
              </w:rPr>
            </w:pPr>
            <w:r>
              <w:rPr>
                <w:kern w:val="2"/>
                <w:szCs w:val="21"/>
              </w:rPr>
              <w:t>COD：280mg/</w:t>
            </w:r>
            <w:r>
              <w:rPr>
                <w:rFonts w:hint="eastAsia"/>
                <w:kern w:val="2"/>
                <w:szCs w:val="21"/>
              </w:rPr>
              <w:t>L</w:t>
            </w:r>
          </w:p>
          <w:p>
            <w:pPr>
              <w:pStyle w:val="56"/>
              <w:adjustRightInd w:val="0"/>
              <w:snapToGrid w:val="0"/>
              <w:rPr>
                <w:kern w:val="2"/>
                <w:szCs w:val="21"/>
              </w:rPr>
            </w:pPr>
            <w:r>
              <w:rPr>
                <w:kern w:val="2"/>
                <w:szCs w:val="21"/>
              </w:rPr>
              <w:t>BOD：180mg/</w:t>
            </w:r>
            <w:r>
              <w:rPr>
                <w:rFonts w:hint="eastAsia"/>
                <w:kern w:val="2"/>
                <w:szCs w:val="21"/>
              </w:rPr>
              <w:t>L</w:t>
            </w:r>
          </w:p>
          <w:p>
            <w:pPr>
              <w:pStyle w:val="56"/>
              <w:adjustRightInd w:val="0"/>
              <w:snapToGrid w:val="0"/>
              <w:rPr>
                <w:kern w:val="2"/>
                <w:szCs w:val="21"/>
              </w:rPr>
            </w:pPr>
            <w:r>
              <w:rPr>
                <w:kern w:val="2"/>
                <w:szCs w:val="21"/>
              </w:rPr>
              <w:t>SS：500mg/</w:t>
            </w:r>
            <w:r>
              <w:rPr>
                <w:rFonts w:hint="eastAsia"/>
                <w:kern w:val="2"/>
                <w:szCs w:val="21"/>
              </w:rPr>
              <w:t>L</w:t>
            </w:r>
          </w:p>
          <w:p>
            <w:pPr>
              <w:pStyle w:val="56"/>
              <w:adjustRightInd w:val="0"/>
              <w:snapToGrid w:val="0"/>
              <w:rPr>
                <w:kern w:val="2"/>
                <w:szCs w:val="21"/>
              </w:rPr>
            </w:pPr>
            <w:r>
              <w:rPr>
                <w:kern w:val="2"/>
                <w:szCs w:val="21"/>
              </w:rPr>
              <w:t>石油类：10mg/</w:t>
            </w:r>
            <w:r>
              <w:rPr>
                <w:rFonts w:hint="eastAsia"/>
                <w:kern w:val="2"/>
                <w:szCs w:val="21"/>
              </w:rPr>
              <w:t>L</w:t>
            </w:r>
          </w:p>
        </w:tc>
        <w:tc>
          <w:tcPr>
            <w:tcW w:w="1807" w:type="dxa"/>
            <w:vMerge w:val="continue"/>
            <w:vAlign w:val="center"/>
          </w:tcPr>
          <w:p>
            <w:pPr>
              <w:widowControl/>
              <w:jc w:val="lef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100" w:type="dxa"/>
            <w:vAlign w:val="center"/>
          </w:tcPr>
          <w:p>
            <w:pPr>
              <w:pStyle w:val="56"/>
              <w:adjustRightInd w:val="0"/>
              <w:snapToGrid w:val="0"/>
              <w:rPr>
                <w:kern w:val="2"/>
                <w:szCs w:val="21"/>
              </w:rPr>
            </w:pPr>
            <w:r>
              <w:rPr>
                <w:kern w:val="2"/>
                <w:szCs w:val="21"/>
              </w:rPr>
              <w:t>声环境</w:t>
            </w:r>
          </w:p>
        </w:tc>
        <w:tc>
          <w:tcPr>
            <w:tcW w:w="1559" w:type="dxa"/>
            <w:vAlign w:val="center"/>
          </w:tcPr>
          <w:p>
            <w:pPr>
              <w:pStyle w:val="56"/>
              <w:adjustRightInd w:val="0"/>
              <w:snapToGrid w:val="0"/>
              <w:rPr>
                <w:kern w:val="2"/>
                <w:szCs w:val="21"/>
              </w:rPr>
            </w:pPr>
            <w:r>
              <w:rPr>
                <w:kern w:val="2"/>
                <w:szCs w:val="21"/>
              </w:rPr>
              <w:t>设备噪声</w:t>
            </w:r>
          </w:p>
        </w:tc>
        <w:tc>
          <w:tcPr>
            <w:tcW w:w="2126" w:type="dxa"/>
            <w:vAlign w:val="center"/>
          </w:tcPr>
          <w:p>
            <w:pPr>
              <w:pStyle w:val="56"/>
              <w:adjustRightInd w:val="0"/>
              <w:snapToGrid w:val="0"/>
              <w:rPr>
                <w:kern w:val="2"/>
                <w:szCs w:val="21"/>
              </w:rPr>
            </w:pPr>
            <w:r>
              <w:rPr>
                <w:kern w:val="2"/>
                <w:szCs w:val="21"/>
              </w:rPr>
              <w:t>推土机、挖掘机、装载机、载重汽车等</w:t>
            </w:r>
          </w:p>
        </w:tc>
        <w:tc>
          <w:tcPr>
            <w:tcW w:w="2128" w:type="dxa"/>
            <w:vAlign w:val="center"/>
          </w:tcPr>
          <w:p>
            <w:pPr>
              <w:pStyle w:val="56"/>
              <w:adjustRightInd w:val="0"/>
              <w:snapToGrid w:val="0"/>
              <w:rPr>
                <w:kern w:val="2"/>
                <w:szCs w:val="21"/>
              </w:rPr>
            </w:pPr>
            <w:r>
              <w:rPr>
                <w:kern w:val="2"/>
                <w:szCs w:val="21"/>
              </w:rPr>
              <w:t>82-95dB(A)</w:t>
            </w:r>
          </w:p>
        </w:tc>
        <w:tc>
          <w:tcPr>
            <w:tcW w:w="1807" w:type="dxa"/>
            <w:vAlign w:val="center"/>
          </w:tcPr>
          <w:p>
            <w:pPr>
              <w:pStyle w:val="56"/>
              <w:adjustRightInd w:val="0"/>
              <w:snapToGrid w:val="0"/>
              <w:rPr>
                <w:kern w:val="2"/>
                <w:szCs w:val="21"/>
              </w:rPr>
            </w:pPr>
            <w:r>
              <w:rPr>
                <w:kern w:val="2"/>
                <w:szCs w:val="21"/>
              </w:rPr>
              <w:t>无指向性，不连续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0" w:type="dxa"/>
            <w:vMerge w:val="restart"/>
            <w:vAlign w:val="center"/>
          </w:tcPr>
          <w:p>
            <w:pPr>
              <w:widowControl/>
              <w:jc w:val="left"/>
              <w:rPr>
                <w:rFonts w:ascii="Times New Roman" w:hAnsi="Times New Roman"/>
                <w:szCs w:val="21"/>
              </w:rPr>
            </w:pPr>
            <w:r>
              <w:rPr>
                <w:rFonts w:hint="eastAsia" w:ascii="Times New Roman" w:hAnsi="Times New Roman"/>
                <w:szCs w:val="21"/>
              </w:rPr>
              <w:t>固体废物</w:t>
            </w:r>
          </w:p>
        </w:tc>
        <w:tc>
          <w:tcPr>
            <w:tcW w:w="1559" w:type="dxa"/>
            <w:vAlign w:val="center"/>
          </w:tcPr>
          <w:p>
            <w:pPr>
              <w:pStyle w:val="56"/>
              <w:adjustRightInd w:val="0"/>
              <w:snapToGrid w:val="0"/>
              <w:rPr>
                <w:kern w:val="2"/>
                <w:szCs w:val="21"/>
              </w:rPr>
            </w:pPr>
            <w:r>
              <w:rPr>
                <w:kern w:val="2"/>
                <w:szCs w:val="21"/>
              </w:rPr>
              <w:t>建筑垃圾</w:t>
            </w:r>
          </w:p>
        </w:tc>
        <w:tc>
          <w:tcPr>
            <w:tcW w:w="2126" w:type="dxa"/>
            <w:vAlign w:val="center"/>
          </w:tcPr>
          <w:p>
            <w:pPr>
              <w:pStyle w:val="56"/>
              <w:adjustRightInd w:val="0"/>
              <w:snapToGrid w:val="0"/>
              <w:rPr>
                <w:kern w:val="2"/>
                <w:szCs w:val="21"/>
              </w:rPr>
            </w:pPr>
            <w:r>
              <w:rPr>
                <w:kern w:val="2"/>
                <w:szCs w:val="21"/>
              </w:rPr>
              <w:t>施工过程产生</w:t>
            </w:r>
          </w:p>
        </w:tc>
        <w:tc>
          <w:tcPr>
            <w:tcW w:w="2128" w:type="dxa"/>
            <w:vAlign w:val="center"/>
          </w:tcPr>
          <w:p>
            <w:pPr>
              <w:pStyle w:val="56"/>
              <w:adjustRightInd w:val="0"/>
              <w:snapToGrid w:val="0"/>
              <w:rPr>
                <w:kern w:val="2"/>
                <w:szCs w:val="21"/>
              </w:rPr>
            </w:pPr>
            <w:r>
              <w:rPr>
                <w:kern w:val="2"/>
                <w:szCs w:val="21"/>
              </w:rPr>
              <w:t>5t/a</w:t>
            </w:r>
          </w:p>
        </w:tc>
        <w:tc>
          <w:tcPr>
            <w:tcW w:w="1807" w:type="dxa"/>
            <w:vAlign w:val="center"/>
          </w:tcPr>
          <w:p>
            <w:pPr>
              <w:pStyle w:val="56"/>
              <w:adjustRightInd w:val="0"/>
              <w:snapToGrid w:val="0"/>
              <w:rPr>
                <w:kern w:val="2"/>
                <w:szCs w:val="21"/>
              </w:rPr>
            </w:pPr>
            <w:r>
              <w:rPr>
                <w:kern w:val="2"/>
                <w:szCs w:val="21"/>
              </w:rPr>
              <w:t>全部运至建筑垃圾填埋场堆存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00" w:type="dxa"/>
            <w:vMerge w:val="continue"/>
            <w:vAlign w:val="center"/>
          </w:tcPr>
          <w:p>
            <w:pPr>
              <w:widowControl/>
              <w:jc w:val="left"/>
              <w:rPr>
                <w:rFonts w:ascii="Times New Roman" w:hAnsi="Times New Roman"/>
                <w:szCs w:val="21"/>
              </w:rPr>
            </w:pPr>
          </w:p>
        </w:tc>
        <w:tc>
          <w:tcPr>
            <w:tcW w:w="1559" w:type="dxa"/>
            <w:vAlign w:val="center"/>
          </w:tcPr>
          <w:p>
            <w:pPr>
              <w:pStyle w:val="56"/>
              <w:adjustRightInd w:val="0"/>
              <w:snapToGrid w:val="0"/>
              <w:rPr>
                <w:kern w:val="2"/>
                <w:szCs w:val="21"/>
              </w:rPr>
            </w:pPr>
            <w:r>
              <w:rPr>
                <w:kern w:val="2"/>
                <w:szCs w:val="21"/>
              </w:rPr>
              <w:t>生活垃圾</w:t>
            </w:r>
          </w:p>
        </w:tc>
        <w:tc>
          <w:tcPr>
            <w:tcW w:w="2126" w:type="dxa"/>
            <w:vAlign w:val="center"/>
          </w:tcPr>
          <w:p>
            <w:pPr>
              <w:pStyle w:val="56"/>
              <w:adjustRightInd w:val="0"/>
              <w:snapToGrid w:val="0"/>
              <w:rPr>
                <w:kern w:val="2"/>
                <w:szCs w:val="21"/>
              </w:rPr>
            </w:pPr>
            <w:r>
              <w:rPr>
                <w:kern w:val="2"/>
                <w:szCs w:val="21"/>
              </w:rPr>
              <w:t>施工期人员产生</w:t>
            </w:r>
          </w:p>
        </w:tc>
        <w:tc>
          <w:tcPr>
            <w:tcW w:w="2128" w:type="dxa"/>
            <w:vAlign w:val="center"/>
          </w:tcPr>
          <w:p>
            <w:pPr>
              <w:pStyle w:val="56"/>
              <w:adjustRightInd w:val="0"/>
              <w:snapToGrid w:val="0"/>
              <w:rPr>
                <w:kern w:val="2"/>
                <w:szCs w:val="21"/>
              </w:rPr>
            </w:pPr>
            <w:r>
              <w:rPr>
                <w:kern w:val="2"/>
                <w:szCs w:val="21"/>
              </w:rPr>
              <w:t>2t/a</w:t>
            </w:r>
          </w:p>
        </w:tc>
        <w:tc>
          <w:tcPr>
            <w:tcW w:w="1807" w:type="dxa"/>
            <w:vAlign w:val="center"/>
          </w:tcPr>
          <w:p>
            <w:pPr>
              <w:pStyle w:val="56"/>
              <w:adjustRightInd w:val="0"/>
              <w:snapToGrid w:val="0"/>
              <w:rPr>
                <w:kern w:val="2"/>
                <w:szCs w:val="21"/>
              </w:rPr>
            </w:pPr>
            <w:r>
              <w:rPr>
                <w:kern w:val="2"/>
                <w:szCs w:val="21"/>
              </w:rPr>
              <w:t>全部定期运至当地生活垃圾填埋场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0" w:type="dxa"/>
            <w:vMerge w:val="restart"/>
            <w:vAlign w:val="center"/>
          </w:tcPr>
          <w:p>
            <w:pPr>
              <w:pStyle w:val="56"/>
              <w:adjustRightInd w:val="0"/>
              <w:snapToGrid w:val="0"/>
              <w:rPr>
                <w:kern w:val="2"/>
                <w:szCs w:val="21"/>
              </w:rPr>
            </w:pPr>
            <w:r>
              <w:rPr>
                <w:kern w:val="2"/>
                <w:szCs w:val="21"/>
              </w:rPr>
              <w:t>生态环境</w:t>
            </w:r>
          </w:p>
        </w:tc>
        <w:tc>
          <w:tcPr>
            <w:tcW w:w="1559" w:type="dxa"/>
            <w:vAlign w:val="center"/>
          </w:tcPr>
          <w:p>
            <w:pPr>
              <w:pStyle w:val="56"/>
              <w:adjustRightInd w:val="0"/>
              <w:snapToGrid w:val="0"/>
              <w:rPr>
                <w:kern w:val="2"/>
                <w:szCs w:val="21"/>
              </w:rPr>
            </w:pPr>
            <w:r>
              <w:rPr>
                <w:kern w:val="2"/>
                <w:szCs w:val="21"/>
              </w:rPr>
              <w:t>扰动土壤</w:t>
            </w:r>
          </w:p>
        </w:tc>
        <w:tc>
          <w:tcPr>
            <w:tcW w:w="2126" w:type="dxa"/>
            <w:vAlign w:val="center"/>
          </w:tcPr>
          <w:p>
            <w:pPr>
              <w:pStyle w:val="56"/>
              <w:adjustRightInd w:val="0"/>
              <w:snapToGrid w:val="0"/>
              <w:rPr>
                <w:kern w:val="2"/>
                <w:szCs w:val="21"/>
              </w:rPr>
            </w:pPr>
            <w:r>
              <w:rPr>
                <w:kern w:val="2"/>
                <w:szCs w:val="21"/>
              </w:rPr>
              <w:t>水土流失</w:t>
            </w:r>
          </w:p>
        </w:tc>
        <w:tc>
          <w:tcPr>
            <w:tcW w:w="2128" w:type="dxa"/>
            <w:vAlign w:val="center"/>
          </w:tcPr>
          <w:p>
            <w:pPr>
              <w:pStyle w:val="56"/>
              <w:adjustRightInd w:val="0"/>
              <w:snapToGrid w:val="0"/>
              <w:rPr>
                <w:kern w:val="2"/>
                <w:szCs w:val="21"/>
              </w:rPr>
            </w:pPr>
            <w:r>
              <w:rPr>
                <w:kern w:val="2"/>
                <w:szCs w:val="21"/>
              </w:rPr>
              <w:t>增加土壤侵蚀量</w:t>
            </w:r>
          </w:p>
        </w:tc>
        <w:tc>
          <w:tcPr>
            <w:tcW w:w="1807" w:type="dxa"/>
            <w:vAlign w:val="center"/>
          </w:tcPr>
          <w:p>
            <w:pPr>
              <w:pStyle w:val="56"/>
              <w:adjustRightInd w:val="0"/>
              <w:snapToGrid w:val="0"/>
              <w:rPr>
                <w:kern w:val="2"/>
                <w:szCs w:val="21"/>
              </w:rPr>
            </w:pPr>
            <w:r>
              <w:rPr>
                <w:kern w:val="2"/>
                <w:szCs w:val="21"/>
              </w:rPr>
              <w:t>短期、可逆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jc w:val="left"/>
              <w:rPr>
                <w:rFonts w:ascii="Times New Roman" w:hAnsi="Times New Roman"/>
                <w:szCs w:val="21"/>
              </w:rPr>
            </w:pPr>
          </w:p>
        </w:tc>
        <w:tc>
          <w:tcPr>
            <w:tcW w:w="1559" w:type="dxa"/>
            <w:vAlign w:val="center"/>
          </w:tcPr>
          <w:p>
            <w:pPr>
              <w:pStyle w:val="56"/>
              <w:adjustRightInd w:val="0"/>
              <w:snapToGrid w:val="0"/>
              <w:rPr>
                <w:kern w:val="2"/>
                <w:szCs w:val="21"/>
              </w:rPr>
            </w:pPr>
            <w:r>
              <w:rPr>
                <w:rFonts w:hint="eastAsia"/>
                <w:kern w:val="2"/>
                <w:szCs w:val="21"/>
              </w:rPr>
              <w:t>施工期扬尘</w:t>
            </w:r>
          </w:p>
        </w:tc>
        <w:tc>
          <w:tcPr>
            <w:tcW w:w="2126" w:type="dxa"/>
            <w:vAlign w:val="center"/>
          </w:tcPr>
          <w:p>
            <w:pPr>
              <w:pStyle w:val="56"/>
              <w:adjustRightInd w:val="0"/>
              <w:snapToGrid w:val="0"/>
              <w:rPr>
                <w:kern w:val="2"/>
                <w:szCs w:val="21"/>
              </w:rPr>
            </w:pPr>
            <w:r>
              <w:rPr>
                <w:rFonts w:hint="eastAsia"/>
                <w:kern w:val="2"/>
                <w:szCs w:val="21"/>
              </w:rPr>
              <w:t>影响</w:t>
            </w:r>
            <w:r>
              <w:rPr>
                <w:kern w:val="2"/>
                <w:szCs w:val="21"/>
              </w:rPr>
              <w:t>森林植被</w:t>
            </w:r>
            <w:r>
              <w:rPr>
                <w:rFonts w:hint="eastAsia"/>
                <w:kern w:val="2"/>
                <w:szCs w:val="21"/>
              </w:rPr>
              <w:t>生长</w:t>
            </w:r>
          </w:p>
        </w:tc>
        <w:tc>
          <w:tcPr>
            <w:tcW w:w="2128" w:type="dxa"/>
            <w:vAlign w:val="center"/>
          </w:tcPr>
          <w:p>
            <w:pPr>
              <w:pStyle w:val="56"/>
              <w:adjustRightInd w:val="0"/>
              <w:snapToGrid w:val="0"/>
              <w:rPr>
                <w:kern w:val="2"/>
                <w:szCs w:val="21"/>
              </w:rPr>
            </w:pPr>
            <w:r>
              <w:rPr>
                <w:kern w:val="2"/>
                <w:szCs w:val="21"/>
              </w:rPr>
              <w:t>主要为阔叶柞树、杂树、红松等</w:t>
            </w:r>
          </w:p>
        </w:tc>
        <w:tc>
          <w:tcPr>
            <w:tcW w:w="1807" w:type="dxa"/>
            <w:vAlign w:val="center"/>
          </w:tcPr>
          <w:p>
            <w:pPr>
              <w:pStyle w:val="56"/>
              <w:adjustRightInd w:val="0"/>
              <w:snapToGrid w:val="0"/>
              <w:rPr>
                <w:kern w:val="2"/>
                <w:szCs w:val="21"/>
              </w:rPr>
            </w:pPr>
            <w:r>
              <w:rPr>
                <w:rFonts w:hint="eastAsia"/>
                <w:kern w:val="2"/>
                <w:szCs w:val="21"/>
              </w:rPr>
              <w:t>采取防护措施可降低</w:t>
            </w:r>
          </w:p>
        </w:tc>
      </w:tr>
    </w:tbl>
    <w:p>
      <w:pPr>
        <w:pStyle w:val="5"/>
        <w:rPr>
          <w:color w:val="000000"/>
          <w:sz w:val="24"/>
          <w:szCs w:val="24"/>
        </w:rPr>
      </w:pPr>
      <w:bookmarkStart w:id="237" w:name="_Toc30647"/>
      <w:bookmarkStart w:id="238" w:name="_Toc28575"/>
      <w:bookmarkStart w:id="239" w:name="_Toc1537"/>
      <w:r>
        <w:rPr>
          <w:rFonts w:hint="eastAsia"/>
          <w:color w:val="000000"/>
          <w:sz w:val="24"/>
          <w:szCs w:val="24"/>
        </w:rPr>
        <w:t>3.4.2营运期</w:t>
      </w:r>
      <w:bookmarkEnd w:id="237"/>
      <w:bookmarkEnd w:id="238"/>
      <w:bookmarkEnd w:id="239"/>
    </w:p>
    <w:p>
      <w:pPr>
        <w:widowControl/>
        <w:adjustRightInd w:val="0"/>
        <w:snapToGrid w:val="0"/>
        <w:spacing w:line="360" w:lineRule="auto"/>
        <w:outlineLvl w:val="2"/>
        <w:rPr>
          <w:rFonts w:ascii="Times New Roman" w:hAnsi="Times New Roman"/>
          <w:b/>
          <w:sz w:val="24"/>
        </w:rPr>
      </w:pPr>
      <w:bookmarkStart w:id="240" w:name="_Toc4430"/>
      <w:bookmarkStart w:id="241" w:name="_Toc23371"/>
      <w:bookmarkStart w:id="242" w:name="_Toc28016"/>
      <w:r>
        <w:rPr>
          <w:rFonts w:hint="eastAsia" w:ascii="Times New Roman" w:hAnsi="Times New Roman"/>
          <w:b/>
          <w:sz w:val="24"/>
        </w:rPr>
        <w:t>3.4.2.1废气</w:t>
      </w:r>
      <w:bookmarkEnd w:id="240"/>
      <w:bookmarkEnd w:id="241"/>
      <w:bookmarkEnd w:id="242"/>
    </w:p>
    <w:p>
      <w:pPr>
        <w:spacing w:line="360" w:lineRule="auto"/>
        <w:ind w:firstLine="480" w:firstLineChars="200"/>
        <w:jc w:val="left"/>
        <w:outlineLvl w:val="0"/>
        <w:rPr>
          <w:rFonts w:ascii="Times New Roman" w:hAnsi="Times New Roman"/>
          <w:bCs/>
          <w:color w:val="000000"/>
          <w:sz w:val="24"/>
          <w:szCs w:val="24"/>
        </w:rPr>
      </w:pPr>
      <w:r>
        <w:rPr>
          <w:rFonts w:ascii="Times New Roman" w:hAnsi="Times New Roman"/>
          <w:bCs/>
          <w:color w:val="000000"/>
          <w:sz w:val="24"/>
          <w:szCs w:val="24"/>
        </w:rPr>
        <w:t>1、尾矿库扬尘</w:t>
      </w:r>
    </w:p>
    <w:p>
      <w:pPr>
        <w:spacing w:line="360" w:lineRule="auto"/>
        <w:ind w:firstLine="480" w:firstLineChars="200"/>
        <w:jc w:val="center"/>
        <w:rPr>
          <w:rFonts w:ascii="Times New Roman" w:hAnsi="Times New Roman"/>
          <w:sz w:val="24"/>
          <w:szCs w:val="24"/>
          <w:vertAlign w:val="subscript"/>
        </w:rPr>
      </w:pPr>
      <w:r>
        <w:rPr>
          <w:rFonts w:ascii="Times New Roman" w:hAnsi="Times New Roman"/>
          <w:sz w:val="24"/>
          <w:szCs w:val="24"/>
        </w:rPr>
        <w:t>矿渣运入尾矿坝后，矿渣露天堆放，矿渣残留水量蒸发后，遇气流的物理搬运作用产生扬尘。尾矿库内起尘量</w:t>
      </w:r>
      <w:r>
        <w:rPr>
          <w:rFonts w:hint="eastAsia" w:ascii="Times New Roman" w:hAnsi="Times New Roman"/>
          <w:sz w:val="24"/>
          <w:szCs w:val="24"/>
        </w:rPr>
        <w:t>参照</w:t>
      </w:r>
      <w:r>
        <w:rPr>
          <w:rFonts w:ascii="Times New Roman" w:hAnsi="Times New Roman"/>
          <w:sz w:val="24"/>
          <w:szCs w:val="24"/>
        </w:rPr>
        <w:t>《秦皇岛沙石料装卸中对起尘机理扩散规律的研究》推荐的起尘公式类比计算，其数学表达式如下，相关参数取值见表3-24。Q</w:t>
      </w:r>
      <w:r>
        <w:rPr>
          <w:rFonts w:ascii="Times New Roman" w:hAnsi="Times New Roman"/>
          <w:sz w:val="24"/>
          <w:szCs w:val="24"/>
          <w:vertAlign w:val="subscript"/>
        </w:rPr>
        <w:t>p</w:t>
      </w:r>
      <w:r>
        <w:rPr>
          <w:rFonts w:ascii="Times New Roman" w:hAnsi="Times New Roman"/>
          <w:sz w:val="24"/>
          <w:szCs w:val="24"/>
        </w:rPr>
        <w:t>=4.23×10</w:t>
      </w:r>
      <w:r>
        <w:rPr>
          <w:rFonts w:ascii="Times New Roman" w:hAnsi="Times New Roman"/>
          <w:sz w:val="24"/>
          <w:szCs w:val="24"/>
          <w:vertAlign w:val="superscript"/>
        </w:rPr>
        <w:t>-4</w:t>
      </w:r>
      <w:r>
        <w:rPr>
          <w:rFonts w:ascii="Times New Roman" w:hAnsi="Times New Roman"/>
          <w:sz w:val="24"/>
          <w:szCs w:val="24"/>
        </w:rPr>
        <w:t>·U</w:t>
      </w:r>
      <w:r>
        <w:rPr>
          <w:rFonts w:ascii="Times New Roman" w:hAnsi="Times New Roman"/>
          <w:sz w:val="24"/>
          <w:szCs w:val="24"/>
          <w:vertAlign w:val="superscript"/>
        </w:rPr>
        <w:t>4.9</w:t>
      </w:r>
      <w:r>
        <w:rPr>
          <w:rFonts w:ascii="Times New Roman" w:hAnsi="Times New Roman"/>
          <w:sz w:val="24"/>
          <w:szCs w:val="24"/>
        </w:rPr>
        <w:t>·A</w:t>
      </w:r>
      <w:r>
        <w:rPr>
          <w:rFonts w:ascii="Times New Roman" w:hAnsi="Times New Roman"/>
          <w:sz w:val="24"/>
          <w:szCs w:val="24"/>
          <w:vertAlign w:val="subscript"/>
        </w:rPr>
        <w:t>p</w:t>
      </w:r>
    </w:p>
    <w:p>
      <w:pPr>
        <w:spacing w:line="360" w:lineRule="auto"/>
        <w:ind w:firstLine="480" w:firstLineChars="200"/>
        <w:jc w:val="center"/>
        <w:outlineLvl w:val="0"/>
        <w:rPr>
          <w:rFonts w:ascii="Times New Roman" w:hAnsi="Times New Roman"/>
          <w:sz w:val="24"/>
          <w:szCs w:val="24"/>
          <w:vertAlign w:val="superscript"/>
        </w:rPr>
      </w:pPr>
      <w:r>
        <w:rPr>
          <w:rFonts w:ascii="Times New Roman" w:hAnsi="Times New Roman"/>
          <w:sz w:val="24"/>
          <w:szCs w:val="24"/>
        </w:rPr>
        <w:t>Q=Q</w:t>
      </w:r>
      <w:r>
        <w:rPr>
          <w:rFonts w:ascii="Times New Roman" w:hAnsi="Times New Roman"/>
          <w:sz w:val="24"/>
          <w:szCs w:val="24"/>
          <w:vertAlign w:val="subscript"/>
        </w:rPr>
        <w:t>p</w:t>
      </w:r>
      <w:r>
        <w:rPr>
          <w:rFonts w:ascii="Times New Roman" w:hAnsi="Times New Roman"/>
          <w:sz w:val="24"/>
          <w:szCs w:val="24"/>
        </w:rPr>
        <w:t>×60×60×24×365×10</w:t>
      </w:r>
      <w:r>
        <w:rPr>
          <w:rFonts w:ascii="Times New Roman" w:hAnsi="Times New Roman"/>
          <w:sz w:val="24"/>
          <w:szCs w:val="24"/>
          <w:vertAlign w:val="superscript"/>
        </w:rPr>
        <w:t>-9</w:t>
      </w:r>
    </w:p>
    <w:p>
      <w:pPr>
        <w:pStyle w:val="47"/>
        <w:spacing w:line="360" w:lineRule="auto"/>
        <w:ind w:firstLine="480" w:firstLineChars="200"/>
        <w:rPr>
          <w:sz w:val="24"/>
          <w:szCs w:val="24"/>
        </w:rPr>
      </w:pPr>
      <w:r>
        <w:rPr>
          <w:sz w:val="24"/>
          <w:szCs w:val="24"/>
        </w:rPr>
        <w:t>式中：Q</w:t>
      </w:r>
      <w:r>
        <w:rPr>
          <w:sz w:val="24"/>
          <w:szCs w:val="24"/>
          <w:vertAlign w:val="subscript"/>
        </w:rPr>
        <w:t>p</w:t>
      </w:r>
      <w:r>
        <w:rPr>
          <w:sz w:val="24"/>
          <w:szCs w:val="24"/>
        </w:rPr>
        <w:t>—秒起尘量，mg/s；</w:t>
      </w:r>
    </w:p>
    <w:p>
      <w:pPr>
        <w:pStyle w:val="47"/>
        <w:spacing w:line="360" w:lineRule="auto"/>
        <w:ind w:firstLine="1132" w:firstLineChars="472"/>
        <w:rPr>
          <w:sz w:val="24"/>
          <w:szCs w:val="24"/>
        </w:rPr>
      </w:pPr>
      <w:r>
        <w:rPr>
          <w:sz w:val="24"/>
          <w:szCs w:val="24"/>
        </w:rPr>
        <w:t xml:space="preserve"> Q—年起尘量，t/a；</w:t>
      </w:r>
    </w:p>
    <w:p>
      <w:pPr>
        <w:pStyle w:val="47"/>
        <w:spacing w:line="360" w:lineRule="auto"/>
        <w:ind w:firstLine="1132" w:firstLineChars="472"/>
        <w:rPr>
          <w:sz w:val="24"/>
          <w:szCs w:val="24"/>
        </w:rPr>
      </w:pPr>
      <w:r>
        <w:rPr>
          <w:sz w:val="24"/>
          <w:szCs w:val="24"/>
        </w:rPr>
        <w:t xml:space="preserve"> A</w:t>
      </w:r>
      <w:r>
        <w:rPr>
          <w:sz w:val="24"/>
          <w:szCs w:val="24"/>
          <w:vertAlign w:val="subscript"/>
        </w:rPr>
        <w:t>p</w:t>
      </w:r>
      <w:r>
        <w:rPr>
          <w:sz w:val="24"/>
          <w:szCs w:val="24"/>
        </w:rPr>
        <w:t>—尾矿库起尘面积，m</w:t>
      </w:r>
      <w:r>
        <w:rPr>
          <w:sz w:val="24"/>
          <w:szCs w:val="24"/>
          <w:vertAlign w:val="superscript"/>
        </w:rPr>
        <w:t>2</w:t>
      </w:r>
      <w:r>
        <w:rPr>
          <w:sz w:val="24"/>
          <w:szCs w:val="24"/>
        </w:rPr>
        <w:t>；</w:t>
      </w:r>
    </w:p>
    <w:p>
      <w:pPr>
        <w:pStyle w:val="47"/>
        <w:spacing w:line="360" w:lineRule="auto"/>
        <w:ind w:firstLine="1132" w:firstLineChars="472"/>
        <w:rPr>
          <w:b/>
          <w:sz w:val="24"/>
          <w:szCs w:val="24"/>
        </w:rPr>
      </w:pPr>
      <w:r>
        <w:rPr>
          <w:sz w:val="24"/>
          <w:szCs w:val="24"/>
        </w:rPr>
        <w:t xml:space="preserve"> U —尾矿库平均风速，m/s。</w:t>
      </w:r>
    </w:p>
    <w:p>
      <w:pPr>
        <w:spacing w:beforeLines="50"/>
        <w:jc w:val="center"/>
        <w:rPr>
          <w:rFonts w:ascii="Times New Roman" w:hAnsi="Times New Roman"/>
          <w:b/>
          <w:sz w:val="24"/>
          <w:szCs w:val="24"/>
        </w:rPr>
      </w:pPr>
      <w:r>
        <w:rPr>
          <w:rFonts w:ascii="Times New Roman" w:hAnsi="Times New Roman"/>
          <w:b/>
          <w:sz w:val="24"/>
          <w:szCs w:val="24"/>
        </w:rPr>
        <w:t>表3-</w:t>
      </w:r>
      <w:r>
        <w:rPr>
          <w:rFonts w:hint="eastAsia" w:ascii="Times New Roman" w:hAnsi="Times New Roman"/>
          <w:b/>
          <w:sz w:val="24"/>
          <w:szCs w:val="24"/>
        </w:rPr>
        <w:t>24</w:t>
      </w:r>
      <w:r>
        <w:rPr>
          <w:rFonts w:ascii="Times New Roman" w:hAnsi="Times New Roman"/>
          <w:b/>
          <w:sz w:val="24"/>
          <w:szCs w:val="24"/>
        </w:rPr>
        <w:t xml:space="preserve">   参数取值及计算结果</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27"/>
        <w:gridCol w:w="2198"/>
        <w:gridCol w:w="2637"/>
        <w:gridCol w:w="196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4" w:hRule="atLeast"/>
          <w:jc w:val="center"/>
        </w:trPr>
        <w:tc>
          <w:tcPr>
            <w:tcW w:w="3925" w:type="dxa"/>
            <w:gridSpan w:val="2"/>
            <w:tcBorders>
              <w:bottom w:val="single" w:color="auto" w:sz="4" w:space="0"/>
            </w:tcBorders>
          </w:tcPr>
          <w:p>
            <w:pPr>
              <w:jc w:val="center"/>
              <w:rPr>
                <w:rFonts w:ascii="Times New Roman" w:hAnsi="Times New Roman"/>
                <w:b/>
                <w:szCs w:val="21"/>
                <w:u w:val="single"/>
              </w:rPr>
            </w:pPr>
            <w:r>
              <w:rPr>
                <w:rFonts w:ascii="Times New Roman" w:hAnsi="Times New Roman"/>
                <w:szCs w:val="21"/>
              </w:rPr>
              <w:t>参数取值</w:t>
            </w:r>
          </w:p>
        </w:tc>
        <w:tc>
          <w:tcPr>
            <w:tcW w:w="4597" w:type="dxa"/>
            <w:gridSpan w:val="2"/>
            <w:tcBorders>
              <w:bottom w:val="single" w:color="auto" w:sz="4" w:space="0"/>
            </w:tcBorders>
          </w:tcPr>
          <w:p>
            <w:pPr>
              <w:jc w:val="center"/>
              <w:rPr>
                <w:rFonts w:ascii="Times New Roman" w:hAnsi="Times New Roman"/>
                <w:szCs w:val="21"/>
              </w:rPr>
            </w:pPr>
            <w:r>
              <w:rPr>
                <w:rFonts w:ascii="Times New Roman" w:hAnsi="Times New Roman"/>
                <w:szCs w:val="21"/>
              </w:rPr>
              <w:t>计算结果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3" w:hRule="atLeast"/>
          <w:jc w:val="center"/>
        </w:trPr>
        <w:tc>
          <w:tcPr>
            <w:tcW w:w="1727" w:type="dxa"/>
            <w:tcBorders>
              <w:top w:val="single" w:color="auto" w:sz="4" w:space="0"/>
              <w:bottom w:val="single" w:color="auto" w:sz="4" w:space="0"/>
              <w:right w:val="single" w:color="auto" w:sz="4" w:space="0"/>
            </w:tcBorders>
          </w:tcPr>
          <w:p>
            <w:pPr>
              <w:jc w:val="center"/>
              <w:rPr>
                <w:rFonts w:ascii="Times New Roman" w:hAnsi="Times New Roman"/>
                <w:szCs w:val="21"/>
              </w:rPr>
            </w:pPr>
            <w:r>
              <w:rPr>
                <w:rFonts w:ascii="Times New Roman" w:hAnsi="Times New Roman"/>
                <w:szCs w:val="21"/>
              </w:rPr>
              <w:t>A</w:t>
            </w:r>
            <w:r>
              <w:rPr>
                <w:rFonts w:ascii="Times New Roman" w:hAnsi="Times New Roman"/>
                <w:szCs w:val="21"/>
                <w:vertAlign w:val="subscript"/>
              </w:rPr>
              <w:t>p</w:t>
            </w:r>
          </w:p>
        </w:tc>
        <w:tc>
          <w:tcPr>
            <w:tcW w:w="219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szCs w:val="21"/>
              </w:rPr>
            </w:pPr>
            <w:r>
              <w:rPr>
                <w:rFonts w:ascii="Times New Roman" w:hAnsi="Times New Roman"/>
                <w:szCs w:val="21"/>
              </w:rPr>
              <w:t>U</w:t>
            </w:r>
          </w:p>
        </w:tc>
        <w:tc>
          <w:tcPr>
            <w:tcW w:w="2637" w:type="dxa"/>
            <w:tcBorders>
              <w:top w:val="single" w:color="auto" w:sz="4" w:space="0"/>
              <w:left w:val="single" w:color="auto" w:sz="4" w:space="0"/>
              <w:bottom w:val="single" w:color="auto" w:sz="4" w:space="0"/>
            </w:tcBorders>
          </w:tcPr>
          <w:p>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p</w:t>
            </w:r>
          </w:p>
        </w:tc>
        <w:tc>
          <w:tcPr>
            <w:tcW w:w="1960" w:type="dxa"/>
            <w:tcBorders>
              <w:top w:val="single" w:color="auto" w:sz="4" w:space="0"/>
              <w:left w:val="single" w:color="auto" w:sz="4" w:space="0"/>
              <w:bottom w:val="single" w:color="auto" w:sz="4" w:space="0"/>
            </w:tcBorders>
          </w:tcPr>
          <w:p>
            <w:pPr>
              <w:jc w:val="center"/>
              <w:rPr>
                <w:rFonts w:ascii="Times New Roman" w:hAnsi="Times New Roman"/>
                <w:szCs w:val="21"/>
              </w:rPr>
            </w:pPr>
            <w:r>
              <w:rPr>
                <w:rFonts w:ascii="Times New Roman" w:hAnsi="Times New Roman"/>
                <w:szCs w:val="21"/>
              </w:rPr>
              <w:t>Q</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62" w:hRule="atLeast"/>
          <w:jc w:val="center"/>
        </w:trPr>
        <w:tc>
          <w:tcPr>
            <w:tcW w:w="1727" w:type="dxa"/>
            <w:tcBorders>
              <w:top w:val="single" w:color="auto" w:sz="4" w:space="0"/>
              <w:right w:val="single" w:color="auto" w:sz="4" w:space="0"/>
            </w:tcBorders>
          </w:tcPr>
          <w:p>
            <w:pPr>
              <w:tabs>
                <w:tab w:val="left" w:pos="472"/>
                <w:tab w:val="center" w:pos="727"/>
              </w:tabs>
              <w:rPr>
                <w:rFonts w:ascii="Times New Roman" w:hAnsi="Times New Roman"/>
                <w:szCs w:val="21"/>
              </w:rPr>
            </w:pPr>
            <w:r>
              <w:rPr>
                <w:rFonts w:ascii="Times New Roman" w:hAnsi="Times New Roman"/>
                <w:szCs w:val="21"/>
              </w:rPr>
              <w:tab/>
            </w:r>
            <w:r>
              <w:rPr>
                <w:rFonts w:hint="eastAsia" w:ascii="Times New Roman" w:hAnsi="Times New Roman"/>
                <w:szCs w:val="21"/>
              </w:rPr>
              <w:t>24000</w:t>
            </w:r>
          </w:p>
        </w:tc>
        <w:tc>
          <w:tcPr>
            <w:tcW w:w="2198" w:type="dxa"/>
            <w:tcBorders>
              <w:top w:val="single" w:color="auto" w:sz="4" w:space="0"/>
              <w:left w:val="single" w:color="auto" w:sz="4" w:space="0"/>
              <w:right w:val="single" w:color="auto" w:sz="4" w:space="0"/>
            </w:tcBorders>
          </w:tcPr>
          <w:p>
            <w:pPr>
              <w:ind w:firstLine="840" w:firstLineChars="400"/>
              <w:rPr>
                <w:rFonts w:ascii="Times New Roman" w:hAnsi="Times New Roman"/>
                <w:szCs w:val="21"/>
              </w:rPr>
            </w:pPr>
            <w:r>
              <w:rPr>
                <w:rFonts w:hint="eastAsia" w:ascii="Times New Roman" w:hAnsi="Times New Roman"/>
                <w:szCs w:val="21"/>
              </w:rPr>
              <w:t>2.3</w:t>
            </w:r>
          </w:p>
        </w:tc>
        <w:tc>
          <w:tcPr>
            <w:tcW w:w="2637" w:type="dxa"/>
            <w:tcBorders>
              <w:top w:val="single" w:color="auto" w:sz="4" w:space="0"/>
              <w:left w:val="single" w:color="auto" w:sz="4" w:space="0"/>
            </w:tcBorders>
          </w:tcPr>
          <w:p>
            <w:pPr>
              <w:jc w:val="center"/>
              <w:rPr>
                <w:rFonts w:ascii="Times New Roman" w:hAnsi="Times New Roman"/>
                <w:szCs w:val="21"/>
              </w:rPr>
            </w:pPr>
            <w:r>
              <w:rPr>
                <w:rFonts w:hint="eastAsia" w:ascii="Times New Roman" w:hAnsi="Times New Roman"/>
                <w:szCs w:val="21"/>
              </w:rPr>
              <w:t>100</w:t>
            </w:r>
          </w:p>
        </w:tc>
        <w:tc>
          <w:tcPr>
            <w:tcW w:w="1960" w:type="dxa"/>
            <w:tcBorders>
              <w:top w:val="single" w:color="auto" w:sz="4" w:space="0"/>
              <w:left w:val="single" w:color="auto" w:sz="4" w:space="0"/>
            </w:tcBorders>
          </w:tcPr>
          <w:p>
            <w:pPr>
              <w:jc w:val="center"/>
              <w:rPr>
                <w:rFonts w:ascii="Times New Roman" w:hAnsi="Times New Roman"/>
                <w:szCs w:val="21"/>
              </w:rPr>
            </w:pPr>
            <w:r>
              <w:rPr>
                <w:rFonts w:hint="eastAsia" w:ascii="Times New Roman" w:hAnsi="Times New Roman"/>
                <w:szCs w:val="21"/>
              </w:rPr>
              <w:t>3.15</w:t>
            </w:r>
          </w:p>
        </w:tc>
      </w:tr>
    </w:tbl>
    <w:p>
      <w:pPr>
        <w:spacing w:afterLines="50" w:line="360" w:lineRule="auto"/>
        <w:ind w:firstLine="420" w:firstLineChars="200"/>
        <w:rPr>
          <w:szCs w:val="21"/>
        </w:rPr>
      </w:pPr>
      <w:r>
        <w:rPr>
          <w:szCs w:val="21"/>
        </w:rPr>
        <w:t>备注：因1#库与老尾矿库相邻，因此堆积面积等效合并计算</w:t>
      </w:r>
    </w:p>
    <w:p>
      <w:pPr>
        <w:spacing w:line="360" w:lineRule="auto"/>
        <w:ind w:firstLine="480" w:firstLineChars="200"/>
        <w:rPr>
          <w:rFonts w:ascii="Times New Roman" w:hAnsi="Times New Roman"/>
          <w:color w:val="000000"/>
          <w:sz w:val="24"/>
          <w:szCs w:val="24"/>
        </w:rPr>
      </w:pPr>
      <w:r>
        <w:rPr>
          <w:rFonts w:ascii="Times New Roman" w:hAnsi="Times New Roman"/>
          <w:sz w:val="24"/>
          <w:szCs w:val="24"/>
        </w:rPr>
        <w:t>上述公式为自然状态下松散矿渣堆的起尘量推算，由计算结果可知，运营期起尘量约为3.15t/a。实际中尾矿库倾倒后矿渣经碾压压实，定期对库内洒水降尘、加盖苫布，可降低90%粉尘量。使其排放浓度基本</w:t>
      </w:r>
      <w:r>
        <w:rPr>
          <w:rFonts w:ascii="Times New Roman" w:hAnsi="Times New Roman"/>
          <w:sz w:val="24"/>
        </w:rPr>
        <w:t>排放浓度为0.14-0.76mg/m</w:t>
      </w:r>
      <w:r>
        <w:rPr>
          <w:rFonts w:ascii="Times New Roman" w:hAnsi="Times New Roman"/>
          <w:sz w:val="24"/>
          <w:vertAlign w:val="superscript"/>
        </w:rPr>
        <w:t>3</w:t>
      </w:r>
      <w:r>
        <w:rPr>
          <w:rFonts w:ascii="Times New Roman" w:hAnsi="Times New Roman"/>
          <w:sz w:val="24"/>
        </w:rPr>
        <w:t>，排放量为0.315</w:t>
      </w:r>
      <w:r>
        <w:rPr>
          <w:rFonts w:ascii="Times New Roman" w:hAnsi="Times New Roman"/>
          <w:sz w:val="24"/>
          <w:szCs w:val="24"/>
        </w:rPr>
        <w:t>t/a。</w:t>
      </w:r>
      <w:r>
        <w:rPr>
          <w:rFonts w:ascii="Times New Roman" w:hAnsi="Times New Roman"/>
          <w:sz w:val="24"/>
        </w:rPr>
        <w:t>满足《铁矿采选工业污染物排放标准》（GB28661-2012）中无组织排放标准浓度限值（1.0mg/m</w:t>
      </w:r>
      <w:r>
        <w:rPr>
          <w:rFonts w:ascii="Times New Roman" w:hAnsi="Times New Roman"/>
          <w:sz w:val="24"/>
          <w:vertAlign w:val="superscript"/>
        </w:rPr>
        <w:t>3</w:t>
      </w:r>
      <w:r>
        <w:rPr>
          <w:rFonts w:ascii="Times New Roman" w:hAnsi="Times New Roman"/>
          <w:sz w:val="24"/>
        </w:rPr>
        <w:t>）要求。</w:t>
      </w:r>
    </w:p>
    <w:p>
      <w:pPr>
        <w:spacing w:line="360" w:lineRule="auto"/>
        <w:ind w:firstLine="480" w:firstLineChars="200"/>
        <w:outlineLvl w:val="0"/>
        <w:rPr>
          <w:rFonts w:ascii="Times New Roman" w:hAnsi="Times New Roman"/>
          <w:bCs/>
          <w:color w:val="000000"/>
          <w:sz w:val="24"/>
          <w:szCs w:val="24"/>
        </w:rPr>
      </w:pPr>
      <w:r>
        <w:rPr>
          <w:rFonts w:hint="eastAsia"/>
          <w:bCs/>
          <w:color w:val="000000"/>
          <w:sz w:val="24"/>
          <w:szCs w:val="24"/>
        </w:rPr>
        <w:t>2、传送带运输尾矿渣粉尘</w:t>
      </w:r>
    </w:p>
    <w:p>
      <w:pPr>
        <w:pStyle w:val="61"/>
        <w:spacing w:line="360" w:lineRule="auto"/>
        <w:ind w:firstLine="480"/>
        <w:rPr>
          <w:rFonts w:hint="default" w:ascii="Times New Roman" w:hAnsi="Times New Roman"/>
          <w:color w:val="000000"/>
          <w:sz w:val="24"/>
          <w:szCs w:val="24"/>
        </w:rPr>
      </w:pPr>
      <w:r>
        <w:rPr>
          <w:rFonts w:ascii="Times New Roman" w:hAnsi="Times New Roman"/>
          <w:color w:val="auto"/>
          <w:sz w:val="24"/>
        </w:rPr>
        <w:t>压滤间压滤出来的尾矿渣</w:t>
      </w:r>
      <w:r>
        <w:rPr>
          <w:rFonts w:hint="default" w:ascii="Times New Roman" w:hAnsi="Times New Roman"/>
          <w:color w:val="auto"/>
          <w:sz w:val="24"/>
        </w:rPr>
        <w:t>在传送带输送</w:t>
      </w:r>
      <w:r>
        <w:rPr>
          <w:rFonts w:ascii="Times New Roman" w:hAnsi="Times New Roman"/>
          <w:color w:val="auto"/>
          <w:sz w:val="24"/>
        </w:rPr>
        <w:t>至尾矿库过程中</w:t>
      </w:r>
      <w:r>
        <w:rPr>
          <w:rFonts w:hint="default" w:ascii="Times New Roman" w:hAnsi="Times New Roman"/>
          <w:color w:val="auto"/>
          <w:sz w:val="24"/>
        </w:rPr>
        <w:t>有少量无组织粉尘，根据</w:t>
      </w:r>
      <w:r>
        <w:rPr>
          <w:rFonts w:ascii="Times New Roman" w:hAnsi="Times New Roman"/>
          <w:color w:val="auto"/>
          <w:sz w:val="24"/>
        </w:rPr>
        <w:t>类比可知</w:t>
      </w:r>
      <w:r>
        <w:rPr>
          <w:rFonts w:hint="default" w:ascii="Times New Roman" w:hAnsi="Times New Roman"/>
          <w:color w:val="auto"/>
          <w:sz w:val="24"/>
        </w:rPr>
        <w:t>，粉尘产生量为0.2t/a，浓度为0.7mg/m</w:t>
      </w:r>
      <w:r>
        <w:rPr>
          <w:rFonts w:hint="default" w:ascii="Times New Roman" w:hAnsi="Times New Roman"/>
          <w:color w:val="auto"/>
          <w:sz w:val="24"/>
          <w:vertAlign w:val="superscript"/>
        </w:rPr>
        <w:t>3</w:t>
      </w:r>
      <w:r>
        <w:rPr>
          <w:rFonts w:hint="default" w:ascii="Times New Roman" w:hAnsi="Times New Roman"/>
          <w:color w:val="auto"/>
          <w:sz w:val="24"/>
        </w:rPr>
        <w:t>，本环评建议企业在传送带设备上封闭。可降低90%粉尘量，则粉尘排放量为0.02t/a，浓度为0.07mg/m</w:t>
      </w:r>
      <w:r>
        <w:rPr>
          <w:rFonts w:hint="default" w:ascii="Times New Roman" w:hAnsi="Times New Roman"/>
          <w:color w:val="auto"/>
          <w:sz w:val="24"/>
          <w:vertAlign w:val="superscript"/>
        </w:rPr>
        <w:t>3</w:t>
      </w:r>
      <w:r>
        <w:rPr>
          <w:rFonts w:hint="default" w:ascii="Times New Roman" w:hAnsi="Times New Roman"/>
          <w:color w:val="auto"/>
          <w:sz w:val="24"/>
        </w:rPr>
        <w:t>，大大减少了粉尘无组织排放，能够满足《铁矿采选工业污染物排放标准》（GB28661-2012）中无组织排放标准浓度限值（1.0mg/m</w:t>
      </w:r>
      <w:r>
        <w:rPr>
          <w:rFonts w:hint="default" w:ascii="Times New Roman" w:hAnsi="Times New Roman"/>
          <w:color w:val="auto"/>
          <w:sz w:val="24"/>
          <w:vertAlign w:val="superscript"/>
        </w:rPr>
        <w:t>3</w:t>
      </w:r>
      <w:r>
        <w:rPr>
          <w:rFonts w:hint="default" w:ascii="Times New Roman" w:hAnsi="Times New Roman"/>
          <w:color w:val="auto"/>
          <w:sz w:val="24"/>
        </w:rPr>
        <w:t>）要求。</w:t>
      </w:r>
    </w:p>
    <w:p>
      <w:pPr>
        <w:pStyle w:val="2"/>
        <w:ind w:firstLine="504"/>
        <w:rPr>
          <w:b/>
          <w:bCs/>
          <w:sz w:val="24"/>
          <w:szCs w:val="24"/>
          <w:u w:val="single"/>
        </w:rPr>
      </w:pPr>
      <w:r>
        <w:rPr>
          <w:rFonts w:hint="eastAsia"/>
          <w:sz w:val="24"/>
          <w:szCs w:val="24"/>
        </w:rPr>
        <w:t>经过以上降尘措施处理后，堆场无组织扬尘的产生及排放情况详见下表。</w:t>
      </w:r>
    </w:p>
    <w:p>
      <w:pPr>
        <w:pStyle w:val="2"/>
        <w:spacing w:after="0"/>
        <w:ind w:firstLine="505"/>
        <w:jc w:val="center"/>
        <w:rPr>
          <w:rFonts w:ascii="Times New Roman" w:hAnsi="Times New Roman"/>
          <w:b/>
          <w:bCs/>
          <w:sz w:val="24"/>
          <w:szCs w:val="24"/>
        </w:rPr>
      </w:pPr>
      <w:r>
        <w:rPr>
          <w:rFonts w:ascii="Times New Roman" w:hAnsi="Times New Roman"/>
          <w:b/>
          <w:bCs/>
          <w:sz w:val="24"/>
          <w:szCs w:val="24"/>
        </w:rPr>
        <w:t>表3-25 堆场无组织扬尘产生及排放情况一览表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419"/>
        <w:gridCol w:w="1931"/>
        <w:gridCol w:w="1438"/>
        <w:gridCol w:w="1887"/>
        <w:gridCol w:w="1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72" w:type="dxa"/>
            <w:vAlign w:val="center"/>
          </w:tcPr>
          <w:p>
            <w:pPr>
              <w:pStyle w:val="2"/>
              <w:spacing w:after="0"/>
              <w:jc w:val="center"/>
              <w:rPr>
                <w:rFonts w:ascii="Times New Roman" w:hAnsi="Times New Roman"/>
                <w:szCs w:val="21"/>
              </w:rPr>
            </w:pPr>
            <w:r>
              <w:rPr>
                <w:rFonts w:ascii="Times New Roman" w:hAnsi="Times New Roman"/>
                <w:szCs w:val="21"/>
              </w:rPr>
              <w:t>序号</w:t>
            </w:r>
          </w:p>
        </w:tc>
        <w:tc>
          <w:tcPr>
            <w:tcW w:w="1419" w:type="dxa"/>
            <w:vAlign w:val="center"/>
          </w:tcPr>
          <w:p>
            <w:pPr>
              <w:pStyle w:val="2"/>
              <w:spacing w:after="0"/>
              <w:jc w:val="center"/>
              <w:rPr>
                <w:rFonts w:ascii="Times New Roman" w:hAnsi="Times New Roman"/>
                <w:szCs w:val="21"/>
              </w:rPr>
            </w:pPr>
            <w:r>
              <w:rPr>
                <w:rFonts w:ascii="Times New Roman" w:hAnsi="Times New Roman"/>
                <w:szCs w:val="21"/>
              </w:rPr>
              <w:t>产生源</w:t>
            </w:r>
          </w:p>
        </w:tc>
        <w:tc>
          <w:tcPr>
            <w:tcW w:w="1931" w:type="dxa"/>
            <w:vAlign w:val="center"/>
          </w:tcPr>
          <w:p>
            <w:pPr>
              <w:pStyle w:val="2"/>
              <w:spacing w:after="0"/>
              <w:jc w:val="center"/>
              <w:rPr>
                <w:rFonts w:ascii="Times New Roman" w:hAnsi="Times New Roman"/>
                <w:szCs w:val="21"/>
              </w:rPr>
            </w:pPr>
            <w:r>
              <w:rPr>
                <w:rFonts w:ascii="Times New Roman" w:hAnsi="Times New Roman"/>
                <w:szCs w:val="21"/>
              </w:rPr>
              <w:t>产生浓度（m</w:t>
            </w:r>
            <w:r>
              <w:rPr>
                <w:rFonts w:ascii="Times New Roman" w:hAnsi="Times New Roman"/>
                <w:color w:val="000000"/>
                <w:szCs w:val="21"/>
              </w:rPr>
              <w:t>g/m³</w:t>
            </w:r>
            <w:r>
              <w:rPr>
                <w:rFonts w:ascii="Times New Roman" w:hAnsi="Times New Roman"/>
                <w:szCs w:val="21"/>
              </w:rPr>
              <w:t>）</w:t>
            </w:r>
          </w:p>
        </w:tc>
        <w:tc>
          <w:tcPr>
            <w:tcW w:w="1438" w:type="dxa"/>
            <w:vAlign w:val="center"/>
          </w:tcPr>
          <w:p>
            <w:pPr>
              <w:pStyle w:val="2"/>
              <w:spacing w:after="0"/>
              <w:jc w:val="center"/>
              <w:rPr>
                <w:rFonts w:ascii="Times New Roman" w:hAnsi="Times New Roman"/>
                <w:szCs w:val="21"/>
              </w:rPr>
            </w:pPr>
            <w:r>
              <w:rPr>
                <w:rFonts w:ascii="Times New Roman" w:hAnsi="Times New Roman"/>
                <w:szCs w:val="21"/>
              </w:rPr>
              <w:t>产生量（t/a）</w:t>
            </w:r>
          </w:p>
        </w:tc>
        <w:tc>
          <w:tcPr>
            <w:tcW w:w="1887" w:type="dxa"/>
            <w:vAlign w:val="center"/>
          </w:tcPr>
          <w:p>
            <w:pPr>
              <w:pStyle w:val="2"/>
              <w:spacing w:after="0"/>
              <w:jc w:val="center"/>
              <w:rPr>
                <w:rFonts w:ascii="Times New Roman" w:hAnsi="Times New Roman"/>
                <w:szCs w:val="21"/>
              </w:rPr>
            </w:pPr>
            <w:r>
              <w:rPr>
                <w:rFonts w:ascii="Times New Roman" w:hAnsi="Times New Roman"/>
                <w:szCs w:val="21"/>
              </w:rPr>
              <w:t>排放浓度（m</w:t>
            </w:r>
            <w:r>
              <w:rPr>
                <w:rFonts w:ascii="Times New Roman" w:hAnsi="Times New Roman"/>
                <w:color w:val="000000"/>
                <w:szCs w:val="21"/>
              </w:rPr>
              <w:t>g/m³</w:t>
            </w:r>
            <w:r>
              <w:rPr>
                <w:rFonts w:ascii="Times New Roman" w:hAnsi="Times New Roman"/>
                <w:szCs w:val="21"/>
              </w:rPr>
              <w:t>）</w:t>
            </w:r>
          </w:p>
        </w:tc>
        <w:tc>
          <w:tcPr>
            <w:tcW w:w="1321" w:type="dxa"/>
            <w:vAlign w:val="center"/>
          </w:tcPr>
          <w:p>
            <w:pPr>
              <w:pStyle w:val="2"/>
              <w:spacing w:after="0"/>
              <w:jc w:val="center"/>
              <w:rPr>
                <w:rFonts w:ascii="Times New Roman" w:hAnsi="Times New Roman"/>
                <w:szCs w:val="21"/>
              </w:rPr>
            </w:pPr>
            <w:r>
              <w:rPr>
                <w:rFonts w:ascii="Times New Roman" w:hAnsi="Times New Roman"/>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772" w:type="dxa"/>
            <w:vAlign w:val="center"/>
          </w:tcPr>
          <w:p>
            <w:pPr>
              <w:pStyle w:val="2"/>
              <w:spacing w:after="0"/>
              <w:jc w:val="center"/>
              <w:rPr>
                <w:rFonts w:ascii="Times New Roman" w:hAnsi="Times New Roman"/>
                <w:szCs w:val="21"/>
              </w:rPr>
            </w:pPr>
            <w:r>
              <w:rPr>
                <w:rFonts w:ascii="Times New Roman" w:hAnsi="Times New Roman"/>
                <w:szCs w:val="21"/>
              </w:rPr>
              <w:t>1</w:t>
            </w:r>
          </w:p>
        </w:tc>
        <w:tc>
          <w:tcPr>
            <w:tcW w:w="1419" w:type="dxa"/>
            <w:vAlign w:val="center"/>
          </w:tcPr>
          <w:p>
            <w:pPr>
              <w:pStyle w:val="2"/>
              <w:spacing w:after="0"/>
              <w:jc w:val="center"/>
              <w:rPr>
                <w:rFonts w:ascii="Times New Roman" w:hAnsi="Times New Roman"/>
                <w:szCs w:val="21"/>
              </w:rPr>
            </w:pPr>
            <w:r>
              <w:rPr>
                <w:rFonts w:ascii="Times New Roman" w:hAnsi="Times New Roman"/>
                <w:szCs w:val="21"/>
              </w:rPr>
              <w:t>尾矿库扬尘</w:t>
            </w:r>
          </w:p>
        </w:tc>
        <w:tc>
          <w:tcPr>
            <w:tcW w:w="1931" w:type="dxa"/>
            <w:vAlign w:val="center"/>
          </w:tcPr>
          <w:p>
            <w:pPr>
              <w:pStyle w:val="2"/>
              <w:spacing w:after="0"/>
              <w:jc w:val="center"/>
              <w:rPr>
                <w:rFonts w:ascii="Times New Roman" w:hAnsi="Times New Roman"/>
                <w:szCs w:val="21"/>
              </w:rPr>
            </w:pPr>
            <w:r>
              <w:rPr>
                <w:rFonts w:hint="eastAsia" w:ascii="Times New Roman" w:hAnsi="Times New Roman"/>
                <w:szCs w:val="21"/>
              </w:rPr>
              <w:t>1.4-7.6</w:t>
            </w:r>
          </w:p>
        </w:tc>
        <w:tc>
          <w:tcPr>
            <w:tcW w:w="1438" w:type="dxa"/>
            <w:vAlign w:val="center"/>
          </w:tcPr>
          <w:p>
            <w:pPr>
              <w:pStyle w:val="2"/>
              <w:spacing w:after="0"/>
              <w:jc w:val="center"/>
              <w:rPr>
                <w:rFonts w:ascii="Times New Roman" w:hAnsi="Times New Roman"/>
                <w:szCs w:val="21"/>
              </w:rPr>
            </w:pPr>
            <w:r>
              <w:rPr>
                <w:rFonts w:hint="eastAsia" w:ascii="Times New Roman" w:hAnsi="Times New Roman"/>
                <w:szCs w:val="21"/>
              </w:rPr>
              <w:t>3.15</w:t>
            </w:r>
          </w:p>
        </w:tc>
        <w:tc>
          <w:tcPr>
            <w:tcW w:w="1887" w:type="dxa"/>
            <w:vAlign w:val="center"/>
          </w:tcPr>
          <w:p>
            <w:pPr>
              <w:pStyle w:val="2"/>
              <w:spacing w:after="0"/>
              <w:jc w:val="center"/>
              <w:rPr>
                <w:rFonts w:ascii="Times New Roman" w:hAnsi="Times New Roman"/>
                <w:szCs w:val="21"/>
              </w:rPr>
            </w:pPr>
            <w:r>
              <w:rPr>
                <w:rFonts w:hint="eastAsia" w:ascii="Times New Roman" w:hAnsi="Times New Roman"/>
                <w:szCs w:val="21"/>
              </w:rPr>
              <w:t>0.14-0.76</w:t>
            </w:r>
          </w:p>
        </w:tc>
        <w:tc>
          <w:tcPr>
            <w:tcW w:w="1321" w:type="dxa"/>
            <w:vAlign w:val="center"/>
          </w:tcPr>
          <w:p>
            <w:pPr>
              <w:pStyle w:val="2"/>
              <w:spacing w:after="0"/>
              <w:jc w:val="center"/>
              <w:rPr>
                <w:rFonts w:ascii="Times New Roman" w:hAnsi="Times New Roman"/>
                <w:szCs w:val="21"/>
              </w:rPr>
            </w:pPr>
            <w:r>
              <w:rPr>
                <w:rFonts w:hint="eastAsia" w:ascii="Times New Roman" w:hAnsi="Times New Roman"/>
                <w:szCs w:val="21"/>
              </w:rPr>
              <w:t>0.315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72" w:type="dxa"/>
            <w:vAlign w:val="center"/>
          </w:tcPr>
          <w:p>
            <w:pPr>
              <w:pStyle w:val="2"/>
              <w:spacing w:after="0"/>
              <w:jc w:val="center"/>
              <w:rPr>
                <w:rFonts w:ascii="Times New Roman" w:hAnsi="Times New Roman"/>
                <w:szCs w:val="21"/>
              </w:rPr>
            </w:pPr>
            <w:r>
              <w:rPr>
                <w:rFonts w:ascii="Times New Roman" w:hAnsi="Times New Roman"/>
                <w:szCs w:val="21"/>
              </w:rPr>
              <w:t>2</w:t>
            </w:r>
          </w:p>
        </w:tc>
        <w:tc>
          <w:tcPr>
            <w:tcW w:w="1419" w:type="dxa"/>
            <w:vAlign w:val="center"/>
          </w:tcPr>
          <w:p>
            <w:pPr>
              <w:pStyle w:val="2"/>
              <w:spacing w:after="0"/>
              <w:jc w:val="center"/>
              <w:rPr>
                <w:rFonts w:ascii="Times New Roman" w:hAnsi="Times New Roman"/>
                <w:szCs w:val="21"/>
              </w:rPr>
            </w:pPr>
            <w:r>
              <w:rPr>
                <w:rFonts w:ascii="Times New Roman" w:hAnsi="Times New Roman"/>
                <w:szCs w:val="21"/>
              </w:rPr>
              <w:t>尾矿渣粉尘</w:t>
            </w:r>
          </w:p>
        </w:tc>
        <w:tc>
          <w:tcPr>
            <w:tcW w:w="1931" w:type="dxa"/>
            <w:vAlign w:val="center"/>
          </w:tcPr>
          <w:p>
            <w:pPr>
              <w:pStyle w:val="2"/>
              <w:spacing w:after="0"/>
              <w:jc w:val="center"/>
              <w:rPr>
                <w:rFonts w:ascii="Times New Roman" w:hAnsi="Times New Roman"/>
                <w:szCs w:val="21"/>
              </w:rPr>
            </w:pPr>
            <w:r>
              <w:rPr>
                <w:rFonts w:hint="eastAsia" w:ascii="Times New Roman" w:hAnsi="Times New Roman"/>
                <w:szCs w:val="21"/>
              </w:rPr>
              <w:t>0.7</w:t>
            </w:r>
          </w:p>
        </w:tc>
        <w:tc>
          <w:tcPr>
            <w:tcW w:w="1438" w:type="dxa"/>
            <w:vAlign w:val="center"/>
          </w:tcPr>
          <w:p>
            <w:pPr>
              <w:pStyle w:val="2"/>
              <w:spacing w:after="0"/>
              <w:jc w:val="center"/>
              <w:rPr>
                <w:rFonts w:ascii="Times New Roman" w:hAnsi="Times New Roman"/>
                <w:szCs w:val="21"/>
              </w:rPr>
            </w:pPr>
            <w:r>
              <w:rPr>
                <w:rFonts w:hint="eastAsia" w:ascii="Times New Roman" w:hAnsi="Times New Roman"/>
                <w:szCs w:val="21"/>
              </w:rPr>
              <w:t>0.2</w:t>
            </w:r>
          </w:p>
        </w:tc>
        <w:tc>
          <w:tcPr>
            <w:tcW w:w="1887" w:type="dxa"/>
            <w:vAlign w:val="center"/>
          </w:tcPr>
          <w:p>
            <w:pPr>
              <w:pStyle w:val="2"/>
              <w:spacing w:after="0"/>
              <w:jc w:val="center"/>
              <w:rPr>
                <w:rFonts w:ascii="Times New Roman" w:hAnsi="Times New Roman"/>
                <w:szCs w:val="21"/>
              </w:rPr>
            </w:pPr>
            <w:r>
              <w:rPr>
                <w:rFonts w:hint="eastAsia" w:ascii="Times New Roman" w:hAnsi="Times New Roman"/>
                <w:szCs w:val="21"/>
              </w:rPr>
              <w:t>0.07</w:t>
            </w:r>
          </w:p>
        </w:tc>
        <w:tc>
          <w:tcPr>
            <w:tcW w:w="1321" w:type="dxa"/>
            <w:vAlign w:val="center"/>
          </w:tcPr>
          <w:p>
            <w:pPr>
              <w:pStyle w:val="2"/>
              <w:spacing w:after="0"/>
              <w:jc w:val="center"/>
              <w:rPr>
                <w:rFonts w:ascii="Times New Roman" w:hAnsi="Times New Roman"/>
                <w:szCs w:val="21"/>
              </w:rPr>
            </w:pPr>
            <w:r>
              <w:rPr>
                <w:rFonts w:hint="eastAsia" w:ascii="Times New Roman" w:hAnsi="Times New Roman"/>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191" w:type="dxa"/>
            <w:gridSpan w:val="2"/>
            <w:vAlign w:val="center"/>
          </w:tcPr>
          <w:p>
            <w:pPr>
              <w:pStyle w:val="2"/>
              <w:spacing w:after="0"/>
              <w:jc w:val="center"/>
              <w:rPr>
                <w:rFonts w:ascii="Times New Roman" w:hAnsi="Times New Roman"/>
                <w:szCs w:val="21"/>
              </w:rPr>
            </w:pPr>
            <w:r>
              <w:rPr>
                <w:rFonts w:ascii="Times New Roman" w:hAnsi="Times New Roman"/>
                <w:szCs w:val="21"/>
              </w:rPr>
              <w:t>合计</w:t>
            </w:r>
          </w:p>
        </w:tc>
        <w:tc>
          <w:tcPr>
            <w:tcW w:w="1931" w:type="dxa"/>
            <w:vAlign w:val="center"/>
          </w:tcPr>
          <w:p>
            <w:pPr>
              <w:pStyle w:val="2"/>
              <w:spacing w:after="0"/>
              <w:jc w:val="center"/>
              <w:rPr>
                <w:rFonts w:ascii="Times New Roman" w:hAnsi="Times New Roman"/>
                <w:szCs w:val="21"/>
              </w:rPr>
            </w:pPr>
            <w:r>
              <w:rPr>
                <w:rFonts w:hint="eastAsia" w:ascii="Times New Roman" w:hAnsi="Times New Roman"/>
                <w:szCs w:val="21"/>
              </w:rPr>
              <w:t>--</w:t>
            </w:r>
          </w:p>
        </w:tc>
        <w:tc>
          <w:tcPr>
            <w:tcW w:w="1438" w:type="dxa"/>
            <w:vAlign w:val="center"/>
          </w:tcPr>
          <w:p>
            <w:pPr>
              <w:pStyle w:val="2"/>
              <w:spacing w:after="0"/>
              <w:jc w:val="center"/>
              <w:rPr>
                <w:rFonts w:ascii="Times New Roman" w:hAnsi="Times New Roman"/>
                <w:szCs w:val="21"/>
              </w:rPr>
            </w:pPr>
            <w:r>
              <w:rPr>
                <w:rFonts w:hint="eastAsia" w:ascii="Times New Roman" w:hAnsi="Times New Roman"/>
                <w:szCs w:val="21"/>
              </w:rPr>
              <w:t>3.35</w:t>
            </w:r>
          </w:p>
        </w:tc>
        <w:tc>
          <w:tcPr>
            <w:tcW w:w="1887" w:type="dxa"/>
            <w:vAlign w:val="center"/>
          </w:tcPr>
          <w:p>
            <w:pPr>
              <w:pStyle w:val="2"/>
              <w:spacing w:after="0"/>
              <w:jc w:val="center"/>
              <w:rPr>
                <w:rFonts w:ascii="Times New Roman" w:hAnsi="Times New Roman"/>
                <w:szCs w:val="21"/>
              </w:rPr>
            </w:pPr>
            <w:r>
              <w:rPr>
                <w:rFonts w:hint="eastAsia" w:ascii="Times New Roman" w:hAnsi="Times New Roman"/>
                <w:szCs w:val="21"/>
              </w:rPr>
              <w:t>--</w:t>
            </w:r>
          </w:p>
        </w:tc>
        <w:tc>
          <w:tcPr>
            <w:tcW w:w="1321" w:type="dxa"/>
            <w:vAlign w:val="center"/>
          </w:tcPr>
          <w:p>
            <w:pPr>
              <w:pStyle w:val="2"/>
              <w:spacing w:after="0"/>
              <w:jc w:val="center"/>
              <w:rPr>
                <w:rFonts w:ascii="Times New Roman" w:hAnsi="Times New Roman"/>
                <w:szCs w:val="21"/>
              </w:rPr>
            </w:pPr>
            <w:r>
              <w:rPr>
                <w:rFonts w:hint="eastAsia" w:ascii="Times New Roman" w:hAnsi="Times New Roman"/>
                <w:szCs w:val="21"/>
              </w:rPr>
              <w:t>0.335</w:t>
            </w:r>
          </w:p>
        </w:tc>
      </w:tr>
    </w:tbl>
    <w:p>
      <w:pPr>
        <w:pStyle w:val="2"/>
        <w:spacing w:beforeLines="50" w:after="0" w:line="360" w:lineRule="auto"/>
        <w:ind w:firstLine="480" w:firstLineChars="200"/>
        <w:rPr>
          <w:rFonts w:ascii="Times New Roman" w:hAnsi="Times New Roman"/>
          <w:sz w:val="24"/>
          <w:szCs w:val="24"/>
        </w:rPr>
      </w:pPr>
      <w:r>
        <w:rPr>
          <w:rFonts w:hint="eastAsia" w:ascii="Times New Roman" w:hAnsi="Times New Roman"/>
          <w:sz w:val="24"/>
          <w:szCs w:val="24"/>
        </w:rPr>
        <w:t>3</w:t>
      </w:r>
      <w:r>
        <w:rPr>
          <w:rFonts w:ascii="Times New Roman" w:hAnsi="Times New Roman"/>
          <w:sz w:val="24"/>
          <w:szCs w:val="24"/>
        </w:rPr>
        <w:t>、运输扬尘</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本项目尾矿渣必须外运，运输路线从本项目位置至</w:t>
      </w:r>
      <w:r>
        <w:rPr>
          <w:rFonts w:hint="eastAsia" w:ascii="Times New Roman" w:hAnsi="Times New Roman"/>
          <w:color w:val="000000"/>
          <w:sz w:val="24"/>
          <w:szCs w:val="24"/>
        </w:rPr>
        <w:t>鹤大高速</w:t>
      </w:r>
      <w:r>
        <w:rPr>
          <w:rFonts w:ascii="Times New Roman" w:hAnsi="Times New Roman"/>
          <w:color w:val="000000"/>
          <w:sz w:val="24"/>
          <w:szCs w:val="24"/>
        </w:rPr>
        <w:t>，途径八道阳岔村等敏感点。在运输过程中会产生一定的扬尘，对道路沿线环境空气有一定的影响。大中型运输车辆在砂土、砂石路面上运输时，粉尘浓度可达400mg/m</w:t>
      </w:r>
      <w:r>
        <w:rPr>
          <w:rFonts w:ascii="Times New Roman" w:hAnsi="Times New Roman"/>
          <w:color w:val="000000"/>
          <w:sz w:val="24"/>
          <w:szCs w:val="24"/>
          <w:vertAlign w:val="superscript"/>
        </w:rPr>
        <w:t>3</w:t>
      </w:r>
      <w:r>
        <w:rPr>
          <w:rFonts w:ascii="Times New Roman" w:hAnsi="Times New Roman"/>
          <w:color w:val="000000"/>
          <w:sz w:val="24"/>
          <w:szCs w:val="24"/>
        </w:rPr>
        <w:t>以上，排放的尾气中CO占2～5%。因此车辆在运输过程中应减速慢行，最大程度减少道路扬尘对环境产生的影响。另外，建设单位应对厂区内地面定期派专人进行路面清扫、洒水，以减少扬尘。</w:t>
      </w:r>
    </w:p>
    <w:p>
      <w:pPr>
        <w:pStyle w:val="2"/>
        <w:spacing w:beforeLines="50" w:after="0" w:line="360" w:lineRule="auto"/>
        <w:ind w:firstLine="480" w:firstLineChars="200"/>
        <w:outlineLvl w:val="0"/>
        <w:rPr>
          <w:rFonts w:ascii="Times New Roman" w:hAnsi="Times New Roman"/>
          <w:color w:val="000000"/>
          <w:sz w:val="24"/>
          <w:szCs w:val="24"/>
        </w:rPr>
      </w:pPr>
      <w:r>
        <w:rPr>
          <w:rFonts w:hint="eastAsia" w:ascii="Times New Roman" w:hAnsi="Times New Roman"/>
          <w:color w:val="000000"/>
          <w:sz w:val="24"/>
          <w:szCs w:val="24"/>
        </w:rPr>
        <w:t>4</w:t>
      </w:r>
      <w:r>
        <w:rPr>
          <w:rFonts w:ascii="Times New Roman" w:hAnsi="Times New Roman"/>
          <w:color w:val="000000"/>
          <w:sz w:val="24"/>
          <w:szCs w:val="24"/>
        </w:rPr>
        <w:t>、</w:t>
      </w:r>
      <w:r>
        <w:rPr>
          <w:rFonts w:hint="eastAsia" w:ascii="Times New Roman" w:hAnsi="Times New Roman"/>
          <w:color w:val="000000"/>
          <w:sz w:val="24"/>
          <w:szCs w:val="24"/>
        </w:rPr>
        <w:t>交通运输移动源调查</w:t>
      </w:r>
    </w:p>
    <w:p>
      <w:pPr>
        <w:pStyle w:val="2"/>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w:t>
      </w:r>
      <w:r>
        <w:rPr>
          <w:rFonts w:hint="eastAsia" w:ascii="Times New Roman" w:hAnsi="Times New Roman"/>
          <w:color w:val="000000"/>
          <w:sz w:val="24"/>
          <w:szCs w:val="24"/>
        </w:rPr>
        <w:t>主要运输物料为尾矿渣，运输方式为汽运。本项目途径的城市主干道为鹤大高速。受本项目固体废物运输的影响。该主干道新增汽车2次/天。排放污染物主要为NOx、CO和THC， 年排放量约为2.31t/a，5.36t/a和6.78t/a。（根据《HJ2.2-2018 环境影响评价技术导则 大气环境》中，此处污染源无需进一步进行分析及预测）</w:t>
      </w:r>
    </w:p>
    <w:p>
      <w:pPr>
        <w:widowControl/>
        <w:adjustRightInd w:val="0"/>
        <w:snapToGrid w:val="0"/>
        <w:spacing w:line="360" w:lineRule="auto"/>
        <w:outlineLvl w:val="0"/>
        <w:rPr>
          <w:rFonts w:ascii="Times New Roman" w:hAnsi="Times New Roman"/>
          <w:b/>
          <w:color w:val="000000"/>
          <w:sz w:val="24"/>
        </w:rPr>
      </w:pPr>
      <w:bookmarkStart w:id="243" w:name="_Toc29247"/>
      <w:bookmarkStart w:id="244" w:name="_Toc11416"/>
      <w:bookmarkStart w:id="245" w:name="_Toc29640"/>
      <w:r>
        <w:rPr>
          <w:rFonts w:ascii="Times New Roman" w:hAnsi="Times New Roman"/>
          <w:b/>
          <w:color w:val="000000"/>
          <w:sz w:val="24"/>
        </w:rPr>
        <w:t>3.4.2.2废水</w:t>
      </w:r>
      <w:bookmarkEnd w:id="243"/>
      <w:bookmarkEnd w:id="244"/>
      <w:bookmarkEnd w:id="245"/>
    </w:p>
    <w:p>
      <w:pPr>
        <w:spacing w:line="360" w:lineRule="auto"/>
        <w:ind w:firstLine="442"/>
        <w:jc w:val="left"/>
        <w:rPr>
          <w:rFonts w:ascii="Times New Roman" w:hAnsi="Times New Roman"/>
          <w:color w:val="000000"/>
          <w:sz w:val="24"/>
          <w:szCs w:val="24"/>
        </w:rPr>
      </w:pPr>
      <w:r>
        <w:rPr>
          <w:rFonts w:ascii="Times New Roman" w:hAnsi="Times New Roman"/>
          <w:color w:val="000000"/>
          <w:sz w:val="24"/>
          <w:szCs w:val="24"/>
        </w:rPr>
        <w:t>本项目生产废水主要为尾矿压滤废水以及尾矿库淋溶水</w:t>
      </w:r>
      <w:r>
        <w:rPr>
          <w:rFonts w:hint="eastAsia" w:ascii="Times New Roman" w:hAnsi="Times New Roman"/>
          <w:color w:val="000000"/>
          <w:sz w:val="24"/>
          <w:szCs w:val="24"/>
        </w:rPr>
        <w:t>。</w:t>
      </w:r>
    </w:p>
    <w:p>
      <w:pPr>
        <w:spacing w:line="360" w:lineRule="auto"/>
        <w:ind w:firstLine="442"/>
        <w:jc w:val="left"/>
        <w:outlineLvl w:val="0"/>
        <w:rPr>
          <w:rFonts w:ascii="Times New Roman" w:hAnsi="Times New Roman"/>
          <w:color w:val="000000"/>
          <w:sz w:val="24"/>
          <w:szCs w:val="24"/>
          <w:u w:val="single"/>
        </w:rPr>
      </w:pPr>
      <w:r>
        <w:rPr>
          <w:rFonts w:ascii="Times New Roman" w:hAnsi="Times New Roman"/>
          <w:color w:val="000000"/>
          <w:sz w:val="24"/>
          <w:szCs w:val="24"/>
          <w:u w:val="single"/>
        </w:rPr>
        <w:t>1、尾矿压滤废水</w:t>
      </w:r>
    </w:p>
    <w:p>
      <w:pPr>
        <w:spacing w:line="360" w:lineRule="auto"/>
        <w:ind w:firstLine="442"/>
        <w:jc w:val="left"/>
        <w:rPr>
          <w:rFonts w:ascii="Times New Roman" w:hAnsi="Times New Roman"/>
          <w:color w:val="000000"/>
          <w:sz w:val="24"/>
          <w:szCs w:val="24"/>
          <w:u w:val="single"/>
        </w:rPr>
      </w:pPr>
      <w:r>
        <w:rPr>
          <w:rFonts w:ascii="Times New Roman" w:hAnsi="Times New Roman"/>
          <w:color w:val="000000"/>
          <w:sz w:val="24"/>
          <w:szCs w:val="24"/>
          <w:u w:val="single"/>
        </w:rPr>
        <w:t>现有选矿车间选矿后产生的尾矿在本次拟建的压滤车间内压滤过程中会产生大量的尾矿浆。所排废水约为100t/d（30000t/a）。尾矿压滤废水经过新建的沉淀池</w:t>
      </w:r>
      <w:r>
        <w:rPr>
          <w:rFonts w:ascii="Times New Roman" w:hAnsi="Times New Roman"/>
          <w:bCs/>
          <w:color w:val="000000"/>
          <w:sz w:val="24"/>
          <w:szCs w:val="24"/>
          <w:u w:val="single"/>
        </w:rPr>
        <w:t>（容积为150m</w:t>
      </w:r>
      <w:r>
        <w:rPr>
          <w:rFonts w:ascii="Times New Roman" w:hAnsi="Times New Roman"/>
          <w:bCs/>
          <w:color w:val="000000"/>
          <w:sz w:val="24"/>
          <w:szCs w:val="24"/>
          <w:u w:val="single"/>
          <w:vertAlign w:val="superscript"/>
        </w:rPr>
        <w:t>3</w:t>
      </w:r>
      <w:r>
        <w:rPr>
          <w:rFonts w:ascii="Times New Roman" w:hAnsi="Times New Roman"/>
          <w:bCs/>
          <w:color w:val="000000"/>
          <w:sz w:val="24"/>
          <w:szCs w:val="24"/>
          <w:u w:val="single"/>
        </w:rPr>
        <w:t>）</w:t>
      </w:r>
      <w:r>
        <w:rPr>
          <w:rFonts w:ascii="Times New Roman" w:hAnsi="Times New Roman"/>
          <w:color w:val="000000"/>
          <w:sz w:val="24"/>
          <w:szCs w:val="24"/>
          <w:u w:val="single"/>
        </w:rPr>
        <w:t>沉淀后，全部通过水泵打入选矿车间内现有流入高位水池内，回用于选矿工艺，不外排</w:t>
      </w:r>
      <w:r>
        <w:rPr>
          <w:rFonts w:ascii="Times New Roman" w:hAnsi="Times New Roman"/>
          <w:bCs/>
          <w:color w:val="000000"/>
          <w:sz w:val="24"/>
          <w:szCs w:val="24"/>
          <w:u w:val="single"/>
        </w:rPr>
        <w:t>。</w:t>
      </w:r>
    </w:p>
    <w:p>
      <w:pPr>
        <w:spacing w:line="360" w:lineRule="auto"/>
        <w:ind w:firstLine="442"/>
        <w:jc w:val="left"/>
        <w:outlineLvl w:val="0"/>
        <w:rPr>
          <w:rFonts w:ascii="Times New Roman" w:hAnsi="Times New Roman"/>
          <w:color w:val="000000"/>
          <w:sz w:val="24"/>
          <w:szCs w:val="24"/>
          <w:u w:val="single"/>
        </w:rPr>
      </w:pPr>
      <w:r>
        <w:rPr>
          <w:rFonts w:ascii="Times New Roman" w:hAnsi="Times New Roman"/>
          <w:color w:val="000000"/>
          <w:sz w:val="24"/>
          <w:szCs w:val="24"/>
          <w:u w:val="single"/>
        </w:rPr>
        <w:t>3、尾矿库淋溶水</w:t>
      </w:r>
    </w:p>
    <w:p>
      <w:pPr>
        <w:pStyle w:val="2"/>
        <w:spacing w:line="360" w:lineRule="auto"/>
        <w:ind w:firstLine="480" w:firstLineChars="200"/>
        <w:rPr>
          <w:rFonts w:ascii="Times New Roman" w:hAnsi="Times New Roman"/>
          <w:color w:val="000000"/>
          <w:sz w:val="24"/>
          <w:szCs w:val="24"/>
          <w:u w:val="single"/>
        </w:rPr>
      </w:pPr>
      <w:bookmarkStart w:id="246" w:name="_Toc26435"/>
      <w:bookmarkStart w:id="247" w:name="_Toc18718"/>
      <w:r>
        <w:rPr>
          <w:rFonts w:ascii="Times New Roman" w:hAnsi="Times New Roman"/>
          <w:bCs/>
          <w:sz w:val="24"/>
          <w:u w:val="single"/>
        </w:rPr>
        <w:t>夏季汛期</w:t>
      </w:r>
      <w:r>
        <w:rPr>
          <w:rFonts w:ascii="Times New Roman" w:hAnsi="Times New Roman"/>
          <w:sz w:val="24"/>
          <w:szCs w:val="24"/>
          <w:u w:val="single"/>
        </w:rPr>
        <w:t>尾矿库</w:t>
      </w:r>
      <w:r>
        <w:rPr>
          <w:rFonts w:ascii="Times New Roman" w:hAnsi="Times New Roman"/>
          <w:bCs/>
          <w:sz w:val="24"/>
          <w:u w:val="single"/>
        </w:rPr>
        <w:t>将产生淋溶水。堆场淋溶水量约为0.38m³/d（27.46t/a）。产生淋溶水通过新建的导流管流入尾矿库下游拟建沉淀池内（容积为50m</w:t>
      </w:r>
      <w:r>
        <w:rPr>
          <w:rFonts w:ascii="Times New Roman" w:hAnsi="Times New Roman"/>
          <w:bCs/>
          <w:sz w:val="24"/>
          <w:u w:val="single"/>
          <w:vertAlign w:val="superscript"/>
        </w:rPr>
        <w:t>3</w:t>
      </w:r>
      <w:r>
        <w:rPr>
          <w:rFonts w:ascii="Times New Roman" w:hAnsi="Times New Roman"/>
          <w:bCs/>
          <w:sz w:val="24"/>
          <w:u w:val="single"/>
        </w:rPr>
        <w:t>）沉淀后，通过水泵抽至压滤间沉淀池内回用于选矿工序，不外排</w:t>
      </w:r>
      <w:r>
        <w:rPr>
          <w:rFonts w:ascii="Times New Roman" w:hAnsi="Times New Roman"/>
          <w:color w:val="000000"/>
          <w:sz w:val="24"/>
          <w:szCs w:val="24"/>
          <w:u w:val="single"/>
        </w:rPr>
        <w:t>。</w:t>
      </w:r>
    </w:p>
    <w:p>
      <w:pPr>
        <w:pStyle w:val="2"/>
        <w:spacing w:line="360" w:lineRule="auto"/>
        <w:ind w:firstLine="480" w:firstLineChars="200"/>
        <w:rPr>
          <w:rFonts w:ascii="Times New Roman" w:hAnsi="Times New Roman"/>
          <w:bCs/>
          <w:sz w:val="24"/>
          <w:u w:val="single"/>
        </w:rPr>
      </w:pPr>
      <w:r>
        <w:rPr>
          <w:rFonts w:ascii="Times New Roman" w:hAnsi="Times New Roman"/>
          <w:bCs/>
          <w:sz w:val="24"/>
          <w:u w:val="single"/>
        </w:rPr>
        <w:t xml:space="preserve">根据类比《磐石市鑫达矿产品有限责任公司年产4万吨铁精粉建设项目》以及参照其它选矿厂水质情况，废水污染物浓度及产生量情况详见下表。 </w:t>
      </w:r>
    </w:p>
    <w:p>
      <w:pPr>
        <w:widowControl/>
        <w:autoSpaceDE w:val="0"/>
        <w:autoSpaceDN w:val="0"/>
        <w:adjustRightInd w:val="0"/>
        <w:ind w:firstLine="482"/>
        <w:jc w:val="center"/>
        <w:rPr>
          <w:rFonts w:ascii="Times New Roman" w:hAnsi="Times New Roman"/>
          <w:b/>
          <w:sz w:val="24"/>
          <w:szCs w:val="24"/>
          <w:u w:val="single"/>
        </w:rPr>
      </w:pPr>
      <w:r>
        <w:rPr>
          <w:rFonts w:ascii="Times New Roman" w:hAnsi="Times New Roman"/>
          <w:b/>
          <w:sz w:val="24"/>
          <w:szCs w:val="24"/>
          <w:u w:val="single"/>
        </w:rPr>
        <w:t>表3-</w:t>
      </w:r>
      <w:r>
        <w:rPr>
          <w:rFonts w:hint="eastAsia" w:ascii="Times New Roman" w:hAnsi="Times New Roman"/>
          <w:b/>
          <w:sz w:val="24"/>
          <w:szCs w:val="24"/>
          <w:u w:val="single"/>
        </w:rPr>
        <w:t>26</w:t>
      </w:r>
      <w:r>
        <w:rPr>
          <w:rFonts w:ascii="Times New Roman" w:hAnsi="Times New Roman"/>
          <w:b/>
          <w:sz w:val="24"/>
          <w:szCs w:val="24"/>
          <w:u w:val="single"/>
        </w:rPr>
        <w:t xml:space="preserve">     废水污染源统计一览表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883"/>
        <w:gridCol w:w="677"/>
        <w:gridCol w:w="830"/>
        <w:gridCol w:w="590"/>
        <w:gridCol w:w="805"/>
        <w:gridCol w:w="927"/>
        <w:gridCol w:w="927"/>
        <w:gridCol w:w="723"/>
        <w:gridCol w:w="9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85" w:type="dxa"/>
            <w:vMerge w:val="restart"/>
            <w:vAlign w:val="center"/>
          </w:tcPr>
          <w:p>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废水类型</w:t>
            </w:r>
          </w:p>
        </w:tc>
        <w:tc>
          <w:tcPr>
            <w:tcW w:w="883" w:type="dxa"/>
            <w:vMerge w:val="restart"/>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废水量</w:t>
            </w:r>
          </w:p>
          <w:p>
            <w:pPr>
              <w:widowControl/>
              <w:jc w:val="center"/>
              <w:rPr>
                <w:rFonts w:ascii="Times New Roman" w:hAnsi="Times New Roman"/>
                <w:kern w:val="0"/>
                <w:sz w:val="18"/>
                <w:szCs w:val="18"/>
                <w:u w:val="single"/>
              </w:rPr>
            </w:pPr>
            <w:r>
              <w:rPr>
                <w:rFonts w:ascii="Times New Roman" w:hAnsi="Times New Roman"/>
                <w:kern w:val="0"/>
                <w:sz w:val="18"/>
                <w:szCs w:val="18"/>
                <w:u w:val="single"/>
              </w:rPr>
              <w:t>(m</w:t>
            </w:r>
            <w:r>
              <w:rPr>
                <w:rFonts w:ascii="Times New Roman" w:hAnsi="Times New Roman"/>
                <w:kern w:val="0"/>
                <w:sz w:val="18"/>
                <w:szCs w:val="18"/>
                <w:u w:val="single"/>
                <w:vertAlign w:val="superscript"/>
              </w:rPr>
              <w:t>3</w:t>
            </w:r>
            <w:r>
              <w:rPr>
                <w:rFonts w:ascii="Times New Roman" w:hAnsi="Times New Roman"/>
                <w:kern w:val="0"/>
                <w:sz w:val="18"/>
                <w:szCs w:val="18"/>
                <w:u w:val="single"/>
              </w:rPr>
              <w:t>/a)</w:t>
            </w:r>
          </w:p>
        </w:tc>
        <w:tc>
          <w:tcPr>
            <w:tcW w:w="2902" w:type="dxa"/>
            <w:gridSpan w:val="4"/>
            <w:vAlign w:val="center"/>
          </w:tcPr>
          <w:p>
            <w:pPr>
              <w:jc w:val="center"/>
              <w:rPr>
                <w:rFonts w:ascii="Times New Roman" w:hAnsi="Times New Roman"/>
                <w:kern w:val="0"/>
                <w:sz w:val="18"/>
                <w:szCs w:val="18"/>
                <w:u w:val="single"/>
                <w:vertAlign w:val="superscript"/>
              </w:rPr>
            </w:pPr>
            <w:r>
              <w:rPr>
                <w:rFonts w:ascii="Times New Roman" w:hAnsi="Times New Roman"/>
                <w:kern w:val="0"/>
                <w:sz w:val="18"/>
                <w:szCs w:val="18"/>
                <w:u w:val="single"/>
              </w:rPr>
              <w:t>污染物</w:t>
            </w:r>
            <w:r>
              <w:rPr>
                <w:rFonts w:hint="eastAsia" w:ascii="Times New Roman" w:hAnsi="Times New Roman"/>
                <w:kern w:val="0"/>
                <w:sz w:val="18"/>
                <w:szCs w:val="18"/>
                <w:u w:val="single"/>
              </w:rPr>
              <w:t>产生</w:t>
            </w:r>
            <w:r>
              <w:rPr>
                <w:rFonts w:ascii="Times New Roman" w:hAnsi="Times New Roman"/>
                <w:kern w:val="0"/>
                <w:sz w:val="18"/>
                <w:szCs w:val="18"/>
                <w:u w:val="single"/>
              </w:rPr>
              <w:t>浓度mg/L</w:t>
            </w:r>
          </w:p>
        </w:tc>
        <w:tc>
          <w:tcPr>
            <w:tcW w:w="3524" w:type="dxa"/>
            <w:gridSpan w:val="4"/>
            <w:vAlign w:val="center"/>
          </w:tcPr>
          <w:p>
            <w:pPr>
              <w:jc w:val="center"/>
              <w:rPr>
                <w:rFonts w:ascii="Times New Roman" w:hAnsi="Times New Roman"/>
                <w:kern w:val="0"/>
                <w:sz w:val="18"/>
                <w:szCs w:val="18"/>
                <w:u w:val="single"/>
              </w:rPr>
            </w:pPr>
            <w:r>
              <w:rPr>
                <w:rFonts w:ascii="Times New Roman" w:hAnsi="Times New Roman"/>
                <w:kern w:val="0"/>
                <w:sz w:val="18"/>
                <w:szCs w:val="18"/>
                <w:u w:val="single"/>
              </w:rPr>
              <w:t>污染物</w:t>
            </w:r>
            <w:r>
              <w:rPr>
                <w:rFonts w:hint="eastAsia" w:ascii="Times New Roman" w:hAnsi="Times New Roman"/>
                <w:kern w:val="0"/>
                <w:sz w:val="18"/>
                <w:szCs w:val="18"/>
                <w:u w:val="single"/>
              </w:rPr>
              <w:t>产</w:t>
            </w:r>
            <w:r>
              <w:rPr>
                <w:rFonts w:ascii="Times New Roman" w:hAnsi="Times New Roman"/>
                <w:kern w:val="0"/>
                <w:sz w:val="18"/>
                <w:szCs w:val="18"/>
                <w:u w:val="single"/>
              </w:rPr>
              <w:t>量m</w:t>
            </w:r>
            <w:r>
              <w:rPr>
                <w:rFonts w:ascii="Times New Roman" w:hAnsi="Times New Roman"/>
                <w:kern w:val="0"/>
                <w:sz w:val="18"/>
                <w:szCs w:val="18"/>
                <w:u w:val="single"/>
                <w:vertAlign w:val="superscript"/>
              </w:rPr>
              <w:t>3</w:t>
            </w:r>
            <w:r>
              <w:rPr>
                <w:rFonts w:ascii="Times New Roman" w:hAnsi="Times New Roman"/>
                <w:kern w:val="0"/>
                <w:sz w:val="18"/>
                <w:szCs w:val="18"/>
                <w:u w:val="single"/>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585" w:type="dxa"/>
            <w:vMerge w:val="continue"/>
            <w:vAlign w:val="center"/>
          </w:tcPr>
          <w:p>
            <w:pPr>
              <w:widowControl/>
              <w:jc w:val="left"/>
              <w:rPr>
                <w:rFonts w:ascii="Times New Roman" w:hAnsi="Times New Roman"/>
                <w:kern w:val="0"/>
                <w:sz w:val="18"/>
                <w:szCs w:val="18"/>
                <w:u w:val="single"/>
              </w:rPr>
            </w:pPr>
          </w:p>
        </w:tc>
        <w:tc>
          <w:tcPr>
            <w:tcW w:w="883" w:type="dxa"/>
            <w:vMerge w:val="continue"/>
            <w:vAlign w:val="center"/>
          </w:tcPr>
          <w:p>
            <w:pPr>
              <w:widowControl/>
              <w:jc w:val="left"/>
              <w:rPr>
                <w:rFonts w:ascii="Times New Roman" w:hAnsi="Times New Roman"/>
                <w:kern w:val="0"/>
                <w:sz w:val="18"/>
                <w:szCs w:val="18"/>
                <w:u w:val="single"/>
              </w:rPr>
            </w:pPr>
          </w:p>
        </w:tc>
        <w:tc>
          <w:tcPr>
            <w:tcW w:w="677" w:type="dxa"/>
            <w:vAlign w:val="center"/>
          </w:tcPr>
          <w:p>
            <w:pPr>
              <w:jc w:val="center"/>
              <w:rPr>
                <w:rFonts w:ascii="Times New Roman" w:hAnsi="Times New Roman"/>
                <w:kern w:val="0"/>
                <w:sz w:val="18"/>
                <w:szCs w:val="18"/>
                <w:u w:val="single"/>
              </w:rPr>
            </w:pPr>
            <w:r>
              <w:rPr>
                <w:rFonts w:ascii="Times New Roman" w:hAnsi="Times New Roman"/>
                <w:kern w:val="0"/>
                <w:sz w:val="18"/>
                <w:szCs w:val="18"/>
                <w:u w:val="single"/>
              </w:rPr>
              <w:t>COD</w:t>
            </w:r>
          </w:p>
        </w:tc>
        <w:tc>
          <w:tcPr>
            <w:tcW w:w="830" w:type="dxa"/>
            <w:vAlign w:val="center"/>
          </w:tcPr>
          <w:p>
            <w:pPr>
              <w:jc w:val="center"/>
              <w:rPr>
                <w:rFonts w:ascii="Times New Roman" w:hAnsi="Times New Roman"/>
                <w:kern w:val="0"/>
                <w:sz w:val="18"/>
                <w:szCs w:val="18"/>
                <w:u w:val="single"/>
                <w:vertAlign w:val="subscript"/>
              </w:rPr>
            </w:pPr>
            <w:r>
              <w:rPr>
                <w:rFonts w:ascii="Times New Roman" w:hAnsi="Times New Roman"/>
                <w:kern w:val="0"/>
                <w:sz w:val="18"/>
                <w:szCs w:val="18"/>
                <w:u w:val="single"/>
              </w:rPr>
              <w:t>BOD</w:t>
            </w:r>
            <w:r>
              <w:rPr>
                <w:rFonts w:ascii="Times New Roman" w:hAnsi="Times New Roman"/>
                <w:kern w:val="0"/>
                <w:sz w:val="18"/>
                <w:szCs w:val="18"/>
                <w:u w:val="single"/>
                <w:vertAlign w:val="subscript"/>
              </w:rPr>
              <w:t>5</w:t>
            </w:r>
          </w:p>
        </w:tc>
        <w:tc>
          <w:tcPr>
            <w:tcW w:w="590" w:type="dxa"/>
            <w:vAlign w:val="center"/>
          </w:tcPr>
          <w:p>
            <w:pPr>
              <w:jc w:val="center"/>
              <w:rPr>
                <w:rFonts w:ascii="Times New Roman" w:hAnsi="Times New Roman"/>
                <w:kern w:val="0"/>
                <w:sz w:val="18"/>
                <w:szCs w:val="18"/>
                <w:u w:val="single"/>
              </w:rPr>
            </w:pPr>
            <w:r>
              <w:rPr>
                <w:rFonts w:ascii="Times New Roman" w:hAnsi="Times New Roman"/>
                <w:kern w:val="0"/>
                <w:sz w:val="18"/>
                <w:szCs w:val="18"/>
                <w:u w:val="single"/>
              </w:rPr>
              <w:t>SS</w:t>
            </w:r>
          </w:p>
        </w:tc>
        <w:tc>
          <w:tcPr>
            <w:tcW w:w="805" w:type="dxa"/>
            <w:vAlign w:val="center"/>
          </w:tcPr>
          <w:p>
            <w:pPr>
              <w:jc w:val="center"/>
              <w:rPr>
                <w:rFonts w:ascii="Times New Roman" w:hAnsi="Times New Roman"/>
                <w:kern w:val="0"/>
                <w:sz w:val="18"/>
                <w:szCs w:val="18"/>
                <w:u w:val="single"/>
              </w:rPr>
            </w:pPr>
            <w:r>
              <w:rPr>
                <w:rFonts w:ascii="Times New Roman" w:hAnsi="Times New Roman"/>
                <w:kern w:val="0"/>
                <w:sz w:val="18"/>
                <w:szCs w:val="18"/>
                <w:u w:val="single"/>
              </w:rPr>
              <w:t>NH</w:t>
            </w:r>
            <w:r>
              <w:rPr>
                <w:rFonts w:ascii="Times New Roman" w:hAnsi="Times New Roman"/>
                <w:kern w:val="0"/>
                <w:sz w:val="18"/>
                <w:szCs w:val="18"/>
                <w:u w:val="single"/>
                <w:vertAlign w:val="subscript"/>
              </w:rPr>
              <w:t>3</w:t>
            </w:r>
            <w:r>
              <w:rPr>
                <w:rFonts w:ascii="Times New Roman" w:hAnsi="Times New Roman"/>
                <w:kern w:val="0"/>
                <w:sz w:val="18"/>
                <w:szCs w:val="18"/>
                <w:u w:val="single"/>
              </w:rPr>
              <w:t>-N</w:t>
            </w:r>
          </w:p>
        </w:tc>
        <w:tc>
          <w:tcPr>
            <w:tcW w:w="927" w:type="dxa"/>
            <w:vAlign w:val="center"/>
          </w:tcPr>
          <w:p>
            <w:pPr>
              <w:jc w:val="center"/>
              <w:rPr>
                <w:rFonts w:ascii="Times New Roman" w:hAnsi="Times New Roman"/>
                <w:kern w:val="0"/>
                <w:sz w:val="18"/>
                <w:szCs w:val="18"/>
                <w:u w:val="single"/>
              </w:rPr>
            </w:pPr>
            <w:r>
              <w:rPr>
                <w:rFonts w:ascii="Times New Roman" w:hAnsi="Times New Roman"/>
                <w:kern w:val="0"/>
                <w:sz w:val="18"/>
                <w:szCs w:val="18"/>
                <w:u w:val="single"/>
              </w:rPr>
              <w:t>COD</w:t>
            </w:r>
          </w:p>
        </w:tc>
        <w:tc>
          <w:tcPr>
            <w:tcW w:w="927" w:type="dxa"/>
            <w:vAlign w:val="center"/>
          </w:tcPr>
          <w:p>
            <w:pPr>
              <w:jc w:val="center"/>
              <w:rPr>
                <w:rFonts w:ascii="Times New Roman" w:hAnsi="Times New Roman"/>
                <w:kern w:val="0"/>
                <w:sz w:val="18"/>
                <w:szCs w:val="18"/>
                <w:u w:val="single"/>
                <w:vertAlign w:val="subscript"/>
              </w:rPr>
            </w:pPr>
            <w:r>
              <w:rPr>
                <w:rFonts w:ascii="Times New Roman" w:hAnsi="Times New Roman"/>
                <w:kern w:val="0"/>
                <w:sz w:val="18"/>
                <w:szCs w:val="18"/>
                <w:u w:val="single"/>
              </w:rPr>
              <w:t>BOD</w:t>
            </w:r>
            <w:r>
              <w:rPr>
                <w:rFonts w:ascii="Times New Roman" w:hAnsi="Times New Roman"/>
                <w:kern w:val="0"/>
                <w:sz w:val="18"/>
                <w:szCs w:val="18"/>
                <w:u w:val="single"/>
                <w:vertAlign w:val="subscript"/>
              </w:rPr>
              <w:t>5</w:t>
            </w:r>
          </w:p>
        </w:tc>
        <w:tc>
          <w:tcPr>
            <w:tcW w:w="723" w:type="dxa"/>
            <w:vAlign w:val="center"/>
          </w:tcPr>
          <w:p>
            <w:pPr>
              <w:jc w:val="center"/>
              <w:rPr>
                <w:rFonts w:ascii="Times New Roman" w:hAnsi="Times New Roman"/>
                <w:kern w:val="0"/>
                <w:sz w:val="18"/>
                <w:szCs w:val="18"/>
                <w:u w:val="single"/>
              </w:rPr>
            </w:pPr>
            <w:r>
              <w:rPr>
                <w:rFonts w:ascii="Times New Roman" w:hAnsi="Times New Roman"/>
                <w:kern w:val="0"/>
                <w:sz w:val="18"/>
                <w:szCs w:val="18"/>
                <w:u w:val="single"/>
              </w:rPr>
              <w:t>SS</w:t>
            </w:r>
          </w:p>
        </w:tc>
        <w:tc>
          <w:tcPr>
            <w:tcW w:w="947" w:type="dxa"/>
            <w:vAlign w:val="center"/>
          </w:tcPr>
          <w:p>
            <w:pPr>
              <w:jc w:val="center"/>
              <w:rPr>
                <w:rFonts w:ascii="Times New Roman" w:hAnsi="Times New Roman"/>
                <w:kern w:val="0"/>
                <w:sz w:val="18"/>
                <w:szCs w:val="18"/>
                <w:u w:val="single"/>
              </w:rPr>
            </w:pPr>
            <w:r>
              <w:rPr>
                <w:rFonts w:ascii="Times New Roman" w:hAnsi="Times New Roman"/>
                <w:kern w:val="0"/>
                <w:sz w:val="18"/>
                <w:szCs w:val="18"/>
                <w:u w:val="single"/>
              </w:rPr>
              <w:t>NH</w:t>
            </w:r>
            <w:r>
              <w:rPr>
                <w:rFonts w:ascii="Times New Roman" w:hAnsi="Times New Roman"/>
                <w:kern w:val="0"/>
                <w:sz w:val="18"/>
                <w:szCs w:val="18"/>
                <w:u w:val="single"/>
                <w:vertAlign w:val="subscript"/>
              </w:rPr>
              <w:t>3</w:t>
            </w:r>
            <w:r>
              <w:rPr>
                <w:rFonts w:ascii="Times New Roman" w:hAnsi="Times New Roman"/>
                <w:kern w:val="0"/>
                <w:sz w:val="18"/>
                <w:szCs w:val="18"/>
                <w:u w:val="single"/>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585" w:type="dxa"/>
            <w:vAlign w:val="center"/>
          </w:tcPr>
          <w:p>
            <w:pPr>
              <w:jc w:val="center"/>
              <w:rPr>
                <w:rFonts w:ascii="Times New Roman" w:hAnsi="Times New Roman"/>
                <w:kern w:val="0"/>
                <w:sz w:val="18"/>
                <w:szCs w:val="18"/>
                <w:u w:val="single"/>
              </w:rPr>
            </w:pPr>
            <w:r>
              <w:rPr>
                <w:rFonts w:ascii="Times New Roman" w:hAnsi="Times New Roman"/>
                <w:color w:val="000000"/>
                <w:sz w:val="18"/>
                <w:szCs w:val="18"/>
                <w:u w:val="single"/>
              </w:rPr>
              <w:t>尾矿压滤废水</w:t>
            </w:r>
          </w:p>
        </w:tc>
        <w:tc>
          <w:tcPr>
            <w:tcW w:w="883" w:type="dxa"/>
            <w:vAlign w:val="center"/>
          </w:tcPr>
          <w:p>
            <w:pPr>
              <w:jc w:val="center"/>
              <w:rPr>
                <w:rFonts w:ascii="Times New Roman" w:hAnsi="Times New Roman"/>
                <w:kern w:val="0"/>
                <w:sz w:val="18"/>
                <w:szCs w:val="18"/>
                <w:u w:val="single"/>
              </w:rPr>
            </w:pPr>
            <w:r>
              <w:rPr>
                <w:rFonts w:hint="eastAsia" w:ascii="Times New Roman" w:hAnsi="Times New Roman"/>
                <w:kern w:val="0"/>
                <w:sz w:val="18"/>
                <w:szCs w:val="18"/>
                <w:u w:val="single"/>
              </w:rPr>
              <w:t>30000</w:t>
            </w:r>
          </w:p>
        </w:tc>
        <w:tc>
          <w:tcPr>
            <w:tcW w:w="677" w:type="dxa"/>
            <w:vAlign w:val="center"/>
          </w:tcPr>
          <w:p>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50</w:t>
            </w:r>
          </w:p>
        </w:tc>
        <w:tc>
          <w:tcPr>
            <w:tcW w:w="830" w:type="dxa"/>
            <w:vAlign w:val="center"/>
          </w:tcPr>
          <w:p>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10</w:t>
            </w:r>
          </w:p>
        </w:tc>
        <w:tc>
          <w:tcPr>
            <w:tcW w:w="590" w:type="dxa"/>
            <w:vAlign w:val="center"/>
          </w:tcPr>
          <w:p>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500</w:t>
            </w:r>
          </w:p>
        </w:tc>
        <w:tc>
          <w:tcPr>
            <w:tcW w:w="805" w:type="dxa"/>
            <w:vAlign w:val="center"/>
          </w:tcPr>
          <w:p>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w:t>
            </w:r>
          </w:p>
        </w:tc>
        <w:tc>
          <w:tcPr>
            <w:tcW w:w="927" w:type="dxa"/>
            <w:vAlign w:val="center"/>
          </w:tcPr>
          <w:p>
            <w:pPr>
              <w:widowControl/>
              <w:jc w:val="center"/>
              <w:textAlignment w:val="center"/>
              <w:rPr>
                <w:rFonts w:ascii="Times New Roman" w:hAnsi="Times New Roman"/>
                <w:kern w:val="0"/>
                <w:sz w:val="18"/>
                <w:szCs w:val="18"/>
                <w:u w:val="single"/>
              </w:rPr>
            </w:pPr>
            <w:r>
              <w:rPr>
                <w:rFonts w:hint="eastAsia" w:ascii="Times New Roman" w:hAnsi="Times New Roman"/>
                <w:kern w:val="0"/>
                <w:sz w:val="18"/>
                <w:szCs w:val="18"/>
                <w:u w:val="single"/>
              </w:rPr>
              <w:t>1.5</w:t>
            </w:r>
          </w:p>
        </w:tc>
        <w:tc>
          <w:tcPr>
            <w:tcW w:w="927" w:type="dxa"/>
            <w:vAlign w:val="center"/>
          </w:tcPr>
          <w:p>
            <w:pPr>
              <w:widowControl/>
              <w:jc w:val="center"/>
              <w:textAlignment w:val="center"/>
              <w:rPr>
                <w:rFonts w:ascii="Times New Roman" w:hAnsi="Times New Roman"/>
                <w:kern w:val="0"/>
                <w:sz w:val="18"/>
                <w:szCs w:val="18"/>
                <w:u w:val="single"/>
              </w:rPr>
            </w:pPr>
            <w:r>
              <w:rPr>
                <w:rFonts w:hint="eastAsia" w:ascii="Times New Roman" w:hAnsi="Times New Roman"/>
                <w:kern w:val="0"/>
                <w:sz w:val="18"/>
                <w:szCs w:val="18"/>
                <w:u w:val="single"/>
              </w:rPr>
              <w:t>0.3</w:t>
            </w:r>
          </w:p>
        </w:tc>
        <w:tc>
          <w:tcPr>
            <w:tcW w:w="723" w:type="dxa"/>
            <w:vAlign w:val="center"/>
          </w:tcPr>
          <w:p>
            <w:pPr>
              <w:widowControl/>
              <w:jc w:val="center"/>
              <w:textAlignment w:val="center"/>
              <w:rPr>
                <w:rFonts w:ascii="Times New Roman" w:hAnsi="Times New Roman"/>
                <w:kern w:val="0"/>
                <w:sz w:val="18"/>
                <w:szCs w:val="18"/>
                <w:u w:val="single"/>
              </w:rPr>
            </w:pPr>
            <w:r>
              <w:rPr>
                <w:rFonts w:hint="eastAsia" w:ascii="Times New Roman" w:hAnsi="Times New Roman"/>
                <w:kern w:val="0"/>
                <w:sz w:val="18"/>
                <w:szCs w:val="18"/>
                <w:u w:val="single"/>
              </w:rPr>
              <w:t>15</w:t>
            </w:r>
          </w:p>
        </w:tc>
        <w:tc>
          <w:tcPr>
            <w:tcW w:w="947" w:type="dxa"/>
            <w:vAlign w:val="center"/>
          </w:tcPr>
          <w:p>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585" w:type="dxa"/>
            <w:vAlign w:val="center"/>
          </w:tcPr>
          <w:p>
            <w:pPr>
              <w:jc w:val="center"/>
              <w:rPr>
                <w:rFonts w:ascii="Times New Roman" w:hAnsi="Times New Roman"/>
                <w:kern w:val="0"/>
                <w:sz w:val="18"/>
                <w:szCs w:val="18"/>
                <w:u w:val="single"/>
              </w:rPr>
            </w:pPr>
            <w:r>
              <w:rPr>
                <w:rFonts w:ascii="Times New Roman" w:hAnsi="Times New Roman"/>
                <w:kern w:val="0"/>
                <w:sz w:val="18"/>
                <w:szCs w:val="18"/>
                <w:u w:val="single"/>
              </w:rPr>
              <w:t>尾矿库淋溶水</w:t>
            </w:r>
          </w:p>
        </w:tc>
        <w:tc>
          <w:tcPr>
            <w:tcW w:w="883" w:type="dxa"/>
            <w:vAlign w:val="center"/>
          </w:tcPr>
          <w:p>
            <w:pPr>
              <w:jc w:val="center"/>
              <w:rPr>
                <w:rFonts w:ascii="Times New Roman" w:hAnsi="Times New Roman"/>
                <w:kern w:val="0"/>
                <w:sz w:val="18"/>
                <w:szCs w:val="18"/>
                <w:u w:val="single"/>
              </w:rPr>
            </w:pPr>
            <w:r>
              <w:rPr>
                <w:rFonts w:hint="eastAsia" w:ascii="Times New Roman" w:hAnsi="Times New Roman"/>
                <w:kern w:val="0"/>
                <w:sz w:val="18"/>
                <w:szCs w:val="18"/>
                <w:u w:val="single"/>
              </w:rPr>
              <w:t>27.46</w:t>
            </w:r>
          </w:p>
        </w:tc>
        <w:tc>
          <w:tcPr>
            <w:tcW w:w="677"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15</w:t>
            </w:r>
          </w:p>
        </w:tc>
        <w:tc>
          <w:tcPr>
            <w:tcW w:w="83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w:t>
            </w:r>
          </w:p>
        </w:tc>
        <w:tc>
          <w:tcPr>
            <w:tcW w:w="590"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200</w:t>
            </w:r>
          </w:p>
        </w:tc>
        <w:tc>
          <w:tcPr>
            <w:tcW w:w="805" w:type="dxa"/>
            <w:vAlign w:val="center"/>
          </w:tcPr>
          <w:p>
            <w:pPr>
              <w:widowControl/>
              <w:jc w:val="center"/>
              <w:rPr>
                <w:rFonts w:ascii="Times New Roman" w:hAnsi="Times New Roman"/>
                <w:kern w:val="0"/>
                <w:sz w:val="18"/>
                <w:szCs w:val="18"/>
                <w:u w:val="single"/>
              </w:rPr>
            </w:pPr>
            <w:r>
              <w:rPr>
                <w:rFonts w:ascii="Times New Roman" w:hAnsi="Times New Roman"/>
                <w:kern w:val="0"/>
                <w:sz w:val="18"/>
                <w:szCs w:val="18"/>
                <w:u w:val="single"/>
              </w:rPr>
              <w:t>0.09</w:t>
            </w:r>
          </w:p>
        </w:tc>
        <w:tc>
          <w:tcPr>
            <w:tcW w:w="927" w:type="dxa"/>
            <w:vAlign w:val="center"/>
          </w:tcPr>
          <w:p>
            <w:pPr>
              <w:widowControl/>
              <w:jc w:val="center"/>
              <w:textAlignment w:val="center"/>
              <w:rPr>
                <w:rFonts w:ascii="Times New Roman" w:hAnsi="Times New Roman"/>
                <w:kern w:val="0"/>
                <w:sz w:val="18"/>
                <w:szCs w:val="18"/>
                <w:u w:val="single"/>
              </w:rPr>
            </w:pPr>
            <w:r>
              <w:rPr>
                <w:rFonts w:hint="eastAsia" w:ascii="Times New Roman" w:hAnsi="Times New Roman"/>
                <w:kern w:val="0"/>
                <w:sz w:val="18"/>
                <w:szCs w:val="18"/>
                <w:u w:val="single"/>
              </w:rPr>
              <w:t>0.00002</w:t>
            </w:r>
          </w:p>
        </w:tc>
        <w:tc>
          <w:tcPr>
            <w:tcW w:w="927" w:type="dxa"/>
            <w:vAlign w:val="center"/>
          </w:tcPr>
          <w:p>
            <w:pPr>
              <w:widowControl/>
              <w:jc w:val="center"/>
              <w:textAlignment w:val="center"/>
              <w:rPr>
                <w:rFonts w:ascii="Times New Roman" w:hAnsi="Times New Roman"/>
                <w:kern w:val="0"/>
                <w:sz w:val="18"/>
                <w:szCs w:val="18"/>
                <w:u w:val="single"/>
              </w:rPr>
            </w:pPr>
            <w:r>
              <w:rPr>
                <w:rFonts w:hint="eastAsia" w:ascii="Times New Roman" w:hAnsi="Times New Roman"/>
                <w:kern w:val="0"/>
                <w:sz w:val="18"/>
                <w:szCs w:val="18"/>
                <w:u w:val="single"/>
              </w:rPr>
              <w:t>0.00005</w:t>
            </w:r>
          </w:p>
        </w:tc>
        <w:tc>
          <w:tcPr>
            <w:tcW w:w="723" w:type="dxa"/>
            <w:vAlign w:val="center"/>
          </w:tcPr>
          <w:p>
            <w:pPr>
              <w:widowControl/>
              <w:jc w:val="center"/>
              <w:textAlignment w:val="center"/>
              <w:rPr>
                <w:rFonts w:ascii="Times New Roman" w:hAnsi="Times New Roman"/>
                <w:kern w:val="0"/>
                <w:sz w:val="18"/>
                <w:szCs w:val="18"/>
                <w:u w:val="single"/>
              </w:rPr>
            </w:pPr>
            <w:r>
              <w:rPr>
                <w:rFonts w:hint="eastAsia" w:ascii="Times New Roman" w:hAnsi="Times New Roman"/>
                <w:kern w:val="0"/>
                <w:sz w:val="18"/>
                <w:szCs w:val="18"/>
                <w:u w:val="single"/>
              </w:rPr>
              <w:t>0.005</w:t>
            </w:r>
          </w:p>
        </w:tc>
        <w:tc>
          <w:tcPr>
            <w:tcW w:w="947" w:type="dxa"/>
            <w:vAlign w:val="center"/>
          </w:tcPr>
          <w:p>
            <w:pPr>
              <w:widowControl/>
              <w:jc w:val="center"/>
              <w:rPr>
                <w:rFonts w:ascii="Times New Roman" w:hAnsi="Times New Roman"/>
                <w:kern w:val="0"/>
                <w:sz w:val="18"/>
                <w:szCs w:val="18"/>
                <w:u w:val="single"/>
              </w:rPr>
            </w:pPr>
            <w:r>
              <w:rPr>
                <w:rFonts w:hint="eastAsia" w:ascii="Times New Roman" w:hAnsi="Times New Roman"/>
                <w:kern w:val="0"/>
                <w:sz w:val="18"/>
                <w:szCs w:val="18"/>
                <w:u w:val="single"/>
              </w:rPr>
              <w:t>0.000002</w:t>
            </w:r>
          </w:p>
        </w:tc>
      </w:tr>
    </w:tbl>
    <w:p>
      <w:pPr>
        <w:widowControl/>
        <w:adjustRightInd w:val="0"/>
        <w:snapToGrid w:val="0"/>
        <w:spacing w:line="360" w:lineRule="auto"/>
        <w:outlineLvl w:val="2"/>
        <w:rPr>
          <w:rFonts w:ascii="Times New Roman" w:hAnsi="Times New Roman"/>
          <w:b/>
          <w:sz w:val="24"/>
        </w:rPr>
      </w:pPr>
      <w:bookmarkStart w:id="248" w:name="_Toc5060"/>
      <w:r>
        <w:rPr>
          <w:rFonts w:hint="eastAsia" w:ascii="Times New Roman" w:hAnsi="Times New Roman"/>
          <w:b/>
          <w:sz w:val="24"/>
        </w:rPr>
        <w:t>3.4.2.3噪声</w:t>
      </w:r>
      <w:bookmarkEnd w:id="246"/>
      <w:bookmarkEnd w:id="247"/>
      <w:bookmarkEnd w:id="248"/>
    </w:p>
    <w:p>
      <w:pPr>
        <w:spacing w:line="360" w:lineRule="auto"/>
        <w:ind w:firstLine="480" w:firstLineChars="200"/>
        <w:rPr>
          <w:rFonts w:ascii="Times New Roman" w:hAnsi="Times New Roman"/>
          <w:color w:val="000000"/>
          <w:sz w:val="24"/>
          <w:szCs w:val="24"/>
        </w:rPr>
      </w:pPr>
      <w:r>
        <w:rPr>
          <w:rFonts w:hint="eastAsia"/>
          <w:bCs/>
          <w:color w:val="000000"/>
          <w:sz w:val="24"/>
          <w:szCs w:val="24"/>
        </w:rPr>
        <w:t>本项目噪声来源主要来自</w:t>
      </w:r>
      <w:r>
        <w:rPr>
          <w:rFonts w:hint="eastAsia" w:ascii="Times New Roman" w:hAnsi="Times New Roman"/>
          <w:bCs/>
          <w:color w:val="000000"/>
          <w:sz w:val="24"/>
          <w:szCs w:val="24"/>
        </w:rPr>
        <w:t>压滤间内压滤机、渣浆泵、空压机、泥浆泵、起重机</w:t>
      </w:r>
      <w:r>
        <w:rPr>
          <w:rFonts w:hint="eastAsia"/>
          <w:bCs/>
          <w:color w:val="000000"/>
          <w:sz w:val="24"/>
          <w:szCs w:val="24"/>
        </w:rPr>
        <w:t>等设备在运行中产生的噪声及运输车辆噪声，其噪声为85~100</w:t>
      </w:r>
      <w:r>
        <w:rPr>
          <w:rFonts w:ascii="Times New Roman" w:hAnsi="Times New Roman"/>
          <w:color w:val="000000"/>
          <w:sz w:val="24"/>
          <w:szCs w:val="24"/>
        </w:rPr>
        <w:t>dB(A)之间。</w:t>
      </w:r>
    </w:p>
    <w:p>
      <w:pPr>
        <w:pStyle w:val="76"/>
        <w:jc w:val="center"/>
        <w:rPr>
          <w:b/>
          <w:color w:val="000000"/>
          <w:sz w:val="24"/>
        </w:rPr>
      </w:pPr>
      <w:r>
        <w:rPr>
          <w:b/>
          <w:color w:val="000000"/>
          <w:sz w:val="24"/>
        </w:rPr>
        <w:t>表3</w:t>
      </w:r>
      <w:r>
        <w:rPr>
          <w:rFonts w:hint="eastAsia"/>
          <w:b/>
          <w:color w:val="000000"/>
          <w:sz w:val="24"/>
        </w:rPr>
        <w:t>-27 主要</w:t>
      </w:r>
      <w:r>
        <w:rPr>
          <w:b/>
          <w:color w:val="000000"/>
          <w:sz w:val="24"/>
        </w:rPr>
        <w:t xml:space="preserve">生产设备单机噪声污染源统计   </w:t>
      </w:r>
      <w:r>
        <w:rPr>
          <w:rFonts w:hint="eastAsia"/>
          <w:b/>
          <w:color w:val="000000"/>
          <w:sz w:val="24"/>
        </w:rPr>
        <w:t>单位：</w:t>
      </w:r>
      <w:r>
        <w:rPr>
          <w:b/>
          <w:color w:val="000000"/>
          <w:sz w:val="24"/>
        </w:rPr>
        <w:t>dB(A)</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89"/>
        <w:gridCol w:w="1095"/>
        <w:gridCol w:w="1448"/>
        <w:gridCol w:w="2122"/>
        <w:gridCol w:w="21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1889" w:type="dxa"/>
            <w:vAlign w:val="center"/>
          </w:tcPr>
          <w:p>
            <w:pPr>
              <w:pStyle w:val="56"/>
              <w:spacing w:before="100" w:beforeAutospacing="1" w:after="100" w:afterAutospacing="1"/>
              <w:rPr>
                <w:color w:val="000000"/>
              </w:rPr>
            </w:pPr>
            <w:r>
              <w:rPr>
                <w:color w:val="000000"/>
              </w:rPr>
              <w:t>噪声源</w:t>
            </w:r>
          </w:p>
        </w:tc>
        <w:tc>
          <w:tcPr>
            <w:tcW w:w="1095" w:type="dxa"/>
            <w:vAlign w:val="center"/>
          </w:tcPr>
          <w:p>
            <w:pPr>
              <w:pStyle w:val="56"/>
              <w:spacing w:before="100" w:beforeAutospacing="1" w:after="100" w:afterAutospacing="1"/>
              <w:rPr>
                <w:color w:val="000000"/>
              </w:rPr>
            </w:pPr>
            <w:r>
              <w:rPr>
                <w:color w:val="000000"/>
              </w:rPr>
              <w:t>台数</w:t>
            </w:r>
          </w:p>
        </w:tc>
        <w:tc>
          <w:tcPr>
            <w:tcW w:w="1448" w:type="dxa"/>
            <w:vAlign w:val="center"/>
          </w:tcPr>
          <w:p>
            <w:pPr>
              <w:pStyle w:val="56"/>
              <w:spacing w:before="100" w:beforeAutospacing="1" w:after="100" w:afterAutospacing="1"/>
              <w:rPr>
                <w:color w:val="000000"/>
              </w:rPr>
            </w:pPr>
            <w:r>
              <w:rPr>
                <w:color w:val="000000"/>
              </w:rPr>
              <w:t>声级</w:t>
            </w:r>
          </w:p>
        </w:tc>
        <w:tc>
          <w:tcPr>
            <w:tcW w:w="2122" w:type="dxa"/>
            <w:vAlign w:val="center"/>
          </w:tcPr>
          <w:p>
            <w:pPr>
              <w:pStyle w:val="56"/>
              <w:spacing w:before="100" w:beforeAutospacing="1" w:after="100" w:afterAutospacing="1"/>
              <w:rPr>
                <w:color w:val="000000"/>
              </w:rPr>
            </w:pPr>
            <w:r>
              <w:rPr>
                <w:color w:val="000000"/>
              </w:rPr>
              <w:t>排放特征</w:t>
            </w:r>
          </w:p>
        </w:tc>
        <w:tc>
          <w:tcPr>
            <w:tcW w:w="2186" w:type="dxa"/>
            <w:vAlign w:val="center"/>
          </w:tcPr>
          <w:p>
            <w:pPr>
              <w:pStyle w:val="56"/>
              <w:spacing w:before="100" w:beforeAutospacing="1" w:after="100" w:afterAutospacing="1"/>
              <w:rPr>
                <w:color w:val="000000"/>
              </w:rPr>
            </w:pPr>
            <w:r>
              <w:rPr>
                <w:color w:val="000000"/>
              </w:rPr>
              <w:t>位置描述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889" w:type="dxa"/>
            <w:vAlign w:val="center"/>
          </w:tcPr>
          <w:p>
            <w:pPr>
              <w:widowControl/>
              <w:snapToGrid w:val="0"/>
              <w:jc w:val="center"/>
              <w:rPr>
                <w:color w:val="000000"/>
              </w:rPr>
            </w:pPr>
            <w:r>
              <w:rPr>
                <w:rFonts w:ascii="Times New Roman" w:hAnsi="Times New Roman"/>
                <w:color w:val="000000"/>
                <w:szCs w:val="21"/>
              </w:rPr>
              <w:t>压滤机</w:t>
            </w:r>
          </w:p>
        </w:tc>
        <w:tc>
          <w:tcPr>
            <w:tcW w:w="1095" w:type="dxa"/>
            <w:vAlign w:val="center"/>
          </w:tcPr>
          <w:p>
            <w:pPr>
              <w:pStyle w:val="56"/>
              <w:spacing w:before="100" w:beforeAutospacing="1" w:after="100" w:afterAutospacing="1"/>
              <w:rPr>
                <w:color w:val="000000"/>
              </w:rPr>
            </w:pPr>
            <w:r>
              <w:rPr>
                <w:rFonts w:hint="eastAsia"/>
                <w:color w:val="000000"/>
              </w:rPr>
              <w:t>1</w:t>
            </w:r>
          </w:p>
        </w:tc>
        <w:tc>
          <w:tcPr>
            <w:tcW w:w="1448" w:type="dxa"/>
            <w:vAlign w:val="center"/>
          </w:tcPr>
          <w:p>
            <w:pPr>
              <w:pStyle w:val="56"/>
              <w:spacing w:before="100" w:beforeAutospacing="1" w:after="100" w:afterAutospacing="1"/>
              <w:rPr>
                <w:color w:val="000000"/>
              </w:rPr>
            </w:pPr>
            <w:r>
              <w:rPr>
                <w:rFonts w:hint="eastAsia"/>
                <w:color w:val="000000"/>
              </w:rPr>
              <w:t>90</w:t>
            </w:r>
          </w:p>
        </w:tc>
        <w:tc>
          <w:tcPr>
            <w:tcW w:w="2122" w:type="dxa"/>
            <w:vAlign w:val="center"/>
          </w:tcPr>
          <w:p>
            <w:pPr>
              <w:pStyle w:val="56"/>
              <w:spacing w:before="100" w:beforeAutospacing="1" w:after="100" w:afterAutospacing="1"/>
              <w:rPr>
                <w:color w:val="000000"/>
              </w:rPr>
            </w:pPr>
            <w:r>
              <w:rPr>
                <w:rFonts w:hint="eastAsia"/>
                <w:color w:val="000000"/>
              </w:rPr>
              <w:t>中频，连续</w:t>
            </w:r>
          </w:p>
        </w:tc>
        <w:tc>
          <w:tcPr>
            <w:tcW w:w="2186" w:type="dxa"/>
            <w:vAlign w:val="center"/>
          </w:tcPr>
          <w:p>
            <w:pPr>
              <w:pStyle w:val="56"/>
              <w:spacing w:before="100" w:beforeAutospacing="1" w:after="100" w:afterAutospacing="1"/>
              <w:rPr>
                <w:color w:val="000000"/>
              </w:rPr>
            </w:pPr>
            <w:r>
              <w:rPr>
                <w:rFonts w:hint="eastAsia"/>
                <w:color w:val="000000"/>
              </w:rPr>
              <w:t>压滤间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889" w:type="dxa"/>
            <w:vAlign w:val="center"/>
          </w:tcPr>
          <w:p>
            <w:pPr>
              <w:snapToGrid w:val="0"/>
              <w:jc w:val="center"/>
              <w:rPr>
                <w:color w:val="000000"/>
              </w:rPr>
            </w:pPr>
            <w:r>
              <w:rPr>
                <w:rFonts w:ascii="Times New Roman" w:hAnsi="Times New Roman"/>
                <w:color w:val="000000"/>
                <w:szCs w:val="21"/>
              </w:rPr>
              <w:t>渣浆泵</w:t>
            </w:r>
          </w:p>
        </w:tc>
        <w:tc>
          <w:tcPr>
            <w:tcW w:w="1095" w:type="dxa"/>
            <w:vAlign w:val="center"/>
          </w:tcPr>
          <w:p>
            <w:pPr>
              <w:pStyle w:val="56"/>
              <w:spacing w:before="100" w:beforeAutospacing="1" w:after="100" w:afterAutospacing="1"/>
              <w:rPr>
                <w:color w:val="000000"/>
              </w:rPr>
            </w:pPr>
            <w:r>
              <w:rPr>
                <w:color w:val="000000"/>
              </w:rPr>
              <w:t>1</w:t>
            </w:r>
          </w:p>
        </w:tc>
        <w:tc>
          <w:tcPr>
            <w:tcW w:w="1448" w:type="dxa"/>
            <w:vAlign w:val="center"/>
          </w:tcPr>
          <w:p>
            <w:pPr>
              <w:pStyle w:val="56"/>
              <w:spacing w:before="100" w:beforeAutospacing="1" w:after="100" w:afterAutospacing="1"/>
              <w:rPr>
                <w:color w:val="000000"/>
              </w:rPr>
            </w:pPr>
            <w:r>
              <w:rPr>
                <w:color w:val="000000"/>
              </w:rPr>
              <w:t>85</w:t>
            </w:r>
          </w:p>
        </w:tc>
        <w:tc>
          <w:tcPr>
            <w:tcW w:w="2122" w:type="dxa"/>
            <w:vAlign w:val="center"/>
          </w:tcPr>
          <w:p>
            <w:pPr>
              <w:pStyle w:val="56"/>
              <w:spacing w:before="100" w:beforeAutospacing="1" w:after="100" w:afterAutospacing="1"/>
              <w:rPr>
                <w:color w:val="000000"/>
              </w:rPr>
            </w:pPr>
            <w:r>
              <w:rPr>
                <w:color w:val="000000"/>
              </w:rPr>
              <w:t>低频、连续</w:t>
            </w:r>
          </w:p>
        </w:tc>
        <w:tc>
          <w:tcPr>
            <w:tcW w:w="2186" w:type="dxa"/>
            <w:vAlign w:val="center"/>
          </w:tcPr>
          <w:p>
            <w:pPr>
              <w:pStyle w:val="56"/>
              <w:spacing w:before="100" w:beforeAutospacing="1" w:after="100" w:afterAutospacing="1"/>
              <w:rPr>
                <w:color w:val="000000"/>
              </w:rPr>
            </w:pPr>
            <w:r>
              <w:rPr>
                <w:rFonts w:hint="eastAsia"/>
                <w:color w:val="000000"/>
              </w:rPr>
              <w:t>压滤间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889" w:type="dxa"/>
            <w:vAlign w:val="center"/>
          </w:tcPr>
          <w:p>
            <w:pPr>
              <w:snapToGrid w:val="0"/>
              <w:jc w:val="center"/>
              <w:rPr>
                <w:color w:val="000000"/>
              </w:rPr>
            </w:pPr>
            <w:r>
              <w:rPr>
                <w:rFonts w:ascii="Times New Roman" w:hAnsi="Times New Roman"/>
                <w:color w:val="000000"/>
                <w:szCs w:val="21"/>
              </w:rPr>
              <w:t>小空压机</w:t>
            </w:r>
          </w:p>
        </w:tc>
        <w:tc>
          <w:tcPr>
            <w:tcW w:w="1095" w:type="dxa"/>
            <w:vAlign w:val="center"/>
          </w:tcPr>
          <w:p>
            <w:pPr>
              <w:pStyle w:val="56"/>
              <w:spacing w:before="100" w:beforeAutospacing="1" w:after="100" w:afterAutospacing="1"/>
              <w:rPr>
                <w:color w:val="000000"/>
              </w:rPr>
            </w:pPr>
            <w:r>
              <w:rPr>
                <w:color w:val="000000"/>
              </w:rPr>
              <w:t>1</w:t>
            </w:r>
          </w:p>
        </w:tc>
        <w:tc>
          <w:tcPr>
            <w:tcW w:w="1448" w:type="dxa"/>
            <w:vAlign w:val="center"/>
          </w:tcPr>
          <w:p>
            <w:pPr>
              <w:pStyle w:val="56"/>
              <w:spacing w:before="100" w:beforeAutospacing="1" w:after="100" w:afterAutospacing="1"/>
              <w:rPr>
                <w:color w:val="000000"/>
              </w:rPr>
            </w:pPr>
            <w:r>
              <w:rPr>
                <w:color w:val="000000"/>
              </w:rPr>
              <w:t>85～95</w:t>
            </w:r>
          </w:p>
        </w:tc>
        <w:tc>
          <w:tcPr>
            <w:tcW w:w="2122" w:type="dxa"/>
            <w:vAlign w:val="center"/>
          </w:tcPr>
          <w:p>
            <w:pPr>
              <w:pStyle w:val="56"/>
              <w:spacing w:before="100" w:beforeAutospacing="1" w:after="100" w:afterAutospacing="1"/>
              <w:rPr>
                <w:color w:val="000000"/>
              </w:rPr>
            </w:pPr>
            <w:r>
              <w:rPr>
                <w:color w:val="000000"/>
              </w:rPr>
              <w:t>低频、连续</w:t>
            </w:r>
          </w:p>
        </w:tc>
        <w:tc>
          <w:tcPr>
            <w:tcW w:w="2186" w:type="dxa"/>
            <w:vAlign w:val="center"/>
          </w:tcPr>
          <w:p>
            <w:pPr>
              <w:pStyle w:val="56"/>
              <w:spacing w:before="100" w:beforeAutospacing="1" w:after="100" w:afterAutospacing="1"/>
              <w:rPr>
                <w:color w:val="000000"/>
              </w:rPr>
            </w:pPr>
            <w:r>
              <w:rPr>
                <w:rFonts w:hint="eastAsia"/>
                <w:color w:val="000000"/>
              </w:rPr>
              <w:t>压滤间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889" w:type="dxa"/>
            <w:vAlign w:val="center"/>
          </w:tcPr>
          <w:p>
            <w:pPr>
              <w:snapToGrid w:val="0"/>
              <w:jc w:val="center"/>
              <w:rPr>
                <w:color w:val="000000"/>
              </w:rPr>
            </w:pPr>
            <w:r>
              <w:rPr>
                <w:rFonts w:ascii="Times New Roman" w:hAnsi="Times New Roman"/>
                <w:color w:val="000000"/>
                <w:szCs w:val="21"/>
              </w:rPr>
              <w:t>冲洗水泵</w:t>
            </w:r>
          </w:p>
        </w:tc>
        <w:tc>
          <w:tcPr>
            <w:tcW w:w="1095" w:type="dxa"/>
            <w:vAlign w:val="center"/>
          </w:tcPr>
          <w:p>
            <w:pPr>
              <w:pStyle w:val="56"/>
              <w:spacing w:before="100" w:beforeAutospacing="1" w:after="100" w:afterAutospacing="1"/>
              <w:rPr>
                <w:color w:val="000000"/>
              </w:rPr>
            </w:pPr>
            <w:r>
              <w:rPr>
                <w:rFonts w:hint="eastAsia"/>
                <w:color w:val="000000"/>
              </w:rPr>
              <w:t>1</w:t>
            </w:r>
          </w:p>
        </w:tc>
        <w:tc>
          <w:tcPr>
            <w:tcW w:w="1448" w:type="dxa"/>
            <w:vAlign w:val="center"/>
          </w:tcPr>
          <w:p>
            <w:pPr>
              <w:pStyle w:val="56"/>
              <w:spacing w:before="100" w:beforeAutospacing="1" w:after="100" w:afterAutospacing="1"/>
              <w:rPr>
                <w:color w:val="000000"/>
              </w:rPr>
            </w:pPr>
            <w:r>
              <w:rPr>
                <w:rFonts w:hint="eastAsia"/>
                <w:color w:val="000000"/>
              </w:rPr>
              <w:t>90</w:t>
            </w:r>
          </w:p>
        </w:tc>
        <w:tc>
          <w:tcPr>
            <w:tcW w:w="2122" w:type="dxa"/>
            <w:vAlign w:val="center"/>
          </w:tcPr>
          <w:p>
            <w:pPr>
              <w:pStyle w:val="56"/>
              <w:spacing w:before="100" w:beforeAutospacing="1" w:after="100" w:afterAutospacing="1"/>
              <w:rPr>
                <w:color w:val="000000"/>
              </w:rPr>
            </w:pPr>
            <w:r>
              <w:rPr>
                <w:rFonts w:hint="eastAsia"/>
                <w:color w:val="000000"/>
              </w:rPr>
              <w:t>中频、连续</w:t>
            </w:r>
          </w:p>
        </w:tc>
        <w:tc>
          <w:tcPr>
            <w:tcW w:w="2186" w:type="dxa"/>
            <w:vAlign w:val="center"/>
          </w:tcPr>
          <w:p>
            <w:pPr>
              <w:pStyle w:val="56"/>
              <w:spacing w:before="100" w:beforeAutospacing="1" w:after="100" w:afterAutospacing="1"/>
              <w:rPr>
                <w:color w:val="000000"/>
              </w:rPr>
            </w:pPr>
            <w:r>
              <w:rPr>
                <w:rFonts w:hint="eastAsia"/>
                <w:color w:val="000000"/>
              </w:rPr>
              <w:t>压滤间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889" w:type="dxa"/>
            <w:vAlign w:val="center"/>
          </w:tcPr>
          <w:p>
            <w:pPr>
              <w:snapToGrid w:val="0"/>
              <w:jc w:val="center"/>
              <w:rPr>
                <w:color w:val="000000"/>
              </w:rPr>
            </w:pPr>
            <w:r>
              <w:rPr>
                <w:rFonts w:ascii="Times New Roman" w:hAnsi="Times New Roman"/>
                <w:color w:val="000000"/>
                <w:szCs w:val="21"/>
              </w:rPr>
              <w:t>液下泥浆泵</w:t>
            </w:r>
          </w:p>
        </w:tc>
        <w:tc>
          <w:tcPr>
            <w:tcW w:w="1095" w:type="dxa"/>
            <w:vAlign w:val="center"/>
          </w:tcPr>
          <w:p>
            <w:pPr>
              <w:pStyle w:val="56"/>
              <w:spacing w:before="100" w:beforeAutospacing="1" w:after="100" w:afterAutospacing="1"/>
              <w:rPr>
                <w:color w:val="000000"/>
              </w:rPr>
            </w:pPr>
            <w:r>
              <w:rPr>
                <w:rFonts w:hint="eastAsia"/>
                <w:color w:val="000000"/>
              </w:rPr>
              <w:t>1</w:t>
            </w:r>
          </w:p>
        </w:tc>
        <w:tc>
          <w:tcPr>
            <w:tcW w:w="1448" w:type="dxa"/>
            <w:vAlign w:val="center"/>
          </w:tcPr>
          <w:p>
            <w:pPr>
              <w:pStyle w:val="56"/>
              <w:spacing w:before="100" w:beforeAutospacing="1" w:after="100" w:afterAutospacing="1"/>
              <w:rPr>
                <w:color w:val="000000"/>
              </w:rPr>
            </w:pPr>
            <w:r>
              <w:rPr>
                <w:rFonts w:hint="eastAsia"/>
                <w:color w:val="000000"/>
              </w:rPr>
              <w:t>100</w:t>
            </w:r>
          </w:p>
        </w:tc>
        <w:tc>
          <w:tcPr>
            <w:tcW w:w="2122" w:type="dxa"/>
            <w:vAlign w:val="center"/>
          </w:tcPr>
          <w:p>
            <w:pPr>
              <w:pStyle w:val="56"/>
              <w:spacing w:before="100" w:beforeAutospacing="1" w:after="100" w:afterAutospacing="1"/>
              <w:rPr>
                <w:color w:val="000000"/>
              </w:rPr>
            </w:pPr>
            <w:r>
              <w:rPr>
                <w:rFonts w:hint="eastAsia"/>
                <w:color w:val="000000"/>
              </w:rPr>
              <w:t>高频，连续</w:t>
            </w:r>
          </w:p>
        </w:tc>
        <w:tc>
          <w:tcPr>
            <w:tcW w:w="2186" w:type="dxa"/>
            <w:vAlign w:val="center"/>
          </w:tcPr>
          <w:p>
            <w:pPr>
              <w:pStyle w:val="56"/>
              <w:spacing w:before="100" w:beforeAutospacing="1" w:after="100" w:afterAutospacing="1"/>
              <w:rPr>
                <w:color w:val="000000"/>
              </w:rPr>
            </w:pPr>
            <w:r>
              <w:rPr>
                <w:rFonts w:hint="eastAsia"/>
                <w:color w:val="000000"/>
              </w:rPr>
              <w:t>厂区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889" w:type="dxa"/>
            <w:vAlign w:val="center"/>
          </w:tcPr>
          <w:p>
            <w:pPr>
              <w:snapToGrid w:val="0"/>
              <w:jc w:val="center"/>
              <w:rPr>
                <w:color w:val="000000"/>
              </w:rPr>
            </w:pPr>
            <w:r>
              <w:rPr>
                <w:rFonts w:ascii="Times New Roman" w:hAnsi="Times New Roman"/>
                <w:color w:val="000000"/>
                <w:szCs w:val="21"/>
              </w:rPr>
              <w:t>单梁桥式起重机</w:t>
            </w:r>
          </w:p>
        </w:tc>
        <w:tc>
          <w:tcPr>
            <w:tcW w:w="1095" w:type="dxa"/>
            <w:vAlign w:val="center"/>
          </w:tcPr>
          <w:p>
            <w:pPr>
              <w:pStyle w:val="56"/>
              <w:spacing w:before="100" w:beforeAutospacing="1" w:after="100" w:afterAutospacing="1"/>
              <w:rPr>
                <w:color w:val="000000"/>
              </w:rPr>
            </w:pPr>
            <w:r>
              <w:rPr>
                <w:rFonts w:hint="eastAsia"/>
                <w:color w:val="000000"/>
              </w:rPr>
              <w:t>1</w:t>
            </w:r>
          </w:p>
        </w:tc>
        <w:tc>
          <w:tcPr>
            <w:tcW w:w="1448" w:type="dxa"/>
            <w:vAlign w:val="center"/>
          </w:tcPr>
          <w:p>
            <w:pPr>
              <w:pStyle w:val="56"/>
              <w:spacing w:before="100" w:beforeAutospacing="1" w:after="100" w:afterAutospacing="1"/>
              <w:rPr>
                <w:color w:val="000000"/>
              </w:rPr>
            </w:pPr>
            <w:r>
              <w:rPr>
                <w:rFonts w:hint="eastAsia"/>
                <w:color w:val="000000"/>
              </w:rPr>
              <w:t>100</w:t>
            </w:r>
          </w:p>
        </w:tc>
        <w:tc>
          <w:tcPr>
            <w:tcW w:w="2122" w:type="dxa"/>
            <w:vAlign w:val="center"/>
          </w:tcPr>
          <w:p>
            <w:pPr>
              <w:pStyle w:val="56"/>
              <w:spacing w:before="100" w:beforeAutospacing="1" w:after="100" w:afterAutospacing="1"/>
              <w:rPr>
                <w:color w:val="000000"/>
              </w:rPr>
            </w:pPr>
            <w:r>
              <w:rPr>
                <w:rFonts w:hint="eastAsia"/>
                <w:color w:val="000000"/>
              </w:rPr>
              <w:t>高频，连续</w:t>
            </w:r>
          </w:p>
        </w:tc>
        <w:tc>
          <w:tcPr>
            <w:tcW w:w="2186" w:type="dxa"/>
            <w:vAlign w:val="center"/>
          </w:tcPr>
          <w:p>
            <w:pPr>
              <w:pStyle w:val="56"/>
              <w:spacing w:before="100" w:beforeAutospacing="1" w:after="100" w:afterAutospacing="1"/>
              <w:rPr>
                <w:color w:val="000000"/>
              </w:rPr>
            </w:pPr>
            <w:r>
              <w:rPr>
                <w:rFonts w:hint="eastAsia"/>
                <w:color w:val="000000"/>
              </w:rPr>
              <w:t>厂区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889" w:type="dxa"/>
            <w:vAlign w:val="center"/>
          </w:tcPr>
          <w:p>
            <w:pPr>
              <w:pStyle w:val="56"/>
              <w:spacing w:before="100" w:beforeAutospacing="1" w:after="100" w:afterAutospacing="1"/>
              <w:rPr>
                <w:color w:val="000000"/>
              </w:rPr>
            </w:pPr>
            <w:r>
              <w:rPr>
                <w:color w:val="000000"/>
              </w:rPr>
              <w:t>运输车辆</w:t>
            </w:r>
          </w:p>
        </w:tc>
        <w:tc>
          <w:tcPr>
            <w:tcW w:w="1095" w:type="dxa"/>
            <w:vAlign w:val="center"/>
          </w:tcPr>
          <w:p>
            <w:pPr>
              <w:pStyle w:val="56"/>
              <w:spacing w:before="100" w:beforeAutospacing="1" w:after="100" w:afterAutospacing="1"/>
              <w:rPr>
                <w:color w:val="000000"/>
              </w:rPr>
            </w:pPr>
            <w:r>
              <w:rPr>
                <w:color w:val="000000"/>
              </w:rPr>
              <w:t>1</w:t>
            </w:r>
          </w:p>
        </w:tc>
        <w:tc>
          <w:tcPr>
            <w:tcW w:w="1448" w:type="dxa"/>
            <w:vAlign w:val="center"/>
          </w:tcPr>
          <w:p>
            <w:pPr>
              <w:pStyle w:val="56"/>
              <w:spacing w:before="100" w:beforeAutospacing="1" w:after="100" w:afterAutospacing="1"/>
              <w:rPr>
                <w:color w:val="000000"/>
              </w:rPr>
            </w:pPr>
            <w:r>
              <w:rPr>
                <w:color w:val="000000"/>
              </w:rPr>
              <w:t>85</w:t>
            </w:r>
          </w:p>
        </w:tc>
        <w:tc>
          <w:tcPr>
            <w:tcW w:w="2122" w:type="dxa"/>
            <w:vAlign w:val="center"/>
          </w:tcPr>
          <w:p>
            <w:pPr>
              <w:pStyle w:val="56"/>
              <w:spacing w:before="100" w:beforeAutospacing="1" w:after="100" w:afterAutospacing="1"/>
              <w:rPr>
                <w:color w:val="000000"/>
              </w:rPr>
            </w:pPr>
            <w:r>
              <w:rPr>
                <w:color w:val="000000"/>
              </w:rPr>
              <w:t>低频、非连续</w:t>
            </w:r>
          </w:p>
        </w:tc>
        <w:tc>
          <w:tcPr>
            <w:tcW w:w="2186" w:type="dxa"/>
            <w:vAlign w:val="center"/>
          </w:tcPr>
          <w:p>
            <w:pPr>
              <w:pStyle w:val="56"/>
              <w:spacing w:before="100" w:beforeAutospacing="1" w:after="100" w:afterAutospacing="1"/>
              <w:rPr>
                <w:color w:val="000000"/>
              </w:rPr>
            </w:pPr>
            <w:r>
              <w:rPr>
                <w:color w:val="000000"/>
              </w:rPr>
              <w:t>道路</w:t>
            </w:r>
          </w:p>
        </w:tc>
      </w:tr>
    </w:tbl>
    <w:p>
      <w:pPr>
        <w:widowControl/>
        <w:adjustRightInd w:val="0"/>
        <w:snapToGrid w:val="0"/>
        <w:spacing w:beforeLines="50" w:line="360" w:lineRule="auto"/>
        <w:outlineLvl w:val="2"/>
        <w:rPr>
          <w:rFonts w:ascii="Times New Roman" w:hAnsi="Times New Roman"/>
          <w:b/>
          <w:sz w:val="24"/>
        </w:rPr>
      </w:pPr>
      <w:bookmarkStart w:id="249" w:name="_Toc8057"/>
      <w:bookmarkStart w:id="250" w:name="_Toc13404"/>
      <w:bookmarkStart w:id="251" w:name="_Toc1018"/>
      <w:r>
        <w:rPr>
          <w:rFonts w:hint="eastAsia" w:ascii="Times New Roman" w:hAnsi="Times New Roman"/>
          <w:b/>
          <w:color w:val="000000"/>
          <w:sz w:val="24"/>
        </w:rPr>
        <w:t>3.4.2.4固体废物</w:t>
      </w:r>
      <w:bookmarkEnd w:id="249"/>
      <w:bookmarkEnd w:id="250"/>
      <w:bookmarkEnd w:id="251"/>
    </w:p>
    <w:p>
      <w:pPr>
        <w:spacing w:line="360" w:lineRule="auto"/>
        <w:ind w:firstLine="480" w:firstLineChars="200"/>
        <w:jc w:val="left"/>
        <w:rPr>
          <w:rFonts w:ascii="Times New Roman" w:hAnsi="Times New Roman"/>
          <w:bCs/>
          <w:color w:val="000000"/>
          <w:sz w:val="24"/>
          <w:szCs w:val="24"/>
        </w:rPr>
      </w:pPr>
      <w:r>
        <w:rPr>
          <w:rFonts w:ascii="Times New Roman" w:hAnsi="Times New Roman"/>
          <w:bCs/>
          <w:color w:val="000000"/>
          <w:sz w:val="24"/>
          <w:szCs w:val="24"/>
        </w:rPr>
        <w:t>本项目固体废物主要为尾渣、压滤间沉淀池污泥、尾矿库沉淀池污泥、废机油。</w:t>
      </w:r>
    </w:p>
    <w:p>
      <w:pPr>
        <w:spacing w:line="360" w:lineRule="auto"/>
        <w:ind w:firstLine="480" w:firstLineChars="200"/>
        <w:jc w:val="left"/>
        <w:outlineLvl w:val="0"/>
        <w:rPr>
          <w:rFonts w:ascii="Times New Roman" w:hAnsi="Times New Roman"/>
          <w:bCs/>
          <w:color w:val="000000"/>
          <w:sz w:val="24"/>
          <w:szCs w:val="24"/>
          <w:u w:val="single"/>
        </w:rPr>
      </w:pPr>
      <w:r>
        <w:rPr>
          <w:rFonts w:ascii="Times New Roman" w:hAnsi="Times New Roman"/>
          <w:bCs/>
          <w:color w:val="000000"/>
          <w:sz w:val="24"/>
          <w:szCs w:val="24"/>
          <w:u w:val="single"/>
        </w:rPr>
        <w:t>（1）尾矿泥饼</w:t>
      </w:r>
    </w:p>
    <w:p>
      <w:pPr>
        <w:spacing w:line="360" w:lineRule="auto"/>
        <w:ind w:firstLine="480" w:firstLineChars="200"/>
        <w:jc w:val="left"/>
        <w:rPr>
          <w:rFonts w:ascii="Times New Roman" w:hAnsi="Times New Roman"/>
          <w:sz w:val="24"/>
          <w:szCs w:val="24"/>
          <w:u w:val="single"/>
        </w:rPr>
      </w:pPr>
      <w:r>
        <w:rPr>
          <w:rFonts w:ascii="Times New Roman" w:hAnsi="Times New Roman"/>
          <w:bCs/>
          <w:color w:val="000000"/>
          <w:sz w:val="24"/>
          <w:szCs w:val="24"/>
          <w:u w:val="single"/>
        </w:rPr>
        <w:t>本项目选矿产生的尾矿渣经压滤后为细沙状，为一般固废。经可研得知，产生量为</w:t>
      </w:r>
      <w:r>
        <w:rPr>
          <w:rFonts w:ascii="Times New Roman" w:hAnsi="Times New Roman"/>
          <w:sz w:val="24"/>
          <w:szCs w:val="24"/>
          <w:u w:val="single"/>
        </w:rPr>
        <w:t>15×10</w:t>
      </w:r>
      <w:r>
        <w:rPr>
          <w:rFonts w:ascii="Times New Roman" w:hAnsi="Times New Roman"/>
          <w:sz w:val="24"/>
          <w:szCs w:val="24"/>
          <w:u w:val="single"/>
          <w:vertAlign w:val="superscript"/>
        </w:rPr>
        <w:t>4</w:t>
      </w:r>
      <w:r>
        <w:rPr>
          <w:rFonts w:ascii="Times New Roman" w:hAnsi="Times New Roman"/>
          <w:sz w:val="24"/>
          <w:szCs w:val="24"/>
          <w:u w:val="single"/>
        </w:rPr>
        <w:t>t，其中2×10</w:t>
      </w:r>
      <w:r>
        <w:rPr>
          <w:rFonts w:ascii="Times New Roman" w:hAnsi="Times New Roman"/>
          <w:sz w:val="24"/>
          <w:szCs w:val="24"/>
          <w:u w:val="single"/>
          <w:vertAlign w:val="superscript"/>
        </w:rPr>
        <w:t>4</w:t>
      </w:r>
      <w:r>
        <w:rPr>
          <w:rFonts w:ascii="Times New Roman" w:hAnsi="Times New Roman"/>
          <w:sz w:val="24"/>
          <w:szCs w:val="24"/>
          <w:u w:val="single"/>
        </w:rPr>
        <w:t>t存入尾矿库，其余13×10</w:t>
      </w:r>
      <w:r>
        <w:rPr>
          <w:rFonts w:ascii="Times New Roman" w:hAnsi="Times New Roman"/>
          <w:sz w:val="24"/>
          <w:szCs w:val="24"/>
          <w:u w:val="single"/>
          <w:vertAlign w:val="superscript"/>
        </w:rPr>
        <w:t>4</w:t>
      </w:r>
      <w:r>
        <w:rPr>
          <w:rFonts w:ascii="Times New Roman" w:hAnsi="Times New Roman"/>
          <w:sz w:val="24"/>
          <w:szCs w:val="24"/>
          <w:u w:val="single"/>
        </w:rPr>
        <w:t>t外卖吉林市智德利商贸有限公司（每日清运两次，每次约220t，由两量汽车汽车定时外运）。</w:t>
      </w:r>
    </w:p>
    <w:p>
      <w:pPr>
        <w:pStyle w:val="2"/>
        <w:spacing w:line="360" w:lineRule="auto"/>
        <w:ind w:firstLine="480" w:firstLineChars="200"/>
        <w:outlineLvl w:val="0"/>
        <w:rPr>
          <w:rFonts w:ascii="Times New Roman" w:hAnsi="Times New Roman"/>
          <w:sz w:val="24"/>
          <w:szCs w:val="24"/>
          <w:u w:val="single"/>
        </w:rPr>
      </w:pPr>
      <w:r>
        <w:rPr>
          <w:rFonts w:ascii="Times New Roman" w:hAnsi="Times New Roman"/>
          <w:sz w:val="24"/>
          <w:szCs w:val="24"/>
          <w:u w:val="single"/>
        </w:rPr>
        <w:t>（2）压滤间污泥</w:t>
      </w:r>
    </w:p>
    <w:p>
      <w:pPr>
        <w:pStyle w:val="2"/>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压滤间产生污泥产生量为5t/a，为一般固废，与尾渣泥饼一同堆放至尾矿库内。</w:t>
      </w:r>
    </w:p>
    <w:p>
      <w:pPr>
        <w:pStyle w:val="2"/>
        <w:spacing w:line="360" w:lineRule="auto"/>
        <w:ind w:firstLine="480" w:firstLineChars="200"/>
        <w:outlineLvl w:val="0"/>
        <w:rPr>
          <w:rFonts w:ascii="Times New Roman" w:hAnsi="Times New Roman"/>
          <w:sz w:val="24"/>
          <w:szCs w:val="24"/>
          <w:u w:val="single"/>
        </w:rPr>
      </w:pPr>
      <w:r>
        <w:rPr>
          <w:rFonts w:ascii="Times New Roman" w:hAnsi="Times New Roman"/>
          <w:sz w:val="24"/>
          <w:szCs w:val="24"/>
          <w:u w:val="single"/>
        </w:rPr>
        <w:t>（3）尾矿库沉淀池污泥</w:t>
      </w:r>
    </w:p>
    <w:p>
      <w:pPr>
        <w:pStyle w:val="2"/>
        <w:spacing w:line="360" w:lineRule="auto"/>
        <w:ind w:firstLine="480" w:firstLineChars="200"/>
        <w:rPr>
          <w:rFonts w:ascii="Times New Roman" w:hAnsi="Times New Roman"/>
          <w:sz w:val="24"/>
          <w:szCs w:val="24"/>
          <w:u w:val="single"/>
        </w:rPr>
      </w:pPr>
      <w:r>
        <w:rPr>
          <w:rFonts w:ascii="Times New Roman" w:hAnsi="Times New Roman"/>
          <w:sz w:val="24"/>
          <w:szCs w:val="24"/>
          <w:u w:val="single"/>
        </w:rPr>
        <w:t>尾矿库沉淀池污泥主要为汛期尾矿库干堆场淋溶水沉淀后污泥，产生量为2t/a，为一般固废，与尾渣泥饼一同堆放至尾矿库内。</w:t>
      </w:r>
    </w:p>
    <w:p>
      <w:pPr>
        <w:spacing w:line="360" w:lineRule="auto"/>
        <w:ind w:firstLine="480" w:firstLineChars="200"/>
        <w:jc w:val="left"/>
        <w:outlineLvl w:val="0"/>
        <w:rPr>
          <w:rFonts w:ascii="Times New Roman" w:hAnsi="Times New Roman"/>
          <w:color w:val="000000"/>
          <w:sz w:val="24"/>
          <w:u w:val="single"/>
        </w:rPr>
      </w:pPr>
      <w:r>
        <w:rPr>
          <w:rFonts w:ascii="Times New Roman" w:hAnsi="Times New Roman"/>
          <w:color w:val="000000"/>
          <w:sz w:val="24"/>
          <w:u w:val="single"/>
        </w:rPr>
        <w:t>（4）废机油</w:t>
      </w:r>
    </w:p>
    <w:p>
      <w:pPr>
        <w:spacing w:line="360" w:lineRule="auto"/>
        <w:ind w:firstLine="480" w:firstLineChars="200"/>
        <w:jc w:val="left"/>
        <w:rPr>
          <w:rFonts w:ascii="Times New Roman" w:hAnsi="Times New Roman"/>
          <w:color w:val="000000"/>
          <w:sz w:val="24"/>
          <w:u w:val="single"/>
        </w:rPr>
      </w:pPr>
      <w:r>
        <w:rPr>
          <w:rFonts w:ascii="Times New Roman" w:hAnsi="Times New Roman"/>
          <w:color w:val="000000"/>
          <w:sz w:val="24"/>
          <w:u w:val="single"/>
        </w:rPr>
        <w:t>企业的机械设备定期检修与保养，由正规维修站到现场进行维修及保养，废机油产生量0.05t/a，废机油统一收集在塑料桶中，储存至厂区内现有危废暂存间内，定期委托有资质单位处理。</w:t>
      </w:r>
    </w:p>
    <w:p>
      <w:pPr>
        <w:pStyle w:val="23"/>
        <w:spacing w:after="0" w:line="360" w:lineRule="auto"/>
        <w:ind w:firstLine="480" w:firstLineChars="200"/>
        <w:rPr>
          <w:rFonts w:ascii="Times New Roman" w:hAnsi="Times New Roman"/>
          <w:sz w:val="24"/>
          <w:szCs w:val="21"/>
        </w:rPr>
      </w:pPr>
      <w:r>
        <w:rPr>
          <w:rFonts w:ascii="Times New Roman" w:hAnsi="Times New Roman"/>
          <w:sz w:val="24"/>
          <w:szCs w:val="21"/>
        </w:rPr>
        <w:t>综上所述，各项固体废物经过合理的处理/处置，不会对周围环境产生二次</w:t>
      </w:r>
      <w:r>
        <w:rPr>
          <w:rFonts w:hint="eastAsia" w:ascii="Times New Roman" w:hAnsi="Times New Roman"/>
          <w:sz w:val="24"/>
          <w:szCs w:val="21"/>
        </w:rPr>
        <w:t>污染。</w:t>
      </w:r>
    </w:p>
    <w:p>
      <w:pPr>
        <w:adjustRightInd w:val="0"/>
        <w:snapToGrid w:val="0"/>
        <w:spacing w:line="360" w:lineRule="auto"/>
        <w:ind w:firstLine="480" w:firstLineChars="200"/>
        <w:jc w:val="left"/>
        <w:rPr>
          <w:rFonts w:ascii="Times New Roman" w:hAnsi="Times New Roman"/>
          <w:sz w:val="24"/>
        </w:rPr>
      </w:pPr>
      <w:r>
        <w:rPr>
          <w:rFonts w:ascii="Times New Roman" w:hAnsi="Times New Roman"/>
          <w:kern w:val="0"/>
          <w:sz w:val="24"/>
          <w:szCs w:val="21"/>
        </w:rPr>
        <w:t>评价单位已委托</w:t>
      </w:r>
      <w:r>
        <w:rPr>
          <w:rFonts w:ascii="Times New Roman" w:hAnsi="Times New Roman"/>
          <w:sz w:val="24"/>
          <w:szCs w:val="21"/>
        </w:rPr>
        <w:t>吉林省冶金研究院试验部门对</w:t>
      </w:r>
      <w:r>
        <w:rPr>
          <w:rFonts w:hint="eastAsia" w:ascii="Times New Roman" w:hAnsi="Times New Roman"/>
          <w:sz w:val="24"/>
          <w:szCs w:val="21"/>
        </w:rPr>
        <w:t>尾矿库尾渣</w:t>
      </w:r>
      <w:r>
        <w:rPr>
          <w:rFonts w:ascii="Times New Roman" w:hAnsi="Times New Roman"/>
          <w:sz w:val="24"/>
          <w:szCs w:val="21"/>
        </w:rPr>
        <w:t>进行了浸出毒性试验，鉴别结果见表</w:t>
      </w:r>
      <w:r>
        <w:rPr>
          <w:rFonts w:hint="eastAsia" w:ascii="Times New Roman" w:hAnsi="Times New Roman"/>
          <w:sz w:val="24"/>
          <w:szCs w:val="21"/>
        </w:rPr>
        <w:t>3-28</w:t>
      </w:r>
      <w:r>
        <w:rPr>
          <w:rFonts w:ascii="Times New Roman" w:hAnsi="Times New Roman"/>
          <w:sz w:val="24"/>
          <w:szCs w:val="21"/>
        </w:rPr>
        <w:t>。</w:t>
      </w:r>
    </w:p>
    <w:p>
      <w:pPr>
        <w:adjustRightInd w:val="0"/>
        <w:snapToGrid w:val="0"/>
        <w:jc w:val="center"/>
        <w:rPr>
          <w:rFonts w:ascii="Times New Roman" w:hAnsi="Times New Roman"/>
          <w:b/>
          <w:bCs/>
          <w:iCs/>
          <w:sz w:val="24"/>
        </w:rPr>
      </w:pPr>
      <w:r>
        <w:rPr>
          <w:rFonts w:ascii="Times New Roman" w:hAnsi="Times New Roman"/>
          <w:b/>
          <w:bCs/>
          <w:iCs/>
          <w:sz w:val="24"/>
        </w:rPr>
        <w:t>表</w:t>
      </w:r>
      <w:r>
        <w:rPr>
          <w:rFonts w:hint="eastAsia" w:ascii="Times New Roman" w:hAnsi="Times New Roman"/>
          <w:b/>
          <w:bCs/>
          <w:iCs/>
          <w:sz w:val="24"/>
        </w:rPr>
        <w:t>3-28</w:t>
      </w:r>
      <w:r>
        <w:rPr>
          <w:rFonts w:ascii="Times New Roman" w:hAnsi="Times New Roman"/>
          <w:b/>
          <w:bCs/>
          <w:iCs/>
          <w:sz w:val="24"/>
        </w:rPr>
        <w:t xml:space="preserve">   </w:t>
      </w:r>
      <w:r>
        <w:rPr>
          <w:rFonts w:hint="eastAsia" w:ascii="Times New Roman" w:hAnsi="Times New Roman"/>
          <w:b/>
          <w:bCs/>
          <w:iCs/>
          <w:sz w:val="24"/>
        </w:rPr>
        <w:t>尾渣</w:t>
      </w:r>
      <w:r>
        <w:rPr>
          <w:rFonts w:ascii="Times New Roman" w:hAnsi="Times New Roman"/>
          <w:b/>
          <w:bCs/>
          <w:iCs/>
          <w:sz w:val="24"/>
        </w:rPr>
        <w:t>淋溶试验分析结果</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2301"/>
        <w:gridCol w:w="1655"/>
        <w:gridCol w:w="1823"/>
        <w:gridCol w:w="16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3435" w:type="dxa"/>
            <w:gridSpan w:val="2"/>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原样编号</w:t>
            </w:r>
          </w:p>
        </w:tc>
        <w:tc>
          <w:tcPr>
            <w:tcW w:w="1655" w:type="dxa"/>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尾渣</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szCs w:val="21"/>
              </w:rPr>
              <w:t>毒性鉴别标准</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szCs w:val="21"/>
              </w:rPr>
              <w:t>污水综合排放标准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restart"/>
            <w:tcMar>
              <w:top w:w="15" w:type="dxa"/>
              <w:left w:w="15" w:type="dxa"/>
              <w:bottom w:w="15" w:type="dxa"/>
              <w:right w:w="15" w:type="dxa"/>
            </w:tcMar>
            <w:vAlign w:val="center"/>
          </w:tcPr>
          <w:p>
            <w:pPr>
              <w:widowControl/>
              <w:adjustRightInd w:val="0"/>
              <w:snapToGrid w:val="0"/>
              <w:jc w:val="left"/>
              <w:rPr>
                <w:rFonts w:ascii="Times New Roman" w:hAnsi="Times New Roman"/>
                <w:kern w:val="0"/>
                <w:szCs w:val="21"/>
              </w:rPr>
            </w:pPr>
            <w:r>
              <w:rPr>
                <w:rFonts w:ascii="Times New Roman" w:hAnsi="Times New Roman"/>
                <w:kern w:val="0"/>
                <w:szCs w:val="21"/>
              </w:rPr>
              <w:t xml:space="preserve">分析项目及检测值（mg/L） </w:t>
            </w: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砷（以总砷计）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＜0.0001</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5</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硒（以总硒计)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＜0.0002</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锌（以总锌计）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＜0.006</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100</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铅（以总铅计）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＜0.05</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5</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总镉（以总镉计）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＜0.003</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镍（以总镍计）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＜0.01</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5</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总铬</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＜0.01</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15</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六价铬</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＜0.004</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5</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铍（以总铍计）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＜0.0003</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0.02</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铜（以总铜计）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＜0.01</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100</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钡（以总钡计）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0.057</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100</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银（以总银计）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＜0.007</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5</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汞（以总汞计）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＜0.00001</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0.1</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氰化物（以CN-计）</w:t>
            </w:r>
          </w:p>
        </w:tc>
        <w:tc>
          <w:tcPr>
            <w:tcW w:w="1655"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＜0.0001</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5</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无机氟化物（不包括氟化钙）</w:t>
            </w:r>
          </w:p>
        </w:tc>
        <w:tc>
          <w:tcPr>
            <w:tcW w:w="1655" w:type="dxa"/>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0.432</w:t>
            </w:r>
          </w:p>
        </w:tc>
        <w:tc>
          <w:tcPr>
            <w:tcW w:w="1823"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100</w:t>
            </w: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1134" w:type="dxa"/>
            <w:vMerge w:val="continue"/>
            <w:vAlign w:val="center"/>
          </w:tcPr>
          <w:p>
            <w:pPr>
              <w:widowControl/>
              <w:jc w:val="left"/>
              <w:rPr>
                <w:rFonts w:ascii="Times New Roman" w:hAnsi="Times New Roman"/>
                <w:kern w:val="0"/>
                <w:szCs w:val="21"/>
              </w:rPr>
            </w:pPr>
          </w:p>
        </w:tc>
        <w:tc>
          <w:tcPr>
            <w:tcW w:w="2301" w:type="dxa"/>
            <w:tcMar>
              <w:top w:w="15" w:type="dxa"/>
              <w:left w:w="15" w:type="dxa"/>
              <w:bottom w:w="15" w:type="dxa"/>
              <w:right w:w="15" w:type="dxa"/>
            </w:tcMar>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pH</w:t>
            </w:r>
          </w:p>
        </w:tc>
        <w:tc>
          <w:tcPr>
            <w:tcW w:w="1655" w:type="dxa"/>
            <w:vAlign w:val="center"/>
          </w:tcPr>
          <w:p>
            <w:pPr>
              <w:widowControl/>
              <w:adjustRightInd w:val="0"/>
              <w:snapToGrid w:val="0"/>
              <w:jc w:val="center"/>
              <w:rPr>
                <w:rFonts w:ascii="Times New Roman" w:hAnsi="Times New Roman"/>
                <w:kern w:val="0"/>
                <w:szCs w:val="21"/>
              </w:rPr>
            </w:pPr>
            <w:r>
              <w:rPr>
                <w:rFonts w:hint="eastAsia" w:ascii="Times New Roman" w:hAnsi="Times New Roman"/>
                <w:kern w:val="0"/>
                <w:szCs w:val="21"/>
              </w:rPr>
              <w:t>8.9</w:t>
            </w:r>
          </w:p>
        </w:tc>
        <w:tc>
          <w:tcPr>
            <w:tcW w:w="1823" w:type="dxa"/>
            <w:vAlign w:val="center"/>
          </w:tcPr>
          <w:p>
            <w:pPr>
              <w:widowControl/>
              <w:adjustRightInd w:val="0"/>
              <w:snapToGrid w:val="0"/>
              <w:jc w:val="center"/>
              <w:rPr>
                <w:rFonts w:ascii="Times New Roman" w:hAnsi="Times New Roman"/>
                <w:kern w:val="0"/>
                <w:szCs w:val="21"/>
              </w:rPr>
            </w:pPr>
          </w:p>
        </w:tc>
        <w:tc>
          <w:tcPr>
            <w:tcW w:w="1609" w:type="dxa"/>
            <w:vAlign w:val="center"/>
          </w:tcPr>
          <w:p>
            <w:pPr>
              <w:widowControl/>
              <w:adjustRightInd w:val="0"/>
              <w:snapToGrid w:val="0"/>
              <w:jc w:val="center"/>
              <w:rPr>
                <w:rFonts w:ascii="Times New Roman" w:hAnsi="Times New Roman"/>
                <w:kern w:val="0"/>
                <w:szCs w:val="21"/>
              </w:rPr>
            </w:pPr>
            <w:r>
              <w:rPr>
                <w:rFonts w:ascii="Times New Roman" w:hAnsi="Times New Roman"/>
                <w:kern w:val="0"/>
                <w:szCs w:val="21"/>
              </w:rPr>
              <w:t>6-9</w:t>
            </w:r>
          </w:p>
        </w:tc>
      </w:tr>
    </w:tbl>
    <w:p>
      <w:pPr>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u w:val="single"/>
        </w:rPr>
      </w:pPr>
      <w:r>
        <w:rPr>
          <w:rFonts w:ascii="Times New Roman" w:hAnsi="Times New Roman"/>
          <w:sz w:val="24"/>
          <w:szCs w:val="21"/>
          <w:u w:val="single"/>
        </w:rPr>
        <w:t>废石浸出毒性鉴别结果表明，本项目尾渣中在《危险废物鉴别标准 浸出毒性鉴别》（GB5085.3-2007）表1中所列各类污染物均小于标准值，因此，判定本项目废石不属于危险废物，为一般固体废物，最终判定本项目废石为Ⅰ类一般固体废物。</w:t>
      </w:r>
      <w:r>
        <w:rPr>
          <w:rFonts w:ascii="Times New Roman" w:hAnsi="Times New Roman"/>
          <w:sz w:val="24"/>
          <w:u w:val="single"/>
        </w:rPr>
        <w:t>固体废物是对环境的重要影响因素，本项目采取了比较完善的固体废物处理/处置措施，可使固体废物对环境的影响降至最低，可为环境所接受。</w:t>
      </w:r>
    </w:p>
    <w:p>
      <w:pPr>
        <w:pStyle w:val="2"/>
        <w:spacing w:line="360" w:lineRule="auto"/>
        <w:ind w:firstLine="480" w:firstLineChars="200"/>
        <w:rPr>
          <w:rFonts w:ascii="Times New Roman" w:hAnsi="Times New Roman"/>
          <w:sz w:val="24"/>
          <w:u w:val="single"/>
        </w:rPr>
      </w:pPr>
      <w:r>
        <w:rPr>
          <w:rFonts w:ascii="Times New Roman" w:hAnsi="Times New Roman"/>
          <w:sz w:val="24"/>
          <w:u w:val="single"/>
        </w:rPr>
        <w:t>根据《GB18599-2001</w:t>
      </w:r>
      <w:r>
        <w:fldChar w:fldCharType="begin"/>
      </w:r>
      <w:r>
        <w:instrText xml:space="preserve"> HYPERLINK "https://wenku.baidu.com/view/83ffc8ceb4daa58da1114ab8.html" \t "https://www.so.com/_blank" </w:instrText>
      </w:r>
      <w:r>
        <w:fldChar w:fldCharType="separate"/>
      </w:r>
      <w:r>
        <w:rPr>
          <w:rFonts w:ascii="Times New Roman" w:hAnsi="Times New Roman"/>
          <w:sz w:val="24"/>
          <w:u w:val="single"/>
        </w:rPr>
        <w:t>一般工业固体废物贮存、处置场污染控制标准</w:t>
      </w:r>
      <w:r>
        <w:rPr>
          <w:rFonts w:ascii="Times New Roman" w:hAnsi="Times New Roman"/>
          <w:sz w:val="24"/>
          <w:u w:val="single"/>
        </w:rPr>
        <w:fldChar w:fldCharType="end"/>
      </w:r>
      <w:r>
        <w:rPr>
          <w:rFonts w:ascii="Times New Roman" w:hAnsi="Times New Roman"/>
          <w:sz w:val="24"/>
          <w:u w:val="single"/>
        </w:rPr>
        <w:t>》中规定，5.1.2中要求，I类II类固体废物场地应选在工业区和居民集中区主导风向下风侧，厂界距离居民集中区500m以外。因此本项目应设置人群控制距离500m。</w:t>
      </w:r>
    </w:p>
    <w:p>
      <w:pPr>
        <w:pStyle w:val="4"/>
        <w:rPr>
          <w:rFonts w:ascii="Times New Roman" w:hAnsi="Times New Roman" w:eastAsia="宋体"/>
          <w:sz w:val="24"/>
        </w:rPr>
      </w:pPr>
      <w:r>
        <w:rPr>
          <w:rFonts w:hint="eastAsia" w:ascii="Times New Roman" w:hAnsi="Times New Roman" w:eastAsia="宋体"/>
          <w:bCs/>
          <w:szCs w:val="32"/>
        </w:rPr>
        <w:t>3.5扩建项目污染源排放清单</w:t>
      </w:r>
    </w:p>
    <w:p>
      <w:pPr>
        <w:spacing w:line="360" w:lineRule="auto"/>
        <w:ind w:firstLine="480" w:firstLineChars="200"/>
      </w:pPr>
      <w:r>
        <w:rPr>
          <w:rFonts w:ascii="Times New Roman" w:hAnsi="Times New Roman"/>
          <w:sz w:val="24"/>
        </w:rPr>
        <w:t>本项目建成后，废气、废水、固体废物中主要污染物排放情况详见</w:t>
      </w:r>
      <w:r>
        <w:rPr>
          <w:rFonts w:hint="eastAsia" w:ascii="Times New Roman" w:hAnsi="Times New Roman"/>
          <w:sz w:val="24"/>
        </w:rPr>
        <w:t>下表</w:t>
      </w:r>
      <w:r>
        <w:rPr>
          <w:rFonts w:ascii="Times New Roman" w:hAnsi="Times New Roman"/>
          <w:sz w:val="24"/>
        </w:rPr>
        <w:t>。</w:t>
      </w:r>
    </w:p>
    <w:p>
      <w:pPr>
        <w:adjustRightInd w:val="0"/>
        <w:snapToGrid w:val="0"/>
        <w:ind w:firstLine="482" w:firstLineChars="200"/>
        <w:jc w:val="center"/>
        <w:rPr>
          <w:rFonts w:ascii="Times New Roman" w:hAnsi="Times New Roman"/>
          <w:color w:val="000000"/>
          <w:sz w:val="24"/>
        </w:rPr>
      </w:pPr>
      <w:r>
        <w:rPr>
          <w:rFonts w:ascii="Times New Roman" w:hAnsi="Times New Roman"/>
          <w:b/>
          <w:bCs/>
          <w:color w:val="000000"/>
          <w:sz w:val="24"/>
        </w:rPr>
        <w:t>表3-</w:t>
      </w:r>
      <w:r>
        <w:rPr>
          <w:rFonts w:hint="eastAsia" w:ascii="Times New Roman" w:hAnsi="Times New Roman"/>
          <w:b/>
          <w:bCs/>
          <w:color w:val="000000"/>
          <w:sz w:val="24"/>
        </w:rPr>
        <w:t>29</w:t>
      </w:r>
      <w:r>
        <w:rPr>
          <w:rFonts w:ascii="Times New Roman" w:hAnsi="Times New Roman"/>
          <w:b/>
          <w:bCs/>
          <w:color w:val="000000"/>
          <w:sz w:val="24"/>
        </w:rPr>
        <w:t xml:space="preserve"> 本项目污染物排放情况汇总一览表      </w:t>
      </w:r>
      <w:r>
        <w:rPr>
          <w:rFonts w:ascii="Times New Roman" w:hAnsi="Times New Roman"/>
          <w:color w:val="000000"/>
          <w:sz w:val="24"/>
        </w:rPr>
        <w:t>单位：t/a</w:t>
      </w:r>
    </w:p>
    <w:tbl>
      <w:tblPr>
        <w:tblStyle w:val="24"/>
        <w:tblW w:w="0" w:type="auto"/>
        <w:jc w:val="center"/>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89"/>
        <w:gridCol w:w="1344"/>
        <w:gridCol w:w="1502"/>
        <w:gridCol w:w="1275"/>
        <w:gridCol w:w="1305"/>
        <w:gridCol w:w="2805"/>
      </w:tblGrid>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489"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类</w:t>
            </w:r>
          </w:p>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别</w:t>
            </w:r>
          </w:p>
        </w:tc>
        <w:tc>
          <w:tcPr>
            <w:tcW w:w="134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污染源</w:t>
            </w:r>
          </w:p>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名称</w:t>
            </w:r>
          </w:p>
        </w:tc>
        <w:tc>
          <w:tcPr>
            <w:tcW w:w="1502"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污染物名称</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产生量</w:t>
            </w:r>
          </w:p>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（t/a）</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排放量</w:t>
            </w:r>
          </w:p>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（t/a）</w:t>
            </w:r>
          </w:p>
        </w:tc>
        <w:tc>
          <w:tcPr>
            <w:tcW w:w="2805"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排放去向</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489" w:type="dxa"/>
            <w:vMerge w:val="restart"/>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废水</w:t>
            </w:r>
          </w:p>
        </w:tc>
        <w:tc>
          <w:tcPr>
            <w:tcW w:w="1344"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尾矿库</w:t>
            </w:r>
          </w:p>
        </w:tc>
        <w:tc>
          <w:tcPr>
            <w:tcW w:w="1502"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扬尘</w:t>
            </w:r>
          </w:p>
        </w:tc>
        <w:tc>
          <w:tcPr>
            <w:tcW w:w="1275" w:type="dxa"/>
            <w:vAlign w:val="center"/>
          </w:tcPr>
          <w:p>
            <w:pPr>
              <w:adjustRightInd w:val="0"/>
              <w:snapToGrid w:val="0"/>
              <w:jc w:val="center"/>
              <w:textAlignment w:val="baseline"/>
              <w:rPr>
                <w:rFonts w:ascii="Times New Roman" w:hAnsi="Times New Roman"/>
                <w:color w:val="000000"/>
                <w:szCs w:val="21"/>
              </w:rPr>
            </w:pPr>
            <w:r>
              <w:rPr>
                <w:rFonts w:hint="eastAsia" w:ascii="Times New Roman" w:hAnsi="Times New Roman"/>
                <w:color w:val="000000"/>
                <w:szCs w:val="21"/>
              </w:rPr>
              <w:t>3.15</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0.315</w:t>
            </w:r>
          </w:p>
        </w:tc>
        <w:tc>
          <w:tcPr>
            <w:tcW w:w="2805" w:type="dxa"/>
            <w:vAlign w:val="center"/>
          </w:tcPr>
          <w:p>
            <w:pPr>
              <w:jc w:val="center"/>
              <w:rPr>
                <w:rFonts w:ascii="Times New Roman" w:hAnsi="Times New Roman"/>
                <w:color w:val="000000"/>
                <w:szCs w:val="21"/>
              </w:rPr>
            </w:pPr>
            <w:r>
              <w:rPr>
                <w:rFonts w:hint="eastAsia" w:ascii="Times New Roman" w:hAnsi="Times New Roman"/>
                <w:color w:val="000000"/>
                <w:szCs w:val="21"/>
              </w:rPr>
              <w:t>无组织排放</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widowControl/>
              <w:jc w:val="left"/>
              <w:rPr>
                <w:rFonts w:ascii="Times New Roman" w:hAnsi="Times New Roman"/>
                <w:color w:val="000000"/>
                <w:spacing w:val="6"/>
                <w:kern w:val="0"/>
                <w:szCs w:val="21"/>
              </w:rPr>
            </w:pPr>
          </w:p>
        </w:tc>
        <w:tc>
          <w:tcPr>
            <w:tcW w:w="1344"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胶带运输</w:t>
            </w:r>
          </w:p>
        </w:tc>
        <w:tc>
          <w:tcPr>
            <w:tcW w:w="1502"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粉尘</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0.2</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0.02</w:t>
            </w:r>
          </w:p>
        </w:tc>
        <w:tc>
          <w:tcPr>
            <w:tcW w:w="2805" w:type="dxa"/>
            <w:vAlign w:val="center"/>
          </w:tcPr>
          <w:p>
            <w:pPr>
              <w:jc w:val="center"/>
              <w:rPr>
                <w:rFonts w:ascii="Times New Roman" w:hAnsi="Times New Roman"/>
                <w:color w:val="000000"/>
                <w:szCs w:val="21"/>
              </w:rPr>
            </w:pPr>
            <w:r>
              <w:rPr>
                <w:rFonts w:hint="eastAsia" w:ascii="Times New Roman" w:hAnsi="Times New Roman"/>
                <w:color w:val="000000"/>
                <w:szCs w:val="21"/>
              </w:rPr>
              <w:t>无组织排放</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tcBorders>
              <w:bottom w:val="single" w:color="auto" w:sz="4" w:space="0"/>
            </w:tcBorders>
            <w:vAlign w:val="center"/>
          </w:tcPr>
          <w:p>
            <w:pPr>
              <w:widowControl/>
              <w:jc w:val="left"/>
              <w:rPr>
                <w:rFonts w:ascii="Times New Roman" w:hAnsi="Times New Roman"/>
                <w:color w:val="000000"/>
                <w:spacing w:val="6"/>
                <w:kern w:val="0"/>
                <w:szCs w:val="21"/>
              </w:rPr>
            </w:pPr>
          </w:p>
        </w:tc>
        <w:tc>
          <w:tcPr>
            <w:tcW w:w="1344" w:type="dxa"/>
            <w:tcBorders>
              <w:bottom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运输</w:t>
            </w:r>
          </w:p>
        </w:tc>
        <w:tc>
          <w:tcPr>
            <w:tcW w:w="1502"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扬尘</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少量</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少量</w:t>
            </w:r>
          </w:p>
        </w:tc>
        <w:tc>
          <w:tcPr>
            <w:tcW w:w="2805" w:type="dxa"/>
            <w:vAlign w:val="center"/>
          </w:tcPr>
          <w:p>
            <w:pPr>
              <w:jc w:val="center"/>
              <w:rPr>
                <w:rFonts w:ascii="Times New Roman" w:hAnsi="Times New Roman"/>
                <w:color w:val="000000"/>
                <w:szCs w:val="21"/>
              </w:rPr>
            </w:pPr>
            <w:r>
              <w:rPr>
                <w:rFonts w:hint="eastAsia" w:ascii="Times New Roman" w:hAnsi="Times New Roman"/>
                <w:color w:val="000000"/>
                <w:szCs w:val="21"/>
              </w:rPr>
              <w:t>无组织排放</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89" w:type="dxa"/>
            <w:vMerge w:val="restart"/>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废气</w:t>
            </w:r>
          </w:p>
        </w:tc>
        <w:tc>
          <w:tcPr>
            <w:tcW w:w="1344" w:type="dxa"/>
            <w:vMerge w:val="restart"/>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尾矿脱水</w:t>
            </w:r>
          </w:p>
        </w:tc>
        <w:tc>
          <w:tcPr>
            <w:tcW w:w="1502" w:type="dxa"/>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废水量</w:t>
            </w:r>
          </w:p>
        </w:tc>
        <w:tc>
          <w:tcPr>
            <w:tcW w:w="1275" w:type="dxa"/>
            <w:vAlign w:val="center"/>
          </w:tcPr>
          <w:p>
            <w:pPr>
              <w:pStyle w:val="2"/>
              <w:ind w:firstLine="210" w:firstLineChars="100"/>
            </w:pPr>
            <w:r>
              <w:rPr>
                <w:rFonts w:hint="eastAsia"/>
              </w:rPr>
              <w:t>30000</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Merge w:val="restart"/>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不外排</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344"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502"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COD</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1.5</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344"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502"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bCs/>
                <w:color w:val="000000"/>
                <w:szCs w:val="21"/>
              </w:rPr>
              <w:t>BOD</w:t>
            </w:r>
            <w:r>
              <w:rPr>
                <w:rFonts w:ascii="Times New Roman" w:hAnsi="Times New Roman"/>
                <w:bCs/>
                <w:color w:val="000000"/>
                <w:szCs w:val="21"/>
                <w:vertAlign w:val="subscript"/>
              </w:rPr>
              <w:t>5</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0.3</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344"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502"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bCs/>
                <w:color w:val="000000"/>
                <w:szCs w:val="21"/>
              </w:rPr>
              <w:t>SS</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15</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344" w:type="dxa"/>
            <w:vMerge w:val="continue"/>
            <w:tcBorders>
              <w:bottom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p>
        </w:tc>
        <w:tc>
          <w:tcPr>
            <w:tcW w:w="1502" w:type="dxa"/>
            <w:vAlign w:val="center"/>
          </w:tcPr>
          <w:p>
            <w:pPr>
              <w:adjustRightInd w:val="0"/>
              <w:snapToGrid w:val="0"/>
              <w:jc w:val="center"/>
              <w:textAlignment w:val="baseline"/>
              <w:rPr>
                <w:rFonts w:ascii="Times New Roman" w:hAnsi="Times New Roman"/>
                <w:bCs/>
                <w:color w:val="000000"/>
                <w:szCs w:val="21"/>
              </w:rPr>
            </w:pPr>
            <w:r>
              <w:rPr>
                <w:rFonts w:ascii="Times New Roman" w:hAnsi="Times New Roman"/>
                <w:kern w:val="0"/>
                <w:sz w:val="18"/>
                <w:szCs w:val="18"/>
              </w:rPr>
              <w:t>NH</w:t>
            </w:r>
            <w:r>
              <w:rPr>
                <w:rFonts w:ascii="Times New Roman" w:hAnsi="Times New Roman"/>
                <w:kern w:val="0"/>
                <w:sz w:val="18"/>
                <w:szCs w:val="18"/>
                <w:vertAlign w:val="subscript"/>
              </w:rPr>
              <w:t>3</w:t>
            </w:r>
            <w:r>
              <w:rPr>
                <w:rFonts w:ascii="Times New Roman" w:hAnsi="Times New Roman"/>
                <w:kern w:val="0"/>
                <w:sz w:val="18"/>
                <w:szCs w:val="18"/>
              </w:rPr>
              <w:t>-N</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p>
        </w:tc>
        <w:tc>
          <w:tcPr>
            <w:tcW w:w="2805"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344" w:type="dxa"/>
            <w:vMerge w:val="restart"/>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尾矿库淋溶水</w:t>
            </w:r>
          </w:p>
        </w:tc>
        <w:tc>
          <w:tcPr>
            <w:tcW w:w="1502" w:type="dxa"/>
            <w:vAlign w:val="center"/>
          </w:tcPr>
          <w:p>
            <w:pPr>
              <w:adjustRightInd w:val="0"/>
              <w:snapToGrid w:val="0"/>
              <w:jc w:val="center"/>
              <w:textAlignment w:val="baseline"/>
              <w:rPr>
                <w:rFonts w:ascii="Times New Roman" w:hAnsi="Times New Roman"/>
                <w:bCs/>
                <w:color w:val="000000"/>
                <w:szCs w:val="21"/>
              </w:rPr>
            </w:pPr>
            <w:r>
              <w:rPr>
                <w:rFonts w:hint="eastAsia" w:ascii="Times New Roman" w:hAnsi="Times New Roman"/>
                <w:color w:val="000000"/>
                <w:spacing w:val="6"/>
                <w:kern w:val="0"/>
                <w:szCs w:val="21"/>
              </w:rPr>
              <w:t>废水量</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27.46</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344"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502" w:type="dxa"/>
            <w:vAlign w:val="center"/>
          </w:tcPr>
          <w:p>
            <w:pPr>
              <w:adjustRightInd w:val="0"/>
              <w:snapToGrid w:val="0"/>
              <w:jc w:val="center"/>
              <w:textAlignment w:val="baseline"/>
              <w:rPr>
                <w:rFonts w:ascii="Times New Roman" w:hAnsi="Times New Roman"/>
                <w:bCs/>
                <w:color w:val="000000"/>
                <w:szCs w:val="21"/>
              </w:rPr>
            </w:pPr>
            <w:r>
              <w:rPr>
                <w:rFonts w:hint="eastAsia" w:ascii="Times New Roman" w:hAnsi="Times New Roman"/>
                <w:color w:val="000000"/>
                <w:spacing w:val="6"/>
                <w:kern w:val="0"/>
                <w:szCs w:val="21"/>
              </w:rPr>
              <w:t>COD</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0.00002</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344"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502" w:type="dxa"/>
            <w:vAlign w:val="center"/>
          </w:tcPr>
          <w:p>
            <w:pPr>
              <w:adjustRightInd w:val="0"/>
              <w:snapToGrid w:val="0"/>
              <w:jc w:val="center"/>
              <w:textAlignment w:val="baseline"/>
              <w:rPr>
                <w:rFonts w:ascii="Times New Roman" w:hAnsi="Times New Roman"/>
                <w:bCs/>
                <w:color w:val="000000"/>
                <w:szCs w:val="21"/>
              </w:rPr>
            </w:pPr>
            <w:r>
              <w:rPr>
                <w:rFonts w:ascii="Times New Roman" w:hAnsi="Times New Roman"/>
                <w:bCs/>
                <w:color w:val="000000"/>
                <w:szCs w:val="21"/>
              </w:rPr>
              <w:t>BOD</w:t>
            </w:r>
            <w:r>
              <w:rPr>
                <w:rFonts w:ascii="Times New Roman" w:hAnsi="Times New Roman"/>
                <w:bCs/>
                <w:color w:val="000000"/>
                <w:szCs w:val="21"/>
                <w:vertAlign w:val="subscript"/>
              </w:rPr>
              <w:t>5</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0.00005</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344"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c>
          <w:tcPr>
            <w:tcW w:w="1502" w:type="dxa"/>
            <w:vAlign w:val="center"/>
          </w:tcPr>
          <w:p>
            <w:pPr>
              <w:adjustRightInd w:val="0"/>
              <w:snapToGrid w:val="0"/>
              <w:jc w:val="center"/>
              <w:textAlignment w:val="baseline"/>
              <w:rPr>
                <w:rFonts w:ascii="Times New Roman" w:hAnsi="Times New Roman"/>
                <w:bCs/>
                <w:color w:val="000000"/>
                <w:szCs w:val="21"/>
              </w:rPr>
            </w:pPr>
            <w:r>
              <w:rPr>
                <w:rFonts w:ascii="Times New Roman" w:hAnsi="Times New Roman"/>
                <w:bCs/>
                <w:color w:val="000000"/>
                <w:szCs w:val="21"/>
              </w:rPr>
              <w:t>SS</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0.005</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tcBorders>
              <w:bottom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p>
        </w:tc>
        <w:tc>
          <w:tcPr>
            <w:tcW w:w="1344" w:type="dxa"/>
            <w:vMerge w:val="continue"/>
            <w:tcBorders>
              <w:bottom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p>
        </w:tc>
        <w:tc>
          <w:tcPr>
            <w:tcW w:w="1502" w:type="dxa"/>
            <w:vAlign w:val="center"/>
          </w:tcPr>
          <w:p>
            <w:pPr>
              <w:adjustRightInd w:val="0"/>
              <w:snapToGrid w:val="0"/>
              <w:jc w:val="center"/>
              <w:textAlignment w:val="baseline"/>
              <w:rPr>
                <w:rFonts w:ascii="Times New Roman" w:hAnsi="Times New Roman"/>
                <w:bCs/>
                <w:color w:val="000000"/>
                <w:szCs w:val="21"/>
              </w:rPr>
            </w:pPr>
            <w:r>
              <w:rPr>
                <w:rFonts w:ascii="Times New Roman" w:hAnsi="Times New Roman"/>
                <w:kern w:val="0"/>
                <w:sz w:val="18"/>
                <w:szCs w:val="18"/>
              </w:rPr>
              <w:t>NH</w:t>
            </w:r>
            <w:r>
              <w:rPr>
                <w:rFonts w:ascii="Times New Roman" w:hAnsi="Times New Roman"/>
                <w:kern w:val="0"/>
                <w:sz w:val="18"/>
                <w:szCs w:val="18"/>
                <w:vertAlign w:val="subscript"/>
              </w:rPr>
              <w:t>3</w:t>
            </w:r>
            <w:r>
              <w:rPr>
                <w:rFonts w:ascii="Times New Roman" w:hAnsi="Times New Roman"/>
                <w:kern w:val="0"/>
                <w:sz w:val="18"/>
                <w:szCs w:val="18"/>
              </w:rPr>
              <w:t>-N</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0.000002</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Merge w:val="continue"/>
            <w:vAlign w:val="center"/>
          </w:tcPr>
          <w:p>
            <w:pPr>
              <w:adjustRightInd w:val="0"/>
              <w:snapToGri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restart"/>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固</w:t>
            </w:r>
          </w:p>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体</w:t>
            </w:r>
          </w:p>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废</w:t>
            </w:r>
          </w:p>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物</w:t>
            </w:r>
          </w:p>
        </w:tc>
        <w:tc>
          <w:tcPr>
            <w:tcW w:w="1344" w:type="dxa"/>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压滤间</w:t>
            </w:r>
          </w:p>
        </w:tc>
        <w:tc>
          <w:tcPr>
            <w:tcW w:w="1502"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尾矿泥饼</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sz w:val="24"/>
                <w:szCs w:val="24"/>
              </w:rPr>
              <w:t>15×10</w:t>
            </w:r>
            <w:r>
              <w:rPr>
                <w:rFonts w:ascii="Times New Roman" w:hAnsi="Times New Roman"/>
                <w:sz w:val="24"/>
                <w:szCs w:val="24"/>
                <w:vertAlign w:val="superscript"/>
              </w:rPr>
              <w:t>4</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Align w:val="center"/>
          </w:tcPr>
          <w:p>
            <w:pPr>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一部分外卖吉林市智德利商贸有限公司，另一部分堆放至尾矿库内。</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489" w:type="dxa"/>
            <w:vMerge w:val="continue"/>
            <w:vAlign w:val="center"/>
          </w:tcPr>
          <w:p>
            <w:pPr>
              <w:widowControl/>
              <w:jc w:val="left"/>
              <w:rPr>
                <w:rFonts w:ascii="Times New Roman" w:hAnsi="Times New Roman"/>
                <w:color w:val="000000"/>
                <w:spacing w:val="6"/>
                <w:kern w:val="0"/>
                <w:szCs w:val="21"/>
              </w:rPr>
            </w:pPr>
          </w:p>
        </w:tc>
        <w:tc>
          <w:tcPr>
            <w:tcW w:w="1344" w:type="dxa"/>
            <w:tcBorders>
              <w:bottom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压滤间</w:t>
            </w:r>
          </w:p>
        </w:tc>
        <w:tc>
          <w:tcPr>
            <w:tcW w:w="1502" w:type="dxa"/>
            <w:tcBorders>
              <w:bottom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沉淀池污泥</w:t>
            </w:r>
          </w:p>
        </w:tc>
        <w:tc>
          <w:tcPr>
            <w:tcW w:w="1275" w:type="dxa"/>
            <w:tcBorders>
              <w:bottom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5</w:t>
            </w:r>
          </w:p>
        </w:tc>
        <w:tc>
          <w:tcPr>
            <w:tcW w:w="1305" w:type="dxa"/>
            <w:tcBorders>
              <w:bottom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tcBorders>
              <w:bottom w:val="single" w:color="auto" w:sz="4" w:space="0"/>
            </w:tcBorders>
            <w:vAlign w:val="center"/>
          </w:tcPr>
          <w:p>
            <w:pPr>
              <w:adjustRightInd w:val="0"/>
              <w:snapToGrid w:val="0"/>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堆放至尾矿库内</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489" w:type="dxa"/>
            <w:vMerge w:val="continue"/>
            <w:vAlign w:val="center"/>
          </w:tcPr>
          <w:p>
            <w:pPr>
              <w:widowControl/>
              <w:jc w:val="left"/>
              <w:rPr>
                <w:rFonts w:ascii="Times New Roman" w:hAnsi="Times New Roman"/>
                <w:color w:val="000000"/>
                <w:spacing w:val="6"/>
                <w:kern w:val="0"/>
                <w:szCs w:val="21"/>
              </w:rPr>
            </w:pPr>
          </w:p>
        </w:tc>
        <w:tc>
          <w:tcPr>
            <w:tcW w:w="1344" w:type="dxa"/>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尾矿库</w:t>
            </w:r>
          </w:p>
        </w:tc>
        <w:tc>
          <w:tcPr>
            <w:tcW w:w="1502" w:type="dxa"/>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沉淀池污泥</w:t>
            </w:r>
          </w:p>
        </w:tc>
        <w:tc>
          <w:tcPr>
            <w:tcW w:w="1275" w:type="dxa"/>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2</w:t>
            </w:r>
          </w:p>
        </w:tc>
        <w:tc>
          <w:tcPr>
            <w:tcW w:w="1305" w:type="dxa"/>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tcBorders>
              <w:top w:val="single" w:color="auto" w:sz="4" w:space="0"/>
            </w:tcBorders>
            <w:vAlign w:val="center"/>
          </w:tcPr>
          <w:p>
            <w:pPr>
              <w:adjustRightInd w:val="0"/>
              <w:snapToGrid w:val="0"/>
              <w:jc w:val="center"/>
              <w:rPr>
                <w:rFonts w:ascii="Times New Roman" w:hAnsi="Times New Roman"/>
                <w:bCs/>
                <w:color w:val="000000"/>
                <w:szCs w:val="21"/>
              </w:rPr>
            </w:pPr>
            <w:r>
              <w:rPr>
                <w:rFonts w:hint="eastAsia" w:ascii="Times New Roman" w:hAnsi="Times New Roman"/>
                <w:color w:val="000000"/>
                <w:spacing w:val="6"/>
                <w:kern w:val="0"/>
                <w:szCs w:val="21"/>
              </w:rPr>
              <w:t>堆放至尾矿库内</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89" w:type="dxa"/>
            <w:vMerge w:val="continue"/>
            <w:vAlign w:val="center"/>
          </w:tcPr>
          <w:p>
            <w:pPr>
              <w:widowControl/>
              <w:jc w:val="left"/>
              <w:rPr>
                <w:rFonts w:ascii="Times New Roman" w:hAnsi="Times New Roman"/>
                <w:color w:val="000000"/>
                <w:spacing w:val="6"/>
                <w:kern w:val="0"/>
                <w:szCs w:val="21"/>
              </w:rPr>
            </w:pPr>
          </w:p>
        </w:tc>
        <w:tc>
          <w:tcPr>
            <w:tcW w:w="1344"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机械设备</w:t>
            </w:r>
          </w:p>
        </w:tc>
        <w:tc>
          <w:tcPr>
            <w:tcW w:w="1502"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废机油</w:t>
            </w:r>
          </w:p>
        </w:tc>
        <w:tc>
          <w:tcPr>
            <w:tcW w:w="127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0.05</w:t>
            </w:r>
          </w:p>
        </w:tc>
        <w:tc>
          <w:tcPr>
            <w:tcW w:w="1305"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w:t>
            </w:r>
          </w:p>
        </w:tc>
        <w:tc>
          <w:tcPr>
            <w:tcW w:w="2805" w:type="dxa"/>
            <w:vAlign w:val="center"/>
          </w:tcPr>
          <w:p>
            <w:pPr>
              <w:adjustRightInd w:val="0"/>
              <w:snapToGrid w:val="0"/>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统一交由有资质部门集中处理处置。</w:t>
            </w:r>
          </w:p>
        </w:tc>
      </w:tr>
    </w:tbl>
    <w:p>
      <w:pPr>
        <w:widowControl/>
        <w:adjustRightInd w:val="0"/>
        <w:snapToGrid w:val="0"/>
        <w:spacing w:beforeLines="50" w:line="360" w:lineRule="auto"/>
        <w:outlineLvl w:val="2"/>
        <w:rPr>
          <w:rFonts w:ascii="Times New Roman" w:hAnsi="Times New Roman"/>
          <w:b/>
          <w:sz w:val="24"/>
        </w:rPr>
      </w:pPr>
      <w:bookmarkStart w:id="252" w:name="_Toc346"/>
      <w:bookmarkStart w:id="253" w:name="_Toc19528"/>
      <w:bookmarkStart w:id="254" w:name="_Toc27664"/>
      <w:r>
        <w:rPr>
          <w:rFonts w:ascii="Times New Roman" w:hAnsi="Times New Roman"/>
          <w:b/>
          <w:sz w:val="24"/>
        </w:rPr>
        <w:t>3.</w:t>
      </w:r>
      <w:r>
        <w:rPr>
          <w:rFonts w:hint="eastAsia" w:ascii="Times New Roman" w:hAnsi="Times New Roman"/>
          <w:b/>
          <w:sz w:val="24"/>
        </w:rPr>
        <w:t>4</w:t>
      </w:r>
      <w:r>
        <w:rPr>
          <w:rFonts w:ascii="Times New Roman" w:hAnsi="Times New Roman"/>
          <w:b/>
          <w:sz w:val="24"/>
        </w:rPr>
        <w:t>.3闭矿期</w:t>
      </w:r>
      <w:bookmarkEnd w:id="252"/>
      <w:bookmarkEnd w:id="253"/>
      <w:bookmarkEnd w:id="254"/>
    </w:p>
    <w:p>
      <w:pPr>
        <w:spacing w:line="360" w:lineRule="auto"/>
        <w:ind w:firstLine="523" w:firstLineChars="218"/>
        <w:rPr>
          <w:rFonts w:ascii="Times New Roman" w:hAnsi="Times New Roman"/>
          <w:sz w:val="24"/>
        </w:rPr>
      </w:pPr>
      <w:r>
        <w:rPr>
          <w:rFonts w:ascii="Times New Roman" w:hAnsi="Times New Roman"/>
          <w:sz w:val="24"/>
        </w:rPr>
        <w:t>闭矿期将对</w:t>
      </w:r>
      <w:r>
        <w:rPr>
          <w:rFonts w:hint="eastAsia" w:ascii="Times New Roman" w:hAnsi="Times New Roman"/>
          <w:sz w:val="24"/>
        </w:rPr>
        <w:t>整个厂区内</w:t>
      </w:r>
      <w:r>
        <w:rPr>
          <w:rFonts w:ascii="Times New Roman" w:hAnsi="Times New Roman"/>
          <w:sz w:val="24"/>
        </w:rPr>
        <w:t>进行生态修复，主要是森林的复垦和自然植被恢复，以及水土流失的治理等工程，包括系统、全面的植被恢复，</w:t>
      </w:r>
      <w:r>
        <w:rPr>
          <w:rFonts w:hint="eastAsia" w:ascii="Times New Roman" w:hAnsi="Times New Roman"/>
          <w:sz w:val="24"/>
        </w:rPr>
        <w:t>尾矿库</w:t>
      </w:r>
      <w:r>
        <w:rPr>
          <w:rFonts w:ascii="Times New Roman" w:hAnsi="Times New Roman"/>
          <w:sz w:val="24"/>
        </w:rPr>
        <w:t>的林地植被恢复。</w:t>
      </w:r>
    </w:p>
    <w:p>
      <w:pPr>
        <w:spacing w:line="360" w:lineRule="auto"/>
        <w:ind w:firstLine="480"/>
        <w:rPr>
          <w:rFonts w:ascii="Times New Roman" w:hAnsi="Times New Roman"/>
          <w:b/>
          <w:bCs/>
          <w:sz w:val="32"/>
          <w:szCs w:val="32"/>
        </w:rPr>
      </w:pPr>
      <w:r>
        <w:rPr>
          <w:rFonts w:ascii="Times New Roman" w:hAnsi="Times New Roman"/>
          <w:sz w:val="24"/>
        </w:rPr>
        <w:t>闭矿期植被恢复后的生态效应是逐渐发挥的，在植被未能完全恢复前，仍可能发生土壤侵蚀和水土流失。</w:t>
      </w:r>
    </w:p>
    <w:p>
      <w:pPr>
        <w:pStyle w:val="4"/>
        <w:rPr>
          <w:rFonts w:ascii="Times New Roman" w:hAnsi="Times New Roman" w:eastAsia="宋体"/>
          <w:bCs/>
          <w:szCs w:val="32"/>
        </w:rPr>
      </w:pPr>
      <w:bookmarkStart w:id="255" w:name="_Toc12966"/>
      <w:bookmarkStart w:id="256" w:name="_Toc28156"/>
      <w:bookmarkStart w:id="257" w:name="_Toc15361"/>
      <w:r>
        <w:rPr>
          <w:rFonts w:hint="eastAsia" w:ascii="Times New Roman" w:hAnsi="Times New Roman" w:eastAsia="宋体"/>
          <w:bCs/>
          <w:szCs w:val="32"/>
        </w:rPr>
        <w:t>3.6“三本账”核算</w:t>
      </w:r>
      <w:bookmarkEnd w:id="255"/>
      <w:bookmarkEnd w:id="256"/>
      <w:bookmarkEnd w:id="257"/>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本项目为扩建项目，</w:t>
      </w:r>
      <w:r>
        <w:rPr>
          <w:rFonts w:hint="eastAsia" w:ascii="Times New Roman" w:hAnsi="Times New Roman"/>
          <w:sz w:val="24"/>
        </w:rPr>
        <w:t>“</w:t>
      </w:r>
      <w:r>
        <w:rPr>
          <w:rFonts w:ascii="Times New Roman" w:hAnsi="Times New Roman"/>
          <w:sz w:val="24"/>
        </w:rPr>
        <w:t>三本账</w:t>
      </w:r>
      <w:r>
        <w:rPr>
          <w:rFonts w:hint="eastAsia" w:ascii="Times New Roman" w:hAnsi="Times New Roman"/>
          <w:sz w:val="24"/>
        </w:rPr>
        <w:t>”</w:t>
      </w:r>
      <w:r>
        <w:rPr>
          <w:rFonts w:ascii="Times New Roman" w:hAnsi="Times New Roman"/>
          <w:sz w:val="24"/>
        </w:rPr>
        <w:t>核算见</w:t>
      </w:r>
      <w:r>
        <w:rPr>
          <w:rFonts w:hint="eastAsia" w:ascii="Times New Roman" w:hAnsi="Times New Roman"/>
          <w:sz w:val="24"/>
        </w:rPr>
        <w:t>下表</w:t>
      </w:r>
      <w:r>
        <w:rPr>
          <w:rFonts w:ascii="Times New Roman" w:hAnsi="Times New Roman"/>
          <w:sz w:val="24"/>
        </w:rPr>
        <w:t>。</w:t>
      </w:r>
    </w:p>
    <w:p>
      <w:pPr>
        <w:jc w:val="center"/>
        <w:rPr>
          <w:rFonts w:ascii="Times New Roman" w:hAnsi="Times New Roman"/>
          <w:b/>
          <w:color w:val="000000"/>
          <w:sz w:val="24"/>
          <w:szCs w:val="24"/>
        </w:rPr>
      </w:pPr>
      <w:r>
        <w:rPr>
          <w:rFonts w:ascii="Times New Roman" w:hAnsi="Times New Roman"/>
          <w:b/>
          <w:color w:val="000000"/>
          <w:sz w:val="24"/>
          <w:szCs w:val="24"/>
        </w:rPr>
        <w:t>表3-</w:t>
      </w:r>
      <w:r>
        <w:rPr>
          <w:rFonts w:hint="eastAsia" w:ascii="Times New Roman" w:hAnsi="Times New Roman"/>
          <w:b/>
          <w:color w:val="000000"/>
          <w:sz w:val="24"/>
          <w:szCs w:val="24"/>
        </w:rPr>
        <w:t xml:space="preserve">30 </w:t>
      </w:r>
      <w:r>
        <w:rPr>
          <w:rFonts w:ascii="Times New Roman" w:hAnsi="Times New Roman"/>
          <w:b/>
          <w:color w:val="000000"/>
          <w:sz w:val="24"/>
          <w:szCs w:val="24"/>
        </w:rPr>
        <w:t xml:space="preserve"> “三本账”核算</w:t>
      </w:r>
    </w:p>
    <w:tbl>
      <w:tblPr>
        <w:tblStyle w:val="24"/>
        <w:tblW w:w="0" w:type="auto"/>
        <w:jc w:val="center"/>
        <w:tblBorders>
          <w:top w:val="single" w:color="auto" w:sz="12" w:space="0"/>
          <w:left w:val="none" w:color="auto" w:sz="0" w:space="0"/>
          <w:bottom w:val="single" w:color="auto" w:sz="12" w:space="0"/>
          <w:right w:val="none" w:color="auto" w:sz="0" w:space="0"/>
          <w:insideH w:val="none" w:color="auto" w:sz="0" w:space="0"/>
          <w:insideV w:val="single" w:color="auto" w:sz="2" w:space="0"/>
        </w:tblBorders>
        <w:tblLayout w:type="fixed"/>
        <w:tblCellMar>
          <w:top w:w="0" w:type="dxa"/>
          <w:left w:w="108" w:type="dxa"/>
          <w:bottom w:w="0" w:type="dxa"/>
          <w:right w:w="108" w:type="dxa"/>
        </w:tblCellMar>
      </w:tblPr>
      <w:tblGrid>
        <w:gridCol w:w="527"/>
        <w:gridCol w:w="694"/>
        <w:gridCol w:w="578"/>
        <w:gridCol w:w="609"/>
        <w:gridCol w:w="1033"/>
        <w:gridCol w:w="877"/>
        <w:gridCol w:w="843"/>
        <w:gridCol w:w="755"/>
        <w:gridCol w:w="777"/>
        <w:gridCol w:w="863"/>
        <w:gridCol w:w="966"/>
      </w:tblGrid>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1009" w:hRule="atLeast"/>
          <w:jc w:val="center"/>
        </w:trPr>
        <w:tc>
          <w:tcPr>
            <w:tcW w:w="527" w:type="dxa"/>
            <w:tcBorders>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污染源</w:t>
            </w:r>
          </w:p>
        </w:tc>
        <w:tc>
          <w:tcPr>
            <w:tcW w:w="1272" w:type="dxa"/>
            <w:gridSpan w:val="2"/>
            <w:tcBorders>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污染物</w:t>
            </w:r>
          </w:p>
        </w:tc>
        <w:tc>
          <w:tcPr>
            <w:tcW w:w="609" w:type="dxa"/>
            <w:tcBorders>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单位</w:t>
            </w:r>
          </w:p>
        </w:tc>
        <w:tc>
          <w:tcPr>
            <w:tcW w:w="1033" w:type="dxa"/>
            <w:tcBorders>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现有项目排放量</w:t>
            </w:r>
          </w:p>
        </w:tc>
        <w:tc>
          <w:tcPr>
            <w:tcW w:w="877" w:type="dxa"/>
            <w:tcBorders>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本次扩建项目产生量</w:t>
            </w:r>
          </w:p>
        </w:tc>
        <w:tc>
          <w:tcPr>
            <w:tcW w:w="843" w:type="dxa"/>
            <w:tcBorders>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消减量</w:t>
            </w:r>
          </w:p>
        </w:tc>
        <w:tc>
          <w:tcPr>
            <w:tcW w:w="755" w:type="dxa"/>
            <w:tcBorders>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扩建项目排放量</w:t>
            </w:r>
          </w:p>
        </w:tc>
        <w:tc>
          <w:tcPr>
            <w:tcW w:w="777" w:type="dxa"/>
            <w:tcBorders>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以新带老消减量</w:t>
            </w:r>
          </w:p>
        </w:tc>
        <w:tc>
          <w:tcPr>
            <w:tcW w:w="863" w:type="dxa"/>
            <w:tcBorders>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ascii="Times New Roman" w:hAnsi="Times New Roman"/>
                <w:color w:val="000000"/>
                <w:kern w:val="0"/>
                <w:sz w:val="18"/>
                <w:szCs w:val="18"/>
              </w:rPr>
              <w:t>全厂排放总量</w:t>
            </w:r>
          </w:p>
        </w:tc>
        <w:tc>
          <w:tcPr>
            <w:tcW w:w="966" w:type="dxa"/>
            <w:tcBorders>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增减量</w:t>
            </w:r>
          </w:p>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500" w:hRule="atLeast"/>
          <w:jc w:val="center"/>
        </w:trPr>
        <w:tc>
          <w:tcPr>
            <w:tcW w:w="527" w:type="dxa"/>
            <w:vMerge w:val="restart"/>
            <w:tcBorders>
              <w:top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废气</w:t>
            </w: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井下采矿</w:t>
            </w:r>
          </w:p>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粉尘</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0.109</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ascii="Times New Roman" w:hAnsi="Times New Roman"/>
                <w:color w:val="000000"/>
                <w:sz w:val="18"/>
                <w:szCs w:val="18"/>
              </w:rPr>
              <w:t>0.109</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500"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爆破废气（NO</w:t>
            </w:r>
            <w:r>
              <w:rPr>
                <w:rFonts w:ascii="Times New Roman" w:hAnsi="Times New Roman"/>
                <w:color w:val="000000"/>
                <w:kern w:val="0"/>
                <w:sz w:val="18"/>
                <w:szCs w:val="18"/>
                <w:vertAlign w:val="subscript"/>
              </w:rPr>
              <w:t>2</w:t>
            </w:r>
            <w:r>
              <w:rPr>
                <w:rFonts w:ascii="Times New Roman" w:hAnsi="Times New Roman"/>
                <w:color w:val="000000"/>
                <w:kern w:val="0"/>
                <w:sz w:val="18"/>
                <w:szCs w:val="18"/>
              </w:rPr>
              <w:t>）</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4.0</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ascii="Times New Roman" w:hAnsi="Times New Roman"/>
                <w:color w:val="000000"/>
                <w:kern w:val="0"/>
                <w:sz w:val="18"/>
                <w:szCs w:val="18"/>
              </w:rPr>
              <w:t>4.0</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255"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选矿粉尘</w:t>
            </w:r>
            <w:r>
              <w:rPr>
                <w:rFonts w:hint="eastAsia" w:ascii="Times New Roman" w:hAnsi="Times New Roman"/>
                <w:color w:val="000000"/>
                <w:kern w:val="0"/>
                <w:sz w:val="18"/>
                <w:szCs w:val="18"/>
              </w:rPr>
              <w:t>、堆场无组织粉尘</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0.585</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sz w:val="18"/>
                <w:szCs w:val="18"/>
              </w:rPr>
              <w:t>0.585</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500"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694" w:type="dxa"/>
            <w:vMerge w:val="restart"/>
            <w:tcBorders>
              <w:right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sz w:val="18"/>
                <w:szCs w:val="18"/>
              </w:rPr>
              <w:t>锅炉</w:t>
            </w:r>
          </w:p>
        </w:tc>
        <w:tc>
          <w:tcPr>
            <w:tcW w:w="57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sz w:val="18"/>
                <w:szCs w:val="18"/>
              </w:rPr>
            </w:pPr>
            <w:r>
              <w:rPr>
                <w:rFonts w:ascii="Times New Roman" w:hAnsi="Times New Roman"/>
                <w:color w:val="000000"/>
                <w:sz w:val="18"/>
                <w:szCs w:val="18"/>
              </w:rPr>
              <w:t>烟尘</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0.22</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0.22</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-0.22</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227"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694" w:type="dxa"/>
            <w:vMerge w:val="continue"/>
            <w:tcBorders>
              <w:right w:val="single" w:color="auto" w:sz="4" w:space="0"/>
            </w:tcBorders>
            <w:vAlign w:val="center"/>
          </w:tcPr>
          <w:p>
            <w:pPr>
              <w:widowControl/>
              <w:adjustRightInd w:val="0"/>
              <w:snapToGrid w:val="0"/>
              <w:jc w:val="center"/>
              <w:rPr>
                <w:rFonts w:ascii="Times New Roman" w:hAnsi="Times New Roman"/>
                <w:color w:val="000000"/>
                <w:sz w:val="18"/>
                <w:szCs w:val="18"/>
              </w:rPr>
            </w:pPr>
          </w:p>
        </w:tc>
        <w:tc>
          <w:tcPr>
            <w:tcW w:w="57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sz w:val="18"/>
                <w:szCs w:val="18"/>
              </w:rPr>
            </w:pPr>
            <w:r>
              <w:rPr>
                <w:rFonts w:ascii="Times New Roman" w:hAnsi="Times New Roman"/>
                <w:color w:val="000000"/>
                <w:sz w:val="18"/>
                <w:szCs w:val="18"/>
              </w:rPr>
              <w:t>SO</w:t>
            </w:r>
            <w:r>
              <w:rPr>
                <w:rFonts w:ascii="Times New Roman" w:hAnsi="Times New Roman"/>
                <w:color w:val="000000"/>
                <w:sz w:val="18"/>
                <w:szCs w:val="18"/>
                <w:vertAlign w:val="subscript"/>
              </w:rPr>
              <w:t>2</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0.08</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0.08</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-0.08</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371"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694" w:type="dxa"/>
            <w:vMerge w:val="continue"/>
            <w:tcBorders>
              <w:bottom w:val="single" w:color="auto" w:sz="4" w:space="0"/>
              <w:right w:val="single" w:color="auto" w:sz="4" w:space="0"/>
            </w:tcBorders>
            <w:vAlign w:val="center"/>
          </w:tcPr>
          <w:p>
            <w:pPr>
              <w:widowControl/>
              <w:adjustRightInd w:val="0"/>
              <w:snapToGrid w:val="0"/>
              <w:jc w:val="center"/>
              <w:rPr>
                <w:rFonts w:ascii="Times New Roman" w:hAnsi="Times New Roman"/>
                <w:color w:val="000000"/>
                <w:sz w:val="18"/>
                <w:szCs w:val="18"/>
              </w:rPr>
            </w:pPr>
          </w:p>
        </w:tc>
        <w:tc>
          <w:tcPr>
            <w:tcW w:w="57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sz w:val="18"/>
                <w:szCs w:val="18"/>
              </w:rPr>
            </w:pPr>
            <w:r>
              <w:rPr>
                <w:rFonts w:ascii="Times New Roman" w:hAnsi="Times New Roman"/>
                <w:color w:val="000000"/>
                <w:sz w:val="18"/>
                <w:szCs w:val="18"/>
              </w:rPr>
              <w:t>NO</w:t>
            </w:r>
            <w:r>
              <w:rPr>
                <w:rFonts w:ascii="Times New Roman" w:hAnsi="Times New Roman"/>
                <w:color w:val="000000"/>
                <w:sz w:val="18"/>
                <w:szCs w:val="18"/>
                <w:vertAlign w:val="subscript"/>
              </w:rPr>
              <w:t>x</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0.08</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0.08</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-0.08</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371"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bottom w:val="single" w:color="auto" w:sz="4" w:space="0"/>
              <w:right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sz w:val="18"/>
                <w:szCs w:val="18"/>
              </w:rPr>
              <w:t>尾矿库扬尘</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877"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z w:val="18"/>
                <w:szCs w:val="18"/>
              </w:rPr>
              <w:t>3.15</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2.835</w:t>
            </w:r>
          </w:p>
        </w:tc>
        <w:tc>
          <w:tcPr>
            <w:tcW w:w="755"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0.315</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0.315</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+2.835</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371"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bottom w:val="single" w:color="auto" w:sz="4" w:space="0"/>
              <w:right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sz w:val="18"/>
                <w:szCs w:val="18"/>
              </w:rPr>
              <w:t>胶带运输粉尘</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877"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0.2</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0.18</w:t>
            </w:r>
          </w:p>
        </w:tc>
        <w:tc>
          <w:tcPr>
            <w:tcW w:w="755"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0.02</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0.02</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+0.18</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255" w:hRule="atLeast"/>
          <w:jc w:val="center"/>
        </w:trPr>
        <w:tc>
          <w:tcPr>
            <w:tcW w:w="527" w:type="dxa"/>
            <w:vMerge w:val="restart"/>
            <w:tcBorders>
              <w:top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废水</w:t>
            </w: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采矿凿岩废水</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10</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10</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90"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锅炉废水</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0.9</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0.9</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90"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生活废水</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1.56</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1.56</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90"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选矿废水</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90"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尾矿脱水</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90"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尾矿库淋溶水</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90" w:hRule="atLeast"/>
          <w:jc w:val="center"/>
        </w:trPr>
        <w:tc>
          <w:tcPr>
            <w:tcW w:w="527" w:type="dxa"/>
            <w:vMerge w:val="restart"/>
            <w:tcBorders>
              <w:top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固体</w:t>
            </w:r>
          </w:p>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废物</w:t>
            </w: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铁矿石</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6.6*10</w:t>
            </w:r>
            <w:r>
              <w:rPr>
                <w:rFonts w:hint="eastAsia" w:ascii="Times New Roman" w:hAnsi="Times New Roman"/>
                <w:color w:val="000000"/>
                <w:kern w:val="0"/>
                <w:sz w:val="18"/>
                <w:szCs w:val="18"/>
                <w:vertAlign w:val="superscript"/>
              </w:rPr>
              <w:t>5</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6.6*10</w:t>
            </w:r>
            <w:r>
              <w:rPr>
                <w:rFonts w:hint="eastAsia" w:ascii="Times New Roman" w:hAnsi="Times New Roman"/>
                <w:color w:val="000000"/>
                <w:kern w:val="0"/>
                <w:sz w:val="18"/>
                <w:szCs w:val="18"/>
                <w:vertAlign w:val="superscript"/>
              </w:rPr>
              <w:t>5</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445"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废石</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1.37*10</w:t>
            </w:r>
            <w:r>
              <w:rPr>
                <w:rFonts w:hint="eastAsia" w:ascii="Times New Roman" w:hAnsi="Times New Roman"/>
                <w:color w:val="000000"/>
                <w:kern w:val="0"/>
                <w:sz w:val="18"/>
                <w:szCs w:val="18"/>
                <w:vertAlign w:val="superscript"/>
              </w:rPr>
              <w:t>5</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1.37*10</w:t>
            </w:r>
            <w:r>
              <w:rPr>
                <w:rFonts w:hint="eastAsia" w:ascii="Times New Roman" w:hAnsi="Times New Roman"/>
                <w:color w:val="000000"/>
                <w:kern w:val="0"/>
                <w:sz w:val="18"/>
                <w:szCs w:val="18"/>
                <w:vertAlign w:val="superscript"/>
              </w:rPr>
              <w:t>5</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255"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铁精粉</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8*10</w:t>
            </w:r>
            <w:r>
              <w:rPr>
                <w:rFonts w:hint="eastAsia" w:ascii="Times New Roman" w:hAnsi="Times New Roman"/>
                <w:color w:val="000000"/>
                <w:kern w:val="0"/>
                <w:sz w:val="18"/>
                <w:szCs w:val="18"/>
                <w:vertAlign w:val="superscript"/>
              </w:rPr>
              <w:t>4</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sz w:val="18"/>
                <w:szCs w:val="18"/>
              </w:rPr>
            </w:pPr>
            <w:r>
              <w:rPr>
                <w:rFonts w:hint="eastAsia" w:ascii="Times New Roman" w:hAnsi="Times New Roman"/>
                <w:color w:val="000000"/>
                <w:kern w:val="0"/>
                <w:sz w:val="18"/>
                <w:szCs w:val="18"/>
              </w:rPr>
              <w:t>8*10</w:t>
            </w:r>
            <w:r>
              <w:rPr>
                <w:rFonts w:hint="eastAsia" w:ascii="Times New Roman" w:hAnsi="Times New Roman"/>
                <w:color w:val="000000"/>
                <w:kern w:val="0"/>
                <w:sz w:val="18"/>
                <w:szCs w:val="18"/>
                <w:vertAlign w:val="superscript"/>
              </w:rPr>
              <w:t>4</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255"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尾渣</w:t>
            </w:r>
          </w:p>
        </w:tc>
        <w:tc>
          <w:tcPr>
            <w:tcW w:w="609"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1.04*10</w:t>
            </w:r>
            <w:r>
              <w:rPr>
                <w:rFonts w:hint="eastAsia" w:ascii="Times New Roman" w:hAnsi="Times New Roman"/>
                <w:color w:val="000000"/>
                <w:kern w:val="0"/>
                <w:sz w:val="18"/>
                <w:szCs w:val="18"/>
                <w:vertAlign w:val="superscript"/>
              </w:rPr>
              <w:t>5</w:t>
            </w:r>
          </w:p>
        </w:tc>
        <w:tc>
          <w:tcPr>
            <w:tcW w:w="8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63"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1.04*10</w:t>
            </w:r>
            <w:r>
              <w:rPr>
                <w:rFonts w:hint="eastAsia" w:ascii="Times New Roman" w:hAnsi="Times New Roman"/>
                <w:color w:val="000000"/>
                <w:kern w:val="0"/>
                <w:sz w:val="18"/>
                <w:szCs w:val="18"/>
                <w:vertAlign w:val="superscript"/>
              </w:rPr>
              <w:t>5</w:t>
            </w:r>
          </w:p>
        </w:tc>
        <w:tc>
          <w:tcPr>
            <w:tcW w:w="966" w:type="dxa"/>
            <w:tcBorders>
              <w:top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748"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生活垃圾</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2.5</w:t>
            </w:r>
          </w:p>
        </w:tc>
        <w:tc>
          <w:tcPr>
            <w:tcW w:w="8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5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2.5</w:t>
            </w:r>
          </w:p>
        </w:tc>
        <w:tc>
          <w:tcPr>
            <w:tcW w:w="966"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748"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压滤间尾矿泥饼</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ascii="Times New Roman" w:hAnsi="Times New Roman"/>
                <w:sz w:val="18"/>
                <w:szCs w:val="18"/>
              </w:rPr>
              <w:t>15×10</w:t>
            </w:r>
            <w:r>
              <w:rPr>
                <w:rFonts w:ascii="Times New Roman" w:hAnsi="Times New Roman"/>
                <w:sz w:val="18"/>
                <w:szCs w:val="18"/>
                <w:vertAlign w:val="superscript"/>
              </w:rPr>
              <w:t>4</w:t>
            </w:r>
          </w:p>
        </w:tc>
        <w:tc>
          <w:tcPr>
            <w:tcW w:w="8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ascii="Times New Roman" w:hAnsi="Times New Roman"/>
                <w:sz w:val="18"/>
                <w:szCs w:val="18"/>
              </w:rPr>
              <w:t>15×10</w:t>
            </w:r>
            <w:r>
              <w:rPr>
                <w:rFonts w:ascii="Times New Roman" w:hAnsi="Times New Roman"/>
                <w:sz w:val="18"/>
                <w:szCs w:val="18"/>
                <w:vertAlign w:val="superscript"/>
              </w:rPr>
              <w:t>4</w:t>
            </w:r>
          </w:p>
        </w:tc>
        <w:tc>
          <w:tcPr>
            <w:tcW w:w="75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Cs w:val="21"/>
              </w:rPr>
            </w:pPr>
            <w:r>
              <w:rPr>
                <w:rFonts w:hint="eastAsia" w:ascii="Times New Roman" w:hAnsi="Times New Roman"/>
                <w:color w:val="000000"/>
                <w:kern w:val="0"/>
                <w:szCs w:val="21"/>
              </w:rPr>
              <w:t>0</w:t>
            </w:r>
          </w:p>
        </w:tc>
        <w:tc>
          <w:tcPr>
            <w:tcW w:w="8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966"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748"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压滤间沉淀池污泥</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5</w:t>
            </w:r>
          </w:p>
        </w:tc>
        <w:tc>
          <w:tcPr>
            <w:tcW w:w="8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5</w:t>
            </w:r>
          </w:p>
        </w:tc>
        <w:tc>
          <w:tcPr>
            <w:tcW w:w="75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Cs w:val="21"/>
              </w:rPr>
            </w:pPr>
            <w:r>
              <w:rPr>
                <w:rFonts w:hint="eastAsia" w:ascii="Times New Roman" w:hAnsi="Times New Roman"/>
                <w:color w:val="000000"/>
                <w:kern w:val="0"/>
                <w:szCs w:val="21"/>
              </w:rPr>
              <w:t>0</w:t>
            </w:r>
          </w:p>
        </w:tc>
        <w:tc>
          <w:tcPr>
            <w:tcW w:w="8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966"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748"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尾矿库沉淀池污泥</w:t>
            </w:r>
          </w:p>
        </w:tc>
        <w:tc>
          <w:tcPr>
            <w:tcW w:w="60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2</w:t>
            </w:r>
          </w:p>
        </w:tc>
        <w:tc>
          <w:tcPr>
            <w:tcW w:w="8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2</w:t>
            </w:r>
          </w:p>
        </w:tc>
        <w:tc>
          <w:tcPr>
            <w:tcW w:w="75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Cs w:val="21"/>
              </w:rPr>
            </w:pPr>
            <w:r>
              <w:rPr>
                <w:rFonts w:hint="eastAsia" w:ascii="Times New Roman" w:hAnsi="Times New Roman"/>
                <w:color w:val="000000"/>
                <w:kern w:val="0"/>
                <w:szCs w:val="21"/>
              </w:rPr>
              <w:t>0</w:t>
            </w:r>
          </w:p>
        </w:tc>
        <w:tc>
          <w:tcPr>
            <w:tcW w:w="86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966" w:type="dxa"/>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2" w:space="0"/>
          </w:tblBorders>
          <w:tblCellMar>
            <w:top w:w="0" w:type="dxa"/>
            <w:left w:w="108" w:type="dxa"/>
            <w:bottom w:w="0" w:type="dxa"/>
            <w:right w:w="108" w:type="dxa"/>
          </w:tblCellMar>
        </w:tblPrEx>
        <w:trPr>
          <w:trHeight w:val="748" w:hRule="atLeast"/>
          <w:jc w:val="center"/>
        </w:trPr>
        <w:tc>
          <w:tcPr>
            <w:tcW w:w="527" w:type="dxa"/>
            <w:vMerge w:val="continue"/>
            <w:vAlign w:val="center"/>
          </w:tcPr>
          <w:p>
            <w:pPr>
              <w:widowControl/>
              <w:adjustRightInd w:val="0"/>
              <w:snapToGrid w:val="0"/>
              <w:jc w:val="center"/>
              <w:rPr>
                <w:rFonts w:ascii="Times New Roman" w:hAnsi="Times New Roman"/>
                <w:color w:val="000000"/>
                <w:kern w:val="0"/>
                <w:sz w:val="18"/>
                <w:szCs w:val="18"/>
              </w:rPr>
            </w:pPr>
          </w:p>
        </w:tc>
        <w:tc>
          <w:tcPr>
            <w:tcW w:w="1272" w:type="dxa"/>
            <w:gridSpan w:val="2"/>
            <w:tcBorders>
              <w:top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机械设备废机油</w:t>
            </w:r>
          </w:p>
        </w:tc>
        <w:tc>
          <w:tcPr>
            <w:tcW w:w="609" w:type="dxa"/>
            <w:tcBorders>
              <w:top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ascii="Times New Roman" w:hAnsi="Times New Roman"/>
                <w:color w:val="000000"/>
                <w:kern w:val="0"/>
                <w:sz w:val="18"/>
                <w:szCs w:val="18"/>
              </w:rPr>
              <w:t>t/a</w:t>
            </w:r>
          </w:p>
        </w:tc>
        <w:tc>
          <w:tcPr>
            <w:tcW w:w="1033" w:type="dxa"/>
            <w:tcBorders>
              <w:top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877" w:type="dxa"/>
            <w:tcBorders>
              <w:top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0.05</w:t>
            </w:r>
          </w:p>
        </w:tc>
        <w:tc>
          <w:tcPr>
            <w:tcW w:w="843" w:type="dxa"/>
            <w:tcBorders>
              <w:top w:val="single" w:color="auto" w:sz="4" w:space="0"/>
            </w:tcBorders>
            <w:vAlign w:val="center"/>
          </w:tcPr>
          <w:p>
            <w:pPr>
              <w:adjustRightInd w:val="0"/>
              <w:snapToGrid w:val="0"/>
              <w:jc w:val="center"/>
              <w:textAlignment w:val="baseline"/>
              <w:rPr>
                <w:rFonts w:ascii="Times New Roman" w:hAnsi="Times New Roman"/>
                <w:color w:val="000000"/>
                <w:kern w:val="0"/>
                <w:sz w:val="18"/>
                <w:szCs w:val="18"/>
              </w:rPr>
            </w:pPr>
            <w:r>
              <w:rPr>
                <w:rFonts w:hint="eastAsia" w:ascii="Times New Roman" w:hAnsi="Times New Roman"/>
                <w:color w:val="000000"/>
                <w:spacing w:val="6"/>
                <w:kern w:val="0"/>
                <w:sz w:val="18"/>
                <w:szCs w:val="18"/>
              </w:rPr>
              <w:t>0.05</w:t>
            </w:r>
          </w:p>
        </w:tc>
        <w:tc>
          <w:tcPr>
            <w:tcW w:w="755" w:type="dxa"/>
            <w:tcBorders>
              <w:top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777" w:type="dxa"/>
            <w:tcBorders>
              <w:top w:val="single" w:color="auto" w:sz="4" w:space="0"/>
            </w:tcBorders>
            <w:vAlign w:val="center"/>
          </w:tcPr>
          <w:p>
            <w:pPr>
              <w:widowControl/>
              <w:adjustRightInd w:val="0"/>
              <w:snapToGrid w:val="0"/>
              <w:jc w:val="center"/>
              <w:rPr>
                <w:rFonts w:ascii="Times New Roman" w:hAnsi="Times New Roman"/>
                <w:color w:val="000000"/>
                <w:kern w:val="0"/>
                <w:szCs w:val="21"/>
              </w:rPr>
            </w:pPr>
            <w:r>
              <w:rPr>
                <w:rFonts w:hint="eastAsia" w:ascii="Times New Roman" w:hAnsi="Times New Roman"/>
                <w:color w:val="000000"/>
                <w:kern w:val="0"/>
                <w:szCs w:val="21"/>
              </w:rPr>
              <w:t>0</w:t>
            </w:r>
          </w:p>
        </w:tc>
        <w:tc>
          <w:tcPr>
            <w:tcW w:w="863" w:type="dxa"/>
            <w:tcBorders>
              <w:top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c>
          <w:tcPr>
            <w:tcW w:w="966" w:type="dxa"/>
            <w:tcBorders>
              <w:top w:val="single" w:color="auto" w:sz="4" w:space="0"/>
            </w:tcBorders>
            <w:vAlign w:val="center"/>
          </w:tcPr>
          <w:p>
            <w:pPr>
              <w:widowControl/>
              <w:adjustRightInd w:val="0"/>
              <w:snapToGrid w:val="0"/>
              <w:jc w:val="center"/>
              <w:rPr>
                <w:rFonts w:ascii="Times New Roman" w:hAnsi="Times New Roman"/>
                <w:color w:val="000000"/>
                <w:kern w:val="0"/>
                <w:sz w:val="18"/>
                <w:szCs w:val="18"/>
              </w:rPr>
            </w:pPr>
            <w:r>
              <w:rPr>
                <w:rFonts w:hint="eastAsia" w:ascii="Times New Roman" w:hAnsi="Times New Roman"/>
                <w:color w:val="000000"/>
                <w:kern w:val="0"/>
                <w:sz w:val="18"/>
                <w:szCs w:val="18"/>
              </w:rPr>
              <w:t>0</w:t>
            </w:r>
          </w:p>
        </w:tc>
      </w:tr>
    </w:tbl>
    <w:p>
      <w:pPr>
        <w:pStyle w:val="2"/>
      </w:pPr>
    </w:p>
    <w:p>
      <w:pPr>
        <w:pStyle w:val="3"/>
        <w:spacing w:beforeLines="150" w:beforeAutospacing="0" w:afterLines="150" w:afterAutospacing="0" w:line="360" w:lineRule="auto"/>
      </w:pPr>
      <w:bookmarkStart w:id="258" w:name="_Toc16609"/>
      <w:bookmarkStart w:id="259" w:name="_Toc14607"/>
      <w:bookmarkStart w:id="260" w:name="_Toc8801"/>
      <w:r>
        <w:rPr>
          <w:rFonts w:hint="eastAsia"/>
        </w:rPr>
        <w:t>第四章 环境现状调查与评价</w:t>
      </w:r>
      <w:bookmarkEnd w:id="258"/>
      <w:bookmarkEnd w:id="259"/>
      <w:bookmarkEnd w:id="260"/>
    </w:p>
    <w:p>
      <w:pPr>
        <w:pStyle w:val="4"/>
        <w:spacing w:line="360" w:lineRule="auto"/>
        <w:rPr>
          <w:rFonts w:ascii="Times New Roman" w:hAnsi="Times New Roman"/>
          <w:color w:val="000000"/>
        </w:rPr>
      </w:pPr>
      <w:bookmarkStart w:id="261" w:name="_Toc29091"/>
      <w:bookmarkStart w:id="262" w:name="_Toc2736"/>
      <w:bookmarkStart w:id="263" w:name="_Toc17704"/>
      <w:bookmarkStart w:id="264" w:name="_Toc488011921"/>
      <w:bookmarkStart w:id="265" w:name="_Toc500420372"/>
      <w:r>
        <w:rPr>
          <w:rFonts w:ascii="Times New Roman" w:hAnsi="Times New Roman"/>
          <w:color w:val="000000"/>
        </w:rPr>
        <w:t>4.1自然环境现状调查与评价</w:t>
      </w:r>
      <w:bookmarkEnd w:id="261"/>
      <w:bookmarkEnd w:id="262"/>
      <w:bookmarkEnd w:id="263"/>
      <w:bookmarkEnd w:id="264"/>
      <w:bookmarkEnd w:id="265"/>
    </w:p>
    <w:p>
      <w:pPr>
        <w:pStyle w:val="5"/>
        <w:spacing w:line="360" w:lineRule="auto"/>
        <w:rPr>
          <w:sz w:val="24"/>
          <w:szCs w:val="24"/>
        </w:rPr>
      </w:pPr>
      <w:bookmarkStart w:id="266" w:name="_Toc12864"/>
      <w:bookmarkStart w:id="267" w:name="_Toc8001"/>
      <w:bookmarkStart w:id="268" w:name="_Toc11704"/>
      <w:r>
        <w:rPr>
          <w:sz w:val="24"/>
          <w:szCs w:val="24"/>
        </w:rPr>
        <w:t>4.1.1</w:t>
      </w:r>
      <w:r>
        <w:rPr>
          <w:rFonts w:hint="eastAsia"/>
          <w:sz w:val="24"/>
          <w:szCs w:val="24"/>
        </w:rPr>
        <w:t>地理位置</w:t>
      </w:r>
      <w:bookmarkEnd w:id="266"/>
      <w:bookmarkEnd w:id="267"/>
      <w:bookmarkEnd w:id="268"/>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江源区位于吉林省的东南部，白山市区东北部，地处北纬41°48′54″～42°13′43″，东经126°22′35″～127°13′32″之间，东西长69.7km，南北宽45.4km，幅员面积1348km</w:t>
      </w:r>
      <w:r>
        <w:rPr>
          <w:rFonts w:ascii="Times New Roman" w:hAnsi="Times New Roman"/>
          <w:snapToGrid w:val="0"/>
          <w:kern w:val="0"/>
          <w:sz w:val="24"/>
          <w:vertAlign w:val="superscript"/>
        </w:rPr>
        <w:t>2</w:t>
      </w:r>
      <w:r>
        <w:rPr>
          <w:rFonts w:ascii="Times New Roman" w:hAnsi="Times New Roman"/>
          <w:snapToGrid w:val="0"/>
          <w:kern w:val="0"/>
          <w:sz w:val="24"/>
        </w:rPr>
        <w:t>。江源区距白山市中心17km，东与抚松县为邻，东南部与临江市接壤，西北邻柳河县，西南靠八道江区，北连靖宇县。</w:t>
      </w:r>
    </w:p>
    <w:p>
      <w:pPr>
        <w:spacing w:line="360" w:lineRule="auto"/>
        <w:ind w:firstLine="480" w:firstLineChars="200"/>
        <w:rPr>
          <w:rFonts w:ascii="Times New Roman" w:hAnsi="Times New Roman"/>
          <w:sz w:val="24"/>
          <w:szCs w:val="24"/>
        </w:rPr>
      </w:pPr>
      <w:r>
        <w:rPr>
          <w:rFonts w:ascii="Times New Roman" w:hAnsi="Times New Roman"/>
          <w:snapToGrid w:val="0"/>
          <w:kern w:val="0"/>
          <w:sz w:val="24"/>
        </w:rPr>
        <w:t>扩建项目位于白山市江源区</w:t>
      </w:r>
      <w:r>
        <w:rPr>
          <w:rFonts w:hint="eastAsia" w:ascii="Times New Roman" w:hAnsi="Times New Roman"/>
          <w:snapToGrid w:val="0"/>
          <w:kern w:val="0"/>
          <w:sz w:val="24"/>
        </w:rPr>
        <w:t>七岔村</w:t>
      </w:r>
      <w:r>
        <w:rPr>
          <w:rFonts w:ascii="Times New Roman" w:hAnsi="Times New Roman"/>
          <w:snapToGrid w:val="0"/>
          <w:kern w:val="0"/>
          <w:sz w:val="24"/>
        </w:rPr>
        <w:t>现有厂区内。本项目中心坐标为东经：126°26'21.6"，北纬：42°05'22.6"。具体地理位置见图1。</w:t>
      </w:r>
    </w:p>
    <w:p>
      <w:pPr>
        <w:pStyle w:val="5"/>
        <w:spacing w:line="360" w:lineRule="auto"/>
        <w:rPr>
          <w:sz w:val="24"/>
          <w:szCs w:val="24"/>
        </w:rPr>
      </w:pPr>
      <w:bookmarkStart w:id="269" w:name="_Toc214266353"/>
      <w:r>
        <w:rPr>
          <w:sz w:val="24"/>
          <w:szCs w:val="24"/>
        </w:rPr>
        <w:t>4.1.2地质、地貌</w:t>
      </w:r>
      <w:bookmarkEnd w:id="269"/>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1、白山地质、地貌</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白山市地处长白山腹地，境内山峰林立，绵亘起伏，沟谷交错，河流纵横。长白熔岩台地和靖宇熔岩台地覆盖境内大部分地区，龙岗山脉和老岭山脉斜贯全境。龙岗山脉海拔800-1200m，相对高度在500－700m之间；老岭山脉山体高大，海拔1000－1300m，相对高度500－800m之间。鸭绿江沿岸地形起伏较大，沟谷切割较深，地势较险峻。境内最高点长白山主峰白云峰海拔2691m，为东北地区最高峰；最低点靖宇县的批州口子，海拔279.3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白山市地处长白腹地，其区域地质属华北区的辽东分区的浑江小区，地质构造为太子河－浑江陷褶断东束的浑江上游断陷。</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2、矿区地质</w:t>
      </w:r>
    </w:p>
    <w:p>
      <w:pPr>
        <w:spacing w:line="360" w:lineRule="auto"/>
        <w:ind w:firstLine="480" w:firstLineChars="200"/>
        <w:rPr>
          <w:rFonts w:ascii="Times New Roman" w:hAnsi="Times New Roman"/>
          <w:snapToGrid w:val="0"/>
          <w:kern w:val="0"/>
          <w:sz w:val="24"/>
        </w:rPr>
      </w:pPr>
      <w:bookmarkStart w:id="270" w:name="_Toc328734082"/>
      <w:bookmarkStart w:id="271" w:name="_Toc410374272"/>
      <w:bookmarkStart w:id="272" w:name="_Toc214266354"/>
      <w:r>
        <w:rPr>
          <w:rFonts w:ascii="Times New Roman" w:hAnsi="Times New Roman"/>
          <w:snapToGrid w:val="0"/>
          <w:kern w:val="0"/>
          <w:sz w:val="24"/>
        </w:rPr>
        <w:t>①地层</w:t>
      </w:r>
      <w:bookmarkEnd w:id="270"/>
      <w:bookmarkEnd w:id="271"/>
    </w:p>
    <w:p>
      <w:pPr>
        <w:spacing w:line="360" w:lineRule="auto"/>
        <w:ind w:firstLine="480" w:firstLineChars="200"/>
        <w:rPr>
          <w:rFonts w:ascii="Times New Roman" w:hAnsi="Times New Roman"/>
          <w:snapToGrid w:val="0"/>
          <w:kern w:val="0"/>
          <w:sz w:val="24"/>
        </w:rPr>
      </w:pPr>
      <w:bookmarkStart w:id="273" w:name="_Toc328734083"/>
      <w:r>
        <w:rPr>
          <w:rFonts w:ascii="Times New Roman" w:hAnsi="Times New Roman"/>
          <w:snapToGrid w:val="0"/>
          <w:kern w:val="0"/>
          <w:sz w:val="24"/>
        </w:rPr>
        <w:t>矿区内地层大体为北东向带状分布、自北西至南东依次为寒武系（ε）各组地层，现分别叙述如下：</w:t>
      </w:r>
    </w:p>
    <w:p>
      <w:pPr>
        <w:spacing w:line="360" w:lineRule="auto"/>
        <w:ind w:firstLine="480" w:firstLineChars="200"/>
        <w:outlineLvl w:val="0"/>
        <w:rPr>
          <w:rFonts w:ascii="Times New Roman" w:hAnsi="Times New Roman"/>
          <w:snapToGrid w:val="0"/>
          <w:kern w:val="0"/>
          <w:sz w:val="24"/>
        </w:rPr>
      </w:pPr>
      <w:r>
        <w:rPr>
          <w:rFonts w:ascii="Times New Roman" w:hAnsi="Times New Roman"/>
          <w:snapToGrid w:val="0"/>
          <w:kern w:val="0"/>
          <w:sz w:val="24"/>
        </w:rPr>
        <w:t>（1）碱长组（ε1j）厚度59.86m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该组以白云岩化为特征。下部主要为深灰色白云岩化纹层状藻灰岩，含燧石条带及团块，中部为黑灰色中厚层状含沥青质微晶白云岩；上部为浅灰色中薄层微晶白云岩。该组底部有一层几厘米厚的含砾砂屑灰岩，顶部岩层中鸟眼构造发育，部分呈筛孔状。</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与下伏黑沟组为平行不整合接触。</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（2）馒头组（ε1m）厚度62.15~107.68m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馒头组是本区唯一的含矿（石膏）层，是以紫红色粉屑状含铁泥质白云岩与青灰色粉屑白云岩交替产出的，细碎屑岩为主的一套岩石。根据其岩性特点和沉积韵律特征，划分为四个岩性段：</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Ⅰ岩段（ε1m1）：砾屑白云岩段（简称砾岩段），灰—灰紫色，砾屑结构，具不规则层状构造。可见斜层理、微波状和脉状层理。砾屑成分主要为微晶灰岩、微晶白云质灰岩，紫色粉砂岩等。其磨园和分选均较差，多为不规则角砾状，砾径一般为1~2cm左右，个别可达10cm以上，排列无序，胶结物为钙质，填隙物为白云岩、灰岩和粉砂岩的细碎屑，呈基底式胶结。岩段厚1.10~13.50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Ⅱ岩段（ε1m2）：粉屑状泥质白云岩与泥屑—粉屑白云岩互层岩段（简称互层岩段），主要为青灰色砂屑、粉屑、泥屑白云岩与灰紫、紫红色粉屑含铁质白云岩交替产出，一般为5个韵律层。顶部夹青灰色含鲕粒粉屑白云岩和纹层状藻白云岩，下部粉屑状泥质白云岩中具有石盐假晶、波痕、小型斜层理、微波状层理、透镜层理等；底部青灰色纹层状藻白云岩，个别形成点礁。于通化市东热石膏矿床该段具1~4层石膏、硬石膏矿层，本区未见。该岩段厚31.63~68.72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Ⅲ岩段（ε1m3）：砂—粉屑状泥质白云岩、粉屑白云岩和石膏矿层岩段（简称含膏岩段），是区域上主要含矿（膏）岩段，也是本区的唯一含矿（膏）岩段。其岩性自下而上一般为紫红色砂屑、粉屑状含铁泥质白云岩—青灰色粉屑白云岩—浅灰色粉屑白云质石膏、硬石膏岩—绿灰色粉屑膏质白云岩和灰紫色粉屑状含泥膏质白云岩—灰紫色含泥白云质硬石膏石膏岩。该岩段于地表和浅部均为淋失带，其特点于以后有关章节中详述。岩段厚2.73~13.32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Ⅳ岩段（ε1m4）：砖红色粉屑状含铁泥质白云岩段（简称红层），为区域上主要标志层之一。其岩性比较单一，为砖红—紫红色粉屑状含铁泥质白云岩，一般呈粉屑结构，块层状构造，其顶部和底部层理较发育，呈微薄层状。另外底部普遍具有鸟眼构造，当下伏为石膏矿层时鸟眼孔的充填物为石膏，到下伏的石膏矿层已被溶失或不为石膏矿层时鸟眼孔的充填物为亮晶方解石，该岩段上部钙质增高，白云质减少。岩段厚16.84~29.83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该馒头组属于潮坪—泻湖沉积环境，相对应始期（Ⅰ岩段）为湖间坪沉积：早期（Ⅱ岩段）为微咸化泻湖与潮间坪交替沉积，于通化市东热石膏矿区等有盐池出现，晚期（Ⅲ岩段）为潮上坪发展为萨勃哈，则有石膏，硬石膏形成；末期（Ⅳ岩段）为潮上坪沉积。</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与下伏碱厂组为平行不整合接触。</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（3）毛庄组（ε1mo）厚度92.03~139.46m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为猪肝色、灰紫色、紫色含云母—云母质粉砂岩、泥质粉砂岩、钙质粉砂岩、粉砂质泥岩等，夹暗灰色砾屑灰岩（其砾屑主要为生物碎屑、核形石、鲕粒、豆粒等）。岩石中见有海绿石等自生矿物，具水平层理、小型斜层理、交错层理、粒序层理等，另外见有波痕、雨痕等层面构造。该组产山东盾壳虫，园货贝和舌形贝等，于层面还可见虫迹。该组应属潮间带沉积。</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与下伏馒头组整合接触</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（4）徐庄组（ε2x）厚度80.00~114.83m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主要为以灰绿色钙质粉砂岩，泥质粉砂岩，夹含生物碎屑、海绿石、鲕粒微晶灰岩,灰岩多呈透镜体产出,具水平纹层及微波状层理。该组属于潮间带沉积环境。与下伏毛庄组整合接触。</w:t>
      </w:r>
    </w:p>
    <w:p>
      <w:pPr>
        <w:spacing w:line="360" w:lineRule="auto"/>
        <w:ind w:firstLine="480" w:firstLineChars="200"/>
        <w:outlineLvl w:val="0"/>
        <w:rPr>
          <w:rFonts w:ascii="Times New Roman" w:hAnsi="Times New Roman"/>
          <w:snapToGrid w:val="0"/>
          <w:kern w:val="0"/>
          <w:sz w:val="24"/>
        </w:rPr>
      </w:pPr>
      <w:r>
        <w:rPr>
          <w:rFonts w:ascii="Times New Roman" w:hAnsi="Times New Roman"/>
          <w:snapToGrid w:val="0"/>
          <w:kern w:val="0"/>
          <w:sz w:val="24"/>
        </w:rPr>
        <w:t>（5）张夏组（ε2z）厚度90.25~115.86m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主要为深灰色中厚层状微晶灰岩，其中夹有鲕粒灰岩、含生物碎屑微晶灰岩、藻（复枝藻）灰岩等，顶部常为薄层微晶灰岩，并夹黄绿色页岩。另外该组岩层普遍发育缝合线构造，岩层层面凹凸不平，并有灰绿色泥质物。该组岩石亦常含有海绿石。属潮下浅海高能环境沉积。</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与下伏徐庄组整合接触。</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（6）崮山组（ε3g）厚度94.55~102.44m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为紫色、暗紫色薄层状泥质粉砂岩、钙质粉砂岩、粉砂质页岩等，常见夹有紫色薄层状砾屑灰岩、竹叶状灰岩等，一般呈透镜体产出。</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与下伏张夏组整合接触。</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（7）长山组（ε3ch）厚度65.41m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下部灰绿色钙质粉砂岩夹浅灰色薄层竹叶状灰岩，中部为灰绿色薄层状微晶灰岩与灰绿色钙质粉砂岩互层，上部为灰绿色含泥质条带微晶灰岩。该组属潮下浅海环境沉积。</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与下伏崮山组整合接触。</w:t>
      </w:r>
    </w:p>
    <w:p>
      <w:pPr>
        <w:spacing w:line="360" w:lineRule="auto"/>
        <w:ind w:firstLine="480" w:firstLineChars="200"/>
        <w:rPr>
          <w:rFonts w:ascii="Times New Roman" w:hAnsi="Times New Roman"/>
          <w:snapToGrid w:val="0"/>
          <w:kern w:val="0"/>
          <w:sz w:val="24"/>
        </w:rPr>
      </w:pPr>
      <w:bookmarkStart w:id="274" w:name="_Toc410374273"/>
      <w:r>
        <w:rPr>
          <w:rFonts w:ascii="Times New Roman" w:hAnsi="Times New Roman"/>
          <w:snapToGrid w:val="0"/>
          <w:kern w:val="0"/>
          <w:sz w:val="24"/>
        </w:rPr>
        <w:t>②构造</w:t>
      </w:r>
      <w:bookmarkEnd w:id="273"/>
      <w:bookmarkEnd w:id="274"/>
    </w:p>
    <w:p>
      <w:pPr>
        <w:spacing w:line="360" w:lineRule="auto"/>
        <w:ind w:firstLine="480" w:firstLineChars="200"/>
        <w:rPr>
          <w:rFonts w:ascii="Times New Roman" w:hAnsi="Times New Roman"/>
          <w:snapToGrid w:val="0"/>
          <w:kern w:val="0"/>
          <w:sz w:val="24"/>
        </w:rPr>
      </w:pPr>
      <w:bookmarkStart w:id="275" w:name="_Toc328734084"/>
      <w:bookmarkStart w:id="276" w:name="_Toc357239868"/>
      <w:bookmarkStart w:id="277" w:name="_Toc383456859"/>
      <w:r>
        <w:rPr>
          <w:rFonts w:ascii="Times New Roman" w:hAnsi="Times New Roman"/>
          <w:snapToGrid w:val="0"/>
          <w:kern w:val="0"/>
          <w:sz w:val="24"/>
        </w:rPr>
        <w:t>（1） 单斜构造</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矿区主要为一单斜构造，形成时间较早，它控制了区内各时代（震旦纪和下古生代）地层的展布形态和空间位置，自北西向南东侧，由老至新依次呈北东向缓弧形带状展布。即地层走向为30°~50°之间，倾向南东，倾角25°~35°。其次该单斜构造使地层在走向上和倾向上均具有略显波状起伏的特点。</w:t>
      </w:r>
    </w:p>
    <w:p>
      <w:pPr>
        <w:spacing w:line="360" w:lineRule="auto"/>
        <w:ind w:firstLine="480" w:firstLineChars="200"/>
        <w:outlineLvl w:val="0"/>
        <w:rPr>
          <w:rFonts w:ascii="Times New Roman" w:hAnsi="Times New Roman"/>
          <w:snapToGrid w:val="0"/>
          <w:kern w:val="0"/>
          <w:sz w:val="24"/>
        </w:rPr>
      </w:pPr>
      <w:r>
        <w:rPr>
          <w:rFonts w:ascii="Times New Roman" w:hAnsi="Times New Roman"/>
          <w:snapToGrid w:val="0"/>
          <w:kern w:val="0"/>
          <w:sz w:val="24"/>
        </w:rPr>
        <w:t>（2）断裂构造</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本核实区范围内，未见有断裂构造。仅在本次核实区的西南侧，见有一正断层（F3），该断层尖灭于18~22勘探线之间，尚未延伸至本核实区范围内。</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F3正断层：为本矿区附近的主要断裂构造，位于小东沟，经ZK101南部，ZK144和ZK183，向北东延伸，尖灭在18与22勘探线之间，长近2000米，地表发育在张夏组中部，倾向北西，倾角45~65°，具有南西段较缓，北东段变陡的特点。该断层为一正断层，水平断距17~37m，垂直断距11~29m，断层破碎带宽3~23m。</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由于该断层影响，使之崮山组在局部地段重复出现（见于TC7）。更主要断失了10~18线地段浅部（570m标高以上）矿层，相应加深了矿层淋失带。另外断层下盘矿层，沿断层30m以内有一定的溶失现象，但对矿层内部没有影响</w:t>
      </w:r>
    </w:p>
    <w:bookmarkEnd w:id="275"/>
    <w:bookmarkEnd w:id="276"/>
    <w:bookmarkEnd w:id="277"/>
    <w:p>
      <w:pPr>
        <w:spacing w:line="360" w:lineRule="auto"/>
        <w:ind w:firstLine="480" w:firstLineChars="200"/>
        <w:rPr>
          <w:rFonts w:ascii="Times New Roman" w:hAnsi="Times New Roman"/>
          <w:snapToGrid w:val="0"/>
          <w:kern w:val="0"/>
          <w:sz w:val="24"/>
        </w:rPr>
      </w:pPr>
      <w:bookmarkStart w:id="278" w:name="_Toc410374274"/>
      <w:r>
        <w:rPr>
          <w:rFonts w:ascii="Times New Roman" w:hAnsi="Times New Roman"/>
          <w:snapToGrid w:val="0"/>
          <w:kern w:val="0"/>
          <w:sz w:val="24"/>
        </w:rPr>
        <w:t>③岩浆活动</w:t>
      </w:r>
      <w:bookmarkEnd w:id="278"/>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矿区内岩浆活动不甚发育，仅个别见有一条小型辉绿岩脉侵入，对矿层无影响。</w:t>
      </w:r>
    </w:p>
    <w:p>
      <w:pPr>
        <w:pStyle w:val="5"/>
        <w:spacing w:line="360" w:lineRule="auto"/>
        <w:rPr>
          <w:sz w:val="24"/>
          <w:szCs w:val="24"/>
        </w:rPr>
      </w:pPr>
      <w:r>
        <w:rPr>
          <w:sz w:val="24"/>
          <w:szCs w:val="24"/>
        </w:rPr>
        <w:t>4.1.3气候、气象</w:t>
      </w:r>
      <w:bookmarkEnd w:id="272"/>
    </w:p>
    <w:p>
      <w:pPr>
        <w:spacing w:line="360" w:lineRule="auto"/>
        <w:ind w:firstLine="480" w:firstLineChars="200"/>
        <w:rPr>
          <w:rFonts w:ascii="Times New Roman" w:hAnsi="Times New Roman"/>
          <w:snapToGrid w:val="0"/>
          <w:kern w:val="0"/>
          <w:sz w:val="24"/>
        </w:rPr>
      </w:pPr>
      <w:bookmarkStart w:id="279" w:name="_Toc214266355"/>
      <w:r>
        <w:rPr>
          <w:rFonts w:ascii="Times New Roman" w:hAnsi="Times New Roman"/>
          <w:snapToGrid w:val="0"/>
          <w:kern w:val="0"/>
          <w:sz w:val="24"/>
        </w:rPr>
        <w:t>该区为北寒温带大陆性季风气候，四季分明，冬长夏短，夏季湿润多雨，冬季干燥寒冷，夏季最高气温为36.5℃，冬季最低气温为-34.3℃，温差可达70.8℃。全年冻结期5~6个月，冻结深度为0.8~1.5m，冻结期为11月中旬，解冻期为翌年4月中旬以后，平均积雪厚度25~50cm，年降雨量为643.7~1088.8mm，平均降雨量为860mm，降雨多集中在7~8月份，季节风明显，冬季多西北风，春季多西南风，常年主导风向为西南风，最大风力7级，一般为3~4级，平均风速2.3m/s，最大风速为20~25m/s。</w:t>
      </w:r>
    </w:p>
    <w:p>
      <w:pPr>
        <w:pStyle w:val="5"/>
        <w:spacing w:line="360" w:lineRule="auto"/>
        <w:rPr>
          <w:sz w:val="24"/>
          <w:szCs w:val="24"/>
        </w:rPr>
      </w:pPr>
      <w:r>
        <w:rPr>
          <w:sz w:val="24"/>
          <w:szCs w:val="24"/>
        </w:rPr>
        <w:t>4.1.4</w:t>
      </w:r>
      <w:bookmarkEnd w:id="279"/>
      <w:r>
        <w:rPr>
          <w:sz w:val="24"/>
          <w:szCs w:val="24"/>
        </w:rPr>
        <w:t>水文地质</w:t>
      </w:r>
    </w:p>
    <w:p>
      <w:pPr>
        <w:spacing w:line="360" w:lineRule="auto"/>
        <w:ind w:firstLine="480" w:firstLineChars="200"/>
        <w:rPr>
          <w:rFonts w:ascii="Times New Roman" w:hAnsi="Times New Roman"/>
          <w:snapToGrid w:val="0"/>
          <w:kern w:val="0"/>
          <w:sz w:val="24"/>
        </w:rPr>
      </w:pPr>
      <w:bookmarkStart w:id="280" w:name="_Toc214266356"/>
      <w:r>
        <w:rPr>
          <w:rFonts w:ascii="Times New Roman" w:hAnsi="Times New Roman"/>
          <w:snapToGrid w:val="0"/>
          <w:kern w:val="0"/>
          <w:sz w:val="24"/>
        </w:rPr>
        <w:t>浑江为鸭绿江水系，也是白山市境内的主要水系。其干流发源于老爷岭山脉西北侧，流经大阳岔、三岔子，三岔子以上为河源区，西南、西北、东北三岔分别发源于长白山龙岗山脉的大板石岭、三长旗岭、枫叶岭，汇于三岔子镇后称为浑江，一般12月至翌年3月水量最小，为枯水期，4月下旬至6月下旬为春汛期，7、8月为夏汛，9—11月为平水期。白山市位于浑江水系的上游，市区河宽120m，夏季水深1—2m，冬季低于1m；最大流速为1.55m/s，最大流量为246m</w:t>
      </w:r>
      <w:r>
        <w:rPr>
          <w:rFonts w:ascii="Times New Roman" w:hAnsi="Times New Roman"/>
          <w:snapToGrid w:val="0"/>
          <w:kern w:val="0"/>
          <w:sz w:val="24"/>
          <w:vertAlign w:val="superscript"/>
        </w:rPr>
        <w:t>3</w:t>
      </w:r>
      <w:r>
        <w:rPr>
          <w:rFonts w:ascii="Times New Roman" w:hAnsi="Times New Roman"/>
          <w:snapToGrid w:val="0"/>
          <w:kern w:val="0"/>
          <w:sz w:val="24"/>
        </w:rPr>
        <w:t>/s，多年平均流量为20.9m</w:t>
      </w:r>
      <w:r>
        <w:rPr>
          <w:rFonts w:ascii="Times New Roman" w:hAnsi="Times New Roman"/>
          <w:snapToGrid w:val="0"/>
          <w:kern w:val="0"/>
          <w:sz w:val="24"/>
          <w:vertAlign w:val="superscript"/>
        </w:rPr>
        <w:t>3</w:t>
      </w:r>
      <w:r>
        <w:rPr>
          <w:rFonts w:ascii="Times New Roman" w:hAnsi="Times New Roman"/>
          <w:snapToGrid w:val="0"/>
          <w:kern w:val="0"/>
          <w:sz w:val="24"/>
        </w:rPr>
        <w:t>/s，年径流量为4.2亿m</w:t>
      </w:r>
      <w:r>
        <w:rPr>
          <w:rFonts w:ascii="Times New Roman" w:hAnsi="Times New Roman"/>
          <w:snapToGrid w:val="0"/>
          <w:kern w:val="0"/>
          <w:sz w:val="24"/>
          <w:vertAlign w:val="superscript"/>
        </w:rPr>
        <w:t>3</w:t>
      </w:r>
      <w:r>
        <w:rPr>
          <w:rFonts w:ascii="Times New Roman" w:hAnsi="Times New Roman"/>
          <w:snapToGrid w:val="0"/>
          <w:kern w:val="0"/>
          <w:sz w:val="24"/>
        </w:rPr>
        <w:t>。</w:t>
      </w:r>
    </w:p>
    <w:bookmarkEnd w:id="280"/>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本区为长白山区枫叶岭山脉西侧，山脉呈南西——北东向展布，东高西低，地形标高925.8m至700m，为低山区，属剥蚀构造地形。当地侵蚀基准面标高为700m，矿体分布标高从586m至280m，本次核实准采标高下限400m，矿井最低排泄面标高为548.80m。浑江水系发源地之一，矿区北西方向有后葫芦沟，东南侧有小羊桥沟河。该河流位于本核实区的西北侧，距离本核实区约95m。该河流自东向西流去，常年有水的，水量150—200 L/s。该河流于大阳岔附近与高丽堡子沟、干巴河子汇合，组成大阳岔河，是浑江的主要发源地之一。</w:t>
      </w:r>
    </w:p>
    <w:p>
      <w:pPr>
        <w:pStyle w:val="5"/>
        <w:spacing w:line="360" w:lineRule="auto"/>
        <w:rPr>
          <w:sz w:val="24"/>
          <w:szCs w:val="24"/>
        </w:rPr>
      </w:pPr>
      <w:r>
        <w:rPr>
          <w:sz w:val="24"/>
          <w:szCs w:val="24"/>
        </w:rPr>
        <w:t>4.1.5地下水</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区内地下水类型主要有第四系冲积砂砾石孔隙潜水、矿体淋失带溶孔溶隙水、灰岩裂隙岩溶水，局部松散沉积物含有孔隙水。</w:t>
      </w:r>
    </w:p>
    <w:p>
      <w:pPr>
        <w:spacing w:line="360" w:lineRule="auto"/>
        <w:ind w:firstLine="480" w:firstLineChars="200"/>
        <w:outlineLvl w:val="0"/>
        <w:rPr>
          <w:rFonts w:ascii="Times New Roman" w:hAnsi="Times New Roman"/>
          <w:snapToGrid w:val="0"/>
          <w:kern w:val="0"/>
          <w:sz w:val="24"/>
        </w:rPr>
      </w:pPr>
      <w:r>
        <w:rPr>
          <w:rFonts w:ascii="Times New Roman" w:hAnsi="Times New Roman"/>
          <w:snapToGrid w:val="0"/>
          <w:kern w:val="0"/>
          <w:sz w:val="24"/>
        </w:rPr>
        <w:t>（1）第四系冲洪积砂砾石孔隙水</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第四系冲洪积层分布局限，厚度1~3m，富水不均匀，主要接受降水与山坡带潜水补给，少部分孔隙水受溪流补给。</w:t>
      </w:r>
    </w:p>
    <w:p>
      <w:pPr>
        <w:spacing w:line="360" w:lineRule="auto"/>
        <w:ind w:firstLine="480" w:firstLineChars="200"/>
        <w:outlineLvl w:val="0"/>
        <w:rPr>
          <w:rFonts w:ascii="Times New Roman" w:hAnsi="Times New Roman"/>
          <w:snapToGrid w:val="0"/>
          <w:kern w:val="0"/>
          <w:sz w:val="24"/>
        </w:rPr>
      </w:pPr>
      <w:r>
        <w:rPr>
          <w:rFonts w:ascii="Times New Roman" w:hAnsi="Times New Roman"/>
          <w:snapToGrid w:val="0"/>
          <w:kern w:val="0"/>
          <w:sz w:val="24"/>
        </w:rPr>
        <w:t>（2）矿体淋失带溶孔溶隙水</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为条带状北东向分布。淋失带为泥质、白云质、置换石膏后的碳酸盐等成份组成。由于地下水的活动力弱与置换后沉淀，形成溶孔与溶裂，为倾斜的弱含水层，含水带厚3.65~15.8m，斜深250~550m，水位埋深20~60m。地表泉水少水量小，0.01~0.03L/s，水质为HCO—Ca—Mg与HCO3—SO4—Ca—Mg型，矿化度63~293mg/L。接受降水与风化裂隙水补给，局部地段有构造裂隙水补给。</w:t>
      </w:r>
    </w:p>
    <w:p>
      <w:pPr>
        <w:spacing w:line="360" w:lineRule="auto"/>
        <w:ind w:firstLine="480" w:firstLineChars="200"/>
        <w:outlineLvl w:val="0"/>
        <w:rPr>
          <w:rFonts w:ascii="Times New Roman" w:hAnsi="Times New Roman"/>
          <w:snapToGrid w:val="0"/>
          <w:kern w:val="0"/>
          <w:sz w:val="24"/>
        </w:rPr>
      </w:pPr>
      <w:r>
        <w:rPr>
          <w:rFonts w:ascii="Times New Roman" w:hAnsi="Times New Roman"/>
          <w:snapToGrid w:val="0"/>
          <w:kern w:val="0"/>
          <w:sz w:val="24"/>
        </w:rPr>
        <w:t>（3）灰岩裂隙岩溶水</w:t>
      </w:r>
    </w:p>
    <w:p>
      <w:pPr>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主要分布在张夏组灰岩的溶隙，岩层成北东向单斜分布，深受构造、地形等影响，如30线附近，泉水出露标高730m。</w:t>
      </w:r>
    </w:p>
    <w:p>
      <w:pPr>
        <w:spacing w:line="360" w:lineRule="auto"/>
        <w:ind w:firstLine="480" w:firstLineChars="200"/>
        <w:outlineLvl w:val="0"/>
        <w:rPr>
          <w:rFonts w:ascii="Times New Roman" w:hAnsi="Times New Roman"/>
          <w:snapToGrid w:val="0"/>
          <w:kern w:val="0"/>
          <w:sz w:val="24"/>
        </w:rPr>
      </w:pPr>
      <w:r>
        <w:rPr>
          <w:rFonts w:ascii="Times New Roman" w:hAnsi="Times New Roman"/>
          <w:snapToGrid w:val="0"/>
          <w:kern w:val="0"/>
          <w:sz w:val="24"/>
        </w:rPr>
        <w:t>（4）隔水层</w:t>
      </w:r>
    </w:p>
    <w:p>
      <w:pPr>
        <w:pStyle w:val="50"/>
        <w:spacing w:line="360" w:lineRule="auto"/>
        <w:ind w:firstLine="480"/>
        <w:rPr>
          <w:rFonts w:ascii="Times New Roman" w:hAnsi="Times New Roman"/>
          <w:sz w:val="24"/>
        </w:rPr>
      </w:pPr>
      <w:r>
        <w:rPr>
          <w:rFonts w:ascii="Times New Roman" w:hAnsi="Times New Roman"/>
          <w:snapToGrid w:val="0"/>
          <w:kern w:val="0"/>
          <w:sz w:val="24"/>
          <w:szCs w:val="24"/>
        </w:rPr>
        <w:t>矿区内分布的寒武系固山组、徐庄组、毛庄组由泥钙质粉砂岩、粉砂质页岩、泥岩等组成，隔水性能良好；矿层顶底板主要由粉屑状泥质白云岩、粉屑状含铁泥质白云岩组成，厚度356.73m，岩性均一，隔水性能良好</w:t>
      </w:r>
      <w:r>
        <w:rPr>
          <w:rFonts w:ascii="Times New Roman" w:hAnsi="Times New Roman"/>
          <w:sz w:val="24"/>
        </w:rPr>
        <w:t>。</w:t>
      </w:r>
    </w:p>
    <w:p>
      <w:pPr>
        <w:pStyle w:val="5"/>
        <w:spacing w:line="360" w:lineRule="auto"/>
        <w:rPr>
          <w:sz w:val="24"/>
          <w:szCs w:val="24"/>
        </w:rPr>
      </w:pPr>
      <w:r>
        <w:rPr>
          <w:sz w:val="24"/>
          <w:szCs w:val="24"/>
        </w:rPr>
        <w:t>4.1.</w:t>
      </w:r>
      <w:r>
        <w:rPr>
          <w:rFonts w:hint="eastAsia"/>
          <w:sz w:val="24"/>
          <w:szCs w:val="24"/>
        </w:rPr>
        <w:t>6西北岔河饮用水水源保护区</w:t>
      </w:r>
    </w:p>
    <w:p>
      <w:pPr>
        <w:adjustRightInd w:val="0"/>
        <w:spacing w:line="360" w:lineRule="auto"/>
        <w:ind w:firstLine="480" w:firstLineChars="200"/>
        <w:textAlignment w:val="baseline"/>
        <w:rPr>
          <w:rFonts w:ascii="Times New Roman" w:hAnsi="Times New Roman"/>
          <w:sz w:val="24"/>
        </w:rPr>
      </w:pPr>
      <w:r>
        <w:rPr>
          <w:rFonts w:hint="eastAsia" w:ascii="Times New Roman" w:hAnsi="Times New Roman"/>
          <w:sz w:val="24"/>
        </w:rPr>
        <w:t>吉林省人民政府于2010年七月予以《吉林省人民政府关于白山市西北岔（水库）饮用水水源保护区划的批复》，将西北岔水库和沿岸陆域一定范围内以及对西北水库起主要补给作用的水域和陆域一定范围内划为西北岔（水库）饮用水水源保护区。保护区总面积为92km</w:t>
      </w:r>
      <w:r>
        <w:rPr>
          <w:rFonts w:hint="eastAsia" w:ascii="Times New Roman" w:hAnsi="Times New Roman"/>
          <w:sz w:val="24"/>
          <w:vertAlign w:val="superscript"/>
        </w:rPr>
        <w:t>2</w:t>
      </w:r>
      <w:r>
        <w:rPr>
          <w:rFonts w:hint="eastAsia" w:ascii="Times New Roman" w:hAnsi="Times New Roman"/>
          <w:sz w:val="24"/>
        </w:rPr>
        <w:t>，二级保护区面积为85.75km</w:t>
      </w:r>
      <w:r>
        <w:rPr>
          <w:rFonts w:hint="eastAsia" w:ascii="Times New Roman" w:hAnsi="Times New Roman"/>
          <w:sz w:val="24"/>
          <w:vertAlign w:val="superscript"/>
        </w:rPr>
        <w:t>2</w:t>
      </w:r>
      <w:r>
        <w:rPr>
          <w:rFonts w:hint="eastAsia" w:ascii="Times New Roman" w:hAnsi="Times New Roman"/>
          <w:sz w:val="24"/>
        </w:rPr>
        <w:t>。东部以白山至靖宇公路为界，东北部至江源区与靖宇县交界线，西部及西北部延伸至与柳河县交界处（即分水岭），引水隧洞上方山体沿洞轴线向两侧各扩展50m及电站尾水池周边30m的陆域。二级保护区以西北岔河流域长15.75km，面积85.75km</w:t>
      </w:r>
      <w:r>
        <w:rPr>
          <w:rFonts w:hint="eastAsia" w:ascii="Times New Roman" w:hAnsi="Times New Roman"/>
          <w:sz w:val="24"/>
          <w:vertAlign w:val="superscript"/>
        </w:rPr>
        <w:t>2</w:t>
      </w:r>
      <w:r>
        <w:rPr>
          <w:rFonts w:hint="eastAsia" w:ascii="Times New Roman" w:hAnsi="Times New Roman"/>
          <w:sz w:val="24"/>
        </w:rPr>
        <w:t>。</w:t>
      </w:r>
    </w:p>
    <w:p>
      <w:pPr>
        <w:adjustRightInd w:val="0"/>
        <w:spacing w:line="360" w:lineRule="auto"/>
        <w:ind w:firstLine="480" w:firstLineChars="200"/>
        <w:textAlignment w:val="baseline"/>
        <w:rPr>
          <w:rFonts w:ascii="Times New Roman" w:hAnsi="Times New Roman"/>
          <w:kern w:val="0"/>
          <w:sz w:val="24"/>
          <w:szCs w:val="24"/>
        </w:rPr>
      </w:pPr>
      <w:r>
        <w:rPr>
          <w:rFonts w:hint="eastAsia" w:ascii="Times New Roman" w:hAnsi="Times New Roman"/>
          <w:sz w:val="24"/>
        </w:rPr>
        <w:t>经过调查本项目周边的水源保护区可知，本项目北侧距离西北岔河生活饮用水源保护区二级保护区5.6km，距离较远，不在生活饮用水源保护区范围之内。</w:t>
      </w:r>
    </w:p>
    <w:p>
      <w:pPr>
        <w:pStyle w:val="2"/>
        <w:rPr>
          <w:rFonts w:ascii="Times New Roman" w:hAnsi="Times New Roman"/>
          <w:kern w:val="0"/>
          <w:sz w:val="24"/>
          <w:szCs w:val="24"/>
        </w:rPr>
      </w:pPr>
    </w:p>
    <w:p>
      <w:pPr>
        <w:pStyle w:val="2"/>
        <w:rPr>
          <w:rFonts w:ascii="Times New Roman" w:hAnsi="Times New Roman"/>
          <w:kern w:val="0"/>
          <w:sz w:val="24"/>
          <w:szCs w:val="24"/>
        </w:rPr>
      </w:pPr>
    </w:p>
    <w:p>
      <w:pPr>
        <w:pStyle w:val="4"/>
        <w:spacing w:line="360" w:lineRule="auto"/>
        <w:rPr>
          <w:rFonts w:ascii="Times New Roman" w:hAnsi="Times New Roman"/>
          <w:color w:val="000000"/>
        </w:rPr>
      </w:pPr>
      <w:bookmarkStart w:id="281" w:name="_Toc500420373"/>
      <w:bookmarkStart w:id="282" w:name="_Toc8002"/>
      <w:bookmarkStart w:id="283" w:name="_Toc10580"/>
      <w:bookmarkStart w:id="284" w:name="_Toc18603"/>
      <w:r>
        <w:rPr>
          <w:rFonts w:ascii="Times New Roman" w:hAnsi="Times New Roman"/>
          <w:color w:val="000000"/>
        </w:rPr>
        <w:t>4.2环境质量现状调查与评价</w:t>
      </w:r>
      <w:bookmarkEnd w:id="281"/>
      <w:bookmarkEnd w:id="282"/>
      <w:bookmarkEnd w:id="283"/>
      <w:bookmarkEnd w:id="284"/>
    </w:p>
    <w:p>
      <w:pPr>
        <w:pStyle w:val="5"/>
        <w:spacing w:line="360" w:lineRule="auto"/>
        <w:rPr>
          <w:color w:val="000000"/>
          <w:sz w:val="24"/>
          <w:szCs w:val="24"/>
        </w:rPr>
      </w:pPr>
      <w:bookmarkStart w:id="285" w:name="_Toc24925"/>
      <w:bookmarkStart w:id="286" w:name="_Toc23744"/>
      <w:bookmarkStart w:id="287" w:name="_Toc3908"/>
      <w:bookmarkStart w:id="288" w:name="_Toc488011928"/>
      <w:r>
        <w:rPr>
          <w:color w:val="000000"/>
          <w:sz w:val="24"/>
          <w:szCs w:val="24"/>
        </w:rPr>
        <w:t>4.2.1环境空气质量现状监测与评价</w:t>
      </w:r>
      <w:bookmarkEnd w:id="285"/>
      <w:bookmarkEnd w:id="286"/>
      <w:bookmarkEnd w:id="287"/>
      <w:bookmarkEnd w:id="288"/>
    </w:p>
    <w:p>
      <w:pPr>
        <w:spacing w:line="360" w:lineRule="auto"/>
        <w:ind w:firstLine="480" w:firstLineChars="200"/>
        <w:rPr>
          <w:rFonts w:ascii="Times New Roman" w:hAnsi="Times New Roman"/>
          <w:sz w:val="24"/>
          <w:szCs w:val="24"/>
        </w:rPr>
      </w:pPr>
      <w:r>
        <w:rPr>
          <w:rFonts w:ascii="Times New Roman" w:hAnsi="Times New Roman"/>
          <w:sz w:val="24"/>
          <w:szCs w:val="24"/>
          <w:lang w:val="zh-CN"/>
        </w:rPr>
        <w:t>根据</w:t>
      </w:r>
      <w:r>
        <w:rPr>
          <w:rFonts w:ascii="Times New Roman" w:hAnsi="Times New Roman"/>
          <w:sz w:val="24"/>
          <w:szCs w:val="24"/>
        </w:rPr>
        <w:t>HJ2.2-2018《环境影响评价技术导则 大气环境》中6.1.3三级评价项目“只调查项目所在区域环境质量达标情况”</w:t>
      </w:r>
      <w:r>
        <w:rPr>
          <w:rFonts w:ascii="Times New Roman" w:hAnsi="Times New Roman"/>
          <w:sz w:val="24"/>
          <w:szCs w:val="24"/>
          <w:lang w:val="zh-CN"/>
        </w:rPr>
        <w:t>。</w:t>
      </w:r>
      <w:r>
        <w:rPr>
          <w:rFonts w:ascii="Times New Roman" w:hAnsi="Times New Roman"/>
          <w:sz w:val="24"/>
          <w:szCs w:val="24"/>
        </w:rPr>
        <w:t>项目所在区域达标判定有限采用国家或地方生态环境主管部门公开发布的评价基准年环境质量公告或环境质量报告中数据或结论。</w:t>
      </w:r>
    </w:p>
    <w:p>
      <w:pPr>
        <w:autoSpaceDE w:val="0"/>
        <w:spacing w:line="360" w:lineRule="auto"/>
        <w:ind w:firstLine="480" w:firstLineChars="200"/>
        <w:rPr>
          <w:rFonts w:ascii="Times New Roman" w:hAnsi="Times New Roman"/>
          <w:sz w:val="24"/>
        </w:rPr>
      </w:pPr>
      <w:r>
        <w:rPr>
          <w:rFonts w:ascii="Times New Roman" w:hAnsi="Times New Roman"/>
          <w:sz w:val="24"/>
        </w:rPr>
        <w:t>根据</w:t>
      </w:r>
      <w:r>
        <w:rPr>
          <w:rFonts w:hint="eastAsia" w:ascii="Times New Roman" w:hAnsi="Times New Roman"/>
          <w:sz w:val="24"/>
        </w:rPr>
        <w:t>“</w:t>
      </w:r>
      <w:r>
        <w:rPr>
          <w:rFonts w:ascii="Times New Roman" w:hAnsi="Times New Roman"/>
          <w:sz w:val="24"/>
        </w:rPr>
        <w:t>吉林省2017年环境状况公报</w:t>
      </w:r>
      <w:r>
        <w:rPr>
          <w:rFonts w:hint="eastAsia" w:ascii="Times New Roman" w:hAnsi="Times New Roman"/>
          <w:sz w:val="24"/>
        </w:rPr>
        <w:t>”</w:t>
      </w:r>
      <w:r>
        <w:rPr>
          <w:rFonts w:ascii="Times New Roman" w:hAnsi="Times New Roman"/>
          <w:sz w:val="24"/>
        </w:rPr>
        <w:t>中得知：通过近三年的环境空气质量监测数据表明，我省的环境空气环境质量得到了持续改善。2017年，全省9个市（州）政府所在地按《环境空气质量标准》（GB 3095-2012）开展监测和评价，城市空气环境质量优良天数比例为83.3%，同比提高了1.3个百分点；可吸入颗粒物（PM</w:t>
      </w:r>
      <w:r>
        <w:rPr>
          <w:rFonts w:ascii="Times New Roman" w:hAnsi="Times New Roman"/>
          <w:sz w:val="24"/>
          <w:vertAlign w:val="subscript"/>
        </w:rPr>
        <w:t>10</w:t>
      </w:r>
      <w:r>
        <w:rPr>
          <w:rFonts w:ascii="Times New Roman" w:hAnsi="Times New Roman"/>
          <w:sz w:val="24"/>
        </w:rPr>
        <w:t>）年均浓度为67ug/m</w:t>
      </w:r>
      <w:r>
        <w:rPr>
          <w:rFonts w:ascii="Times New Roman" w:hAnsi="Times New Roman"/>
          <w:sz w:val="24"/>
          <w:vertAlign w:val="superscript"/>
        </w:rPr>
        <w:t>3</w:t>
      </w:r>
      <w:r>
        <w:rPr>
          <w:rFonts w:ascii="Times New Roman" w:hAnsi="Times New Roman"/>
          <w:sz w:val="24"/>
        </w:rPr>
        <w:t>，同比下降5.6%；细颗粒物（PM</w:t>
      </w:r>
      <w:r>
        <w:rPr>
          <w:rFonts w:ascii="Times New Roman" w:hAnsi="Times New Roman"/>
          <w:sz w:val="24"/>
          <w:vertAlign w:val="subscript"/>
        </w:rPr>
        <w:t>2.5</w:t>
      </w:r>
      <w:r>
        <w:rPr>
          <w:rFonts w:ascii="Times New Roman" w:hAnsi="Times New Roman"/>
          <w:sz w:val="24"/>
        </w:rPr>
        <w:t>）年均浓度为40ug/m</w:t>
      </w:r>
      <w:r>
        <w:rPr>
          <w:rFonts w:ascii="Times New Roman" w:hAnsi="Times New Roman"/>
          <w:sz w:val="24"/>
          <w:vertAlign w:val="superscript"/>
        </w:rPr>
        <w:t>3</w:t>
      </w:r>
      <w:r>
        <w:rPr>
          <w:rFonts w:ascii="Times New Roman" w:hAnsi="Times New Roman"/>
          <w:sz w:val="24"/>
        </w:rPr>
        <w:t>，同比下降7.0%；SO</w:t>
      </w:r>
      <w:r>
        <w:rPr>
          <w:rFonts w:ascii="Times New Roman" w:hAnsi="Times New Roman"/>
          <w:sz w:val="24"/>
          <w:vertAlign w:val="subscript"/>
        </w:rPr>
        <w:t>2</w:t>
      </w:r>
      <w:r>
        <w:rPr>
          <w:rFonts w:ascii="Times New Roman" w:hAnsi="Times New Roman"/>
          <w:sz w:val="24"/>
        </w:rPr>
        <w:t>年均浓度为20ug/m</w:t>
      </w:r>
      <w:r>
        <w:rPr>
          <w:rFonts w:ascii="Times New Roman" w:hAnsi="Times New Roman"/>
          <w:sz w:val="24"/>
          <w:vertAlign w:val="superscript"/>
        </w:rPr>
        <w:t>3</w:t>
      </w:r>
      <w:r>
        <w:rPr>
          <w:rFonts w:ascii="Times New Roman" w:hAnsi="Times New Roman"/>
          <w:sz w:val="24"/>
        </w:rPr>
        <w:t>，同比下降13.0%；NO</w:t>
      </w:r>
      <w:r>
        <w:rPr>
          <w:rFonts w:ascii="Times New Roman" w:hAnsi="Times New Roman"/>
          <w:sz w:val="24"/>
          <w:vertAlign w:val="subscript"/>
        </w:rPr>
        <w:t>2</w:t>
      </w:r>
      <w:r>
        <w:rPr>
          <w:rFonts w:ascii="Times New Roman" w:hAnsi="Times New Roman"/>
          <w:sz w:val="24"/>
        </w:rPr>
        <w:t>年均浓度为28ug/m</w:t>
      </w:r>
      <w:r>
        <w:rPr>
          <w:rFonts w:ascii="Times New Roman" w:hAnsi="Times New Roman"/>
          <w:sz w:val="24"/>
          <w:vertAlign w:val="superscript"/>
        </w:rPr>
        <w:t>3</w:t>
      </w:r>
      <w:r>
        <w:rPr>
          <w:rFonts w:ascii="Times New Roman" w:hAnsi="Times New Roman"/>
          <w:sz w:val="24"/>
        </w:rPr>
        <w:t>，同比持平；CO的95百分位浓度为1.7mg/m</w:t>
      </w:r>
      <w:r>
        <w:rPr>
          <w:rFonts w:ascii="Times New Roman" w:hAnsi="Times New Roman"/>
          <w:sz w:val="24"/>
          <w:vertAlign w:val="superscript"/>
        </w:rPr>
        <w:t>3</w:t>
      </w:r>
      <w:r>
        <w:rPr>
          <w:rFonts w:ascii="Times New Roman" w:hAnsi="Times New Roman"/>
          <w:sz w:val="24"/>
        </w:rPr>
        <w:t>，同比上升6.3%；O</w:t>
      </w:r>
      <w:r>
        <w:rPr>
          <w:rFonts w:ascii="Times New Roman" w:hAnsi="Times New Roman"/>
          <w:sz w:val="24"/>
          <w:vertAlign w:val="subscript"/>
        </w:rPr>
        <w:t>3</w:t>
      </w:r>
      <w:r>
        <w:rPr>
          <w:rFonts w:ascii="Times New Roman" w:hAnsi="Times New Roman"/>
          <w:sz w:val="24"/>
        </w:rPr>
        <w:t>的8小时90百分位浓度为135ug/m</w:t>
      </w:r>
      <w:r>
        <w:rPr>
          <w:rFonts w:ascii="Times New Roman" w:hAnsi="Times New Roman"/>
          <w:sz w:val="24"/>
          <w:vertAlign w:val="superscript"/>
        </w:rPr>
        <w:t>3</w:t>
      </w:r>
      <w:r>
        <w:rPr>
          <w:rFonts w:ascii="Times New Roman" w:hAnsi="Times New Roman"/>
          <w:sz w:val="24"/>
        </w:rPr>
        <w:t>，同比下降1.5%。</w:t>
      </w:r>
    </w:p>
    <w:p>
      <w:pPr>
        <w:pStyle w:val="13"/>
        <w:spacing w:line="360" w:lineRule="auto"/>
        <w:ind w:left="0" w:firstLine="480" w:firstLineChars="200"/>
        <w:rPr>
          <w:rFonts w:ascii="Times New Roman" w:hAnsi="Times New Roman"/>
        </w:rPr>
      </w:pPr>
      <w:r>
        <w:rPr>
          <w:rFonts w:ascii="Times New Roman" w:hAnsi="Times New Roman"/>
          <w:sz w:val="24"/>
        </w:rPr>
        <w:t>其中白山市SO</w:t>
      </w:r>
      <w:r>
        <w:rPr>
          <w:rFonts w:ascii="Times New Roman" w:hAnsi="Times New Roman"/>
          <w:sz w:val="24"/>
          <w:vertAlign w:val="subscript"/>
        </w:rPr>
        <w:t>2</w:t>
      </w:r>
      <w:r>
        <w:rPr>
          <w:rFonts w:ascii="Times New Roman" w:hAnsi="Times New Roman"/>
          <w:sz w:val="24"/>
        </w:rPr>
        <w:t>年平均浓度为29ug/m</w:t>
      </w:r>
      <w:r>
        <w:rPr>
          <w:rFonts w:ascii="Times New Roman" w:hAnsi="Times New Roman"/>
          <w:sz w:val="24"/>
          <w:vertAlign w:val="superscript"/>
        </w:rPr>
        <w:t>3</w:t>
      </w:r>
      <w:r>
        <w:rPr>
          <w:rFonts w:ascii="Times New Roman" w:hAnsi="Times New Roman"/>
          <w:sz w:val="24"/>
        </w:rPr>
        <w:t>，NO</w:t>
      </w:r>
      <w:r>
        <w:rPr>
          <w:rFonts w:ascii="Times New Roman" w:hAnsi="Times New Roman"/>
          <w:sz w:val="24"/>
          <w:vertAlign w:val="subscript"/>
        </w:rPr>
        <w:t>2</w:t>
      </w:r>
      <w:r>
        <w:rPr>
          <w:rFonts w:ascii="Times New Roman" w:hAnsi="Times New Roman"/>
          <w:sz w:val="24"/>
        </w:rPr>
        <w:t>年平均浓度为26ug/m</w:t>
      </w:r>
      <w:r>
        <w:rPr>
          <w:rFonts w:ascii="Times New Roman" w:hAnsi="Times New Roman"/>
          <w:sz w:val="24"/>
          <w:vertAlign w:val="superscript"/>
        </w:rPr>
        <w:t>3</w:t>
      </w:r>
      <w:r>
        <w:rPr>
          <w:rFonts w:ascii="Times New Roman" w:hAnsi="Times New Roman"/>
          <w:sz w:val="24"/>
        </w:rPr>
        <w:t>，CO的95百分位浓度为1.6mg/m</w:t>
      </w:r>
      <w:r>
        <w:rPr>
          <w:rFonts w:ascii="Times New Roman" w:hAnsi="Times New Roman"/>
          <w:sz w:val="24"/>
          <w:vertAlign w:val="superscript"/>
        </w:rPr>
        <w:t>3</w:t>
      </w:r>
      <w:r>
        <w:rPr>
          <w:rFonts w:ascii="Times New Roman" w:hAnsi="Times New Roman"/>
          <w:sz w:val="24"/>
        </w:rPr>
        <w:t>，O</w:t>
      </w:r>
      <w:r>
        <w:rPr>
          <w:rFonts w:ascii="Times New Roman" w:hAnsi="Times New Roman"/>
          <w:sz w:val="24"/>
          <w:vertAlign w:val="subscript"/>
        </w:rPr>
        <w:t>3</w:t>
      </w:r>
      <w:r>
        <w:rPr>
          <w:rFonts w:ascii="Times New Roman" w:hAnsi="Times New Roman"/>
          <w:sz w:val="24"/>
        </w:rPr>
        <w:t>的8小时90百分位浓度为126ug/m</w:t>
      </w:r>
      <w:r>
        <w:rPr>
          <w:rFonts w:ascii="Times New Roman" w:hAnsi="Times New Roman"/>
          <w:sz w:val="24"/>
          <w:vertAlign w:val="superscript"/>
        </w:rPr>
        <w:t>3</w:t>
      </w:r>
      <w:r>
        <w:rPr>
          <w:rFonts w:ascii="Times New Roman" w:hAnsi="Times New Roman"/>
          <w:sz w:val="24"/>
        </w:rPr>
        <w:t>，PM</w:t>
      </w:r>
      <w:r>
        <w:rPr>
          <w:rFonts w:ascii="Times New Roman" w:hAnsi="Times New Roman"/>
          <w:sz w:val="24"/>
          <w:vertAlign w:val="subscript"/>
        </w:rPr>
        <w:t>10</w:t>
      </w:r>
      <w:r>
        <w:rPr>
          <w:rFonts w:ascii="Times New Roman" w:hAnsi="Times New Roman"/>
          <w:sz w:val="24"/>
        </w:rPr>
        <w:t>的年平均浓度为71ug/m</w:t>
      </w:r>
      <w:r>
        <w:rPr>
          <w:rFonts w:ascii="Times New Roman" w:hAnsi="Times New Roman"/>
          <w:sz w:val="24"/>
          <w:vertAlign w:val="superscript"/>
        </w:rPr>
        <w:t>3</w:t>
      </w:r>
      <w:r>
        <w:rPr>
          <w:rFonts w:ascii="Times New Roman" w:hAnsi="Times New Roman"/>
          <w:sz w:val="24"/>
        </w:rPr>
        <w:t>，PM</w:t>
      </w:r>
      <w:r>
        <w:rPr>
          <w:rFonts w:ascii="Times New Roman" w:hAnsi="Times New Roman"/>
          <w:sz w:val="24"/>
          <w:vertAlign w:val="subscript"/>
        </w:rPr>
        <w:t>2.5</w:t>
      </w:r>
      <w:r>
        <w:rPr>
          <w:rFonts w:ascii="Times New Roman" w:hAnsi="Times New Roman"/>
          <w:sz w:val="24"/>
        </w:rPr>
        <w:t>的年平均浓度为44ug/m</w:t>
      </w:r>
      <w:r>
        <w:rPr>
          <w:rFonts w:ascii="Times New Roman" w:hAnsi="Times New Roman"/>
          <w:sz w:val="24"/>
          <w:vertAlign w:val="superscript"/>
        </w:rPr>
        <w:t>3</w:t>
      </w:r>
      <w:r>
        <w:rPr>
          <w:rFonts w:ascii="Times New Roman" w:hAnsi="Times New Roman"/>
          <w:sz w:val="24"/>
        </w:rPr>
        <w:t>，详细数据见图4-1。</w:t>
      </w:r>
    </w:p>
    <w:p>
      <w:pPr>
        <w:pStyle w:val="13"/>
        <w:tabs>
          <w:tab w:val="left" w:pos="3245"/>
        </w:tabs>
        <w:ind w:left="0" w:firstLine="420" w:firstLineChars="200"/>
      </w:pPr>
      <w:r>
        <w:rPr>
          <w:rFonts w:hint="eastAsia"/>
        </w:rPr>
        <w:tab/>
      </w:r>
    </w:p>
    <w:p>
      <w:pPr>
        <w:pStyle w:val="13"/>
        <w:ind w:left="0" w:firstLine="420" w:firstLineChars="200"/>
      </w:pPr>
    </w:p>
    <w:p>
      <w:pPr>
        <w:pStyle w:val="13"/>
        <w:ind w:left="0" w:firstLine="420" w:firstLineChars="200"/>
      </w:pPr>
    </w:p>
    <w:p>
      <w:pPr>
        <w:pStyle w:val="13"/>
        <w:ind w:left="0" w:firstLine="420" w:firstLineChars="200"/>
      </w:pPr>
    </w:p>
    <w:p>
      <w:pPr>
        <w:pStyle w:val="13"/>
        <w:ind w:left="0" w:firstLine="420" w:firstLineChars="200"/>
      </w:pPr>
    </w:p>
    <w:p>
      <w:pPr>
        <w:pStyle w:val="13"/>
        <w:ind w:left="0" w:firstLine="420" w:firstLineChars="200"/>
      </w:pPr>
    </w:p>
    <w:p>
      <w:pPr>
        <w:pStyle w:val="13"/>
        <w:ind w:left="0" w:firstLine="420" w:firstLineChars="200"/>
      </w:pPr>
    </w:p>
    <w:p>
      <w:pPr>
        <w:pStyle w:val="13"/>
        <w:ind w:left="0" w:firstLine="420" w:firstLineChars="200"/>
      </w:pPr>
    </w:p>
    <w:p>
      <w:pPr>
        <w:pStyle w:val="13"/>
        <w:ind w:left="0" w:firstLine="420" w:firstLineChars="200"/>
      </w:pPr>
    </w:p>
    <w:p>
      <w:pPr>
        <w:pStyle w:val="13"/>
        <w:ind w:left="0" w:firstLine="420" w:firstLineChars="200"/>
      </w:pPr>
    </w:p>
    <w:p>
      <w:pPr>
        <w:pStyle w:val="13"/>
      </w:pPr>
    </w:p>
    <w:p>
      <w:pPr>
        <w:autoSpaceDE w:val="0"/>
        <w:spacing w:line="360" w:lineRule="auto"/>
        <w:ind w:firstLine="640" w:firstLineChars="200"/>
        <w:rPr>
          <w:rFonts w:ascii="Times New Roman" w:hAnsi="Times New Roman"/>
          <w:sz w:val="24"/>
        </w:rPr>
      </w:pPr>
      <w:r>
        <w:rPr>
          <w:rFonts w:ascii="仿宋_GB2312" w:hAnsi="Tahoma" w:eastAsia="仿宋_GB2312" w:cs="仿宋_GB2312"/>
          <w:color w:val="333333"/>
          <w:kern w:val="0"/>
          <w:sz w:val="32"/>
          <w:szCs w:val="32"/>
        </w:rPr>
        <w:drawing>
          <wp:anchor distT="0" distB="0" distL="114300" distR="114300" simplePos="0" relativeHeight="251750400" behindDoc="0" locked="0" layoutInCell="1" allowOverlap="1">
            <wp:simplePos x="0" y="0"/>
            <wp:positionH relativeFrom="column">
              <wp:posOffset>771525</wp:posOffset>
            </wp:positionH>
            <wp:positionV relativeFrom="paragraph">
              <wp:posOffset>53975</wp:posOffset>
            </wp:positionV>
            <wp:extent cx="3869055" cy="2744470"/>
            <wp:effectExtent l="19050" t="0" r="0" b="0"/>
            <wp:wrapNone/>
            <wp:docPr id="42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3" descr="IMG_258"/>
                    <pic:cNvPicPr>
                      <a:picLocks noChangeAspect="1" noChangeArrowheads="1"/>
                    </pic:cNvPicPr>
                  </pic:nvPicPr>
                  <pic:blipFill>
                    <a:blip r:embed="rId11" cstate="print"/>
                    <a:srcRect/>
                    <a:stretch>
                      <a:fillRect/>
                    </a:stretch>
                  </pic:blipFill>
                  <pic:spPr>
                    <a:xfrm>
                      <a:off x="0" y="0"/>
                      <a:ext cx="3869055" cy="2744470"/>
                    </a:xfrm>
                    <a:prstGeom prst="rect">
                      <a:avLst/>
                    </a:prstGeom>
                    <a:noFill/>
                    <a:ln w="9525" cmpd="sng">
                      <a:noFill/>
                      <a:miter lim="800000"/>
                      <a:headEnd/>
                      <a:tailEnd/>
                    </a:ln>
                  </pic:spPr>
                </pic:pic>
              </a:graphicData>
            </a:graphic>
          </wp:anchor>
        </w:drawing>
      </w:r>
    </w:p>
    <w:p>
      <w:pPr>
        <w:autoSpaceDE w:val="0"/>
        <w:spacing w:line="360" w:lineRule="auto"/>
        <w:ind w:firstLine="480" w:firstLineChars="200"/>
        <w:rPr>
          <w:rFonts w:ascii="Times New Roman" w:hAnsi="Times New Roman"/>
          <w:sz w:val="24"/>
        </w:rPr>
      </w:pPr>
    </w:p>
    <w:p>
      <w:pPr>
        <w:autoSpaceDE w:val="0"/>
        <w:spacing w:line="360" w:lineRule="auto"/>
        <w:ind w:firstLine="480" w:firstLineChars="200"/>
        <w:rPr>
          <w:rFonts w:ascii="Times New Roman" w:hAnsi="Times New Roman"/>
          <w:sz w:val="24"/>
        </w:rPr>
      </w:pPr>
    </w:p>
    <w:p>
      <w:pPr>
        <w:autoSpaceDE w:val="0"/>
        <w:spacing w:line="360" w:lineRule="auto"/>
        <w:ind w:firstLine="480" w:firstLineChars="200"/>
        <w:rPr>
          <w:rFonts w:ascii="Times New Roman" w:hAnsi="Times New Roman"/>
          <w:sz w:val="24"/>
        </w:rPr>
      </w:pPr>
    </w:p>
    <w:p>
      <w:pPr>
        <w:autoSpaceDE w:val="0"/>
        <w:spacing w:line="360" w:lineRule="auto"/>
        <w:ind w:firstLine="480" w:firstLineChars="200"/>
        <w:rPr>
          <w:rFonts w:ascii="Times New Roman" w:hAnsi="Times New Roman"/>
          <w:sz w:val="24"/>
        </w:rPr>
      </w:pPr>
    </w:p>
    <w:p>
      <w:pPr>
        <w:autoSpaceDE w:val="0"/>
        <w:spacing w:line="360" w:lineRule="auto"/>
        <w:ind w:firstLine="480" w:firstLineChars="200"/>
        <w:rPr>
          <w:rFonts w:ascii="Times New Roman" w:hAnsi="Times New Roman"/>
          <w:sz w:val="24"/>
        </w:rPr>
      </w:pPr>
    </w:p>
    <w:p>
      <w:pPr>
        <w:autoSpaceDE w:val="0"/>
        <w:spacing w:line="360" w:lineRule="auto"/>
        <w:ind w:firstLine="480" w:firstLineChars="200"/>
        <w:rPr>
          <w:rFonts w:ascii="Times New Roman" w:hAnsi="Times New Roman"/>
          <w:sz w:val="24"/>
        </w:rPr>
      </w:pPr>
    </w:p>
    <w:p>
      <w:pPr>
        <w:autoSpaceDE w:val="0"/>
        <w:spacing w:line="360" w:lineRule="auto"/>
        <w:ind w:firstLine="480" w:firstLineChars="200"/>
        <w:rPr>
          <w:rFonts w:ascii="Times New Roman" w:hAnsi="Times New Roman"/>
          <w:sz w:val="24"/>
        </w:rPr>
      </w:pPr>
    </w:p>
    <w:p>
      <w:pPr>
        <w:autoSpaceDE w:val="0"/>
        <w:spacing w:line="360" w:lineRule="auto"/>
        <w:ind w:firstLine="480" w:firstLineChars="200"/>
        <w:rPr>
          <w:rFonts w:ascii="Times New Roman" w:hAnsi="Times New Roman"/>
          <w:sz w:val="24"/>
        </w:rPr>
      </w:pPr>
    </w:p>
    <w:p>
      <w:pPr>
        <w:autoSpaceDE w:val="0"/>
        <w:spacing w:line="360" w:lineRule="auto"/>
        <w:ind w:firstLine="480" w:firstLineChars="200"/>
        <w:rPr>
          <w:rFonts w:ascii="Times New Roman" w:hAnsi="Times New Roman"/>
          <w:sz w:val="24"/>
        </w:rPr>
      </w:pPr>
    </w:p>
    <w:p>
      <w:pPr>
        <w:widowControl/>
        <w:spacing w:before="226" w:after="100" w:afterAutospacing="1" w:line="360" w:lineRule="auto"/>
        <w:ind w:firstLine="646"/>
        <w:rPr>
          <w:rFonts w:ascii="Times New Roman" w:hAnsi="Times New Roman"/>
          <w:sz w:val="24"/>
        </w:rPr>
      </w:pPr>
      <w:r>
        <w:rPr>
          <w:rFonts w:ascii="Times New Roman" w:hAnsi="Times New Roman"/>
          <w:b/>
          <w:bCs/>
          <w:sz w:val="24"/>
          <w:szCs w:val="24"/>
        </w:rPr>
        <w:t>图4-1  2017年吉林省各城市环境空气质量主要污染物年均浓度表</w:t>
      </w:r>
    </w:p>
    <w:p>
      <w:pPr>
        <w:spacing w:line="360" w:lineRule="auto"/>
        <w:ind w:firstLine="480" w:firstLineChars="200"/>
        <w:rPr>
          <w:rFonts w:ascii="Times New Roman" w:hAnsi="Times New Roman"/>
          <w:sz w:val="24"/>
          <w:szCs w:val="24"/>
        </w:rPr>
      </w:pPr>
      <w:r>
        <w:rPr>
          <w:rFonts w:ascii="Times New Roman" w:hAnsi="Times New Roman"/>
          <w:sz w:val="24"/>
          <w:szCs w:val="24"/>
        </w:rPr>
        <w:t>（2）数据来源：本项目数据来源根据“吉林省生态环境厅”2017年评价基准年环境质量公告。</w:t>
      </w:r>
    </w:p>
    <w:p>
      <w:pPr>
        <w:pStyle w:val="79"/>
        <w:spacing w:line="240" w:lineRule="auto"/>
        <w:ind w:firstLine="0" w:firstLineChars="0"/>
        <w:jc w:val="center"/>
        <w:rPr>
          <w:rFonts w:eastAsia="宋体"/>
        </w:rPr>
      </w:pPr>
      <w:r>
        <w:rPr>
          <w:rFonts w:ascii="Times New Roman" w:hAnsi="Times New Roman" w:eastAsia="宋体"/>
          <w:b/>
          <w:bCs/>
          <w:szCs w:val="24"/>
        </w:rPr>
        <w:t>表</w:t>
      </w:r>
      <w:r>
        <w:rPr>
          <w:rFonts w:hint="eastAsia" w:ascii="Times New Roman" w:hAnsi="Times New Roman" w:eastAsia="宋体"/>
          <w:b/>
          <w:bCs/>
          <w:szCs w:val="24"/>
        </w:rPr>
        <w:t>4-1区域空气质量现状评价表</w:t>
      </w:r>
      <w:r>
        <w:rPr>
          <w:rFonts w:ascii="Times New Roman" w:hAnsi="Times New Roman" w:eastAsia="宋体"/>
          <w:b/>
          <w:bCs/>
          <w:szCs w:val="24"/>
        </w:rPr>
        <w:t xml:space="preserve">     </w:t>
      </w:r>
      <w:r>
        <w:rPr>
          <w:rFonts w:hint="eastAsia" w:ascii="Times New Roman" w:hAnsi="Times New Roman" w:eastAsia="宋体"/>
          <w:b/>
          <w:bCs/>
          <w:szCs w:val="24"/>
        </w:rPr>
        <w:t xml:space="preserve"> </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105"/>
        <w:gridCol w:w="2262"/>
        <w:gridCol w:w="1459"/>
        <w:gridCol w:w="1282"/>
        <w:gridCol w:w="1105"/>
        <w:gridCol w:w="1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105" w:type="dxa"/>
            <w:vAlign w:val="center"/>
          </w:tcPr>
          <w:p>
            <w:pPr>
              <w:widowControl/>
              <w:jc w:val="center"/>
              <w:textAlignment w:val="center"/>
              <w:rPr>
                <w:rFonts w:ascii="Times New Roman" w:hAnsi="Times New Roman"/>
                <w:color w:val="000000"/>
                <w:szCs w:val="21"/>
              </w:rPr>
            </w:pPr>
            <w:r>
              <w:rPr>
                <w:rStyle w:val="38"/>
                <w:sz w:val="21"/>
                <w:szCs w:val="21"/>
              </w:rPr>
              <w:t>污染物</w:t>
            </w:r>
          </w:p>
        </w:tc>
        <w:tc>
          <w:tcPr>
            <w:tcW w:w="2262" w:type="dxa"/>
            <w:vAlign w:val="center"/>
          </w:tcPr>
          <w:p>
            <w:pPr>
              <w:widowControl/>
              <w:jc w:val="center"/>
              <w:textAlignment w:val="center"/>
              <w:rPr>
                <w:rFonts w:ascii="Times New Roman" w:hAnsi="Times New Roman"/>
                <w:color w:val="000000"/>
                <w:szCs w:val="21"/>
              </w:rPr>
            </w:pPr>
            <w:r>
              <w:rPr>
                <w:rStyle w:val="38"/>
                <w:sz w:val="21"/>
                <w:szCs w:val="21"/>
              </w:rPr>
              <w:t>年评价指标</w:t>
            </w:r>
          </w:p>
        </w:tc>
        <w:tc>
          <w:tcPr>
            <w:tcW w:w="1459" w:type="dxa"/>
            <w:vAlign w:val="center"/>
          </w:tcPr>
          <w:p>
            <w:pPr>
              <w:widowControl/>
              <w:jc w:val="center"/>
              <w:textAlignment w:val="center"/>
              <w:rPr>
                <w:rFonts w:ascii="Times New Roman" w:hAnsi="Times New Roman"/>
                <w:color w:val="000000"/>
                <w:szCs w:val="21"/>
              </w:rPr>
            </w:pPr>
            <w:r>
              <w:rPr>
                <w:rStyle w:val="38"/>
                <w:sz w:val="21"/>
                <w:szCs w:val="21"/>
              </w:rPr>
              <w:t>现状浓度</w:t>
            </w:r>
            <w:r>
              <w:rPr>
                <w:rStyle w:val="43"/>
                <w:sz w:val="21"/>
                <w:szCs w:val="21"/>
              </w:rPr>
              <w:t>/</w:t>
            </w:r>
            <w:r>
              <w:rPr>
                <w:rStyle w:val="38"/>
                <w:sz w:val="21"/>
                <w:szCs w:val="21"/>
              </w:rPr>
              <w:t>（</w:t>
            </w:r>
            <w:r>
              <w:rPr>
                <w:rStyle w:val="43"/>
                <w:sz w:val="21"/>
                <w:szCs w:val="21"/>
              </w:rPr>
              <w:t>µg/m</w:t>
            </w:r>
            <w:r>
              <w:rPr>
                <w:rStyle w:val="37"/>
                <w:sz w:val="21"/>
                <w:szCs w:val="21"/>
              </w:rPr>
              <w:t>3</w:t>
            </w:r>
            <w:r>
              <w:rPr>
                <w:rStyle w:val="38"/>
                <w:sz w:val="21"/>
                <w:szCs w:val="21"/>
              </w:rPr>
              <w:t>）</w:t>
            </w:r>
          </w:p>
        </w:tc>
        <w:tc>
          <w:tcPr>
            <w:tcW w:w="1282" w:type="dxa"/>
            <w:vAlign w:val="center"/>
          </w:tcPr>
          <w:p>
            <w:pPr>
              <w:widowControl/>
              <w:jc w:val="center"/>
              <w:textAlignment w:val="center"/>
              <w:rPr>
                <w:rFonts w:ascii="Times New Roman" w:hAnsi="Times New Roman"/>
                <w:color w:val="000000"/>
                <w:szCs w:val="21"/>
              </w:rPr>
            </w:pPr>
            <w:r>
              <w:rPr>
                <w:rStyle w:val="38"/>
                <w:sz w:val="21"/>
                <w:szCs w:val="21"/>
              </w:rPr>
              <w:t>标准值</w:t>
            </w:r>
            <w:r>
              <w:rPr>
                <w:rStyle w:val="43"/>
                <w:sz w:val="21"/>
                <w:szCs w:val="21"/>
              </w:rPr>
              <w:t>/</w:t>
            </w:r>
            <w:r>
              <w:rPr>
                <w:rStyle w:val="38"/>
                <w:sz w:val="21"/>
                <w:szCs w:val="21"/>
              </w:rPr>
              <w:t>（</w:t>
            </w:r>
            <w:r>
              <w:rPr>
                <w:rStyle w:val="43"/>
                <w:sz w:val="21"/>
                <w:szCs w:val="21"/>
              </w:rPr>
              <w:t>µg/m</w:t>
            </w:r>
            <w:r>
              <w:rPr>
                <w:rStyle w:val="37"/>
                <w:sz w:val="21"/>
                <w:szCs w:val="21"/>
              </w:rPr>
              <w:t>3</w:t>
            </w:r>
            <w:r>
              <w:rPr>
                <w:rStyle w:val="38"/>
                <w:sz w:val="21"/>
                <w:szCs w:val="21"/>
              </w:rPr>
              <w:t>）</w:t>
            </w:r>
          </w:p>
        </w:tc>
        <w:tc>
          <w:tcPr>
            <w:tcW w:w="1105" w:type="dxa"/>
            <w:vAlign w:val="center"/>
          </w:tcPr>
          <w:p>
            <w:pPr>
              <w:widowControl/>
              <w:jc w:val="center"/>
              <w:textAlignment w:val="center"/>
              <w:rPr>
                <w:rFonts w:ascii="Times New Roman" w:hAnsi="Times New Roman"/>
                <w:color w:val="000000"/>
                <w:szCs w:val="21"/>
              </w:rPr>
            </w:pPr>
            <w:r>
              <w:rPr>
                <w:rStyle w:val="28"/>
                <w:rFonts w:hint="default" w:ascii="Times New Roman" w:hAnsi="Times New Roman" w:cs="Times New Roman"/>
                <w:sz w:val="21"/>
                <w:szCs w:val="21"/>
              </w:rPr>
              <w:t>占标率</w:t>
            </w:r>
            <w:r>
              <w:rPr>
                <w:rStyle w:val="35"/>
                <w:sz w:val="21"/>
                <w:szCs w:val="21"/>
              </w:rPr>
              <w:t>/%</w:t>
            </w:r>
          </w:p>
        </w:tc>
        <w:tc>
          <w:tcPr>
            <w:tcW w:w="1154" w:type="dxa"/>
            <w:vAlign w:val="center"/>
          </w:tcPr>
          <w:p>
            <w:pPr>
              <w:widowControl/>
              <w:jc w:val="center"/>
              <w:textAlignment w:val="center"/>
              <w:rPr>
                <w:rFonts w:ascii="Times New Roman" w:hAnsi="Times New Roman"/>
                <w:color w:val="000000"/>
                <w:szCs w:val="21"/>
              </w:rPr>
            </w:pPr>
            <w:r>
              <w:rPr>
                <w:rStyle w:val="38"/>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05" w:type="dxa"/>
            <w:vAlign w:val="center"/>
          </w:tcPr>
          <w:p>
            <w:pPr>
              <w:jc w:val="center"/>
              <w:rPr>
                <w:rFonts w:ascii="Times New Roman" w:hAnsi="Times New Roman"/>
                <w:color w:val="000000"/>
                <w:szCs w:val="21"/>
              </w:rPr>
            </w:pPr>
            <w:r>
              <w:rPr>
                <w:rFonts w:hint="eastAsia" w:ascii="Times New Roman" w:hAnsi="Times New Roman"/>
                <w:color w:val="000000"/>
                <w:szCs w:val="21"/>
              </w:rPr>
              <w:t>SO</w:t>
            </w:r>
            <w:r>
              <w:rPr>
                <w:rFonts w:hint="eastAsia" w:ascii="Times New Roman" w:hAnsi="Times New Roman"/>
                <w:color w:val="000000"/>
                <w:szCs w:val="21"/>
                <w:vertAlign w:val="subscript"/>
              </w:rPr>
              <w:t>2</w:t>
            </w:r>
          </w:p>
        </w:tc>
        <w:tc>
          <w:tcPr>
            <w:tcW w:w="2262" w:type="dxa"/>
            <w:vAlign w:val="center"/>
          </w:tcPr>
          <w:p>
            <w:pPr>
              <w:widowControl/>
              <w:jc w:val="center"/>
              <w:textAlignment w:val="center"/>
              <w:rPr>
                <w:rFonts w:ascii="Times New Roman" w:hAnsi="Times New Roman"/>
                <w:color w:val="000000"/>
                <w:szCs w:val="21"/>
              </w:rPr>
            </w:pPr>
            <w:r>
              <w:rPr>
                <w:rFonts w:ascii="Times New Roman" w:hAnsi="Times New Roman"/>
                <w:color w:val="000000"/>
                <w:kern w:val="0"/>
                <w:szCs w:val="21"/>
              </w:rPr>
              <w:t>年平均质量浓度</w:t>
            </w:r>
          </w:p>
        </w:tc>
        <w:tc>
          <w:tcPr>
            <w:tcW w:w="1459" w:type="dxa"/>
            <w:vAlign w:val="center"/>
          </w:tcPr>
          <w:p>
            <w:pPr>
              <w:jc w:val="center"/>
              <w:rPr>
                <w:rFonts w:ascii="Times New Roman" w:hAnsi="Times New Roman"/>
                <w:color w:val="000000"/>
                <w:szCs w:val="21"/>
              </w:rPr>
            </w:pPr>
            <w:r>
              <w:rPr>
                <w:rFonts w:hint="eastAsia" w:ascii="Times New Roman" w:hAnsi="Times New Roman"/>
                <w:color w:val="000000"/>
                <w:szCs w:val="21"/>
              </w:rPr>
              <w:t>29</w:t>
            </w:r>
          </w:p>
        </w:tc>
        <w:tc>
          <w:tcPr>
            <w:tcW w:w="1282" w:type="dxa"/>
            <w:vAlign w:val="center"/>
          </w:tcPr>
          <w:p>
            <w:pPr>
              <w:jc w:val="center"/>
              <w:rPr>
                <w:rFonts w:ascii="Times New Roman" w:hAnsi="Times New Roman"/>
                <w:color w:val="000000"/>
                <w:szCs w:val="21"/>
              </w:rPr>
            </w:pPr>
            <w:r>
              <w:rPr>
                <w:rFonts w:hint="eastAsia" w:ascii="Times New Roman" w:hAnsi="Times New Roman"/>
                <w:color w:val="000000"/>
                <w:szCs w:val="21"/>
              </w:rPr>
              <w:t>60</w:t>
            </w:r>
          </w:p>
        </w:tc>
        <w:tc>
          <w:tcPr>
            <w:tcW w:w="1105" w:type="dxa"/>
            <w:vAlign w:val="center"/>
          </w:tcPr>
          <w:p>
            <w:pPr>
              <w:jc w:val="center"/>
              <w:rPr>
                <w:rFonts w:ascii="Times New Roman" w:hAnsi="Times New Roman"/>
                <w:color w:val="000000"/>
                <w:szCs w:val="21"/>
              </w:rPr>
            </w:pPr>
            <w:r>
              <w:rPr>
                <w:rFonts w:hint="eastAsia" w:ascii="Times New Roman" w:hAnsi="Times New Roman"/>
                <w:color w:val="000000"/>
                <w:szCs w:val="21"/>
              </w:rPr>
              <w:t>0.33</w:t>
            </w:r>
          </w:p>
        </w:tc>
        <w:tc>
          <w:tcPr>
            <w:tcW w:w="1154" w:type="dxa"/>
            <w:vAlign w:val="center"/>
          </w:tcPr>
          <w:p>
            <w:pPr>
              <w:jc w:val="center"/>
              <w:rPr>
                <w:rFonts w:ascii="Times New Roman" w:hAnsi="Times New Roman"/>
                <w:color w:val="000000"/>
                <w:szCs w:val="21"/>
              </w:rPr>
            </w:pPr>
            <w:r>
              <w:rPr>
                <w:rFonts w:hint="eastAsia" w:ascii="Times New Roman" w:hAnsi="Times New Roman"/>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05" w:type="dxa"/>
            <w:vAlign w:val="center"/>
          </w:tcPr>
          <w:p>
            <w:pPr>
              <w:jc w:val="center"/>
              <w:rPr>
                <w:rFonts w:ascii="Times New Roman" w:hAnsi="Times New Roman"/>
                <w:color w:val="000000"/>
                <w:szCs w:val="21"/>
              </w:rPr>
            </w:pPr>
            <w:r>
              <w:rPr>
                <w:rFonts w:hint="eastAsia" w:ascii="Times New Roman" w:hAnsi="Times New Roman"/>
                <w:color w:val="000000"/>
                <w:szCs w:val="21"/>
              </w:rPr>
              <w:t>NO</w:t>
            </w:r>
            <w:r>
              <w:rPr>
                <w:rFonts w:hint="eastAsia" w:ascii="Times New Roman" w:hAnsi="Times New Roman"/>
                <w:color w:val="000000"/>
                <w:szCs w:val="21"/>
                <w:vertAlign w:val="subscript"/>
              </w:rPr>
              <w:t>2</w:t>
            </w:r>
          </w:p>
        </w:tc>
        <w:tc>
          <w:tcPr>
            <w:tcW w:w="2262" w:type="dxa"/>
            <w:vAlign w:val="center"/>
          </w:tcPr>
          <w:p>
            <w:pPr>
              <w:widowControl/>
              <w:jc w:val="center"/>
              <w:textAlignment w:val="center"/>
              <w:rPr>
                <w:rFonts w:ascii="Times New Roman" w:hAnsi="Times New Roman"/>
                <w:color w:val="000000"/>
                <w:kern w:val="0"/>
                <w:szCs w:val="21"/>
              </w:rPr>
            </w:pPr>
            <w:r>
              <w:rPr>
                <w:rFonts w:ascii="Times New Roman" w:hAnsi="Times New Roman"/>
                <w:color w:val="000000"/>
                <w:kern w:val="0"/>
                <w:szCs w:val="21"/>
              </w:rPr>
              <w:t>年平均质量浓度</w:t>
            </w:r>
          </w:p>
        </w:tc>
        <w:tc>
          <w:tcPr>
            <w:tcW w:w="1459" w:type="dxa"/>
            <w:vAlign w:val="center"/>
          </w:tcPr>
          <w:p>
            <w:pPr>
              <w:jc w:val="center"/>
              <w:rPr>
                <w:rFonts w:ascii="Times New Roman" w:hAnsi="Times New Roman"/>
                <w:color w:val="000000"/>
                <w:szCs w:val="21"/>
              </w:rPr>
            </w:pPr>
            <w:r>
              <w:rPr>
                <w:rFonts w:hint="eastAsia" w:ascii="Times New Roman" w:hAnsi="Times New Roman"/>
                <w:color w:val="000000"/>
                <w:szCs w:val="21"/>
              </w:rPr>
              <w:t>26</w:t>
            </w:r>
          </w:p>
        </w:tc>
        <w:tc>
          <w:tcPr>
            <w:tcW w:w="1282" w:type="dxa"/>
            <w:vAlign w:val="center"/>
          </w:tcPr>
          <w:p>
            <w:pPr>
              <w:jc w:val="center"/>
              <w:rPr>
                <w:rFonts w:ascii="Times New Roman" w:hAnsi="Times New Roman"/>
                <w:color w:val="000000"/>
                <w:szCs w:val="21"/>
              </w:rPr>
            </w:pPr>
            <w:r>
              <w:rPr>
                <w:rFonts w:hint="eastAsia" w:ascii="Times New Roman" w:hAnsi="Times New Roman"/>
                <w:color w:val="000000"/>
                <w:szCs w:val="21"/>
              </w:rPr>
              <w:t>40</w:t>
            </w:r>
          </w:p>
        </w:tc>
        <w:tc>
          <w:tcPr>
            <w:tcW w:w="1105" w:type="dxa"/>
            <w:vAlign w:val="center"/>
          </w:tcPr>
          <w:p>
            <w:pPr>
              <w:jc w:val="center"/>
              <w:rPr>
                <w:rFonts w:ascii="Times New Roman" w:hAnsi="Times New Roman"/>
                <w:color w:val="000000"/>
                <w:szCs w:val="21"/>
              </w:rPr>
            </w:pPr>
            <w:r>
              <w:rPr>
                <w:rFonts w:hint="eastAsia" w:ascii="Times New Roman" w:hAnsi="Times New Roman"/>
                <w:color w:val="000000"/>
                <w:szCs w:val="21"/>
              </w:rPr>
              <w:t>0.7</w:t>
            </w:r>
          </w:p>
        </w:tc>
        <w:tc>
          <w:tcPr>
            <w:tcW w:w="1154" w:type="dxa"/>
            <w:vAlign w:val="center"/>
          </w:tcPr>
          <w:p>
            <w:pPr>
              <w:jc w:val="center"/>
              <w:rPr>
                <w:rFonts w:ascii="Times New Roman" w:hAnsi="Times New Roman"/>
                <w:color w:val="000000"/>
                <w:szCs w:val="21"/>
              </w:rPr>
            </w:pPr>
            <w:r>
              <w:rPr>
                <w:rFonts w:hint="eastAsia" w:ascii="Times New Roman" w:hAnsi="Times New Roman"/>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05"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PM</w:t>
            </w:r>
            <w:r>
              <w:rPr>
                <w:rFonts w:hint="eastAsia" w:ascii="Times New Roman" w:hAnsi="Times New Roman"/>
                <w:b/>
                <w:bCs/>
                <w:color w:val="000000"/>
                <w:szCs w:val="21"/>
                <w:vertAlign w:val="subscript"/>
              </w:rPr>
              <w:t>10</w:t>
            </w:r>
          </w:p>
        </w:tc>
        <w:tc>
          <w:tcPr>
            <w:tcW w:w="2262" w:type="dxa"/>
            <w:vAlign w:val="center"/>
          </w:tcPr>
          <w:p>
            <w:pPr>
              <w:widowControl/>
              <w:jc w:val="center"/>
              <w:textAlignment w:val="center"/>
              <w:rPr>
                <w:rFonts w:ascii="Times New Roman" w:hAnsi="Times New Roman"/>
                <w:b/>
                <w:bCs/>
                <w:color w:val="000000"/>
                <w:kern w:val="0"/>
                <w:szCs w:val="21"/>
              </w:rPr>
            </w:pPr>
            <w:r>
              <w:rPr>
                <w:rFonts w:ascii="Times New Roman" w:hAnsi="Times New Roman"/>
                <w:b/>
                <w:bCs/>
                <w:color w:val="000000"/>
                <w:kern w:val="0"/>
                <w:szCs w:val="21"/>
              </w:rPr>
              <w:t>年平均质量浓度</w:t>
            </w:r>
          </w:p>
        </w:tc>
        <w:tc>
          <w:tcPr>
            <w:tcW w:w="1459"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71</w:t>
            </w:r>
          </w:p>
        </w:tc>
        <w:tc>
          <w:tcPr>
            <w:tcW w:w="1282"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70</w:t>
            </w:r>
          </w:p>
        </w:tc>
        <w:tc>
          <w:tcPr>
            <w:tcW w:w="1105"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0.95</w:t>
            </w:r>
          </w:p>
        </w:tc>
        <w:tc>
          <w:tcPr>
            <w:tcW w:w="1154"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05"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PM</w:t>
            </w:r>
            <w:r>
              <w:rPr>
                <w:rFonts w:hint="eastAsia" w:ascii="Times New Roman" w:hAnsi="Times New Roman"/>
                <w:b/>
                <w:bCs/>
                <w:color w:val="000000"/>
                <w:szCs w:val="21"/>
                <w:vertAlign w:val="subscript"/>
              </w:rPr>
              <w:t>2.5</w:t>
            </w:r>
          </w:p>
        </w:tc>
        <w:tc>
          <w:tcPr>
            <w:tcW w:w="2262" w:type="dxa"/>
            <w:vAlign w:val="center"/>
          </w:tcPr>
          <w:p>
            <w:pPr>
              <w:widowControl/>
              <w:jc w:val="center"/>
              <w:textAlignment w:val="center"/>
              <w:rPr>
                <w:rFonts w:ascii="Times New Roman" w:hAnsi="Times New Roman"/>
                <w:b/>
                <w:bCs/>
                <w:color w:val="000000"/>
                <w:kern w:val="0"/>
                <w:szCs w:val="21"/>
              </w:rPr>
            </w:pPr>
            <w:r>
              <w:rPr>
                <w:rFonts w:ascii="Times New Roman" w:hAnsi="Times New Roman"/>
                <w:b/>
                <w:bCs/>
                <w:color w:val="000000"/>
                <w:kern w:val="0"/>
                <w:szCs w:val="21"/>
              </w:rPr>
              <w:t>年平均质量浓度</w:t>
            </w:r>
          </w:p>
        </w:tc>
        <w:tc>
          <w:tcPr>
            <w:tcW w:w="1459"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44</w:t>
            </w:r>
          </w:p>
        </w:tc>
        <w:tc>
          <w:tcPr>
            <w:tcW w:w="1282"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35</w:t>
            </w:r>
          </w:p>
        </w:tc>
        <w:tc>
          <w:tcPr>
            <w:tcW w:w="1105"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1.14</w:t>
            </w:r>
          </w:p>
        </w:tc>
        <w:tc>
          <w:tcPr>
            <w:tcW w:w="1154" w:type="dxa"/>
            <w:vAlign w:val="center"/>
          </w:tcPr>
          <w:p>
            <w:pPr>
              <w:jc w:val="center"/>
              <w:rPr>
                <w:rFonts w:ascii="Times New Roman" w:hAnsi="Times New Roman"/>
                <w:color w:val="000000"/>
                <w:szCs w:val="21"/>
              </w:rPr>
            </w:pPr>
            <w:r>
              <w:rPr>
                <w:rFonts w:hint="eastAsia" w:ascii="Times New Roman" w:hAnsi="Times New Roman"/>
                <w:b/>
                <w:bCs/>
                <w:color w:val="000000"/>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70" w:hRule="atLeast"/>
        </w:trPr>
        <w:tc>
          <w:tcPr>
            <w:tcW w:w="1105" w:type="dxa"/>
            <w:vAlign w:val="center"/>
          </w:tcPr>
          <w:p>
            <w:pPr>
              <w:jc w:val="center"/>
              <w:rPr>
                <w:rFonts w:ascii="Times New Roman" w:hAnsi="Times New Roman"/>
                <w:color w:val="000000"/>
                <w:szCs w:val="21"/>
              </w:rPr>
            </w:pPr>
            <w:r>
              <w:rPr>
                <w:rFonts w:hint="eastAsia" w:ascii="Times New Roman" w:hAnsi="Times New Roman"/>
                <w:color w:val="000000"/>
                <w:szCs w:val="21"/>
              </w:rPr>
              <w:t>O</w:t>
            </w:r>
            <w:r>
              <w:rPr>
                <w:rFonts w:hint="eastAsia" w:ascii="Times New Roman" w:hAnsi="Times New Roman"/>
                <w:color w:val="000000"/>
                <w:szCs w:val="21"/>
                <w:vertAlign w:val="subscript"/>
              </w:rPr>
              <w:t>3</w:t>
            </w:r>
          </w:p>
        </w:tc>
        <w:tc>
          <w:tcPr>
            <w:tcW w:w="2262" w:type="dxa"/>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90</w:t>
            </w:r>
            <w:r>
              <w:rPr>
                <w:rFonts w:ascii="Times New Roman" w:hAnsi="Times New Roman"/>
                <w:color w:val="000000"/>
                <w:kern w:val="0"/>
                <w:szCs w:val="21"/>
              </w:rPr>
              <w:t>百分位数日平均</w:t>
            </w:r>
          </w:p>
        </w:tc>
        <w:tc>
          <w:tcPr>
            <w:tcW w:w="1459" w:type="dxa"/>
            <w:vAlign w:val="center"/>
          </w:tcPr>
          <w:p>
            <w:pPr>
              <w:jc w:val="center"/>
              <w:rPr>
                <w:rFonts w:ascii="Times New Roman" w:hAnsi="Times New Roman"/>
                <w:color w:val="000000"/>
                <w:szCs w:val="21"/>
              </w:rPr>
            </w:pPr>
            <w:r>
              <w:rPr>
                <w:rFonts w:hint="eastAsia" w:ascii="Times New Roman" w:hAnsi="Times New Roman"/>
                <w:color w:val="000000"/>
                <w:szCs w:val="21"/>
              </w:rPr>
              <w:t>126</w:t>
            </w:r>
          </w:p>
        </w:tc>
        <w:tc>
          <w:tcPr>
            <w:tcW w:w="1282" w:type="dxa"/>
            <w:vAlign w:val="center"/>
          </w:tcPr>
          <w:p>
            <w:pPr>
              <w:jc w:val="center"/>
              <w:rPr>
                <w:rFonts w:ascii="Times New Roman" w:hAnsi="Times New Roman"/>
                <w:color w:val="000000"/>
                <w:szCs w:val="21"/>
              </w:rPr>
            </w:pPr>
            <w:r>
              <w:rPr>
                <w:rFonts w:hint="eastAsia" w:ascii="Times New Roman" w:hAnsi="Times New Roman"/>
                <w:color w:val="000000"/>
                <w:szCs w:val="21"/>
              </w:rPr>
              <w:t>160</w:t>
            </w:r>
          </w:p>
        </w:tc>
        <w:tc>
          <w:tcPr>
            <w:tcW w:w="1105" w:type="dxa"/>
            <w:vAlign w:val="center"/>
          </w:tcPr>
          <w:p>
            <w:pPr>
              <w:jc w:val="center"/>
              <w:rPr>
                <w:rFonts w:ascii="Times New Roman" w:hAnsi="Times New Roman"/>
                <w:color w:val="000000"/>
                <w:szCs w:val="21"/>
              </w:rPr>
            </w:pPr>
            <w:r>
              <w:rPr>
                <w:rFonts w:hint="eastAsia" w:ascii="Times New Roman" w:hAnsi="Times New Roman"/>
                <w:color w:val="000000"/>
                <w:szCs w:val="21"/>
              </w:rPr>
              <w:t>0.78</w:t>
            </w:r>
          </w:p>
        </w:tc>
        <w:tc>
          <w:tcPr>
            <w:tcW w:w="1154" w:type="dxa"/>
            <w:vAlign w:val="center"/>
          </w:tcPr>
          <w:p>
            <w:pPr>
              <w:jc w:val="center"/>
              <w:rPr>
                <w:rFonts w:ascii="Times New Roman" w:hAnsi="Times New Roman"/>
                <w:color w:val="000000"/>
                <w:szCs w:val="21"/>
              </w:rPr>
            </w:pPr>
            <w:r>
              <w:rPr>
                <w:rFonts w:hint="eastAsia" w:ascii="Times New Roman" w:hAnsi="Times New Roman"/>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60" w:hRule="atLeast"/>
        </w:trPr>
        <w:tc>
          <w:tcPr>
            <w:tcW w:w="1105" w:type="dxa"/>
            <w:vAlign w:val="center"/>
          </w:tcPr>
          <w:p>
            <w:pPr>
              <w:jc w:val="center"/>
              <w:rPr>
                <w:rFonts w:ascii="Times New Roman" w:hAnsi="Times New Roman"/>
                <w:color w:val="000000"/>
                <w:szCs w:val="21"/>
              </w:rPr>
            </w:pPr>
            <w:r>
              <w:rPr>
                <w:rFonts w:hint="eastAsia" w:ascii="Times New Roman" w:hAnsi="Times New Roman"/>
                <w:color w:val="000000"/>
                <w:szCs w:val="21"/>
              </w:rPr>
              <w:t>CO</w:t>
            </w:r>
          </w:p>
        </w:tc>
        <w:tc>
          <w:tcPr>
            <w:tcW w:w="2262" w:type="dxa"/>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95</w:t>
            </w:r>
            <w:r>
              <w:rPr>
                <w:rFonts w:ascii="Times New Roman" w:hAnsi="Times New Roman"/>
                <w:color w:val="000000"/>
                <w:kern w:val="0"/>
                <w:szCs w:val="21"/>
              </w:rPr>
              <w:t>百分位数日平均</w:t>
            </w:r>
          </w:p>
        </w:tc>
        <w:tc>
          <w:tcPr>
            <w:tcW w:w="1459" w:type="dxa"/>
            <w:vAlign w:val="center"/>
          </w:tcPr>
          <w:p>
            <w:pPr>
              <w:jc w:val="center"/>
              <w:rPr>
                <w:rFonts w:ascii="Times New Roman" w:hAnsi="Times New Roman"/>
                <w:color w:val="000000"/>
                <w:szCs w:val="21"/>
              </w:rPr>
            </w:pPr>
            <w:r>
              <w:rPr>
                <w:rFonts w:hint="eastAsia" w:ascii="Times New Roman" w:hAnsi="Times New Roman"/>
                <w:color w:val="000000"/>
                <w:szCs w:val="21"/>
              </w:rPr>
              <w:t>1.6</w:t>
            </w:r>
            <w:r>
              <w:rPr>
                <w:rStyle w:val="43"/>
                <w:rFonts w:hint="eastAsia"/>
                <w:sz w:val="21"/>
                <w:szCs w:val="21"/>
              </w:rPr>
              <w:t>m</w:t>
            </w:r>
            <w:r>
              <w:rPr>
                <w:rStyle w:val="43"/>
                <w:sz w:val="21"/>
                <w:szCs w:val="21"/>
              </w:rPr>
              <w:t>g/m</w:t>
            </w:r>
            <w:r>
              <w:rPr>
                <w:rStyle w:val="37"/>
                <w:sz w:val="21"/>
                <w:szCs w:val="21"/>
              </w:rPr>
              <w:t>3</w:t>
            </w:r>
          </w:p>
        </w:tc>
        <w:tc>
          <w:tcPr>
            <w:tcW w:w="1282" w:type="dxa"/>
            <w:vAlign w:val="center"/>
          </w:tcPr>
          <w:p>
            <w:pPr>
              <w:jc w:val="center"/>
              <w:rPr>
                <w:rFonts w:ascii="Times New Roman" w:hAnsi="Times New Roman"/>
                <w:color w:val="000000"/>
                <w:szCs w:val="21"/>
              </w:rPr>
            </w:pPr>
            <w:r>
              <w:rPr>
                <w:rFonts w:hint="eastAsia" w:ascii="Times New Roman" w:hAnsi="Times New Roman"/>
                <w:color w:val="000000"/>
                <w:szCs w:val="21"/>
              </w:rPr>
              <w:t>4</w:t>
            </w:r>
            <w:r>
              <w:rPr>
                <w:rStyle w:val="43"/>
                <w:rFonts w:hint="eastAsia"/>
                <w:sz w:val="21"/>
                <w:szCs w:val="21"/>
              </w:rPr>
              <w:t>m</w:t>
            </w:r>
            <w:r>
              <w:rPr>
                <w:rStyle w:val="43"/>
                <w:sz w:val="21"/>
                <w:szCs w:val="21"/>
              </w:rPr>
              <w:t>g/m</w:t>
            </w:r>
            <w:r>
              <w:rPr>
                <w:rStyle w:val="37"/>
                <w:sz w:val="21"/>
                <w:szCs w:val="21"/>
              </w:rPr>
              <w:t>3</w:t>
            </w:r>
          </w:p>
        </w:tc>
        <w:tc>
          <w:tcPr>
            <w:tcW w:w="1105" w:type="dxa"/>
            <w:vAlign w:val="center"/>
          </w:tcPr>
          <w:p>
            <w:pPr>
              <w:jc w:val="center"/>
              <w:rPr>
                <w:rFonts w:ascii="Times New Roman" w:hAnsi="Times New Roman"/>
                <w:color w:val="000000"/>
                <w:szCs w:val="21"/>
              </w:rPr>
            </w:pPr>
            <w:r>
              <w:rPr>
                <w:rFonts w:hint="eastAsia" w:ascii="Times New Roman" w:hAnsi="Times New Roman"/>
                <w:color w:val="000000"/>
                <w:szCs w:val="21"/>
              </w:rPr>
              <w:t>0.4</w:t>
            </w:r>
          </w:p>
        </w:tc>
        <w:tc>
          <w:tcPr>
            <w:tcW w:w="1154" w:type="dxa"/>
            <w:vAlign w:val="center"/>
          </w:tcPr>
          <w:p>
            <w:pPr>
              <w:jc w:val="center"/>
              <w:rPr>
                <w:rFonts w:ascii="Times New Roman" w:hAnsi="Times New Roman"/>
                <w:color w:val="000000"/>
                <w:szCs w:val="21"/>
              </w:rPr>
            </w:pPr>
            <w:r>
              <w:rPr>
                <w:rFonts w:hint="eastAsia" w:ascii="Times New Roman" w:hAnsi="Times New Roman"/>
                <w:color w:val="000000"/>
                <w:szCs w:val="21"/>
              </w:rPr>
              <w:t>达标</w:t>
            </w:r>
          </w:p>
        </w:tc>
      </w:tr>
    </w:tbl>
    <w:p>
      <w:pPr>
        <w:pStyle w:val="2"/>
        <w:rPr>
          <w:rFonts w:ascii="Times New Roman" w:hAnsi="Times New Roman"/>
          <w:sz w:val="24"/>
          <w:szCs w:val="24"/>
          <w:highlight w:val="yellow"/>
        </w:rPr>
      </w:pPr>
    </w:p>
    <w:p>
      <w:pPr>
        <w:spacing w:line="360" w:lineRule="auto"/>
        <w:ind w:firstLine="480" w:firstLineChars="200"/>
      </w:pPr>
      <w:r>
        <w:rPr>
          <w:rFonts w:hint="eastAsia" w:ascii="Times New Roman" w:hAnsi="Times New Roman"/>
          <w:sz w:val="24"/>
          <w:szCs w:val="24"/>
        </w:rPr>
        <w:t>根据上表可知，除PM</w:t>
      </w:r>
      <w:r>
        <w:rPr>
          <w:rFonts w:hint="eastAsia" w:ascii="Times New Roman" w:hAnsi="Times New Roman"/>
          <w:sz w:val="24"/>
          <w:szCs w:val="24"/>
          <w:vertAlign w:val="subscript"/>
        </w:rPr>
        <w:t>10</w:t>
      </w:r>
      <w:r>
        <w:rPr>
          <w:rFonts w:hint="eastAsia" w:ascii="Times New Roman" w:hAnsi="Times New Roman"/>
          <w:sz w:val="24"/>
          <w:szCs w:val="24"/>
        </w:rPr>
        <w:t>、PM</w:t>
      </w:r>
      <w:r>
        <w:rPr>
          <w:rFonts w:hint="eastAsia" w:ascii="Times New Roman" w:hAnsi="Times New Roman"/>
          <w:sz w:val="24"/>
          <w:szCs w:val="24"/>
          <w:vertAlign w:val="subscript"/>
        </w:rPr>
        <w:t>2.5</w:t>
      </w:r>
      <w:r>
        <w:rPr>
          <w:rFonts w:hint="eastAsia" w:ascii="Times New Roman" w:hAnsi="Times New Roman"/>
          <w:sz w:val="24"/>
          <w:szCs w:val="24"/>
        </w:rPr>
        <w:t>以外其他基本因子均达到《环境空气质量标准》（GB3095－2012）二级标准，说明区域城市环境空气质量不达标。</w:t>
      </w:r>
    </w:p>
    <w:p>
      <w:pPr>
        <w:widowControl/>
        <w:adjustRightInd w:val="0"/>
        <w:snapToGrid w:val="0"/>
        <w:spacing w:line="360" w:lineRule="auto"/>
        <w:outlineLvl w:val="2"/>
        <w:rPr>
          <w:rFonts w:ascii="Times New Roman" w:hAnsi="Times New Roman"/>
          <w:b/>
          <w:sz w:val="24"/>
        </w:rPr>
      </w:pPr>
      <w:bookmarkStart w:id="289" w:name="_Toc10914"/>
      <w:bookmarkStart w:id="290" w:name="_Toc7535"/>
      <w:bookmarkStart w:id="291" w:name="_Toc12810"/>
      <w:r>
        <w:rPr>
          <w:rFonts w:ascii="Times New Roman" w:hAnsi="Times New Roman"/>
          <w:b/>
          <w:sz w:val="24"/>
        </w:rPr>
        <w:t>4.</w:t>
      </w:r>
      <w:r>
        <w:rPr>
          <w:rFonts w:hint="eastAsia" w:ascii="Times New Roman" w:hAnsi="Times New Roman"/>
          <w:b/>
          <w:sz w:val="24"/>
        </w:rPr>
        <w:t>2.2地表水环境质量现状监测与评价</w:t>
      </w:r>
      <w:bookmarkEnd w:id="289"/>
      <w:bookmarkEnd w:id="290"/>
      <w:bookmarkEnd w:id="291"/>
    </w:p>
    <w:p>
      <w:pPr>
        <w:spacing w:line="360" w:lineRule="auto"/>
        <w:outlineLvl w:val="0"/>
        <w:rPr>
          <w:rFonts w:ascii="Times New Roman" w:hAnsi="Times New Roman"/>
          <w:sz w:val="24"/>
          <w:szCs w:val="24"/>
        </w:rPr>
      </w:pPr>
      <w:bookmarkStart w:id="292" w:name="_Toc8423"/>
      <w:r>
        <w:rPr>
          <w:rFonts w:ascii="Times New Roman" w:hAnsi="Times New Roman"/>
          <w:sz w:val="24"/>
          <w:szCs w:val="24"/>
        </w:rPr>
        <w:t>4.2.2.1监测断面布设</w:t>
      </w:r>
      <w:bookmarkEnd w:id="292"/>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根据该项目地表水环境影响评价工作等级，在</w:t>
      </w:r>
      <w:r>
        <w:rPr>
          <w:rFonts w:hint="eastAsia" w:ascii="Times New Roman" w:hAnsi="Times New Roman"/>
          <w:sz w:val="24"/>
        </w:rPr>
        <w:t>富尔河</w:t>
      </w:r>
      <w:r>
        <w:rPr>
          <w:rFonts w:ascii="Times New Roman" w:hAnsi="Times New Roman"/>
          <w:sz w:val="24"/>
        </w:rPr>
        <w:t>上共布设</w:t>
      </w:r>
      <w:r>
        <w:rPr>
          <w:rFonts w:hint="eastAsia" w:ascii="Times New Roman" w:hAnsi="Times New Roman"/>
          <w:sz w:val="24"/>
        </w:rPr>
        <w:t>3</w:t>
      </w:r>
      <w:r>
        <w:rPr>
          <w:rFonts w:ascii="Times New Roman" w:hAnsi="Times New Roman"/>
          <w:sz w:val="24"/>
        </w:rPr>
        <w:t>个监测断面，地表水监测点详见</w:t>
      </w:r>
      <w:r>
        <w:rPr>
          <w:rFonts w:hint="eastAsia" w:ascii="Times New Roman" w:hAnsi="Times New Roman"/>
          <w:sz w:val="24"/>
        </w:rPr>
        <w:t>下表</w:t>
      </w:r>
      <w:r>
        <w:rPr>
          <w:rFonts w:ascii="Times New Roman" w:hAnsi="Times New Roman"/>
          <w:sz w:val="24"/>
        </w:rPr>
        <w:t>及附图</w:t>
      </w:r>
      <w:r>
        <w:rPr>
          <w:rFonts w:hint="eastAsia" w:ascii="Times New Roman" w:hAnsi="Times New Roman"/>
          <w:sz w:val="24"/>
        </w:rPr>
        <w:t>1</w:t>
      </w:r>
      <w:r>
        <w:rPr>
          <w:rFonts w:ascii="Times New Roman" w:hAnsi="Times New Roman"/>
          <w:sz w:val="24"/>
        </w:rPr>
        <w:t>。</w:t>
      </w:r>
    </w:p>
    <w:p>
      <w:pPr>
        <w:adjustRightInd w:val="0"/>
        <w:snapToGrid w:val="0"/>
        <w:jc w:val="center"/>
        <w:rPr>
          <w:rFonts w:ascii="Times New Roman" w:hAnsi="Times New Roman"/>
          <w:b/>
          <w:bCs/>
          <w:sz w:val="24"/>
        </w:rPr>
      </w:pPr>
      <w:r>
        <w:rPr>
          <w:rFonts w:ascii="Times New Roman" w:hAnsi="Times New Roman"/>
          <w:b/>
          <w:bCs/>
          <w:sz w:val="24"/>
        </w:rPr>
        <w:t>表4-</w:t>
      </w:r>
      <w:r>
        <w:rPr>
          <w:rFonts w:hint="eastAsia" w:ascii="Times New Roman" w:hAnsi="Times New Roman"/>
          <w:b/>
          <w:bCs/>
          <w:sz w:val="24"/>
        </w:rPr>
        <w:t xml:space="preserve">2 </w:t>
      </w:r>
      <w:r>
        <w:rPr>
          <w:rFonts w:ascii="Times New Roman" w:hAnsi="Times New Roman"/>
          <w:b/>
          <w:bCs/>
          <w:sz w:val="24"/>
        </w:rPr>
        <w:t>地表水监测断面布设情况</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42"/>
        <w:gridCol w:w="2270"/>
        <w:gridCol w:w="1114"/>
        <w:gridCol w:w="35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680" w:type="dxa"/>
            <w:vAlign w:val="center"/>
          </w:tcPr>
          <w:p>
            <w:pPr>
              <w:adjustRightInd w:val="0"/>
              <w:snapToGrid w:val="0"/>
              <w:spacing w:before="100" w:beforeAutospacing="1" w:after="100" w:afterAutospacing="1"/>
              <w:ind w:left="-31" w:leftChars="-15" w:right="-31" w:rightChars="-15"/>
              <w:jc w:val="center"/>
              <w:rPr>
                <w:color w:val="000000"/>
                <w:szCs w:val="21"/>
              </w:rPr>
            </w:pPr>
            <w:bookmarkStart w:id="293" w:name="_Toc89661074"/>
            <w:bookmarkStart w:id="294" w:name="_Toc105383204"/>
            <w:bookmarkStart w:id="295" w:name="_Toc105395882"/>
            <w:bookmarkStart w:id="296" w:name="_Toc156736952"/>
            <w:r>
              <w:rPr>
                <w:color w:val="000000"/>
                <w:szCs w:val="21"/>
              </w:rPr>
              <w:t>序 号</w:t>
            </w:r>
          </w:p>
        </w:tc>
        <w:tc>
          <w:tcPr>
            <w:tcW w:w="942" w:type="dxa"/>
            <w:vAlign w:val="center"/>
          </w:tcPr>
          <w:p>
            <w:pPr>
              <w:adjustRightInd w:val="0"/>
              <w:snapToGrid w:val="0"/>
              <w:spacing w:before="100" w:beforeAutospacing="1" w:after="100" w:afterAutospacing="1"/>
              <w:ind w:left="-31" w:leftChars="-15" w:right="-31" w:rightChars="-15"/>
              <w:jc w:val="center"/>
              <w:rPr>
                <w:color w:val="000000"/>
                <w:szCs w:val="21"/>
              </w:rPr>
            </w:pPr>
            <w:r>
              <w:rPr>
                <w:color w:val="000000"/>
                <w:szCs w:val="21"/>
              </w:rPr>
              <w:t>河流名称</w:t>
            </w:r>
          </w:p>
        </w:tc>
        <w:tc>
          <w:tcPr>
            <w:tcW w:w="2270" w:type="dxa"/>
            <w:vAlign w:val="center"/>
          </w:tcPr>
          <w:p>
            <w:pPr>
              <w:adjustRightInd w:val="0"/>
              <w:snapToGrid w:val="0"/>
              <w:spacing w:before="100" w:beforeAutospacing="1" w:after="100" w:afterAutospacing="1"/>
              <w:ind w:left="-31" w:leftChars="-15" w:right="-31" w:rightChars="-15"/>
              <w:jc w:val="center"/>
              <w:rPr>
                <w:color w:val="000000"/>
                <w:szCs w:val="21"/>
              </w:rPr>
            </w:pPr>
            <w:r>
              <w:rPr>
                <w:color w:val="000000"/>
                <w:szCs w:val="21"/>
              </w:rPr>
              <w:t>位置名称</w:t>
            </w:r>
          </w:p>
        </w:tc>
        <w:tc>
          <w:tcPr>
            <w:tcW w:w="1114" w:type="dxa"/>
            <w:vAlign w:val="center"/>
          </w:tcPr>
          <w:p>
            <w:pPr>
              <w:adjustRightInd w:val="0"/>
              <w:snapToGrid w:val="0"/>
              <w:spacing w:before="100" w:beforeAutospacing="1" w:after="100" w:afterAutospacing="1"/>
              <w:ind w:right="-31" w:rightChars="-15"/>
              <w:jc w:val="center"/>
              <w:rPr>
                <w:color w:val="000000"/>
                <w:szCs w:val="21"/>
              </w:rPr>
            </w:pPr>
            <w:r>
              <w:rPr>
                <w:rFonts w:hint="eastAsia"/>
                <w:color w:val="000000"/>
                <w:szCs w:val="21"/>
              </w:rPr>
              <w:t>断面名称</w:t>
            </w:r>
          </w:p>
        </w:tc>
        <w:tc>
          <w:tcPr>
            <w:tcW w:w="3516" w:type="dxa"/>
            <w:vAlign w:val="center"/>
          </w:tcPr>
          <w:p>
            <w:pPr>
              <w:adjustRightInd w:val="0"/>
              <w:snapToGrid w:val="0"/>
              <w:spacing w:before="100" w:beforeAutospacing="1" w:after="100" w:afterAutospacing="1"/>
              <w:ind w:right="-31" w:rightChars="-15"/>
              <w:jc w:val="center"/>
              <w:rPr>
                <w:color w:val="000000"/>
                <w:szCs w:val="21"/>
              </w:rPr>
            </w:pPr>
            <w:r>
              <w:rPr>
                <w:rFonts w:hint="eastAsia"/>
                <w:color w:val="000000"/>
                <w:szCs w:val="21"/>
              </w:rPr>
              <w:t>布设目的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680" w:type="dxa"/>
            <w:vAlign w:val="center"/>
          </w:tcPr>
          <w:p>
            <w:pPr>
              <w:adjustRightInd w:val="0"/>
              <w:snapToGrid w:val="0"/>
              <w:spacing w:before="100" w:beforeAutospacing="1" w:after="100" w:afterAutospacing="1"/>
              <w:ind w:left="-31" w:leftChars="-15" w:right="-31" w:rightChars="-15"/>
              <w:jc w:val="center"/>
              <w:rPr>
                <w:color w:val="000000"/>
                <w:szCs w:val="21"/>
              </w:rPr>
            </w:pPr>
            <w:r>
              <w:rPr>
                <w:color w:val="000000"/>
                <w:szCs w:val="21"/>
              </w:rPr>
              <w:t>1</w:t>
            </w:r>
            <w:r>
              <w:rPr>
                <w:color w:val="000000"/>
                <w:szCs w:val="21"/>
                <w:vertAlign w:val="superscript"/>
              </w:rPr>
              <w:t>#</w:t>
            </w:r>
          </w:p>
        </w:tc>
        <w:tc>
          <w:tcPr>
            <w:tcW w:w="942" w:type="dxa"/>
            <w:vMerge w:val="restart"/>
            <w:vAlign w:val="center"/>
          </w:tcPr>
          <w:p>
            <w:pPr>
              <w:adjustRightInd w:val="0"/>
              <w:snapToGrid w:val="0"/>
              <w:spacing w:before="100" w:beforeAutospacing="1" w:after="100" w:afterAutospacing="1"/>
              <w:ind w:left="-31" w:leftChars="-15" w:right="-31" w:rightChars="-15"/>
              <w:jc w:val="center"/>
              <w:rPr>
                <w:color w:val="000000"/>
                <w:szCs w:val="21"/>
              </w:rPr>
            </w:pPr>
            <w:r>
              <w:rPr>
                <w:rFonts w:hint="eastAsia"/>
                <w:color w:val="000000"/>
                <w:szCs w:val="21"/>
              </w:rPr>
              <w:t>西南</w:t>
            </w:r>
          </w:p>
          <w:p>
            <w:pPr>
              <w:adjustRightInd w:val="0"/>
              <w:snapToGrid w:val="0"/>
              <w:spacing w:before="100" w:beforeAutospacing="1" w:after="100" w:afterAutospacing="1"/>
              <w:ind w:left="-31" w:leftChars="-15" w:right="-31" w:rightChars="-15"/>
              <w:jc w:val="center"/>
              <w:rPr>
                <w:color w:val="000000"/>
                <w:szCs w:val="21"/>
              </w:rPr>
            </w:pPr>
            <w:r>
              <w:rPr>
                <w:rFonts w:hint="eastAsia"/>
                <w:color w:val="000000"/>
                <w:szCs w:val="21"/>
              </w:rPr>
              <w:t>岔河</w:t>
            </w:r>
          </w:p>
        </w:tc>
        <w:tc>
          <w:tcPr>
            <w:tcW w:w="2270" w:type="dxa"/>
            <w:vAlign w:val="center"/>
          </w:tcPr>
          <w:p>
            <w:pPr>
              <w:jc w:val="center"/>
              <w:rPr>
                <w:color w:val="000000"/>
                <w:szCs w:val="21"/>
              </w:rPr>
            </w:pPr>
            <w:r>
              <w:rPr>
                <w:rFonts w:hint="eastAsia" w:hAnsi="宋体"/>
                <w:color w:val="000000"/>
              </w:rPr>
              <w:t>本项目上游500m断面</w:t>
            </w:r>
          </w:p>
        </w:tc>
        <w:tc>
          <w:tcPr>
            <w:tcW w:w="1114" w:type="dxa"/>
            <w:vAlign w:val="center"/>
          </w:tcPr>
          <w:p>
            <w:pPr>
              <w:adjustRightInd w:val="0"/>
              <w:snapToGrid w:val="0"/>
              <w:jc w:val="center"/>
              <w:rPr>
                <w:color w:val="000000"/>
                <w:szCs w:val="21"/>
              </w:rPr>
            </w:pPr>
            <w:r>
              <w:rPr>
                <w:rFonts w:hint="eastAsia"/>
                <w:color w:val="000000"/>
                <w:szCs w:val="21"/>
              </w:rPr>
              <w:t>对照断面</w:t>
            </w:r>
          </w:p>
        </w:tc>
        <w:tc>
          <w:tcPr>
            <w:tcW w:w="3516" w:type="dxa"/>
            <w:vAlign w:val="center"/>
          </w:tcPr>
          <w:p>
            <w:pPr>
              <w:adjustRightInd w:val="0"/>
              <w:snapToGrid w:val="0"/>
              <w:jc w:val="center"/>
              <w:rPr>
                <w:color w:val="000000"/>
                <w:szCs w:val="21"/>
              </w:rPr>
            </w:pPr>
            <w:r>
              <w:rPr>
                <w:rFonts w:hint="eastAsia"/>
                <w:color w:val="000000"/>
                <w:szCs w:val="21"/>
              </w:rPr>
              <w:t>了解项目位置上游环境质量现状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680" w:type="dxa"/>
            <w:vAlign w:val="center"/>
          </w:tcPr>
          <w:p>
            <w:pPr>
              <w:adjustRightInd w:val="0"/>
              <w:snapToGrid w:val="0"/>
              <w:spacing w:before="100" w:beforeAutospacing="1" w:after="100" w:afterAutospacing="1"/>
              <w:ind w:left="-31" w:leftChars="-15" w:right="-31" w:rightChars="-15"/>
              <w:jc w:val="center"/>
              <w:rPr>
                <w:color w:val="000000"/>
                <w:szCs w:val="21"/>
              </w:rPr>
            </w:pPr>
            <w:r>
              <w:rPr>
                <w:rFonts w:hint="eastAsia"/>
                <w:color w:val="000000"/>
                <w:szCs w:val="21"/>
              </w:rPr>
              <w:t>2</w:t>
            </w:r>
            <w:r>
              <w:rPr>
                <w:rFonts w:hint="eastAsia"/>
                <w:color w:val="000000"/>
                <w:szCs w:val="21"/>
                <w:vertAlign w:val="superscript"/>
              </w:rPr>
              <w:t>#</w:t>
            </w:r>
          </w:p>
        </w:tc>
        <w:tc>
          <w:tcPr>
            <w:tcW w:w="942" w:type="dxa"/>
            <w:vMerge w:val="continue"/>
            <w:vAlign w:val="center"/>
          </w:tcPr>
          <w:p>
            <w:pPr>
              <w:adjustRightInd w:val="0"/>
              <w:snapToGrid w:val="0"/>
              <w:spacing w:before="100" w:beforeAutospacing="1" w:after="100" w:afterAutospacing="1"/>
              <w:ind w:left="-31" w:leftChars="-15" w:right="-31" w:rightChars="-15"/>
              <w:jc w:val="center"/>
              <w:rPr>
                <w:color w:val="000000"/>
                <w:szCs w:val="21"/>
              </w:rPr>
            </w:pPr>
          </w:p>
        </w:tc>
        <w:tc>
          <w:tcPr>
            <w:tcW w:w="2270" w:type="dxa"/>
            <w:vAlign w:val="center"/>
          </w:tcPr>
          <w:p>
            <w:pPr>
              <w:jc w:val="center"/>
              <w:rPr>
                <w:color w:val="000000"/>
                <w:szCs w:val="21"/>
              </w:rPr>
            </w:pPr>
            <w:r>
              <w:rPr>
                <w:rFonts w:hint="eastAsia" w:hAnsi="宋体"/>
                <w:color w:val="000000"/>
              </w:rPr>
              <w:t>本项目下游500m</w:t>
            </w:r>
          </w:p>
        </w:tc>
        <w:tc>
          <w:tcPr>
            <w:tcW w:w="1114" w:type="dxa"/>
            <w:vAlign w:val="center"/>
          </w:tcPr>
          <w:p>
            <w:pPr>
              <w:adjustRightInd w:val="0"/>
              <w:snapToGrid w:val="0"/>
              <w:jc w:val="center"/>
              <w:rPr>
                <w:color w:val="000000"/>
                <w:szCs w:val="21"/>
              </w:rPr>
            </w:pPr>
            <w:r>
              <w:rPr>
                <w:rFonts w:hint="eastAsia"/>
                <w:color w:val="000000"/>
                <w:szCs w:val="21"/>
              </w:rPr>
              <w:t>控制断面</w:t>
            </w:r>
          </w:p>
        </w:tc>
        <w:tc>
          <w:tcPr>
            <w:tcW w:w="3516" w:type="dxa"/>
            <w:vAlign w:val="center"/>
          </w:tcPr>
          <w:p>
            <w:pPr>
              <w:adjustRightInd w:val="0"/>
              <w:snapToGrid w:val="0"/>
              <w:jc w:val="center"/>
              <w:rPr>
                <w:color w:val="000000"/>
                <w:szCs w:val="21"/>
              </w:rPr>
            </w:pPr>
            <w:r>
              <w:rPr>
                <w:rFonts w:hint="eastAsia"/>
                <w:color w:val="000000"/>
                <w:szCs w:val="21"/>
              </w:rPr>
              <w:t>了解项目所在地对应断面环境质量现状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680" w:type="dxa"/>
            <w:vAlign w:val="center"/>
          </w:tcPr>
          <w:p>
            <w:pPr>
              <w:adjustRightInd w:val="0"/>
              <w:snapToGrid w:val="0"/>
              <w:spacing w:before="100" w:beforeAutospacing="1" w:after="100" w:afterAutospacing="1"/>
              <w:ind w:left="-31" w:leftChars="-15" w:right="-31" w:rightChars="-15"/>
              <w:jc w:val="center"/>
              <w:rPr>
                <w:color w:val="000000"/>
                <w:szCs w:val="21"/>
              </w:rPr>
            </w:pPr>
            <w:r>
              <w:rPr>
                <w:rFonts w:hint="eastAsia"/>
                <w:color w:val="000000"/>
                <w:szCs w:val="21"/>
              </w:rPr>
              <w:t>3</w:t>
            </w:r>
            <w:r>
              <w:rPr>
                <w:rFonts w:hint="eastAsia"/>
                <w:color w:val="000000"/>
                <w:szCs w:val="21"/>
                <w:vertAlign w:val="superscript"/>
              </w:rPr>
              <w:t>#</w:t>
            </w:r>
          </w:p>
        </w:tc>
        <w:tc>
          <w:tcPr>
            <w:tcW w:w="942" w:type="dxa"/>
            <w:vMerge w:val="continue"/>
            <w:vAlign w:val="center"/>
          </w:tcPr>
          <w:p>
            <w:pPr>
              <w:adjustRightInd w:val="0"/>
              <w:snapToGrid w:val="0"/>
              <w:spacing w:before="100" w:beforeAutospacing="1" w:after="100" w:afterAutospacing="1"/>
              <w:ind w:left="-31" w:leftChars="-15" w:right="-31" w:rightChars="-15"/>
              <w:jc w:val="center"/>
              <w:rPr>
                <w:color w:val="000000"/>
                <w:szCs w:val="21"/>
              </w:rPr>
            </w:pPr>
          </w:p>
        </w:tc>
        <w:tc>
          <w:tcPr>
            <w:tcW w:w="2270" w:type="dxa"/>
            <w:vAlign w:val="center"/>
          </w:tcPr>
          <w:p>
            <w:pPr>
              <w:jc w:val="center"/>
              <w:rPr>
                <w:color w:val="000000"/>
                <w:szCs w:val="21"/>
              </w:rPr>
            </w:pPr>
            <w:r>
              <w:rPr>
                <w:rFonts w:hint="eastAsia" w:hAnsi="宋体"/>
                <w:color w:val="000000"/>
              </w:rPr>
              <w:t>本项目下游1.500m</w:t>
            </w:r>
          </w:p>
        </w:tc>
        <w:tc>
          <w:tcPr>
            <w:tcW w:w="1114" w:type="dxa"/>
            <w:vAlign w:val="center"/>
          </w:tcPr>
          <w:p>
            <w:pPr>
              <w:adjustRightInd w:val="0"/>
              <w:snapToGrid w:val="0"/>
              <w:jc w:val="center"/>
              <w:rPr>
                <w:color w:val="000000"/>
                <w:szCs w:val="21"/>
              </w:rPr>
            </w:pPr>
            <w:r>
              <w:rPr>
                <w:rFonts w:hint="eastAsia"/>
                <w:color w:val="000000"/>
                <w:szCs w:val="21"/>
              </w:rPr>
              <w:t>削减断面</w:t>
            </w:r>
          </w:p>
        </w:tc>
        <w:tc>
          <w:tcPr>
            <w:tcW w:w="3516" w:type="dxa"/>
            <w:vAlign w:val="center"/>
          </w:tcPr>
          <w:p>
            <w:pPr>
              <w:adjustRightInd w:val="0"/>
              <w:snapToGrid w:val="0"/>
              <w:jc w:val="center"/>
              <w:rPr>
                <w:color w:val="000000"/>
                <w:szCs w:val="21"/>
              </w:rPr>
            </w:pPr>
            <w:r>
              <w:rPr>
                <w:rFonts w:hint="eastAsia"/>
                <w:color w:val="000000"/>
                <w:szCs w:val="21"/>
              </w:rPr>
              <w:t>了解项目位置下游环境质量现状</w:t>
            </w:r>
          </w:p>
        </w:tc>
      </w:tr>
      <w:bookmarkEnd w:id="293"/>
      <w:bookmarkEnd w:id="294"/>
      <w:bookmarkEnd w:id="295"/>
      <w:bookmarkEnd w:id="296"/>
    </w:tbl>
    <w:p>
      <w:pPr>
        <w:spacing w:beforeLines="50" w:line="360" w:lineRule="auto"/>
        <w:rPr>
          <w:rFonts w:ascii="Times New Roman" w:hAnsi="Times New Roman"/>
          <w:sz w:val="24"/>
          <w:szCs w:val="24"/>
        </w:rPr>
      </w:pPr>
      <w:bookmarkStart w:id="297" w:name="_Toc15178"/>
      <w:r>
        <w:rPr>
          <w:rFonts w:ascii="Times New Roman" w:hAnsi="Times New Roman"/>
          <w:sz w:val="24"/>
          <w:szCs w:val="24"/>
        </w:rPr>
        <w:t>4.2.2.2监测项目</w:t>
      </w:r>
      <w:bookmarkEnd w:id="297"/>
    </w:p>
    <w:p>
      <w:pPr>
        <w:adjustRightInd w:val="0"/>
        <w:snapToGrid w:val="0"/>
        <w:spacing w:line="360" w:lineRule="auto"/>
        <w:ind w:firstLine="480" w:firstLineChars="200"/>
        <w:rPr>
          <w:rFonts w:ascii="Times New Roman" w:hAnsi="Times New Roman"/>
          <w:sz w:val="24"/>
          <w:szCs w:val="21"/>
          <w:u w:val="single"/>
        </w:rPr>
      </w:pPr>
      <w:r>
        <w:rPr>
          <w:rFonts w:ascii="Times New Roman" w:hAnsi="Times New Roman"/>
          <w:sz w:val="24"/>
          <w:u w:val="single"/>
        </w:rPr>
        <w:t>本项监测项目共选择pH、COD、BOD</w:t>
      </w:r>
      <w:r>
        <w:rPr>
          <w:rFonts w:ascii="Times New Roman" w:hAnsi="Times New Roman"/>
          <w:sz w:val="24"/>
          <w:u w:val="single"/>
          <w:vertAlign w:val="subscript"/>
        </w:rPr>
        <w:t>5</w:t>
      </w:r>
      <w:r>
        <w:rPr>
          <w:rFonts w:ascii="Times New Roman" w:hAnsi="Times New Roman"/>
          <w:sz w:val="24"/>
          <w:u w:val="single"/>
        </w:rPr>
        <w:t>、NH</w:t>
      </w:r>
      <w:r>
        <w:rPr>
          <w:rFonts w:ascii="Times New Roman" w:hAnsi="Times New Roman"/>
          <w:sz w:val="24"/>
          <w:u w:val="single"/>
          <w:vertAlign w:val="subscript"/>
        </w:rPr>
        <w:t>3</w:t>
      </w:r>
      <w:r>
        <w:rPr>
          <w:rFonts w:ascii="Times New Roman" w:hAnsi="Times New Roman"/>
          <w:sz w:val="24"/>
          <w:u w:val="single"/>
        </w:rPr>
        <w:t>-N、石油类、SS、硫化物、氟化物、Hg、Pb、六价铬、Cd、As</w:t>
      </w:r>
      <w:r>
        <w:rPr>
          <w:rFonts w:hint="eastAsia" w:ascii="Times New Roman" w:hAnsi="Times New Roman"/>
          <w:sz w:val="24"/>
          <w:u w:val="single"/>
        </w:rPr>
        <w:t>、Fe、Mn</w:t>
      </w:r>
      <w:r>
        <w:rPr>
          <w:rFonts w:ascii="Times New Roman" w:hAnsi="Times New Roman"/>
          <w:sz w:val="24"/>
          <w:u w:val="single"/>
        </w:rPr>
        <w:t>共1</w:t>
      </w:r>
      <w:r>
        <w:rPr>
          <w:rFonts w:hint="eastAsia" w:ascii="Times New Roman" w:hAnsi="Times New Roman"/>
          <w:sz w:val="24"/>
          <w:u w:val="single"/>
        </w:rPr>
        <w:t>5</w:t>
      </w:r>
      <w:r>
        <w:rPr>
          <w:rFonts w:ascii="Times New Roman" w:hAnsi="Times New Roman"/>
          <w:sz w:val="24"/>
          <w:u w:val="single"/>
        </w:rPr>
        <w:t>项指标</w:t>
      </w:r>
      <w:r>
        <w:rPr>
          <w:rFonts w:ascii="Times New Roman" w:hAnsi="Times New Roman"/>
          <w:sz w:val="24"/>
          <w:szCs w:val="21"/>
          <w:u w:val="single"/>
        </w:rPr>
        <w:t>。</w:t>
      </w:r>
    </w:p>
    <w:p>
      <w:pPr>
        <w:spacing w:line="360" w:lineRule="auto"/>
        <w:outlineLvl w:val="0"/>
        <w:rPr>
          <w:rFonts w:ascii="Times New Roman" w:hAnsi="Times New Roman"/>
          <w:sz w:val="24"/>
          <w:szCs w:val="24"/>
        </w:rPr>
      </w:pPr>
      <w:bookmarkStart w:id="298" w:name="_Toc22845"/>
      <w:r>
        <w:rPr>
          <w:rFonts w:ascii="Times New Roman" w:hAnsi="Times New Roman"/>
          <w:sz w:val="24"/>
          <w:szCs w:val="24"/>
        </w:rPr>
        <w:t>4.2.2.3监测单位、时间</w:t>
      </w:r>
      <w:bookmarkEnd w:id="298"/>
    </w:p>
    <w:p>
      <w:pPr>
        <w:adjustRightInd w:val="0"/>
        <w:snapToGrid w:val="0"/>
        <w:spacing w:line="360" w:lineRule="auto"/>
        <w:ind w:left="239" w:leftChars="114" w:firstLine="240" w:firstLineChars="100"/>
        <w:rPr>
          <w:rFonts w:ascii="Times New Roman" w:hAnsi="Times New Roman"/>
          <w:color w:val="000000"/>
          <w:sz w:val="24"/>
        </w:rPr>
      </w:pPr>
      <w:r>
        <w:rPr>
          <w:rFonts w:ascii="Times New Roman" w:hAnsi="Times New Roman"/>
          <w:color w:val="000000"/>
          <w:sz w:val="24"/>
        </w:rPr>
        <w:t>本次环评委托吉林省国安环境检测有限公司于2018年</w:t>
      </w:r>
      <w:r>
        <w:rPr>
          <w:rFonts w:hint="eastAsia" w:ascii="Times New Roman" w:hAnsi="Times New Roman"/>
          <w:color w:val="000000"/>
          <w:sz w:val="24"/>
        </w:rPr>
        <w:t>11</w:t>
      </w:r>
      <w:r>
        <w:rPr>
          <w:rFonts w:ascii="Times New Roman" w:hAnsi="Times New Roman"/>
          <w:color w:val="000000"/>
          <w:sz w:val="24"/>
        </w:rPr>
        <w:t>月1</w:t>
      </w:r>
      <w:r>
        <w:rPr>
          <w:rFonts w:hint="eastAsia" w:ascii="Times New Roman" w:hAnsi="Times New Roman"/>
          <w:color w:val="000000"/>
          <w:sz w:val="24"/>
        </w:rPr>
        <w:t>2</w:t>
      </w:r>
      <w:r>
        <w:rPr>
          <w:rFonts w:ascii="Times New Roman" w:hAnsi="Times New Roman"/>
          <w:color w:val="000000"/>
          <w:sz w:val="24"/>
        </w:rPr>
        <w:t>日进行监测，监测三天，每天监测一次。</w:t>
      </w:r>
    </w:p>
    <w:p>
      <w:pPr>
        <w:spacing w:line="360" w:lineRule="auto"/>
        <w:outlineLvl w:val="0"/>
        <w:rPr>
          <w:rFonts w:ascii="Times New Roman" w:hAnsi="Times New Roman"/>
          <w:sz w:val="24"/>
          <w:szCs w:val="24"/>
        </w:rPr>
      </w:pPr>
      <w:bookmarkStart w:id="299" w:name="_Toc18943"/>
      <w:r>
        <w:rPr>
          <w:rFonts w:ascii="Times New Roman" w:hAnsi="Times New Roman"/>
          <w:sz w:val="24"/>
          <w:szCs w:val="24"/>
        </w:rPr>
        <w:t>4.2.2.4监测结果</w:t>
      </w:r>
      <w:bookmarkEnd w:id="299"/>
    </w:p>
    <w:p>
      <w:pPr>
        <w:adjustRightInd w:val="0"/>
        <w:snapToGrid w:val="0"/>
        <w:spacing w:line="360" w:lineRule="auto"/>
        <w:ind w:firstLine="480"/>
        <w:rPr>
          <w:rFonts w:ascii="Times New Roman" w:hAnsi="Times New Roman"/>
          <w:color w:val="000000"/>
          <w:sz w:val="24"/>
        </w:rPr>
      </w:pPr>
      <w:r>
        <w:rPr>
          <w:rFonts w:ascii="Times New Roman" w:hAnsi="Times New Roman"/>
          <w:color w:val="000000"/>
          <w:sz w:val="24"/>
        </w:rPr>
        <w:t>监测结果见下表。</w:t>
      </w:r>
    </w:p>
    <w:p>
      <w:pPr>
        <w:adjustRightInd w:val="0"/>
        <w:snapToGrid w:val="0"/>
        <w:ind w:firstLine="1908" w:firstLineChars="792"/>
        <w:rPr>
          <w:rFonts w:ascii="Times New Roman" w:hAnsi="Times New Roman"/>
          <w:color w:val="000000"/>
          <w:szCs w:val="21"/>
        </w:rPr>
      </w:pPr>
      <w:r>
        <w:rPr>
          <w:rFonts w:ascii="Times New Roman" w:hAnsi="Times New Roman"/>
          <w:b/>
          <w:color w:val="000000"/>
          <w:sz w:val="24"/>
        </w:rPr>
        <w:t>表4-</w:t>
      </w:r>
      <w:r>
        <w:rPr>
          <w:rFonts w:hint="eastAsia" w:ascii="Times New Roman" w:hAnsi="Times New Roman"/>
          <w:b/>
          <w:color w:val="000000"/>
          <w:sz w:val="24"/>
        </w:rPr>
        <w:t>3</w:t>
      </w:r>
      <w:r>
        <w:rPr>
          <w:rFonts w:ascii="Times New Roman" w:hAnsi="Times New Roman"/>
          <w:b/>
          <w:color w:val="000000"/>
          <w:sz w:val="24"/>
        </w:rPr>
        <w:t xml:space="preserve">  地表水水质现状监测结果   </w:t>
      </w:r>
      <w:r>
        <w:rPr>
          <w:rFonts w:ascii="Times New Roman" w:hAnsi="Times New Roman"/>
          <w:color w:val="000000"/>
          <w:szCs w:val="21"/>
        </w:rPr>
        <w:t>单位：mg/</w:t>
      </w:r>
      <w:r>
        <w:rPr>
          <w:rFonts w:hint="eastAsia" w:ascii="Times New Roman" w:hAnsi="Times New Roman"/>
          <w:color w:val="000000"/>
          <w:szCs w:val="21"/>
        </w:rPr>
        <w:t>L</w:t>
      </w:r>
      <w:r>
        <w:rPr>
          <w:rFonts w:ascii="Times New Roman" w:hAnsi="Times New Roman"/>
          <w:color w:val="000000"/>
          <w:szCs w:val="21"/>
        </w:rPr>
        <w:t>（pH除外）</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3"/>
        <w:gridCol w:w="1705"/>
        <w:gridCol w:w="1704"/>
        <w:gridCol w:w="1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bookmarkStart w:id="300" w:name="_Toc8723"/>
            <w:r>
              <w:rPr>
                <w:rFonts w:ascii="Times New Roman" w:hAnsi="Times New Roman"/>
                <w:szCs w:val="21"/>
              </w:rPr>
              <w:t>序号</w:t>
            </w:r>
          </w:p>
        </w:tc>
        <w:tc>
          <w:tcPr>
            <w:tcW w:w="1703" w:type="dxa"/>
            <w:vAlign w:val="center"/>
          </w:tcPr>
          <w:p>
            <w:pPr>
              <w:adjustRightInd w:val="0"/>
              <w:snapToGrid w:val="0"/>
              <w:jc w:val="center"/>
              <w:rPr>
                <w:rFonts w:ascii="Times New Roman" w:hAnsi="Times New Roman"/>
                <w:szCs w:val="21"/>
              </w:rPr>
            </w:pPr>
            <w:r>
              <w:rPr>
                <w:rFonts w:ascii="Times New Roman" w:hAnsi="Times New Roman"/>
                <w:szCs w:val="21"/>
              </w:rPr>
              <w:t>监测项目</w:t>
            </w:r>
          </w:p>
        </w:tc>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w:t>
            </w:r>
          </w:p>
        </w:tc>
        <w:tc>
          <w:tcPr>
            <w:tcW w:w="1704" w:type="dxa"/>
            <w:vAlign w:val="center"/>
          </w:tcPr>
          <w:p>
            <w:pPr>
              <w:adjustRightInd w:val="0"/>
              <w:snapToGrid w:val="0"/>
              <w:jc w:val="center"/>
              <w:rPr>
                <w:rFonts w:ascii="Times New Roman" w:hAnsi="Times New Roman"/>
                <w:szCs w:val="21"/>
              </w:rPr>
            </w:pPr>
            <w:r>
              <w:rPr>
                <w:rFonts w:ascii="Times New Roman" w:hAnsi="Times New Roman"/>
                <w:szCs w:val="21"/>
              </w:rPr>
              <w:t>2#</w:t>
            </w:r>
          </w:p>
        </w:tc>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w:t>
            </w:r>
          </w:p>
        </w:tc>
        <w:tc>
          <w:tcPr>
            <w:tcW w:w="1703" w:type="dxa"/>
            <w:vAlign w:val="center"/>
          </w:tcPr>
          <w:p>
            <w:pPr>
              <w:pStyle w:val="72"/>
              <w:rPr>
                <w:rFonts w:ascii="Times New Roman" w:hAnsi="Times New Roman"/>
              </w:rPr>
            </w:pPr>
            <w:r>
              <w:rPr>
                <w:rFonts w:ascii="Times New Roman" w:hAnsi="Times New Roman"/>
                <w:b w:val="0"/>
                <w:bCs/>
                <w:i w:val="0"/>
                <w:iCs/>
                <w:snapToGrid w:val="0"/>
                <w:kern w:val="0"/>
                <w:u w:val="none"/>
              </w:rPr>
              <w:t>pH</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7.24</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7.34</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7.15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2</w:t>
            </w:r>
          </w:p>
        </w:tc>
        <w:tc>
          <w:tcPr>
            <w:tcW w:w="1703" w:type="dxa"/>
            <w:vAlign w:val="center"/>
          </w:tcPr>
          <w:p>
            <w:pPr>
              <w:pStyle w:val="72"/>
              <w:rPr>
                <w:rFonts w:ascii="Times New Roman" w:hAnsi="Times New Roman"/>
                <w:vertAlign w:val="subscript"/>
              </w:rPr>
            </w:pPr>
            <w:r>
              <w:rPr>
                <w:rFonts w:ascii="Times New Roman" w:hAnsi="Times New Roman"/>
                <w:b w:val="0"/>
                <w:bCs/>
                <w:i w:val="0"/>
                <w:iCs/>
                <w:snapToGrid w:val="0"/>
                <w:kern w:val="0"/>
                <w:u w:val="none"/>
              </w:rPr>
              <w:t>BOD</w:t>
            </w:r>
            <w:r>
              <w:rPr>
                <w:rFonts w:ascii="Times New Roman" w:hAnsi="Times New Roman"/>
                <w:b w:val="0"/>
                <w:bCs/>
                <w:i w:val="0"/>
                <w:iCs/>
                <w:snapToGrid w:val="0"/>
                <w:kern w:val="0"/>
                <w:u w:val="none"/>
                <w:vertAlign w:val="subscript"/>
              </w:rPr>
              <w:t>5</w:t>
            </w:r>
          </w:p>
        </w:tc>
        <w:tc>
          <w:tcPr>
            <w:tcW w:w="1705" w:type="dxa"/>
            <w:vAlign w:val="center"/>
          </w:tcPr>
          <w:p>
            <w:pPr>
              <w:jc w:val="center"/>
              <w:rPr>
                <w:rFonts w:ascii="Times New Roman" w:hAnsi="Times New Roman"/>
                <w:b/>
                <w:bCs/>
                <w:szCs w:val="21"/>
                <w:highlight w:val="yellow"/>
              </w:rPr>
            </w:pPr>
            <w:r>
              <w:rPr>
                <w:rFonts w:hint="eastAsia" w:ascii="Times New Roman" w:hAnsi="Times New Roman"/>
                <w:color w:val="000000"/>
                <w:kern w:val="0"/>
                <w:szCs w:val="21"/>
              </w:rPr>
              <w:t>2.7</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2.6</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3</w:t>
            </w:r>
          </w:p>
        </w:tc>
        <w:tc>
          <w:tcPr>
            <w:tcW w:w="1703" w:type="dxa"/>
            <w:vAlign w:val="center"/>
          </w:tcPr>
          <w:p>
            <w:pPr>
              <w:pStyle w:val="72"/>
              <w:rPr>
                <w:rFonts w:ascii="Times New Roman" w:hAnsi="Times New Roman"/>
              </w:rPr>
            </w:pPr>
            <w:r>
              <w:rPr>
                <w:rFonts w:ascii="Times New Roman" w:hAnsi="Times New Roman"/>
                <w:b w:val="0"/>
                <w:bCs/>
                <w:i w:val="0"/>
                <w:iCs/>
                <w:snapToGrid w:val="0"/>
                <w:kern w:val="0"/>
                <w:u w:val="none"/>
              </w:rPr>
              <w:t>COD</w:t>
            </w:r>
          </w:p>
        </w:tc>
        <w:tc>
          <w:tcPr>
            <w:tcW w:w="1705" w:type="dxa"/>
            <w:vAlign w:val="center"/>
          </w:tcPr>
          <w:p>
            <w:pPr>
              <w:jc w:val="center"/>
              <w:rPr>
                <w:rFonts w:ascii="Times New Roman" w:hAnsi="Times New Roman"/>
                <w:b/>
                <w:bCs/>
                <w:szCs w:val="21"/>
                <w:highlight w:val="yellow"/>
              </w:rPr>
            </w:pPr>
            <w:r>
              <w:rPr>
                <w:rFonts w:hint="eastAsia" w:ascii="Times New Roman" w:hAnsi="Times New Roman"/>
                <w:color w:val="000000"/>
                <w:kern w:val="0"/>
                <w:szCs w:val="21"/>
              </w:rPr>
              <w:t>13</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18</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4</w:t>
            </w:r>
          </w:p>
        </w:tc>
        <w:tc>
          <w:tcPr>
            <w:tcW w:w="1703" w:type="dxa"/>
            <w:vAlign w:val="center"/>
          </w:tcPr>
          <w:p>
            <w:pPr>
              <w:pStyle w:val="72"/>
              <w:rPr>
                <w:rFonts w:ascii="Times New Roman" w:hAnsi="Times New Roman"/>
              </w:rPr>
            </w:pPr>
            <w:r>
              <w:rPr>
                <w:rFonts w:ascii="Times New Roman" w:hAnsi="Times New Roman"/>
                <w:b w:val="0"/>
                <w:bCs/>
                <w:i w:val="0"/>
                <w:iCs/>
                <w:u w:val="none"/>
              </w:rPr>
              <w:t>氨氮</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0.062</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0.195</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5</w:t>
            </w:r>
          </w:p>
        </w:tc>
        <w:tc>
          <w:tcPr>
            <w:tcW w:w="1703" w:type="dxa"/>
            <w:vAlign w:val="center"/>
          </w:tcPr>
          <w:p>
            <w:pPr>
              <w:pStyle w:val="72"/>
              <w:rPr>
                <w:rFonts w:ascii="Times New Roman" w:hAnsi="Times New Roman"/>
              </w:rPr>
            </w:pPr>
            <w:r>
              <w:rPr>
                <w:rFonts w:ascii="Times New Roman" w:hAnsi="Times New Roman"/>
                <w:b w:val="0"/>
                <w:bCs/>
                <w:i w:val="0"/>
                <w:iCs/>
                <w:snapToGrid w:val="0"/>
                <w:u w:val="none"/>
              </w:rPr>
              <w:t>石油类</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0.01L</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0.01L</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6</w:t>
            </w:r>
          </w:p>
        </w:tc>
        <w:tc>
          <w:tcPr>
            <w:tcW w:w="1703" w:type="dxa"/>
            <w:vAlign w:val="center"/>
          </w:tcPr>
          <w:p>
            <w:pPr>
              <w:pStyle w:val="72"/>
              <w:rPr>
                <w:rFonts w:ascii="Times New Roman" w:hAnsi="Times New Roman"/>
              </w:rPr>
            </w:pPr>
            <w:r>
              <w:rPr>
                <w:rFonts w:ascii="Times New Roman" w:hAnsi="Times New Roman"/>
                <w:b w:val="0"/>
                <w:bCs/>
                <w:i w:val="0"/>
                <w:iCs/>
                <w:u w:val="none"/>
              </w:rPr>
              <w:t>SS</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18</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23</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7</w:t>
            </w:r>
          </w:p>
        </w:tc>
        <w:tc>
          <w:tcPr>
            <w:tcW w:w="1703" w:type="dxa"/>
            <w:vAlign w:val="center"/>
          </w:tcPr>
          <w:p>
            <w:pPr>
              <w:pStyle w:val="72"/>
              <w:rPr>
                <w:rFonts w:ascii="Times New Roman" w:hAnsi="Times New Roman"/>
              </w:rPr>
            </w:pPr>
            <w:r>
              <w:rPr>
                <w:rFonts w:ascii="Times New Roman" w:hAnsi="Times New Roman"/>
                <w:b w:val="0"/>
                <w:bCs/>
                <w:i w:val="0"/>
                <w:iCs/>
                <w:u w:val="none"/>
              </w:rPr>
              <w:t>硫化物</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0.112</w:t>
            </w:r>
          </w:p>
        </w:tc>
        <w:tc>
          <w:tcPr>
            <w:tcW w:w="1704" w:type="dxa"/>
            <w:vAlign w:val="center"/>
          </w:tcPr>
          <w:p>
            <w:pPr>
              <w:jc w:val="center"/>
              <w:rPr>
                <w:rFonts w:ascii="Times New Roman" w:hAnsi="Times New Roman"/>
                <w:szCs w:val="21"/>
              </w:rPr>
            </w:pPr>
            <w:r>
              <w:rPr>
                <w:rFonts w:hint="eastAsia" w:ascii="Times New Roman" w:hAnsi="Times New Roman"/>
                <w:color w:val="000000"/>
                <w:kern w:val="0"/>
                <w:szCs w:val="21"/>
              </w:rPr>
              <w:t>0.137</w:t>
            </w:r>
          </w:p>
        </w:tc>
        <w:tc>
          <w:tcPr>
            <w:tcW w:w="1705" w:type="dxa"/>
            <w:vAlign w:val="center"/>
          </w:tcPr>
          <w:p>
            <w:pPr>
              <w:jc w:val="center"/>
              <w:rPr>
                <w:rFonts w:ascii="Times New Roman" w:hAnsi="Times New Roman"/>
                <w:szCs w:val="21"/>
              </w:rPr>
            </w:pPr>
            <w:r>
              <w:rPr>
                <w:rFonts w:hint="eastAsia" w:ascii="Times New Roman" w:hAnsi="Times New Roman"/>
                <w:szCs w:val="21"/>
              </w:rPr>
              <w:t>0.126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8</w:t>
            </w:r>
          </w:p>
        </w:tc>
        <w:tc>
          <w:tcPr>
            <w:tcW w:w="1703" w:type="dxa"/>
            <w:vAlign w:val="center"/>
          </w:tcPr>
          <w:p>
            <w:pPr>
              <w:pStyle w:val="72"/>
              <w:rPr>
                <w:rFonts w:ascii="Times New Roman" w:hAnsi="Times New Roman"/>
              </w:rPr>
            </w:pPr>
            <w:r>
              <w:rPr>
                <w:rFonts w:ascii="Times New Roman" w:hAnsi="Times New Roman"/>
                <w:b w:val="0"/>
                <w:bCs/>
                <w:i w:val="0"/>
                <w:iCs/>
                <w:snapToGrid w:val="0"/>
                <w:u w:val="none"/>
              </w:rPr>
              <w:t>氟化物</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0.2L</w:t>
            </w:r>
          </w:p>
        </w:tc>
        <w:tc>
          <w:tcPr>
            <w:tcW w:w="1704" w:type="dxa"/>
            <w:vAlign w:val="center"/>
          </w:tcPr>
          <w:p>
            <w:pPr>
              <w:jc w:val="center"/>
              <w:rPr>
                <w:rFonts w:ascii="Times New Roman" w:hAnsi="Times New Roman"/>
                <w:szCs w:val="21"/>
              </w:rPr>
            </w:pPr>
            <w:r>
              <w:rPr>
                <w:rFonts w:hint="eastAsia" w:ascii="Times New Roman" w:hAnsi="Times New Roman"/>
                <w:color w:val="000000"/>
                <w:kern w:val="0"/>
                <w:szCs w:val="21"/>
              </w:rPr>
              <w:t>0.2L</w:t>
            </w:r>
          </w:p>
        </w:tc>
        <w:tc>
          <w:tcPr>
            <w:tcW w:w="1705" w:type="dxa"/>
            <w:vAlign w:val="center"/>
          </w:tcPr>
          <w:p>
            <w:pPr>
              <w:jc w:val="center"/>
              <w:rPr>
                <w:rFonts w:ascii="Times New Roman" w:hAnsi="Times New Roman"/>
                <w:szCs w:val="21"/>
              </w:rPr>
            </w:pPr>
            <w:r>
              <w:rPr>
                <w:rFonts w:hint="eastAsia" w:ascii="Times New Roman" w:hAnsi="Times New Roman"/>
                <w:color w:val="000000"/>
                <w:kern w:val="0"/>
                <w:szCs w:val="21"/>
              </w:rPr>
              <w:t>0.2L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9</w:t>
            </w:r>
          </w:p>
        </w:tc>
        <w:tc>
          <w:tcPr>
            <w:tcW w:w="1703" w:type="dxa"/>
            <w:vAlign w:val="center"/>
          </w:tcPr>
          <w:p>
            <w:pPr>
              <w:pStyle w:val="72"/>
              <w:rPr>
                <w:rFonts w:ascii="Times New Roman" w:hAnsi="Times New Roman"/>
              </w:rPr>
            </w:pPr>
            <w:r>
              <w:rPr>
                <w:rFonts w:ascii="Times New Roman" w:hAnsi="Times New Roman"/>
                <w:b w:val="0"/>
                <w:bCs/>
                <w:i w:val="0"/>
                <w:iCs/>
                <w:u w:val="none"/>
              </w:rPr>
              <w:t>汞</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0.0001L</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0.0001L</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10</w:t>
            </w:r>
          </w:p>
        </w:tc>
        <w:tc>
          <w:tcPr>
            <w:tcW w:w="1703" w:type="dxa"/>
            <w:vAlign w:val="center"/>
          </w:tcPr>
          <w:p>
            <w:pPr>
              <w:pStyle w:val="72"/>
              <w:rPr>
                <w:rFonts w:ascii="Times New Roman" w:hAnsi="Times New Roman"/>
              </w:rPr>
            </w:pPr>
            <w:r>
              <w:rPr>
                <w:rFonts w:ascii="Times New Roman" w:hAnsi="Times New Roman"/>
                <w:b w:val="0"/>
                <w:bCs/>
                <w:i w:val="0"/>
                <w:iCs/>
                <w:snapToGrid w:val="0"/>
                <w:u w:val="none"/>
              </w:rPr>
              <w:t>铅</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1L</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1L</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11</w:t>
            </w:r>
          </w:p>
        </w:tc>
        <w:tc>
          <w:tcPr>
            <w:tcW w:w="1703" w:type="dxa"/>
            <w:vAlign w:val="center"/>
          </w:tcPr>
          <w:p>
            <w:pPr>
              <w:pStyle w:val="72"/>
              <w:rPr>
                <w:rFonts w:ascii="Times New Roman" w:hAnsi="Times New Roman"/>
              </w:rPr>
            </w:pPr>
            <w:r>
              <w:rPr>
                <w:rFonts w:ascii="Times New Roman" w:hAnsi="Times New Roman"/>
                <w:b w:val="0"/>
                <w:bCs/>
                <w:i w:val="0"/>
                <w:iCs/>
                <w:u w:val="none"/>
              </w:rPr>
              <w:t>六价铬</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0.004L</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0.008</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12</w:t>
            </w:r>
          </w:p>
        </w:tc>
        <w:tc>
          <w:tcPr>
            <w:tcW w:w="1703" w:type="dxa"/>
            <w:vAlign w:val="center"/>
          </w:tcPr>
          <w:p>
            <w:pPr>
              <w:pStyle w:val="72"/>
              <w:rPr>
                <w:rFonts w:ascii="Times New Roman" w:hAnsi="Times New Roman"/>
              </w:rPr>
            </w:pPr>
            <w:r>
              <w:rPr>
                <w:rFonts w:ascii="Times New Roman" w:hAnsi="Times New Roman"/>
                <w:b w:val="0"/>
                <w:bCs/>
                <w:i w:val="0"/>
                <w:iCs/>
                <w:snapToGrid w:val="0"/>
                <w:u w:val="none"/>
              </w:rPr>
              <w:t>镉</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0.05L</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0.05L</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13</w:t>
            </w:r>
          </w:p>
        </w:tc>
        <w:tc>
          <w:tcPr>
            <w:tcW w:w="1703" w:type="dxa"/>
            <w:vAlign w:val="center"/>
          </w:tcPr>
          <w:p>
            <w:pPr>
              <w:pStyle w:val="72"/>
              <w:rPr>
                <w:rFonts w:ascii="Times New Roman" w:hAnsi="Times New Roman"/>
              </w:rPr>
            </w:pPr>
            <w:r>
              <w:rPr>
                <w:rFonts w:ascii="Times New Roman" w:hAnsi="Times New Roman"/>
                <w:b w:val="0"/>
                <w:bCs/>
                <w:i w:val="0"/>
                <w:iCs/>
                <w:u w:val="none"/>
              </w:rPr>
              <w:t>砷</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0.001L</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0.001L</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hint="eastAsia" w:ascii="Times New Roman" w:hAnsi="Times New Roman"/>
                <w:szCs w:val="21"/>
              </w:rPr>
              <w:t>14</w:t>
            </w:r>
          </w:p>
        </w:tc>
        <w:tc>
          <w:tcPr>
            <w:tcW w:w="1703" w:type="dxa"/>
            <w:vAlign w:val="center"/>
          </w:tcPr>
          <w:p>
            <w:pPr>
              <w:pStyle w:val="72"/>
              <w:rPr>
                <w:rFonts w:ascii="Times New Roman" w:hAnsi="Times New Roman"/>
                <w:b w:val="0"/>
                <w:bCs/>
                <w:i w:val="0"/>
                <w:iCs/>
                <w:u w:val="none"/>
              </w:rPr>
            </w:pPr>
            <w:r>
              <w:rPr>
                <w:rFonts w:hint="eastAsia" w:ascii="Times New Roman" w:hAnsi="Times New Roman"/>
                <w:b w:val="0"/>
                <w:bCs/>
                <w:i w:val="0"/>
                <w:iCs/>
                <w:u w:val="none"/>
              </w:rPr>
              <w:t>Fe</w:t>
            </w:r>
          </w:p>
        </w:tc>
        <w:tc>
          <w:tcPr>
            <w:tcW w:w="1705" w:type="dxa"/>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0.09</w:t>
            </w:r>
          </w:p>
        </w:tc>
        <w:tc>
          <w:tcPr>
            <w:tcW w:w="1704" w:type="dxa"/>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0.15</w:t>
            </w:r>
          </w:p>
        </w:tc>
        <w:tc>
          <w:tcPr>
            <w:tcW w:w="1705" w:type="dxa"/>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hint="eastAsia" w:ascii="Times New Roman" w:hAnsi="Times New Roman"/>
                <w:szCs w:val="21"/>
              </w:rPr>
              <w:t>15</w:t>
            </w:r>
          </w:p>
        </w:tc>
        <w:tc>
          <w:tcPr>
            <w:tcW w:w="1703" w:type="dxa"/>
            <w:vAlign w:val="center"/>
          </w:tcPr>
          <w:p>
            <w:pPr>
              <w:pStyle w:val="72"/>
              <w:rPr>
                <w:rFonts w:ascii="Times New Roman" w:hAnsi="Times New Roman"/>
                <w:b w:val="0"/>
                <w:bCs/>
                <w:i w:val="0"/>
                <w:iCs/>
                <w:u w:val="none"/>
              </w:rPr>
            </w:pPr>
            <w:r>
              <w:rPr>
                <w:rFonts w:hint="eastAsia" w:ascii="Times New Roman" w:hAnsi="Times New Roman"/>
                <w:b w:val="0"/>
                <w:bCs/>
                <w:i w:val="0"/>
                <w:iCs/>
                <w:u w:val="none"/>
              </w:rPr>
              <w:t>Mn</w:t>
            </w:r>
          </w:p>
        </w:tc>
        <w:tc>
          <w:tcPr>
            <w:tcW w:w="1705" w:type="dxa"/>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0.03</w:t>
            </w:r>
          </w:p>
        </w:tc>
        <w:tc>
          <w:tcPr>
            <w:tcW w:w="1704" w:type="dxa"/>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0.04</w:t>
            </w:r>
          </w:p>
        </w:tc>
        <w:tc>
          <w:tcPr>
            <w:tcW w:w="1705" w:type="dxa"/>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0.06</w:t>
            </w:r>
          </w:p>
        </w:tc>
      </w:tr>
    </w:tbl>
    <w:p>
      <w:pPr>
        <w:spacing w:beforeLines="50" w:line="360" w:lineRule="auto"/>
        <w:rPr>
          <w:sz w:val="24"/>
          <w:szCs w:val="24"/>
        </w:rPr>
      </w:pPr>
      <w:r>
        <w:rPr>
          <w:sz w:val="24"/>
          <w:szCs w:val="24"/>
        </w:rPr>
        <w:t>4.</w:t>
      </w:r>
      <w:r>
        <w:rPr>
          <w:rFonts w:hint="eastAsia"/>
          <w:sz w:val="24"/>
          <w:szCs w:val="24"/>
        </w:rPr>
        <w:t>2.2</w:t>
      </w:r>
      <w:r>
        <w:rPr>
          <w:sz w:val="24"/>
          <w:szCs w:val="24"/>
        </w:rPr>
        <w:t>.5评价方法</w:t>
      </w:r>
      <w:bookmarkEnd w:id="300"/>
    </w:p>
    <w:p>
      <w:pPr>
        <w:adjustRightInd w:val="0"/>
        <w:snapToGrid w:val="0"/>
        <w:spacing w:line="360" w:lineRule="auto"/>
        <w:ind w:firstLine="480" w:firstLineChars="200"/>
        <w:rPr>
          <w:rFonts w:ascii="Times New Roman" w:hAnsi="Times New Roman"/>
          <w:sz w:val="24"/>
        </w:rPr>
      </w:pPr>
      <w:r>
        <w:rPr>
          <w:rFonts w:ascii="Times New Roman" w:hAnsi="Times New Roman"/>
          <w:sz w:val="24"/>
        </w:rPr>
        <w:t>地表水环境质量现状评价采用单项标准指数法，其数学模式如下：</w:t>
      </w:r>
    </w:p>
    <w:p>
      <w:pPr>
        <w:spacing w:line="360" w:lineRule="auto"/>
        <w:outlineLvl w:val="0"/>
        <w:rPr>
          <w:rFonts w:ascii="Times New Roman" w:hAnsi="Times New Roman"/>
          <w:sz w:val="24"/>
        </w:rPr>
      </w:pPr>
      <w:r>
        <w:rPr>
          <w:rFonts w:ascii="Times New Roman" w:hAnsi="Times New Roman"/>
          <w:sz w:val="24"/>
        </w:rPr>
        <w:t xml:space="preserve">                       S</w:t>
      </w:r>
      <w:r>
        <w:rPr>
          <w:rFonts w:ascii="Times New Roman" w:hAnsi="Times New Roman"/>
          <w:sz w:val="24"/>
          <w:vertAlign w:val="subscript"/>
        </w:rPr>
        <w:t>ij</w:t>
      </w:r>
      <w:r>
        <w:rPr>
          <w:rFonts w:ascii="Times New Roman" w:hAnsi="Times New Roman"/>
          <w:sz w:val="24"/>
        </w:rPr>
        <w:t>=C</w:t>
      </w:r>
      <w:r>
        <w:rPr>
          <w:rFonts w:ascii="Times New Roman" w:hAnsi="Times New Roman"/>
          <w:sz w:val="24"/>
          <w:vertAlign w:val="subscript"/>
        </w:rPr>
        <w:t>ij</w:t>
      </w:r>
      <w:r>
        <w:rPr>
          <w:rFonts w:ascii="Times New Roman" w:hAnsi="Times New Roman"/>
          <w:sz w:val="24"/>
        </w:rPr>
        <w:t>/C</w:t>
      </w:r>
      <w:r>
        <w:rPr>
          <w:rFonts w:ascii="Times New Roman" w:hAnsi="Times New Roman"/>
          <w:sz w:val="24"/>
          <w:vertAlign w:val="subscript"/>
        </w:rPr>
        <w:t>0</w:t>
      </w:r>
      <w:r>
        <w:rPr>
          <w:rFonts w:ascii="Times New Roman" w:hAnsi="Times New Roman"/>
          <w:sz w:val="24"/>
        </w:rPr>
        <w:t xml:space="preserve"> </w:t>
      </w:r>
    </w:p>
    <w:p>
      <w:pPr>
        <w:spacing w:line="360" w:lineRule="auto"/>
        <w:rPr>
          <w:rFonts w:ascii="Times New Roman" w:hAnsi="Times New Roman"/>
          <w:sz w:val="24"/>
        </w:rPr>
      </w:pPr>
      <w:r>
        <w:rPr>
          <w:rFonts w:ascii="Times New Roman" w:hAnsi="Times New Roman"/>
          <w:sz w:val="24"/>
        </w:rPr>
        <w:t xml:space="preserve">    式中：S</w:t>
      </w:r>
      <w:r>
        <w:rPr>
          <w:rFonts w:ascii="Times New Roman" w:hAnsi="Times New Roman"/>
          <w:sz w:val="24"/>
          <w:vertAlign w:val="subscript"/>
        </w:rPr>
        <w:t>ij</w:t>
      </w:r>
      <w:r>
        <w:rPr>
          <w:rFonts w:ascii="Times New Roman" w:hAnsi="Times New Roman"/>
          <w:sz w:val="24"/>
        </w:rPr>
        <w:t>—单项水质参数i在第j点的标准指数；</w:t>
      </w:r>
    </w:p>
    <w:p>
      <w:pPr>
        <w:spacing w:line="360" w:lineRule="auto"/>
        <w:rPr>
          <w:rFonts w:ascii="Times New Roman" w:hAnsi="Times New Roman"/>
          <w:sz w:val="24"/>
        </w:rPr>
      </w:pPr>
      <w:r>
        <w:rPr>
          <w:rFonts w:ascii="Times New Roman" w:hAnsi="Times New Roman"/>
          <w:sz w:val="24"/>
        </w:rPr>
        <w:t xml:space="preserve">          C</w:t>
      </w:r>
      <w:r>
        <w:rPr>
          <w:rFonts w:ascii="Times New Roman" w:hAnsi="Times New Roman"/>
          <w:sz w:val="24"/>
          <w:vertAlign w:val="subscript"/>
        </w:rPr>
        <w:t>ij</w:t>
      </w:r>
      <w:r>
        <w:rPr>
          <w:rFonts w:ascii="Times New Roman" w:hAnsi="Times New Roman"/>
          <w:sz w:val="24"/>
        </w:rPr>
        <w:t>—第i种污染物监测结果，mg/L；</w:t>
      </w:r>
    </w:p>
    <w:p>
      <w:pPr>
        <w:spacing w:line="360" w:lineRule="auto"/>
        <w:rPr>
          <w:rFonts w:ascii="Times New Roman" w:hAnsi="Times New Roman"/>
          <w:sz w:val="24"/>
        </w:rPr>
      </w:pPr>
      <w:r>
        <w:rPr>
          <w:rFonts w:ascii="Times New Roman" w:hAnsi="Times New Roman"/>
          <w:sz w:val="24"/>
        </w:rPr>
        <w:t xml:space="preserve">          C</w:t>
      </w:r>
      <w:r>
        <w:rPr>
          <w:rFonts w:ascii="Times New Roman" w:hAnsi="Times New Roman"/>
          <w:sz w:val="24"/>
          <w:vertAlign w:val="subscript"/>
        </w:rPr>
        <w:t xml:space="preserve">0 </w:t>
      </w:r>
      <w:r>
        <w:rPr>
          <w:rFonts w:ascii="Times New Roman" w:hAnsi="Times New Roman"/>
          <w:sz w:val="24"/>
        </w:rPr>
        <w:t>—第i种污染物评价标准，mg/L。</w:t>
      </w:r>
    </w:p>
    <w:p>
      <w:pPr>
        <w:spacing w:line="360" w:lineRule="auto"/>
        <w:ind w:firstLine="480" w:firstLineChars="200"/>
        <w:rPr>
          <w:rFonts w:ascii="Times New Roman" w:hAnsi="Times New Roman"/>
          <w:sz w:val="24"/>
        </w:rPr>
      </w:pPr>
      <w:r>
        <w:rPr>
          <w:rFonts w:ascii="Times New Roman" w:hAnsi="Times New Roman"/>
          <w:sz w:val="24"/>
        </w:rPr>
        <w:t>pH的标准指数计算式：</w:t>
      </w:r>
    </w:p>
    <w:p>
      <w:pPr>
        <w:spacing w:line="360" w:lineRule="auto"/>
        <w:rPr>
          <w:rFonts w:ascii="Times New Roman" w:hAnsi="Times New Roman"/>
          <w:sz w:val="24"/>
        </w:rPr>
      </w:pPr>
      <w:r>
        <w:rPr>
          <w:rFonts w:ascii="Times New Roman" w:hAnsi="Times New Roman"/>
          <w:sz w:val="24"/>
        </w:rPr>
        <w:t xml:space="preserve">              S</w:t>
      </w:r>
      <w:r>
        <w:rPr>
          <w:rFonts w:ascii="Times New Roman" w:hAnsi="Times New Roman"/>
          <w:sz w:val="24"/>
          <w:vertAlign w:val="subscript"/>
        </w:rPr>
        <w:t>pH,j</w:t>
      </w:r>
      <w:r>
        <w:rPr>
          <w:rFonts w:ascii="Times New Roman" w:hAnsi="Times New Roman"/>
          <w:sz w:val="24"/>
        </w:rPr>
        <w:t>=</w:t>
      </w:r>
      <w:r>
        <w:rPr>
          <w:rFonts w:ascii="Times New Roman" w:hAnsi="Times New Roman"/>
          <w:position w:val="-30"/>
          <w:sz w:val="24"/>
        </w:rPr>
        <w:object>
          <v:shape id="_x0000_i1026" o:spt="75" type="#_x0000_t75" style="height:36pt;width:57.05pt;" o:ole="t" filled="f" o:preferrelative="t" stroked="f" coordsize="21600,21600">
            <v:path/>
            <v:fill on="f" focussize="0,0"/>
            <v:stroke on="f" joinstyle="miter"/>
            <v:imagedata r:id="rId13" o:title=""/>
            <o:lock v:ext="edit" aspectratio="t"/>
            <w10:wrap type="none"/>
            <w10:anchorlock/>
          </v:shape>
          <o:OLEObject Type="Embed" ProgID="Equation.2" ShapeID="_x0000_i1026" DrawAspect="Content" ObjectID="_1468075726" r:id="rId12">
            <o:LockedField>false</o:LockedField>
          </o:OLEObject>
        </w:object>
      </w:r>
      <w:r>
        <w:rPr>
          <w:rFonts w:ascii="Times New Roman" w:hAnsi="Times New Roman"/>
          <w:sz w:val="24"/>
        </w:rPr>
        <w:t xml:space="preserve">        pH</w:t>
      </w:r>
      <w:r>
        <w:rPr>
          <w:rFonts w:ascii="Times New Roman" w:hAnsi="Times New Roman"/>
          <w:sz w:val="24"/>
          <w:vertAlign w:val="subscript"/>
        </w:rPr>
        <w:t>j</w:t>
      </w:r>
      <w:r>
        <w:rPr>
          <w:rFonts w:ascii="Times New Roman" w:hAnsi="Times New Roman"/>
          <w:sz w:val="24"/>
          <w:lang w:val="en-GB"/>
        </w:rPr>
        <w:t>≤</w:t>
      </w:r>
      <w:r>
        <w:rPr>
          <w:rFonts w:ascii="Times New Roman" w:hAnsi="Times New Roman"/>
          <w:sz w:val="24"/>
        </w:rPr>
        <w:t>7.0</w:t>
      </w:r>
    </w:p>
    <w:p>
      <w:pPr>
        <w:spacing w:line="360" w:lineRule="auto"/>
        <w:rPr>
          <w:rFonts w:ascii="Times New Roman" w:hAnsi="Times New Roman"/>
          <w:sz w:val="24"/>
        </w:rPr>
      </w:pPr>
      <w:r>
        <w:rPr>
          <w:rFonts w:ascii="Times New Roman" w:hAnsi="Times New Roman"/>
          <w:sz w:val="24"/>
        </w:rPr>
        <w:t xml:space="preserve">              S</w:t>
      </w:r>
      <w:r>
        <w:rPr>
          <w:rFonts w:ascii="Times New Roman" w:hAnsi="Times New Roman"/>
          <w:sz w:val="24"/>
          <w:vertAlign w:val="subscript"/>
        </w:rPr>
        <w:t>pH,j</w:t>
      </w:r>
      <w:r>
        <w:rPr>
          <w:rFonts w:ascii="Times New Roman" w:hAnsi="Times New Roman"/>
          <w:sz w:val="24"/>
        </w:rPr>
        <w:t>=</w:t>
      </w:r>
      <w:r>
        <w:rPr>
          <w:rFonts w:ascii="Times New Roman" w:hAnsi="Times New Roman"/>
          <w:position w:val="-30"/>
          <w:sz w:val="24"/>
        </w:rPr>
        <w:object>
          <v:shape id="_x0000_i1027" o:spt="75" type="#_x0000_t75" style="height:36pt;width:55.7pt;" o:ole="t" filled="f" o:preferrelative="t" stroked="f" coordsize="21600,21600">
            <v:path/>
            <v:fill on="f" focussize="0,0"/>
            <v:stroke on="f" joinstyle="miter"/>
            <v:imagedata r:id="rId15" o:title=""/>
            <o:lock v:ext="edit" aspectratio="t"/>
            <w10:wrap type="none"/>
            <w10:anchorlock/>
          </v:shape>
          <o:OLEObject Type="Embed" ProgID="Equation.2" ShapeID="_x0000_i1027" DrawAspect="Content" ObjectID="_1468075727" r:id="rId14">
            <o:LockedField>false</o:LockedField>
          </o:OLEObject>
        </w:object>
      </w:r>
      <w:r>
        <w:rPr>
          <w:rFonts w:ascii="Times New Roman" w:hAnsi="Times New Roman"/>
          <w:sz w:val="24"/>
        </w:rPr>
        <w:t xml:space="preserve">        pH</w:t>
      </w:r>
      <w:r>
        <w:rPr>
          <w:rFonts w:ascii="Times New Roman" w:hAnsi="Times New Roman"/>
          <w:sz w:val="24"/>
          <w:vertAlign w:val="subscript"/>
        </w:rPr>
        <w:t>j</w:t>
      </w:r>
      <w:r>
        <w:rPr>
          <w:rFonts w:ascii="Times New Roman" w:hAnsi="Times New Roman"/>
          <w:sz w:val="24"/>
        </w:rPr>
        <w:t>&gt;7.0</w:t>
      </w:r>
    </w:p>
    <w:p>
      <w:pPr>
        <w:spacing w:line="360" w:lineRule="auto"/>
        <w:ind w:firstLine="480"/>
        <w:rPr>
          <w:rFonts w:ascii="Times New Roman" w:hAnsi="Times New Roman"/>
          <w:sz w:val="24"/>
        </w:rPr>
      </w:pPr>
      <w:r>
        <w:rPr>
          <w:rFonts w:ascii="Times New Roman" w:hAnsi="Times New Roman"/>
          <w:sz w:val="24"/>
        </w:rPr>
        <w:t>式中：S</w:t>
      </w:r>
      <w:r>
        <w:rPr>
          <w:rFonts w:ascii="Times New Roman" w:hAnsi="Times New Roman"/>
          <w:sz w:val="24"/>
          <w:vertAlign w:val="subscript"/>
        </w:rPr>
        <w:t>pH，j</w:t>
      </w:r>
      <w:r>
        <w:rPr>
          <w:rFonts w:ascii="Times New Roman" w:hAnsi="Times New Roman"/>
          <w:sz w:val="24"/>
        </w:rPr>
        <w:t>—pH在第j点的标准指数；</w:t>
      </w:r>
    </w:p>
    <w:p>
      <w:pPr>
        <w:spacing w:line="360" w:lineRule="auto"/>
        <w:ind w:firstLine="480"/>
        <w:rPr>
          <w:rFonts w:ascii="Times New Roman" w:hAnsi="Times New Roman"/>
          <w:sz w:val="24"/>
        </w:rPr>
      </w:pPr>
      <w:r>
        <w:rPr>
          <w:rFonts w:ascii="Times New Roman" w:hAnsi="Times New Roman"/>
          <w:sz w:val="24"/>
        </w:rPr>
        <w:t xml:space="preserve">      pH</w:t>
      </w:r>
      <w:r>
        <w:rPr>
          <w:rFonts w:ascii="Times New Roman" w:hAnsi="Times New Roman"/>
          <w:sz w:val="24"/>
          <w:vertAlign w:val="subscript"/>
        </w:rPr>
        <w:t>j</w:t>
      </w:r>
      <w:r>
        <w:rPr>
          <w:rFonts w:ascii="Times New Roman" w:hAnsi="Times New Roman"/>
          <w:sz w:val="24"/>
        </w:rPr>
        <w:t>—j点的pH值；</w:t>
      </w:r>
    </w:p>
    <w:p>
      <w:pPr>
        <w:spacing w:line="360" w:lineRule="auto"/>
        <w:ind w:firstLine="480"/>
        <w:rPr>
          <w:rFonts w:ascii="Times New Roman" w:hAnsi="Times New Roman"/>
          <w:sz w:val="24"/>
        </w:rPr>
      </w:pPr>
      <w:r>
        <w:rPr>
          <w:rFonts w:ascii="Times New Roman" w:hAnsi="Times New Roman"/>
          <w:sz w:val="24"/>
        </w:rPr>
        <w:t xml:space="preserve">      pH</w:t>
      </w:r>
      <w:r>
        <w:rPr>
          <w:rFonts w:ascii="Times New Roman" w:hAnsi="Times New Roman"/>
          <w:sz w:val="24"/>
          <w:vertAlign w:val="subscript"/>
        </w:rPr>
        <w:t>sd</w:t>
      </w:r>
      <w:r>
        <w:rPr>
          <w:rFonts w:ascii="Times New Roman" w:hAnsi="Times New Roman"/>
          <w:sz w:val="24"/>
        </w:rPr>
        <w:t>—地表水水质标准中规定的pH值下限；</w:t>
      </w:r>
    </w:p>
    <w:p>
      <w:pPr>
        <w:spacing w:line="360" w:lineRule="auto"/>
        <w:ind w:firstLine="480"/>
        <w:rPr>
          <w:rFonts w:ascii="Times New Roman" w:hAnsi="Times New Roman"/>
          <w:sz w:val="24"/>
        </w:rPr>
      </w:pPr>
      <w:r>
        <w:rPr>
          <w:rFonts w:ascii="Times New Roman" w:hAnsi="Times New Roman"/>
          <w:sz w:val="24"/>
        </w:rPr>
        <w:t xml:space="preserve">      pH</w:t>
      </w:r>
      <w:r>
        <w:rPr>
          <w:rFonts w:ascii="Times New Roman" w:hAnsi="Times New Roman"/>
          <w:sz w:val="24"/>
          <w:vertAlign w:val="subscript"/>
        </w:rPr>
        <w:t>su</w:t>
      </w:r>
      <w:r>
        <w:rPr>
          <w:rFonts w:ascii="Times New Roman" w:hAnsi="Times New Roman"/>
          <w:sz w:val="24"/>
        </w:rPr>
        <w:t>—地表水水质标准中规定的pH值上限。</w:t>
      </w:r>
    </w:p>
    <w:p>
      <w:pPr>
        <w:spacing w:line="360" w:lineRule="auto"/>
        <w:outlineLvl w:val="0"/>
        <w:rPr>
          <w:sz w:val="24"/>
          <w:szCs w:val="24"/>
        </w:rPr>
      </w:pPr>
      <w:bookmarkStart w:id="301" w:name="_Toc15421"/>
      <w:r>
        <w:rPr>
          <w:sz w:val="24"/>
          <w:szCs w:val="24"/>
        </w:rPr>
        <w:t>4.</w:t>
      </w:r>
      <w:r>
        <w:rPr>
          <w:rFonts w:hint="eastAsia"/>
          <w:sz w:val="24"/>
          <w:szCs w:val="24"/>
        </w:rPr>
        <w:t>2.2</w:t>
      </w:r>
      <w:r>
        <w:rPr>
          <w:sz w:val="24"/>
          <w:szCs w:val="24"/>
        </w:rPr>
        <w:t>.6评价标准</w:t>
      </w:r>
      <w:bookmarkEnd w:id="301"/>
    </w:p>
    <w:p>
      <w:pPr>
        <w:adjustRightInd w:val="0"/>
        <w:snapToGrid w:val="0"/>
        <w:spacing w:line="360" w:lineRule="auto"/>
        <w:ind w:firstLine="480" w:firstLineChars="200"/>
        <w:rPr>
          <w:rFonts w:ascii="Times New Roman" w:hAnsi="Times New Roman"/>
          <w:sz w:val="24"/>
        </w:rPr>
      </w:pPr>
      <w:r>
        <w:rPr>
          <w:rFonts w:ascii="Times New Roman" w:hAnsi="Times New Roman"/>
          <w:sz w:val="24"/>
        </w:rPr>
        <w:t>采用GB3838</w:t>
      </w:r>
      <w:r>
        <w:rPr>
          <w:rFonts w:hint="eastAsia" w:ascii="Times New Roman" w:hAnsi="Times New Roman"/>
          <w:sz w:val="24"/>
        </w:rPr>
        <w:t>-</w:t>
      </w:r>
      <w:r>
        <w:rPr>
          <w:rFonts w:ascii="Times New Roman" w:hAnsi="Times New Roman"/>
          <w:sz w:val="24"/>
        </w:rPr>
        <w:t>2002《地表水环境质量标准》中</w:t>
      </w:r>
      <w:r>
        <w:rPr>
          <w:rFonts w:hint="eastAsia" w:ascii="宋体" w:hAnsi="宋体" w:cs="宋体"/>
          <w:sz w:val="24"/>
        </w:rPr>
        <w:t>Ⅱ</w:t>
      </w:r>
      <w:r>
        <w:rPr>
          <w:rFonts w:ascii="Times New Roman" w:hAnsi="Times New Roman"/>
          <w:sz w:val="24"/>
        </w:rPr>
        <w:t>类标准。</w:t>
      </w:r>
    </w:p>
    <w:p>
      <w:pPr>
        <w:spacing w:line="360" w:lineRule="auto"/>
        <w:outlineLvl w:val="0"/>
        <w:rPr>
          <w:sz w:val="24"/>
          <w:szCs w:val="24"/>
        </w:rPr>
      </w:pPr>
      <w:bookmarkStart w:id="302" w:name="_Toc25157"/>
      <w:r>
        <w:rPr>
          <w:sz w:val="24"/>
          <w:szCs w:val="24"/>
        </w:rPr>
        <w:t>4.</w:t>
      </w:r>
      <w:r>
        <w:rPr>
          <w:rFonts w:hint="eastAsia"/>
          <w:sz w:val="24"/>
          <w:szCs w:val="24"/>
        </w:rPr>
        <w:t>2.2</w:t>
      </w:r>
      <w:r>
        <w:rPr>
          <w:sz w:val="24"/>
          <w:szCs w:val="24"/>
        </w:rPr>
        <w:t>.7评价结果及分析</w:t>
      </w:r>
      <w:bookmarkEnd w:id="302"/>
    </w:p>
    <w:p>
      <w:pPr>
        <w:adjustRightInd w:val="0"/>
        <w:snapToGrid w:val="0"/>
        <w:spacing w:line="360" w:lineRule="auto"/>
        <w:ind w:firstLine="480"/>
        <w:rPr>
          <w:rFonts w:ascii="Times New Roman" w:hAnsi="Times New Roman"/>
          <w:color w:val="000000"/>
          <w:sz w:val="24"/>
        </w:rPr>
      </w:pPr>
      <w:r>
        <w:rPr>
          <w:rFonts w:ascii="Times New Roman" w:hAnsi="Times New Roman"/>
          <w:color w:val="000000"/>
          <w:sz w:val="24"/>
        </w:rPr>
        <w:t>利用评价标准对各监测断面的水质监测结果进行评价，各监测断面的标准指数计算结果见</w:t>
      </w:r>
      <w:r>
        <w:rPr>
          <w:rFonts w:hint="eastAsia" w:ascii="Times New Roman" w:hAnsi="Times New Roman"/>
          <w:color w:val="000000"/>
          <w:sz w:val="24"/>
        </w:rPr>
        <w:t>下表</w:t>
      </w:r>
      <w:r>
        <w:rPr>
          <w:rFonts w:ascii="Times New Roman" w:hAnsi="Times New Roman"/>
          <w:color w:val="000000"/>
          <w:sz w:val="24"/>
        </w:rPr>
        <w:t>。</w:t>
      </w:r>
    </w:p>
    <w:p>
      <w:pPr>
        <w:adjustRightInd w:val="0"/>
        <w:snapToGrid w:val="0"/>
        <w:ind w:firstLine="2277" w:firstLineChars="945"/>
        <w:rPr>
          <w:rFonts w:ascii="Times New Roman" w:hAnsi="Times New Roman"/>
          <w:b/>
          <w:color w:val="000000"/>
          <w:sz w:val="24"/>
        </w:rPr>
      </w:pPr>
      <w:r>
        <w:rPr>
          <w:rFonts w:ascii="Times New Roman" w:hAnsi="Times New Roman"/>
          <w:b/>
          <w:color w:val="000000"/>
          <w:sz w:val="24"/>
        </w:rPr>
        <w:t>表4-</w:t>
      </w:r>
      <w:r>
        <w:rPr>
          <w:rFonts w:hint="eastAsia" w:ascii="Times New Roman" w:hAnsi="Times New Roman"/>
          <w:b/>
          <w:color w:val="000000"/>
          <w:sz w:val="24"/>
        </w:rPr>
        <w:t>4</w:t>
      </w:r>
      <w:r>
        <w:rPr>
          <w:rFonts w:ascii="Times New Roman" w:hAnsi="Times New Roman"/>
          <w:b/>
          <w:color w:val="000000"/>
          <w:sz w:val="24"/>
        </w:rPr>
        <w:t xml:space="preserve"> 地表水水质现状评价结果</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3"/>
        <w:gridCol w:w="1705"/>
        <w:gridCol w:w="1704"/>
        <w:gridCol w:w="1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序号</w:t>
            </w:r>
          </w:p>
        </w:tc>
        <w:tc>
          <w:tcPr>
            <w:tcW w:w="1703" w:type="dxa"/>
            <w:vAlign w:val="center"/>
          </w:tcPr>
          <w:p>
            <w:pPr>
              <w:adjustRightInd w:val="0"/>
              <w:snapToGrid w:val="0"/>
              <w:jc w:val="center"/>
              <w:rPr>
                <w:rFonts w:ascii="Times New Roman" w:hAnsi="Times New Roman"/>
                <w:szCs w:val="21"/>
              </w:rPr>
            </w:pPr>
            <w:r>
              <w:rPr>
                <w:rFonts w:ascii="Times New Roman" w:hAnsi="Times New Roman"/>
                <w:szCs w:val="21"/>
              </w:rPr>
              <w:t>监测项目</w:t>
            </w:r>
          </w:p>
        </w:tc>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w:t>
            </w:r>
          </w:p>
        </w:tc>
        <w:tc>
          <w:tcPr>
            <w:tcW w:w="1704" w:type="dxa"/>
            <w:vAlign w:val="center"/>
          </w:tcPr>
          <w:p>
            <w:pPr>
              <w:adjustRightInd w:val="0"/>
              <w:snapToGrid w:val="0"/>
              <w:jc w:val="center"/>
              <w:rPr>
                <w:rFonts w:ascii="Times New Roman" w:hAnsi="Times New Roman"/>
                <w:szCs w:val="21"/>
              </w:rPr>
            </w:pPr>
            <w:r>
              <w:rPr>
                <w:rFonts w:ascii="Times New Roman" w:hAnsi="Times New Roman"/>
                <w:szCs w:val="21"/>
              </w:rPr>
              <w:t>2#</w:t>
            </w:r>
          </w:p>
        </w:tc>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w:t>
            </w:r>
          </w:p>
        </w:tc>
        <w:tc>
          <w:tcPr>
            <w:tcW w:w="1703" w:type="dxa"/>
            <w:vAlign w:val="center"/>
          </w:tcPr>
          <w:p>
            <w:pPr>
              <w:pStyle w:val="72"/>
              <w:rPr>
                <w:rFonts w:ascii="Times New Roman" w:hAnsi="Times New Roman"/>
              </w:rPr>
            </w:pPr>
            <w:r>
              <w:rPr>
                <w:rFonts w:ascii="Times New Roman" w:hAnsi="Times New Roman"/>
                <w:b w:val="0"/>
                <w:bCs/>
                <w:i w:val="0"/>
                <w:iCs/>
                <w:snapToGrid w:val="0"/>
                <w:kern w:val="0"/>
                <w:u w:val="none"/>
              </w:rPr>
              <w:t>pH</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0.12</w:t>
            </w:r>
          </w:p>
        </w:tc>
        <w:tc>
          <w:tcPr>
            <w:tcW w:w="1704" w:type="dxa"/>
            <w:vAlign w:val="center"/>
          </w:tcPr>
          <w:p>
            <w:pPr>
              <w:jc w:val="center"/>
              <w:rPr>
                <w:rFonts w:ascii="Times New Roman" w:hAnsi="Times New Roman"/>
                <w:szCs w:val="21"/>
              </w:rPr>
            </w:pPr>
            <w:r>
              <w:rPr>
                <w:rFonts w:hint="eastAsia" w:ascii="Times New Roman" w:hAnsi="Times New Roman"/>
                <w:szCs w:val="21"/>
              </w:rPr>
              <w:t>0.17</w:t>
            </w:r>
          </w:p>
        </w:tc>
        <w:tc>
          <w:tcPr>
            <w:tcW w:w="1705" w:type="dxa"/>
            <w:vAlign w:val="center"/>
          </w:tcPr>
          <w:p>
            <w:pPr>
              <w:jc w:val="center"/>
              <w:rPr>
                <w:rFonts w:ascii="Times New Roman" w:hAnsi="Times New Roman"/>
                <w:szCs w:val="21"/>
              </w:rPr>
            </w:pPr>
            <w:r>
              <w:rPr>
                <w:rFonts w:hint="eastAsia" w:ascii="Times New Roman" w:hAnsi="Times New Roman"/>
                <w:szCs w:val="21"/>
              </w:rPr>
              <w:t>0.075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2</w:t>
            </w:r>
          </w:p>
        </w:tc>
        <w:tc>
          <w:tcPr>
            <w:tcW w:w="1703" w:type="dxa"/>
            <w:vAlign w:val="center"/>
          </w:tcPr>
          <w:p>
            <w:pPr>
              <w:pStyle w:val="72"/>
              <w:rPr>
                <w:rFonts w:ascii="Times New Roman" w:hAnsi="Times New Roman"/>
                <w:vertAlign w:val="subscript"/>
              </w:rPr>
            </w:pPr>
            <w:r>
              <w:rPr>
                <w:rFonts w:ascii="Times New Roman" w:hAnsi="Times New Roman"/>
                <w:b w:val="0"/>
                <w:bCs/>
                <w:i w:val="0"/>
                <w:iCs/>
                <w:snapToGrid w:val="0"/>
                <w:kern w:val="0"/>
                <w:u w:val="none"/>
              </w:rPr>
              <w:t>BOD</w:t>
            </w:r>
            <w:r>
              <w:rPr>
                <w:rFonts w:ascii="Times New Roman" w:hAnsi="Times New Roman"/>
                <w:b w:val="0"/>
                <w:bCs/>
                <w:i w:val="0"/>
                <w:iCs/>
                <w:snapToGrid w:val="0"/>
                <w:kern w:val="0"/>
                <w:u w:val="none"/>
                <w:vertAlign w:val="subscript"/>
              </w:rPr>
              <w:t>5</w:t>
            </w:r>
          </w:p>
        </w:tc>
        <w:tc>
          <w:tcPr>
            <w:tcW w:w="1705" w:type="dxa"/>
            <w:vAlign w:val="center"/>
          </w:tcPr>
          <w:p>
            <w:pPr>
              <w:jc w:val="center"/>
              <w:rPr>
                <w:rFonts w:ascii="Times New Roman" w:hAnsi="Times New Roman"/>
                <w:b/>
                <w:bCs/>
                <w:szCs w:val="21"/>
                <w:highlight w:val="yellow"/>
              </w:rPr>
            </w:pPr>
            <w:r>
              <w:rPr>
                <w:rFonts w:hint="eastAsia" w:ascii="Times New Roman" w:hAnsi="Times New Roman"/>
                <w:color w:val="000000"/>
                <w:kern w:val="0"/>
                <w:szCs w:val="21"/>
              </w:rPr>
              <w:t>0.675</w:t>
            </w:r>
          </w:p>
        </w:tc>
        <w:tc>
          <w:tcPr>
            <w:tcW w:w="1704"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0.65</w:t>
            </w:r>
          </w:p>
        </w:tc>
        <w:tc>
          <w:tcPr>
            <w:tcW w:w="1705" w:type="dxa"/>
            <w:vAlign w:val="center"/>
          </w:tcPr>
          <w:p>
            <w:pPr>
              <w:jc w:val="center"/>
              <w:rPr>
                <w:rFonts w:ascii="Times New Roman" w:hAnsi="Times New Roman"/>
                <w:szCs w:val="21"/>
                <w:highlight w:val="yellow"/>
              </w:rPr>
            </w:pPr>
            <w:r>
              <w:rPr>
                <w:rFonts w:hint="eastAsia" w:ascii="Times New Roman" w:hAnsi="Times New Roman"/>
                <w:color w:val="000000"/>
                <w:kern w:val="0"/>
                <w:szCs w:val="21"/>
              </w:rPr>
              <w:t>0.625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3</w:t>
            </w:r>
          </w:p>
        </w:tc>
        <w:tc>
          <w:tcPr>
            <w:tcW w:w="1703" w:type="dxa"/>
            <w:vAlign w:val="center"/>
          </w:tcPr>
          <w:p>
            <w:pPr>
              <w:pStyle w:val="72"/>
              <w:rPr>
                <w:rFonts w:ascii="Times New Roman" w:hAnsi="Times New Roman"/>
                <w:b w:val="0"/>
                <w:bCs/>
              </w:rPr>
            </w:pPr>
            <w:r>
              <w:rPr>
                <w:rFonts w:ascii="Times New Roman" w:hAnsi="Times New Roman"/>
                <w:b w:val="0"/>
                <w:bCs/>
                <w:i w:val="0"/>
                <w:iCs/>
                <w:snapToGrid w:val="0"/>
                <w:kern w:val="0"/>
                <w:u w:val="none"/>
              </w:rPr>
              <w:t>COD</w:t>
            </w:r>
          </w:p>
        </w:tc>
        <w:tc>
          <w:tcPr>
            <w:tcW w:w="1705" w:type="dxa"/>
            <w:vAlign w:val="center"/>
          </w:tcPr>
          <w:p>
            <w:pPr>
              <w:jc w:val="center"/>
              <w:rPr>
                <w:rFonts w:ascii="Times New Roman" w:hAnsi="Times New Roman"/>
                <w:bCs/>
                <w:szCs w:val="21"/>
              </w:rPr>
            </w:pPr>
            <w:r>
              <w:rPr>
                <w:rFonts w:hint="eastAsia" w:ascii="Times New Roman" w:hAnsi="Times New Roman"/>
                <w:bCs/>
                <w:szCs w:val="21"/>
              </w:rPr>
              <w:t>0.65</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0.9</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4</w:t>
            </w:r>
          </w:p>
        </w:tc>
        <w:tc>
          <w:tcPr>
            <w:tcW w:w="1703" w:type="dxa"/>
            <w:vAlign w:val="center"/>
          </w:tcPr>
          <w:p>
            <w:pPr>
              <w:pStyle w:val="72"/>
              <w:rPr>
                <w:rFonts w:ascii="Times New Roman" w:hAnsi="Times New Roman"/>
                <w:b w:val="0"/>
                <w:bCs/>
              </w:rPr>
            </w:pPr>
            <w:r>
              <w:rPr>
                <w:rFonts w:ascii="Times New Roman" w:hAnsi="Times New Roman"/>
                <w:b w:val="0"/>
                <w:bCs/>
                <w:i w:val="0"/>
                <w:iCs/>
                <w:u w:val="none"/>
              </w:rPr>
              <w:t>氨氮</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0.062</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0.195</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0.051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5</w:t>
            </w:r>
          </w:p>
        </w:tc>
        <w:tc>
          <w:tcPr>
            <w:tcW w:w="1703" w:type="dxa"/>
            <w:vAlign w:val="center"/>
          </w:tcPr>
          <w:p>
            <w:pPr>
              <w:pStyle w:val="72"/>
              <w:rPr>
                <w:rFonts w:ascii="Times New Roman" w:hAnsi="Times New Roman"/>
                <w:b w:val="0"/>
                <w:bCs/>
              </w:rPr>
            </w:pPr>
            <w:r>
              <w:rPr>
                <w:rFonts w:ascii="Times New Roman" w:hAnsi="Times New Roman"/>
                <w:b w:val="0"/>
                <w:bCs/>
                <w:i w:val="0"/>
                <w:iCs/>
                <w:snapToGrid w:val="0"/>
                <w:u w:val="none"/>
              </w:rPr>
              <w:t>石油类</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6</w:t>
            </w:r>
          </w:p>
        </w:tc>
        <w:tc>
          <w:tcPr>
            <w:tcW w:w="1703" w:type="dxa"/>
            <w:vAlign w:val="center"/>
          </w:tcPr>
          <w:p>
            <w:pPr>
              <w:pStyle w:val="72"/>
              <w:rPr>
                <w:rFonts w:ascii="Times New Roman" w:hAnsi="Times New Roman"/>
                <w:b w:val="0"/>
                <w:bCs/>
              </w:rPr>
            </w:pPr>
            <w:r>
              <w:rPr>
                <w:rFonts w:ascii="Times New Roman" w:hAnsi="Times New Roman"/>
                <w:b w:val="0"/>
                <w:bCs/>
                <w:i w:val="0"/>
                <w:iCs/>
                <w:u w:val="none"/>
              </w:rPr>
              <w:t>SS</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0.72</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0.92</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7</w:t>
            </w:r>
          </w:p>
        </w:tc>
        <w:tc>
          <w:tcPr>
            <w:tcW w:w="1703" w:type="dxa"/>
            <w:vAlign w:val="center"/>
          </w:tcPr>
          <w:p>
            <w:pPr>
              <w:pStyle w:val="72"/>
              <w:rPr>
                <w:rFonts w:ascii="Times New Roman" w:hAnsi="Times New Roman"/>
                <w:b w:val="0"/>
                <w:bCs/>
              </w:rPr>
            </w:pPr>
            <w:r>
              <w:rPr>
                <w:rFonts w:ascii="Times New Roman" w:hAnsi="Times New Roman"/>
                <w:b w:val="0"/>
                <w:bCs/>
                <w:i w:val="0"/>
                <w:iCs/>
                <w:u w:val="none"/>
              </w:rPr>
              <w:t>硫化物</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0.56</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0.685</w:t>
            </w:r>
          </w:p>
        </w:tc>
        <w:tc>
          <w:tcPr>
            <w:tcW w:w="1705" w:type="dxa"/>
            <w:vAlign w:val="center"/>
          </w:tcPr>
          <w:p>
            <w:pPr>
              <w:jc w:val="center"/>
              <w:rPr>
                <w:rFonts w:ascii="Times New Roman" w:hAnsi="Times New Roman"/>
                <w:bCs/>
                <w:szCs w:val="21"/>
              </w:rPr>
            </w:pPr>
            <w:r>
              <w:rPr>
                <w:rFonts w:hint="eastAsia" w:ascii="Times New Roman" w:hAnsi="Times New Roman"/>
                <w:bCs/>
                <w:szCs w:val="21"/>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8</w:t>
            </w:r>
          </w:p>
        </w:tc>
        <w:tc>
          <w:tcPr>
            <w:tcW w:w="1703" w:type="dxa"/>
            <w:vAlign w:val="center"/>
          </w:tcPr>
          <w:p>
            <w:pPr>
              <w:pStyle w:val="72"/>
              <w:rPr>
                <w:rFonts w:ascii="Times New Roman" w:hAnsi="Times New Roman"/>
                <w:b w:val="0"/>
                <w:bCs/>
              </w:rPr>
            </w:pPr>
            <w:r>
              <w:rPr>
                <w:rFonts w:ascii="Times New Roman" w:hAnsi="Times New Roman"/>
                <w:b w:val="0"/>
                <w:bCs/>
                <w:i w:val="0"/>
                <w:iCs/>
                <w:snapToGrid w:val="0"/>
                <w:u w:val="none"/>
              </w:rPr>
              <w:t>氟化物</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9</w:t>
            </w:r>
          </w:p>
        </w:tc>
        <w:tc>
          <w:tcPr>
            <w:tcW w:w="1703" w:type="dxa"/>
            <w:vAlign w:val="center"/>
          </w:tcPr>
          <w:p>
            <w:pPr>
              <w:pStyle w:val="72"/>
              <w:rPr>
                <w:rFonts w:ascii="Times New Roman" w:hAnsi="Times New Roman"/>
                <w:b w:val="0"/>
                <w:bCs/>
              </w:rPr>
            </w:pPr>
            <w:r>
              <w:rPr>
                <w:rFonts w:ascii="Times New Roman" w:hAnsi="Times New Roman"/>
                <w:b w:val="0"/>
                <w:bCs/>
                <w:i w:val="0"/>
                <w:iCs/>
                <w:u w:val="none"/>
              </w:rPr>
              <w:t>汞</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4" w:type="dxa"/>
            <w:vAlign w:val="center"/>
          </w:tcPr>
          <w:p>
            <w:pPr>
              <w:jc w:val="center"/>
              <w:rPr>
                <w:rFonts w:ascii="Times New Roman" w:hAnsi="Times New Roman"/>
                <w:bCs/>
                <w:szCs w:val="21"/>
                <w:highlight w:val="yellow"/>
              </w:rPr>
            </w:pPr>
            <w:r>
              <w:rPr>
                <w:rFonts w:hint="eastAsia" w:ascii="Times New Roman" w:hAnsi="Times New Roman"/>
                <w:bCs/>
                <w:color w:val="000000"/>
                <w:kern w:val="0"/>
                <w:szCs w:val="21"/>
              </w:rPr>
              <w:t>--</w:t>
            </w:r>
          </w:p>
        </w:tc>
        <w:tc>
          <w:tcPr>
            <w:tcW w:w="1705" w:type="dxa"/>
            <w:vAlign w:val="center"/>
          </w:tcPr>
          <w:p>
            <w:pPr>
              <w:jc w:val="center"/>
              <w:rPr>
                <w:rFonts w:ascii="Times New Roman" w:hAnsi="Times New Roman"/>
                <w:bCs/>
                <w:szCs w:val="21"/>
                <w:highlight w:val="yellow"/>
              </w:rPr>
            </w:pPr>
            <w:r>
              <w:rPr>
                <w:rFonts w:hint="eastAsia" w:ascii="Times New Roman" w:hAnsi="Times New Roman"/>
                <w:bCs/>
                <w:color w:val="00000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10</w:t>
            </w:r>
          </w:p>
        </w:tc>
        <w:tc>
          <w:tcPr>
            <w:tcW w:w="1703" w:type="dxa"/>
            <w:vAlign w:val="center"/>
          </w:tcPr>
          <w:p>
            <w:pPr>
              <w:pStyle w:val="72"/>
              <w:rPr>
                <w:rFonts w:ascii="Times New Roman" w:hAnsi="Times New Roman"/>
                <w:b w:val="0"/>
                <w:bCs/>
              </w:rPr>
            </w:pPr>
            <w:r>
              <w:rPr>
                <w:rFonts w:ascii="Times New Roman" w:hAnsi="Times New Roman"/>
                <w:b w:val="0"/>
                <w:bCs/>
                <w:i w:val="0"/>
                <w:iCs/>
                <w:snapToGrid w:val="0"/>
                <w:u w:val="none"/>
              </w:rPr>
              <w:t>铅</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11</w:t>
            </w:r>
          </w:p>
        </w:tc>
        <w:tc>
          <w:tcPr>
            <w:tcW w:w="1703" w:type="dxa"/>
            <w:vAlign w:val="center"/>
          </w:tcPr>
          <w:p>
            <w:pPr>
              <w:pStyle w:val="72"/>
              <w:rPr>
                <w:rFonts w:ascii="Times New Roman" w:hAnsi="Times New Roman"/>
                <w:b w:val="0"/>
                <w:bCs/>
              </w:rPr>
            </w:pPr>
            <w:r>
              <w:rPr>
                <w:rFonts w:ascii="Times New Roman" w:hAnsi="Times New Roman"/>
                <w:b w:val="0"/>
                <w:bCs/>
                <w:i w:val="0"/>
                <w:iCs/>
                <w:u w:val="none"/>
              </w:rPr>
              <w:t>六价铬</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0.16</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12</w:t>
            </w:r>
          </w:p>
        </w:tc>
        <w:tc>
          <w:tcPr>
            <w:tcW w:w="1703" w:type="dxa"/>
            <w:vAlign w:val="center"/>
          </w:tcPr>
          <w:p>
            <w:pPr>
              <w:pStyle w:val="72"/>
              <w:rPr>
                <w:rFonts w:ascii="Times New Roman" w:hAnsi="Times New Roman"/>
                <w:b w:val="0"/>
                <w:bCs/>
              </w:rPr>
            </w:pPr>
            <w:r>
              <w:rPr>
                <w:rFonts w:ascii="Times New Roman" w:hAnsi="Times New Roman"/>
                <w:b w:val="0"/>
                <w:bCs/>
                <w:i w:val="0"/>
                <w:iCs/>
                <w:snapToGrid w:val="0"/>
                <w:u w:val="none"/>
              </w:rPr>
              <w:t>镉</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ascii="Times New Roman" w:hAnsi="Times New Roman"/>
                <w:szCs w:val="21"/>
              </w:rPr>
              <w:t>13</w:t>
            </w:r>
          </w:p>
        </w:tc>
        <w:tc>
          <w:tcPr>
            <w:tcW w:w="1703" w:type="dxa"/>
            <w:vAlign w:val="center"/>
          </w:tcPr>
          <w:p>
            <w:pPr>
              <w:pStyle w:val="72"/>
              <w:rPr>
                <w:rFonts w:ascii="Times New Roman" w:hAnsi="Times New Roman"/>
                <w:b w:val="0"/>
                <w:bCs/>
              </w:rPr>
            </w:pPr>
            <w:r>
              <w:rPr>
                <w:rFonts w:ascii="Times New Roman" w:hAnsi="Times New Roman"/>
                <w:b w:val="0"/>
                <w:bCs/>
                <w:i w:val="0"/>
                <w:iCs/>
                <w:u w:val="none"/>
              </w:rPr>
              <w:t>砷</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4"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c>
          <w:tcPr>
            <w:tcW w:w="1705" w:type="dxa"/>
            <w:vAlign w:val="center"/>
          </w:tcPr>
          <w:p>
            <w:pPr>
              <w:jc w:val="center"/>
              <w:rPr>
                <w:rFonts w:ascii="Times New Roman" w:hAnsi="Times New Roman"/>
                <w:bCs/>
                <w:szCs w:val="21"/>
              </w:rPr>
            </w:pPr>
            <w:r>
              <w:rPr>
                <w:rFonts w:hint="eastAsia" w:ascii="Times New Roman" w:hAnsi="Times New Roman"/>
                <w:bCs/>
                <w:color w:val="00000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hint="eastAsia" w:ascii="Times New Roman" w:hAnsi="Times New Roman"/>
                <w:szCs w:val="21"/>
              </w:rPr>
              <w:t>14</w:t>
            </w:r>
          </w:p>
        </w:tc>
        <w:tc>
          <w:tcPr>
            <w:tcW w:w="1703" w:type="dxa"/>
            <w:vAlign w:val="center"/>
          </w:tcPr>
          <w:p>
            <w:pPr>
              <w:pStyle w:val="72"/>
              <w:rPr>
                <w:rFonts w:ascii="Times New Roman" w:hAnsi="Times New Roman"/>
                <w:b w:val="0"/>
                <w:bCs/>
                <w:i w:val="0"/>
                <w:iCs/>
                <w:u w:val="none"/>
              </w:rPr>
            </w:pPr>
            <w:r>
              <w:rPr>
                <w:rFonts w:hint="eastAsia" w:ascii="Times New Roman" w:hAnsi="Times New Roman"/>
                <w:b w:val="0"/>
                <w:bCs/>
                <w:i w:val="0"/>
                <w:iCs/>
                <w:u w:val="none"/>
              </w:rPr>
              <w:t>Fe</w:t>
            </w:r>
          </w:p>
        </w:tc>
        <w:tc>
          <w:tcPr>
            <w:tcW w:w="1705" w:type="dxa"/>
            <w:vAlign w:val="center"/>
          </w:tcPr>
          <w:p>
            <w:pPr>
              <w:jc w:val="center"/>
              <w:rPr>
                <w:rFonts w:ascii="Times New Roman" w:hAnsi="Times New Roman"/>
                <w:bCs/>
                <w:color w:val="000000"/>
                <w:kern w:val="0"/>
                <w:szCs w:val="21"/>
              </w:rPr>
            </w:pPr>
            <w:r>
              <w:rPr>
                <w:rFonts w:hint="eastAsia" w:ascii="Times New Roman" w:hAnsi="Times New Roman"/>
                <w:bCs/>
                <w:color w:val="000000"/>
                <w:kern w:val="0"/>
                <w:szCs w:val="21"/>
              </w:rPr>
              <w:t>0.03</w:t>
            </w:r>
          </w:p>
        </w:tc>
        <w:tc>
          <w:tcPr>
            <w:tcW w:w="1704" w:type="dxa"/>
            <w:vAlign w:val="center"/>
          </w:tcPr>
          <w:p>
            <w:pPr>
              <w:jc w:val="center"/>
              <w:rPr>
                <w:rFonts w:ascii="Times New Roman" w:hAnsi="Times New Roman"/>
                <w:bCs/>
                <w:color w:val="000000"/>
                <w:kern w:val="0"/>
                <w:szCs w:val="21"/>
              </w:rPr>
            </w:pPr>
            <w:r>
              <w:rPr>
                <w:rFonts w:hint="eastAsia" w:ascii="Times New Roman" w:hAnsi="Times New Roman"/>
                <w:bCs/>
                <w:color w:val="000000"/>
                <w:kern w:val="0"/>
                <w:szCs w:val="21"/>
              </w:rPr>
              <w:t>0.5</w:t>
            </w:r>
          </w:p>
        </w:tc>
        <w:tc>
          <w:tcPr>
            <w:tcW w:w="1705" w:type="dxa"/>
            <w:vAlign w:val="center"/>
          </w:tcPr>
          <w:p>
            <w:pPr>
              <w:jc w:val="center"/>
              <w:rPr>
                <w:rFonts w:ascii="Times New Roman" w:hAnsi="Times New Roman"/>
                <w:bCs/>
                <w:color w:val="000000"/>
                <w:kern w:val="0"/>
                <w:szCs w:val="21"/>
              </w:rPr>
            </w:pPr>
            <w:r>
              <w:rPr>
                <w:rFonts w:hint="eastAsia" w:ascii="Times New Roman" w:hAnsi="Times New Roman"/>
                <w:bCs/>
                <w:color w:val="000000"/>
                <w:kern w:val="0"/>
                <w:szCs w:val="21"/>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5" w:type="dxa"/>
            <w:vAlign w:val="center"/>
          </w:tcPr>
          <w:p>
            <w:pPr>
              <w:adjustRightInd w:val="0"/>
              <w:snapToGrid w:val="0"/>
              <w:jc w:val="center"/>
              <w:rPr>
                <w:rFonts w:ascii="Times New Roman" w:hAnsi="Times New Roman"/>
                <w:szCs w:val="21"/>
              </w:rPr>
            </w:pPr>
            <w:r>
              <w:rPr>
                <w:rFonts w:hint="eastAsia" w:ascii="Times New Roman" w:hAnsi="Times New Roman"/>
                <w:szCs w:val="21"/>
              </w:rPr>
              <w:t>15</w:t>
            </w:r>
          </w:p>
        </w:tc>
        <w:tc>
          <w:tcPr>
            <w:tcW w:w="1703" w:type="dxa"/>
            <w:vAlign w:val="center"/>
          </w:tcPr>
          <w:p>
            <w:pPr>
              <w:pStyle w:val="72"/>
              <w:rPr>
                <w:rFonts w:ascii="Times New Roman" w:hAnsi="Times New Roman"/>
                <w:b w:val="0"/>
                <w:bCs/>
                <w:i w:val="0"/>
                <w:iCs/>
                <w:u w:val="none"/>
              </w:rPr>
            </w:pPr>
            <w:r>
              <w:rPr>
                <w:rFonts w:hint="eastAsia" w:ascii="Times New Roman" w:hAnsi="Times New Roman"/>
                <w:b w:val="0"/>
                <w:bCs/>
                <w:i w:val="0"/>
                <w:iCs/>
                <w:u w:val="none"/>
              </w:rPr>
              <w:t>Mn</w:t>
            </w:r>
          </w:p>
        </w:tc>
        <w:tc>
          <w:tcPr>
            <w:tcW w:w="1705" w:type="dxa"/>
            <w:vAlign w:val="center"/>
          </w:tcPr>
          <w:p>
            <w:pPr>
              <w:jc w:val="center"/>
              <w:rPr>
                <w:rFonts w:ascii="Times New Roman" w:hAnsi="Times New Roman"/>
                <w:bCs/>
                <w:color w:val="000000"/>
                <w:kern w:val="0"/>
                <w:szCs w:val="21"/>
              </w:rPr>
            </w:pPr>
            <w:r>
              <w:rPr>
                <w:rFonts w:hint="eastAsia" w:ascii="Times New Roman" w:hAnsi="Times New Roman"/>
                <w:color w:val="000000"/>
                <w:kern w:val="0"/>
                <w:szCs w:val="21"/>
              </w:rPr>
              <w:t>0.03</w:t>
            </w:r>
          </w:p>
        </w:tc>
        <w:tc>
          <w:tcPr>
            <w:tcW w:w="1704" w:type="dxa"/>
            <w:vAlign w:val="center"/>
          </w:tcPr>
          <w:p>
            <w:pPr>
              <w:jc w:val="center"/>
              <w:rPr>
                <w:rFonts w:ascii="Times New Roman" w:hAnsi="Times New Roman"/>
                <w:bCs/>
                <w:color w:val="000000"/>
                <w:kern w:val="0"/>
                <w:szCs w:val="21"/>
              </w:rPr>
            </w:pPr>
            <w:r>
              <w:rPr>
                <w:rFonts w:hint="eastAsia" w:ascii="Times New Roman" w:hAnsi="Times New Roman"/>
                <w:color w:val="000000"/>
                <w:kern w:val="0"/>
                <w:szCs w:val="21"/>
              </w:rPr>
              <w:t>0.04</w:t>
            </w:r>
          </w:p>
        </w:tc>
        <w:tc>
          <w:tcPr>
            <w:tcW w:w="1705" w:type="dxa"/>
            <w:vAlign w:val="center"/>
          </w:tcPr>
          <w:p>
            <w:pPr>
              <w:jc w:val="center"/>
              <w:rPr>
                <w:rFonts w:ascii="Times New Roman" w:hAnsi="Times New Roman"/>
                <w:bCs/>
                <w:color w:val="000000"/>
                <w:kern w:val="0"/>
                <w:szCs w:val="21"/>
              </w:rPr>
            </w:pPr>
            <w:r>
              <w:rPr>
                <w:rFonts w:hint="eastAsia" w:ascii="Times New Roman" w:hAnsi="Times New Roman"/>
                <w:color w:val="000000"/>
                <w:kern w:val="0"/>
                <w:szCs w:val="21"/>
              </w:rPr>
              <w:t>0.06</w:t>
            </w:r>
          </w:p>
        </w:tc>
      </w:tr>
    </w:tbl>
    <w:p>
      <w:pPr>
        <w:pStyle w:val="2"/>
        <w:spacing w:line="360" w:lineRule="auto"/>
        <w:ind w:firstLine="480" w:firstLineChars="200"/>
        <w:rPr>
          <w:rFonts w:ascii="Times New Roman" w:hAnsi="Times New Roman"/>
          <w:color w:val="000000"/>
          <w:sz w:val="24"/>
        </w:rPr>
      </w:pPr>
      <w:r>
        <w:rPr>
          <w:rFonts w:hint="eastAsia" w:ascii="Times New Roman" w:hAnsi="Times New Roman"/>
          <w:color w:val="000000"/>
          <w:sz w:val="24"/>
        </w:rPr>
        <w:t>经过以上水质现状评价结果可以看出，各监测断面的各项水污染监测因子均能满足GB3838-2002《地表水环境质量标准》中</w:t>
      </w:r>
      <w:r>
        <w:rPr>
          <w:rFonts w:ascii="Times New Roman" w:hAnsi="Times New Roman"/>
          <w:color w:val="000000"/>
          <w:sz w:val="24"/>
        </w:rPr>
        <w:t>III</w:t>
      </w:r>
      <w:r>
        <w:rPr>
          <w:rFonts w:hint="eastAsia" w:ascii="Times New Roman" w:hAnsi="Times New Roman"/>
          <w:color w:val="000000"/>
          <w:sz w:val="24"/>
        </w:rPr>
        <w:t>类标准，说明该区域地表水质量较好。</w:t>
      </w:r>
    </w:p>
    <w:p>
      <w:pPr>
        <w:widowControl/>
        <w:adjustRightInd w:val="0"/>
        <w:snapToGrid w:val="0"/>
        <w:spacing w:line="360" w:lineRule="auto"/>
        <w:outlineLvl w:val="0"/>
        <w:rPr>
          <w:rFonts w:ascii="Times New Roman" w:hAnsi="Times New Roman"/>
          <w:b/>
          <w:color w:val="000000"/>
          <w:sz w:val="24"/>
        </w:rPr>
      </w:pPr>
      <w:bookmarkStart w:id="303" w:name="_Toc9189"/>
      <w:bookmarkStart w:id="304" w:name="_Toc484616297"/>
      <w:bookmarkStart w:id="305" w:name="_Toc28644"/>
      <w:bookmarkStart w:id="306" w:name="_Toc16265"/>
      <w:bookmarkStart w:id="307" w:name="_Toc21071"/>
      <w:bookmarkStart w:id="308" w:name="_Toc486350001"/>
      <w:r>
        <w:rPr>
          <w:rFonts w:ascii="Times New Roman" w:hAnsi="Times New Roman"/>
          <w:b/>
          <w:color w:val="000000"/>
          <w:sz w:val="24"/>
        </w:rPr>
        <w:t>4.</w:t>
      </w:r>
      <w:r>
        <w:rPr>
          <w:rFonts w:hint="eastAsia" w:ascii="Times New Roman" w:hAnsi="Times New Roman"/>
          <w:b/>
          <w:color w:val="000000"/>
          <w:sz w:val="24"/>
        </w:rPr>
        <w:t>2.3</w:t>
      </w:r>
      <w:r>
        <w:rPr>
          <w:rFonts w:ascii="Times New Roman" w:hAnsi="Times New Roman"/>
          <w:b/>
          <w:color w:val="000000"/>
          <w:sz w:val="24"/>
        </w:rPr>
        <w:t>地下水环境质量现状监测与评价</w:t>
      </w:r>
      <w:bookmarkEnd w:id="303"/>
      <w:bookmarkEnd w:id="304"/>
      <w:bookmarkEnd w:id="305"/>
      <w:bookmarkEnd w:id="306"/>
      <w:bookmarkEnd w:id="307"/>
      <w:bookmarkEnd w:id="308"/>
    </w:p>
    <w:p>
      <w:pPr>
        <w:spacing w:line="360" w:lineRule="auto"/>
        <w:rPr>
          <w:sz w:val="24"/>
          <w:szCs w:val="24"/>
        </w:rPr>
      </w:pPr>
      <w:bookmarkStart w:id="309" w:name="_Toc29399"/>
      <w:r>
        <w:rPr>
          <w:sz w:val="24"/>
          <w:szCs w:val="24"/>
        </w:rPr>
        <w:t>4.</w:t>
      </w:r>
      <w:r>
        <w:rPr>
          <w:rFonts w:hint="eastAsia"/>
          <w:sz w:val="24"/>
          <w:szCs w:val="24"/>
        </w:rPr>
        <w:t>2.3</w:t>
      </w:r>
      <w:r>
        <w:rPr>
          <w:sz w:val="24"/>
          <w:szCs w:val="24"/>
        </w:rPr>
        <w:t>.1监测点布设</w:t>
      </w:r>
      <w:bookmarkEnd w:id="309"/>
    </w:p>
    <w:p>
      <w:pPr>
        <w:adjustRightInd w:val="0"/>
        <w:snapToGrid w:val="0"/>
        <w:spacing w:beforeLines="50" w:line="360" w:lineRule="auto"/>
        <w:ind w:firstLine="480" w:firstLineChars="200"/>
        <w:outlineLvl w:val="0"/>
        <w:rPr>
          <w:rFonts w:ascii="Times New Roman" w:hAnsi="Times New Roman"/>
          <w:color w:val="000000"/>
          <w:sz w:val="24"/>
        </w:rPr>
      </w:pPr>
      <w:r>
        <w:rPr>
          <w:rFonts w:hint="eastAsia" w:ascii="Times New Roman" w:hAnsi="Times New Roman"/>
          <w:color w:val="000000"/>
          <w:sz w:val="24"/>
        </w:rPr>
        <w:t>（1）</w:t>
      </w:r>
      <w:r>
        <w:rPr>
          <w:rFonts w:ascii="Times New Roman" w:hAnsi="Times New Roman"/>
          <w:color w:val="000000"/>
          <w:sz w:val="24"/>
        </w:rPr>
        <w:t>地下水水质监测点位</w:t>
      </w:r>
    </w:p>
    <w:p>
      <w:pPr>
        <w:adjustRightInd w:val="0"/>
        <w:snapToGrid w:val="0"/>
        <w:spacing w:line="360" w:lineRule="auto"/>
        <w:ind w:firstLine="480" w:firstLineChars="200"/>
        <w:rPr>
          <w:color w:val="000000"/>
        </w:rPr>
      </w:pPr>
      <w:r>
        <w:rPr>
          <w:rFonts w:ascii="Times New Roman" w:hAnsi="Times New Roman"/>
          <w:color w:val="000000"/>
          <w:sz w:val="24"/>
        </w:rPr>
        <w:t>根据本项目区域地下水流向，共布设5个地下水</w:t>
      </w:r>
      <w:r>
        <w:rPr>
          <w:rFonts w:hint="eastAsia" w:ascii="Times New Roman" w:hAnsi="Times New Roman"/>
          <w:color w:val="000000"/>
          <w:sz w:val="24"/>
        </w:rPr>
        <w:t>水质</w:t>
      </w:r>
      <w:r>
        <w:rPr>
          <w:rFonts w:ascii="Times New Roman" w:hAnsi="Times New Roman"/>
          <w:color w:val="000000"/>
          <w:sz w:val="24"/>
        </w:rPr>
        <w:t>监测点，地下水</w:t>
      </w:r>
      <w:r>
        <w:rPr>
          <w:rFonts w:hint="eastAsia" w:ascii="Times New Roman" w:hAnsi="Times New Roman"/>
          <w:color w:val="000000"/>
          <w:sz w:val="24"/>
        </w:rPr>
        <w:t>水质</w:t>
      </w:r>
      <w:r>
        <w:rPr>
          <w:rFonts w:ascii="Times New Roman" w:hAnsi="Times New Roman"/>
          <w:color w:val="000000"/>
          <w:sz w:val="24"/>
        </w:rPr>
        <w:t>监测布点详见</w:t>
      </w:r>
      <w:r>
        <w:rPr>
          <w:rFonts w:hint="eastAsia" w:ascii="Times New Roman" w:hAnsi="Times New Roman"/>
          <w:color w:val="000000"/>
          <w:sz w:val="24"/>
        </w:rPr>
        <w:t>下表及附图1</w:t>
      </w:r>
      <w:r>
        <w:rPr>
          <w:rFonts w:ascii="Times New Roman" w:hAnsi="Times New Roman"/>
          <w:color w:val="000000"/>
          <w:sz w:val="24"/>
        </w:rPr>
        <w:t>。</w:t>
      </w:r>
    </w:p>
    <w:p>
      <w:pPr>
        <w:adjustRightInd w:val="0"/>
        <w:snapToGrid w:val="0"/>
        <w:jc w:val="center"/>
        <w:rPr>
          <w:rFonts w:ascii="Times New Roman" w:hAnsi="Times New Roman"/>
          <w:b/>
          <w:bCs/>
          <w:sz w:val="24"/>
        </w:rPr>
      </w:pPr>
      <w:r>
        <w:rPr>
          <w:rFonts w:ascii="Times New Roman" w:hAnsi="Times New Roman"/>
          <w:b/>
          <w:bCs/>
          <w:color w:val="000000"/>
          <w:sz w:val="24"/>
        </w:rPr>
        <w:t>表4-</w:t>
      </w:r>
      <w:r>
        <w:rPr>
          <w:rFonts w:hint="eastAsia" w:ascii="Times New Roman" w:hAnsi="Times New Roman"/>
          <w:b/>
          <w:bCs/>
          <w:color w:val="000000"/>
          <w:sz w:val="24"/>
        </w:rPr>
        <w:t>5</w:t>
      </w:r>
      <w:r>
        <w:rPr>
          <w:rFonts w:ascii="Times New Roman" w:hAnsi="Times New Roman"/>
          <w:b/>
          <w:bCs/>
          <w:color w:val="000000"/>
          <w:sz w:val="24"/>
        </w:rPr>
        <w:t xml:space="preserve">  地下水监测</w:t>
      </w:r>
      <w:r>
        <w:rPr>
          <w:rFonts w:ascii="Times New Roman" w:hAnsi="Times New Roman"/>
          <w:b/>
          <w:bCs/>
          <w:sz w:val="24"/>
        </w:rPr>
        <w:t>点位布设情况表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890"/>
        <w:gridCol w:w="825"/>
        <w:gridCol w:w="855"/>
        <w:gridCol w:w="4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6" w:type="dxa"/>
            <w:vAlign w:val="center"/>
          </w:tcPr>
          <w:p>
            <w:pPr>
              <w:adjustRightInd w:val="0"/>
              <w:snapToGrid w:val="0"/>
              <w:jc w:val="center"/>
              <w:rPr>
                <w:rFonts w:ascii="Times New Roman" w:hAnsi="Times New Roman"/>
                <w:szCs w:val="21"/>
              </w:rPr>
            </w:pPr>
            <w:r>
              <w:rPr>
                <w:rFonts w:ascii="Times New Roman" w:hAnsi="Times New Roman"/>
                <w:szCs w:val="21"/>
              </w:rPr>
              <w:t>序号</w:t>
            </w:r>
          </w:p>
        </w:tc>
        <w:tc>
          <w:tcPr>
            <w:tcW w:w="1890" w:type="dxa"/>
            <w:vAlign w:val="center"/>
          </w:tcPr>
          <w:p>
            <w:pPr>
              <w:adjustRightInd w:val="0"/>
              <w:snapToGrid w:val="0"/>
              <w:jc w:val="center"/>
              <w:rPr>
                <w:rFonts w:ascii="Times New Roman" w:hAnsi="Times New Roman"/>
                <w:szCs w:val="21"/>
              </w:rPr>
            </w:pPr>
            <w:r>
              <w:rPr>
                <w:rFonts w:ascii="Times New Roman" w:hAnsi="Times New Roman"/>
                <w:szCs w:val="21"/>
              </w:rPr>
              <w:t>监测点名称</w:t>
            </w:r>
          </w:p>
        </w:tc>
        <w:tc>
          <w:tcPr>
            <w:tcW w:w="825" w:type="dxa"/>
            <w:vAlign w:val="center"/>
          </w:tcPr>
          <w:p>
            <w:pPr>
              <w:adjustRightInd w:val="0"/>
              <w:snapToGrid w:val="0"/>
              <w:jc w:val="center"/>
              <w:rPr>
                <w:rFonts w:ascii="Times New Roman" w:hAnsi="Times New Roman"/>
                <w:szCs w:val="21"/>
              </w:rPr>
            </w:pPr>
            <w:r>
              <w:rPr>
                <w:rFonts w:ascii="Times New Roman" w:hAnsi="Times New Roman"/>
                <w:szCs w:val="21"/>
              </w:rPr>
              <w:t>井深（m）</w:t>
            </w:r>
          </w:p>
        </w:tc>
        <w:tc>
          <w:tcPr>
            <w:tcW w:w="855" w:type="dxa"/>
            <w:vAlign w:val="center"/>
          </w:tcPr>
          <w:p>
            <w:pPr>
              <w:adjustRightInd w:val="0"/>
              <w:snapToGrid w:val="0"/>
              <w:jc w:val="center"/>
              <w:rPr>
                <w:rFonts w:ascii="Times New Roman" w:hAnsi="Times New Roman"/>
                <w:szCs w:val="21"/>
              </w:rPr>
            </w:pPr>
            <w:r>
              <w:rPr>
                <w:rFonts w:ascii="Times New Roman" w:hAnsi="Times New Roman"/>
                <w:szCs w:val="21"/>
              </w:rPr>
              <w:t>地下水</w:t>
            </w:r>
          </w:p>
          <w:p>
            <w:pPr>
              <w:adjustRightInd w:val="0"/>
              <w:snapToGrid w:val="0"/>
              <w:jc w:val="center"/>
              <w:rPr>
                <w:rFonts w:ascii="Times New Roman" w:hAnsi="Times New Roman"/>
                <w:szCs w:val="21"/>
              </w:rPr>
            </w:pPr>
            <w:r>
              <w:rPr>
                <w:rFonts w:ascii="Times New Roman" w:hAnsi="Times New Roman"/>
                <w:szCs w:val="21"/>
              </w:rPr>
              <w:t>类型</w:t>
            </w:r>
          </w:p>
        </w:tc>
        <w:tc>
          <w:tcPr>
            <w:tcW w:w="4107" w:type="dxa"/>
            <w:vAlign w:val="center"/>
          </w:tcPr>
          <w:p>
            <w:pPr>
              <w:adjustRightInd w:val="0"/>
              <w:snapToGrid w:val="0"/>
              <w:spacing w:before="100" w:beforeAutospacing="1" w:after="100" w:afterAutospacing="1"/>
              <w:ind w:right="-31" w:rightChars="-15"/>
              <w:jc w:val="center"/>
              <w:rPr>
                <w:rFonts w:ascii="Times New Roman" w:hAnsi="Times New Roman"/>
                <w:szCs w:val="21"/>
              </w:rPr>
            </w:pPr>
            <w:r>
              <w:rPr>
                <w:rFonts w:hint="eastAsia"/>
                <w:color w:val="000000"/>
                <w:szCs w:val="21"/>
              </w:rPr>
              <w:t>布设目的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6" w:type="dxa"/>
            <w:vAlign w:val="center"/>
          </w:tcPr>
          <w:p>
            <w:pPr>
              <w:adjustRightInd w:val="0"/>
              <w:snapToGrid w:val="0"/>
              <w:jc w:val="center"/>
              <w:rPr>
                <w:rFonts w:ascii="Times New Roman" w:hAnsi="Times New Roman"/>
                <w:szCs w:val="21"/>
              </w:rPr>
            </w:pPr>
            <w:bookmarkStart w:id="310" w:name="OLE_LINK186" w:colFirst="1" w:colLast="1"/>
            <w:r>
              <w:rPr>
                <w:rFonts w:ascii="Times New Roman" w:hAnsi="Times New Roman"/>
                <w:szCs w:val="21"/>
              </w:rPr>
              <w:t>1</w:t>
            </w:r>
            <w:r>
              <w:rPr>
                <w:rFonts w:hint="eastAsia" w:ascii="Times New Roman" w:hAnsi="Times New Roman"/>
                <w:szCs w:val="21"/>
                <w:vertAlign w:val="superscript"/>
              </w:rPr>
              <w:t>#</w:t>
            </w:r>
          </w:p>
        </w:tc>
        <w:tc>
          <w:tcPr>
            <w:tcW w:w="1890" w:type="dxa"/>
            <w:vAlign w:val="center"/>
          </w:tcPr>
          <w:p>
            <w:pPr>
              <w:adjustRightInd w:val="0"/>
              <w:snapToGrid w:val="0"/>
              <w:jc w:val="center"/>
              <w:rPr>
                <w:rFonts w:ascii="Times New Roman" w:hAnsi="Times New Roman"/>
                <w:szCs w:val="21"/>
              </w:rPr>
            </w:pPr>
            <w:r>
              <w:rPr>
                <w:rFonts w:hint="eastAsia" w:ascii="Times New Roman" w:hAnsi="Times New Roman"/>
                <w:szCs w:val="21"/>
              </w:rPr>
              <w:t>现有尾矿库井</w:t>
            </w:r>
          </w:p>
        </w:tc>
        <w:tc>
          <w:tcPr>
            <w:tcW w:w="825" w:type="dxa"/>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szCs w:val="21"/>
              </w:rPr>
            </w:pPr>
            <w:r>
              <w:rPr>
                <w:color w:val="000000"/>
                <w:szCs w:val="21"/>
              </w:rPr>
              <w:t>50</w:t>
            </w:r>
          </w:p>
        </w:tc>
        <w:tc>
          <w:tcPr>
            <w:tcW w:w="855" w:type="dxa"/>
            <w:vAlign w:val="center"/>
          </w:tcPr>
          <w:p>
            <w:pPr>
              <w:adjustRightInd w:val="0"/>
              <w:snapToGrid w:val="0"/>
              <w:jc w:val="center"/>
              <w:rPr>
                <w:rFonts w:ascii="Times New Roman" w:hAnsi="Times New Roman"/>
                <w:szCs w:val="21"/>
              </w:rPr>
            </w:pPr>
            <w:r>
              <w:rPr>
                <w:rFonts w:ascii="Times New Roman" w:hAnsi="Times New Roman"/>
                <w:szCs w:val="21"/>
              </w:rPr>
              <w:t>潜水</w:t>
            </w:r>
          </w:p>
        </w:tc>
        <w:tc>
          <w:tcPr>
            <w:tcW w:w="4107" w:type="dxa"/>
            <w:vAlign w:val="center"/>
          </w:tcPr>
          <w:p>
            <w:pPr>
              <w:adjustRightInd w:val="0"/>
              <w:snapToGrid w:val="0"/>
              <w:jc w:val="center"/>
              <w:rPr>
                <w:rFonts w:ascii="Times New Roman" w:hAnsi="Times New Roman"/>
                <w:bCs/>
                <w:szCs w:val="21"/>
              </w:rPr>
            </w:pPr>
            <w:r>
              <w:rPr>
                <w:rFonts w:hint="eastAsia"/>
                <w:color w:val="000000"/>
                <w:szCs w:val="21"/>
              </w:rPr>
              <w:t>了解项目所在地上游地下水环境质量现状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6" w:type="dxa"/>
            <w:vAlign w:val="center"/>
          </w:tcPr>
          <w:p>
            <w:pPr>
              <w:adjustRightInd w:val="0"/>
              <w:snapToGrid w:val="0"/>
              <w:jc w:val="center"/>
              <w:rPr>
                <w:rFonts w:ascii="Times New Roman" w:hAnsi="Times New Roman"/>
                <w:szCs w:val="21"/>
              </w:rPr>
            </w:pPr>
            <w:r>
              <w:rPr>
                <w:rFonts w:ascii="Times New Roman" w:hAnsi="Times New Roman"/>
                <w:szCs w:val="21"/>
              </w:rPr>
              <w:t>2</w:t>
            </w:r>
            <w:r>
              <w:rPr>
                <w:rFonts w:hint="eastAsia" w:ascii="Times New Roman" w:hAnsi="Times New Roman"/>
                <w:szCs w:val="21"/>
                <w:vertAlign w:val="superscript"/>
              </w:rPr>
              <w:t>#</w:t>
            </w:r>
          </w:p>
        </w:tc>
        <w:tc>
          <w:tcPr>
            <w:tcW w:w="1890" w:type="dxa"/>
            <w:vAlign w:val="center"/>
          </w:tcPr>
          <w:p>
            <w:pPr>
              <w:adjustRightInd w:val="0"/>
              <w:snapToGrid w:val="0"/>
              <w:jc w:val="center"/>
              <w:rPr>
                <w:rFonts w:ascii="Times New Roman" w:hAnsi="Times New Roman"/>
                <w:szCs w:val="21"/>
              </w:rPr>
            </w:pPr>
            <w:r>
              <w:rPr>
                <w:rFonts w:ascii="Times New Roman" w:hAnsi="Times New Roman"/>
                <w:szCs w:val="21"/>
              </w:rPr>
              <w:t>九道羊岔</w:t>
            </w:r>
            <w:r>
              <w:rPr>
                <w:rFonts w:hint="eastAsia" w:ascii="Times New Roman" w:hAnsi="Times New Roman"/>
                <w:szCs w:val="21"/>
              </w:rPr>
              <w:t>水井</w:t>
            </w:r>
          </w:p>
        </w:tc>
        <w:tc>
          <w:tcPr>
            <w:tcW w:w="825" w:type="dxa"/>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szCs w:val="21"/>
              </w:rPr>
            </w:pPr>
            <w:r>
              <w:rPr>
                <w:color w:val="000000"/>
                <w:szCs w:val="21"/>
              </w:rPr>
              <w:t>50</w:t>
            </w:r>
          </w:p>
        </w:tc>
        <w:tc>
          <w:tcPr>
            <w:tcW w:w="855" w:type="dxa"/>
            <w:vAlign w:val="center"/>
          </w:tcPr>
          <w:p>
            <w:pPr>
              <w:adjustRightInd w:val="0"/>
              <w:snapToGrid w:val="0"/>
              <w:jc w:val="center"/>
              <w:rPr>
                <w:rFonts w:ascii="Times New Roman" w:hAnsi="Times New Roman"/>
                <w:szCs w:val="21"/>
              </w:rPr>
            </w:pPr>
            <w:r>
              <w:rPr>
                <w:rFonts w:ascii="Times New Roman" w:hAnsi="Times New Roman"/>
                <w:szCs w:val="21"/>
              </w:rPr>
              <w:t>潜水</w:t>
            </w:r>
          </w:p>
        </w:tc>
        <w:tc>
          <w:tcPr>
            <w:tcW w:w="4107" w:type="dxa"/>
            <w:vAlign w:val="center"/>
          </w:tcPr>
          <w:p>
            <w:pPr>
              <w:adjustRightInd w:val="0"/>
              <w:snapToGrid w:val="0"/>
              <w:jc w:val="center"/>
              <w:rPr>
                <w:rFonts w:ascii="Times New Roman" w:hAnsi="Times New Roman"/>
                <w:bCs/>
                <w:szCs w:val="21"/>
              </w:rPr>
            </w:pPr>
            <w:r>
              <w:rPr>
                <w:rFonts w:hint="eastAsia"/>
                <w:color w:val="000000"/>
                <w:szCs w:val="21"/>
              </w:rPr>
              <w:t>了解项目所在地附近地下水环境质量现状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6" w:type="dxa"/>
            <w:vAlign w:val="center"/>
          </w:tcPr>
          <w:p>
            <w:pPr>
              <w:adjustRightInd w:val="0"/>
              <w:snapToGrid w:val="0"/>
              <w:jc w:val="center"/>
              <w:rPr>
                <w:rFonts w:ascii="Times New Roman" w:hAnsi="Times New Roman"/>
                <w:szCs w:val="21"/>
              </w:rPr>
            </w:pPr>
            <w:r>
              <w:rPr>
                <w:rFonts w:ascii="Times New Roman" w:hAnsi="Times New Roman"/>
                <w:szCs w:val="21"/>
              </w:rPr>
              <w:t>3</w:t>
            </w:r>
            <w:r>
              <w:rPr>
                <w:rFonts w:hint="eastAsia" w:ascii="Times New Roman" w:hAnsi="Times New Roman"/>
                <w:szCs w:val="21"/>
                <w:vertAlign w:val="superscript"/>
              </w:rPr>
              <w:t>#</w:t>
            </w:r>
          </w:p>
        </w:tc>
        <w:tc>
          <w:tcPr>
            <w:tcW w:w="1890" w:type="dxa"/>
            <w:vAlign w:val="center"/>
          </w:tcPr>
          <w:p>
            <w:pPr>
              <w:adjustRightInd w:val="0"/>
              <w:snapToGrid w:val="0"/>
              <w:jc w:val="center"/>
              <w:rPr>
                <w:rFonts w:ascii="Times New Roman" w:hAnsi="Times New Roman"/>
                <w:szCs w:val="21"/>
              </w:rPr>
            </w:pPr>
            <w:r>
              <w:rPr>
                <w:rFonts w:ascii="Times New Roman" w:hAnsi="Times New Roman"/>
                <w:szCs w:val="21"/>
              </w:rPr>
              <w:t>八道羊岔</w:t>
            </w:r>
            <w:r>
              <w:rPr>
                <w:rFonts w:hint="eastAsia" w:ascii="Times New Roman" w:hAnsi="Times New Roman"/>
                <w:szCs w:val="21"/>
              </w:rPr>
              <w:t>水井</w:t>
            </w:r>
          </w:p>
        </w:tc>
        <w:tc>
          <w:tcPr>
            <w:tcW w:w="825" w:type="dxa"/>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szCs w:val="21"/>
              </w:rPr>
            </w:pPr>
            <w:r>
              <w:rPr>
                <w:color w:val="000000"/>
                <w:szCs w:val="21"/>
              </w:rPr>
              <w:t>50</w:t>
            </w:r>
          </w:p>
        </w:tc>
        <w:tc>
          <w:tcPr>
            <w:tcW w:w="855" w:type="dxa"/>
            <w:vAlign w:val="center"/>
          </w:tcPr>
          <w:p>
            <w:pPr>
              <w:adjustRightInd w:val="0"/>
              <w:snapToGrid w:val="0"/>
              <w:jc w:val="center"/>
              <w:rPr>
                <w:rFonts w:ascii="Times New Roman" w:hAnsi="Times New Roman"/>
                <w:szCs w:val="21"/>
              </w:rPr>
            </w:pPr>
            <w:r>
              <w:rPr>
                <w:rFonts w:ascii="Times New Roman" w:hAnsi="Times New Roman"/>
                <w:szCs w:val="21"/>
              </w:rPr>
              <w:t>潜水</w:t>
            </w:r>
          </w:p>
        </w:tc>
        <w:tc>
          <w:tcPr>
            <w:tcW w:w="4107" w:type="dxa"/>
            <w:vAlign w:val="center"/>
          </w:tcPr>
          <w:p>
            <w:pPr>
              <w:adjustRightInd w:val="0"/>
              <w:snapToGrid w:val="0"/>
              <w:jc w:val="center"/>
              <w:rPr>
                <w:rFonts w:ascii="Times New Roman" w:hAnsi="Times New Roman"/>
                <w:bCs/>
                <w:szCs w:val="21"/>
              </w:rPr>
            </w:pPr>
            <w:r>
              <w:rPr>
                <w:rFonts w:hint="eastAsia"/>
                <w:color w:val="000000"/>
                <w:szCs w:val="21"/>
              </w:rPr>
              <w:t>了解项目所在地侧向地下水环境质量现状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6" w:type="dxa"/>
            <w:vAlign w:val="center"/>
          </w:tcPr>
          <w:p>
            <w:pPr>
              <w:adjustRightInd w:val="0"/>
              <w:snapToGrid w:val="0"/>
              <w:jc w:val="center"/>
              <w:rPr>
                <w:rFonts w:ascii="Times New Roman" w:hAnsi="Times New Roman"/>
                <w:szCs w:val="21"/>
              </w:rPr>
            </w:pPr>
            <w:r>
              <w:rPr>
                <w:rFonts w:ascii="Times New Roman" w:hAnsi="Times New Roman"/>
                <w:szCs w:val="21"/>
              </w:rPr>
              <w:t>4</w:t>
            </w:r>
            <w:r>
              <w:rPr>
                <w:rFonts w:hint="eastAsia" w:ascii="Times New Roman" w:hAnsi="Times New Roman"/>
                <w:szCs w:val="21"/>
                <w:vertAlign w:val="superscript"/>
              </w:rPr>
              <w:t>#</w:t>
            </w:r>
          </w:p>
        </w:tc>
        <w:tc>
          <w:tcPr>
            <w:tcW w:w="1890" w:type="dxa"/>
            <w:vAlign w:val="center"/>
          </w:tcPr>
          <w:p>
            <w:pPr>
              <w:adjustRightInd w:val="0"/>
              <w:snapToGrid w:val="0"/>
              <w:jc w:val="center"/>
              <w:rPr>
                <w:rFonts w:ascii="Times New Roman" w:hAnsi="Times New Roman"/>
                <w:szCs w:val="21"/>
              </w:rPr>
            </w:pPr>
            <w:r>
              <w:rPr>
                <w:rFonts w:ascii="Times New Roman" w:hAnsi="Times New Roman"/>
                <w:szCs w:val="21"/>
              </w:rPr>
              <w:t>七道羊岔</w:t>
            </w:r>
            <w:r>
              <w:rPr>
                <w:rFonts w:hint="eastAsia" w:ascii="Times New Roman" w:hAnsi="Times New Roman"/>
                <w:szCs w:val="21"/>
              </w:rPr>
              <w:t>水井</w:t>
            </w:r>
          </w:p>
        </w:tc>
        <w:tc>
          <w:tcPr>
            <w:tcW w:w="825" w:type="dxa"/>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szCs w:val="21"/>
              </w:rPr>
            </w:pPr>
            <w:r>
              <w:rPr>
                <w:color w:val="000000"/>
                <w:szCs w:val="21"/>
              </w:rPr>
              <w:t>45</w:t>
            </w:r>
          </w:p>
        </w:tc>
        <w:tc>
          <w:tcPr>
            <w:tcW w:w="855" w:type="dxa"/>
            <w:vAlign w:val="center"/>
          </w:tcPr>
          <w:p>
            <w:pPr>
              <w:adjustRightInd w:val="0"/>
              <w:snapToGrid w:val="0"/>
              <w:jc w:val="center"/>
              <w:rPr>
                <w:rFonts w:ascii="Times New Roman" w:hAnsi="Times New Roman"/>
                <w:szCs w:val="21"/>
              </w:rPr>
            </w:pPr>
            <w:r>
              <w:rPr>
                <w:rFonts w:ascii="Times New Roman" w:hAnsi="Times New Roman"/>
                <w:szCs w:val="21"/>
              </w:rPr>
              <w:t>潜水</w:t>
            </w:r>
          </w:p>
        </w:tc>
        <w:tc>
          <w:tcPr>
            <w:tcW w:w="4107" w:type="dxa"/>
            <w:vAlign w:val="center"/>
          </w:tcPr>
          <w:p>
            <w:pPr>
              <w:adjustRightInd w:val="0"/>
              <w:snapToGrid w:val="0"/>
              <w:jc w:val="center"/>
              <w:rPr>
                <w:rFonts w:ascii="Times New Roman" w:hAnsi="Times New Roman"/>
                <w:bCs/>
                <w:szCs w:val="21"/>
              </w:rPr>
            </w:pPr>
            <w:r>
              <w:rPr>
                <w:rFonts w:hint="eastAsia"/>
                <w:color w:val="000000"/>
                <w:szCs w:val="21"/>
              </w:rPr>
              <w:t>了解项目所在地侧向地下水环境质量现状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6" w:type="dxa"/>
            <w:vAlign w:val="center"/>
          </w:tcPr>
          <w:p>
            <w:pPr>
              <w:adjustRightInd w:val="0"/>
              <w:snapToGrid w:val="0"/>
              <w:jc w:val="center"/>
              <w:rPr>
                <w:rFonts w:ascii="Times New Roman" w:hAnsi="Times New Roman"/>
                <w:szCs w:val="21"/>
              </w:rPr>
            </w:pPr>
            <w:r>
              <w:rPr>
                <w:rFonts w:ascii="Times New Roman" w:hAnsi="Times New Roman"/>
                <w:szCs w:val="21"/>
              </w:rPr>
              <w:t>5</w:t>
            </w:r>
            <w:r>
              <w:rPr>
                <w:rFonts w:hint="eastAsia" w:ascii="Times New Roman" w:hAnsi="Times New Roman"/>
                <w:szCs w:val="21"/>
                <w:vertAlign w:val="superscript"/>
              </w:rPr>
              <w:t>#</w:t>
            </w:r>
          </w:p>
        </w:tc>
        <w:tc>
          <w:tcPr>
            <w:tcW w:w="1890" w:type="dxa"/>
            <w:vAlign w:val="center"/>
          </w:tcPr>
          <w:p>
            <w:pPr>
              <w:adjustRightInd w:val="0"/>
              <w:snapToGrid w:val="0"/>
              <w:jc w:val="center"/>
              <w:rPr>
                <w:rFonts w:ascii="Times New Roman" w:hAnsi="Times New Roman"/>
                <w:szCs w:val="21"/>
              </w:rPr>
            </w:pPr>
            <w:r>
              <w:rPr>
                <w:rFonts w:ascii="Times New Roman" w:hAnsi="Times New Roman"/>
                <w:szCs w:val="21"/>
              </w:rPr>
              <w:t>参场</w:t>
            </w:r>
            <w:r>
              <w:rPr>
                <w:rFonts w:hint="eastAsia" w:ascii="Times New Roman" w:hAnsi="Times New Roman"/>
                <w:szCs w:val="21"/>
              </w:rPr>
              <w:t>水井</w:t>
            </w:r>
          </w:p>
        </w:tc>
        <w:tc>
          <w:tcPr>
            <w:tcW w:w="825" w:type="dxa"/>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szCs w:val="21"/>
              </w:rPr>
            </w:pPr>
            <w:r>
              <w:rPr>
                <w:color w:val="000000"/>
                <w:szCs w:val="21"/>
              </w:rPr>
              <w:t>30</w:t>
            </w:r>
          </w:p>
        </w:tc>
        <w:tc>
          <w:tcPr>
            <w:tcW w:w="855" w:type="dxa"/>
            <w:vAlign w:val="center"/>
          </w:tcPr>
          <w:p>
            <w:pPr>
              <w:adjustRightInd w:val="0"/>
              <w:snapToGrid w:val="0"/>
              <w:jc w:val="center"/>
              <w:rPr>
                <w:rFonts w:ascii="Times New Roman" w:hAnsi="Times New Roman"/>
                <w:szCs w:val="21"/>
              </w:rPr>
            </w:pPr>
            <w:r>
              <w:rPr>
                <w:rFonts w:ascii="Times New Roman" w:hAnsi="Times New Roman"/>
                <w:szCs w:val="21"/>
              </w:rPr>
              <w:t>潜水</w:t>
            </w:r>
          </w:p>
        </w:tc>
        <w:tc>
          <w:tcPr>
            <w:tcW w:w="4107" w:type="dxa"/>
            <w:vAlign w:val="center"/>
          </w:tcPr>
          <w:p>
            <w:pPr>
              <w:adjustRightInd w:val="0"/>
              <w:snapToGrid w:val="0"/>
              <w:jc w:val="center"/>
              <w:rPr>
                <w:rFonts w:ascii="Times New Roman" w:hAnsi="Times New Roman"/>
                <w:szCs w:val="21"/>
              </w:rPr>
            </w:pPr>
            <w:r>
              <w:rPr>
                <w:rFonts w:hint="eastAsia"/>
                <w:color w:val="000000"/>
                <w:szCs w:val="21"/>
              </w:rPr>
              <w:t>了解项目所在地下游地下水环境质量现状</w:t>
            </w:r>
          </w:p>
        </w:tc>
      </w:tr>
      <w:bookmarkEnd w:id="310"/>
    </w:tbl>
    <w:p>
      <w:pPr>
        <w:spacing w:line="360" w:lineRule="auto"/>
        <w:rPr>
          <w:rFonts w:ascii="Times New Roman" w:hAnsi="Times New Roman"/>
          <w:sz w:val="24"/>
          <w:szCs w:val="24"/>
        </w:rPr>
      </w:pPr>
      <w:bookmarkStart w:id="311" w:name="_Toc3084"/>
      <w:r>
        <w:rPr>
          <w:rFonts w:ascii="Times New Roman" w:hAnsi="Times New Roman"/>
          <w:sz w:val="24"/>
          <w:szCs w:val="24"/>
        </w:rPr>
        <w:t>4.2.3.2监测项目</w:t>
      </w:r>
      <w:bookmarkEnd w:id="311"/>
    </w:p>
    <w:p>
      <w:pPr>
        <w:tabs>
          <w:tab w:val="left" w:pos="2850"/>
        </w:tabs>
        <w:spacing w:line="360" w:lineRule="auto"/>
        <w:ind w:firstLine="480" w:firstLineChars="200"/>
        <w:rPr>
          <w:rFonts w:ascii="Times New Roman" w:hAnsi="Times New Roman"/>
          <w:sz w:val="24"/>
        </w:rPr>
      </w:pPr>
      <w:r>
        <w:rPr>
          <w:rFonts w:ascii="Times New Roman" w:hAnsi="Times New Roman"/>
          <w:sz w:val="24"/>
        </w:rPr>
        <w:t>根据项目特点和所在区域地质环境特征，确定监测项目为</w:t>
      </w:r>
      <w:bookmarkStart w:id="312" w:name="OLE_LINK12"/>
      <w:r>
        <w:rPr>
          <w:rFonts w:ascii="Times New Roman" w:hAnsi="Times New Roman"/>
          <w:sz w:val="24"/>
        </w:rPr>
        <w:t>pH、氨氮、总硬度、硝酸盐、亚硝酸盐、挥发性酚类、氰化物、砷、硫酸盐、氯化物、氟化物、铁、锰、铬（六价）、铅、镉、铜、锌、汞、溶解性总固体、镍等2</w:t>
      </w:r>
      <w:r>
        <w:rPr>
          <w:rFonts w:hint="eastAsia" w:ascii="Times New Roman" w:hAnsi="Times New Roman"/>
          <w:sz w:val="24"/>
        </w:rPr>
        <w:t>1</w:t>
      </w:r>
      <w:r>
        <w:rPr>
          <w:rFonts w:ascii="Times New Roman" w:hAnsi="Times New Roman"/>
          <w:sz w:val="24"/>
        </w:rPr>
        <w:t>项。</w:t>
      </w:r>
      <w:bookmarkEnd w:id="312"/>
    </w:p>
    <w:p>
      <w:pPr>
        <w:spacing w:line="360" w:lineRule="auto"/>
        <w:outlineLvl w:val="0"/>
        <w:rPr>
          <w:rFonts w:ascii="Times New Roman" w:hAnsi="Times New Roman"/>
          <w:sz w:val="24"/>
          <w:szCs w:val="24"/>
        </w:rPr>
      </w:pPr>
      <w:bookmarkStart w:id="313" w:name="_Toc10682"/>
      <w:r>
        <w:rPr>
          <w:rFonts w:ascii="Times New Roman" w:hAnsi="Times New Roman"/>
          <w:sz w:val="24"/>
          <w:szCs w:val="24"/>
        </w:rPr>
        <w:t>4.2.3.3监测单位及时间</w:t>
      </w:r>
      <w:bookmarkEnd w:id="313"/>
    </w:p>
    <w:p>
      <w:pPr>
        <w:tabs>
          <w:tab w:val="left" w:pos="2850"/>
        </w:tabs>
        <w:spacing w:line="360" w:lineRule="auto"/>
        <w:ind w:firstLine="480" w:firstLineChars="200"/>
        <w:rPr>
          <w:rFonts w:ascii="Times New Roman" w:hAnsi="Times New Roman"/>
          <w:color w:val="000000"/>
          <w:sz w:val="24"/>
        </w:rPr>
      </w:pPr>
      <w:r>
        <w:rPr>
          <w:rFonts w:ascii="Times New Roman" w:hAnsi="Times New Roman"/>
          <w:color w:val="000000"/>
          <w:sz w:val="24"/>
        </w:rPr>
        <w:t>本次环评委托吉林省国安环境检测有限公司于2018年</w:t>
      </w:r>
      <w:r>
        <w:rPr>
          <w:rFonts w:hint="eastAsia" w:ascii="Times New Roman" w:hAnsi="Times New Roman"/>
          <w:color w:val="000000"/>
          <w:sz w:val="24"/>
        </w:rPr>
        <w:t>11</w:t>
      </w:r>
      <w:r>
        <w:rPr>
          <w:rFonts w:ascii="Times New Roman" w:hAnsi="Times New Roman"/>
          <w:color w:val="000000"/>
          <w:sz w:val="24"/>
        </w:rPr>
        <w:t>月1</w:t>
      </w:r>
      <w:r>
        <w:rPr>
          <w:rFonts w:hint="eastAsia" w:ascii="Times New Roman" w:hAnsi="Times New Roman"/>
          <w:color w:val="000000"/>
          <w:sz w:val="24"/>
        </w:rPr>
        <w:t>2</w:t>
      </w:r>
      <w:r>
        <w:rPr>
          <w:rFonts w:ascii="Times New Roman" w:hAnsi="Times New Roman"/>
          <w:color w:val="000000"/>
          <w:sz w:val="24"/>
        </w:rPr>
        <w:t>日进行监测。</w:t>
      </w:r>
    </w:p>
    <w:p>
      <w:pPr>
        <w:spacing w:line="360" w:lineRule="auto"/>
        <w:outlineLvl w:val="0"/>
        <w:rPr>
          <w:rFonts w:ascii="Times New Roman" w:hAnsi="Times New Roman"/>
          <w:sz w:val="24"/>
          <w:szCs w:val="24"/>
        </w:rPr>
      </w:pPr>
      <w:bookmarkStart w:id="314" w:name="_Toc19641"/>
      <w:r>
        <w:rPr>
          <w:rFonts w:ascii="Times New Roman" w:hAnsi="Times New Roman"/>
          <w:sz w:val="24"/>
          <w:szCs w:val="24"/>
        </w:rPr>
        <w:t>4.2.3.4监测结果</w:t>
      </w:r>
      <w:bookmarkEnd w:id="314"/>
    </w:p>
    <w:p>
      <w:pPr>
        <w:adjustRightInd w:val="0"/>
        <w:snapToGrid w:val="0"/>
        <w:spacing w:line="360" w:lineRule="auto"/>
        <w:ind w:left="239" w:leftChars="114" w:firstLine="240" w:firstLineChars="100"/>
        <w:rPr>
          <w:rFonts w:ascii="Times New Roman" w:hAnsi="Times New Roman"/>
          <w:color w:val="000000"/>
          <w:sz w:val="24"/>
        </w:rPr>
      </w:pPr>
      <w:r>
        <w:rPr>
          <w:rFonts w:ascii="Times New Roman" w:hAnsi="Times New Roman"/>
          <w:color w:val="000000"/>
          <w:sz w:val="24"/>
        </w:rPr>
        <w:t>地下水现状监测结果详见下表。</w:t>
      </w:r>
    </w:p>
    <w:p>
      <w:pPr>
        <w:adjustRightInd w:val="0"/>
        <w:snapToGrid w:val="0"/>
        <w:ind w:left="47" w:firstLine="482" w:firstLineChars="200"/>
        <w:jc w:val="center"/>
        <w:rPr>
          <w:rFonts w:ascii="Times New Roman" w:hAnsi="Times New Roman"/>
          <w:b/>
          <w:bCs/>
          <w:color w:val="FF0000"/>
          <w:sz w:val="24"/>
        </w:rPr>
      </w:pPr>
    </w:p>
    <w:p>
      <w:pPr>
        <w:adjustRightInd w:val="0"/>
        <w:snapToGrid w:val="0"/>
        <w:ind w:left="47" w:firstLine="482" w:firstLineChars="200"/>
        <w:jc w:val="center"/>
        <w:rPr>
          <w:rFonts w:ascii="Times New Roman" w:hAnsi="Times New Roman"/>
          <w:color w:val="000000"/>
        </w:rPr>
      </w:pPr>
      <w:r>
        <w:rPr>
          <w:rFonts w:ascii="Times New Roman" w:hAnsi="Times New Roman"/>
          <w:b/>
          <w:bCs/>
          <w:color w:val="FF0000"/>
          <w:sz w:val="24"/>
        </w:rPr>
        <w:t xml:space="preserve">      </w:t>
      </w:r>
      <w:r>
        <w:rPr>
          <w:rFonts w:ascii="Times New Roman" w:hAnsi="Times New Roman"/>
          <w:b/>
          <w:bCs/>
          <w:color w:val="000000"/>
          <w:sz w:val="24"/>
        </w:rPr>
        <w:t>表4-</w:t>
      </w:r>
      <w:r>
        <w:rPr>
          <w:rFonts w:hint="eastAsia" w:ascii="Times New Roman" w:hAnsi="Times New Roman"/>
          <w:b/>
          <w:bCs/>
          <w:color w:val="000000"/>
          <w:sz w:val="24"/>
        </w:rPr>
        <w:t>6</w:t>
      </w:r>
      <w:r>
        <w:rPr>
          <w:rFonts w:ascii="Times New Roman" w:hAnsi="Times New Roman"/>
          <w:b/>
          <w:bCs/>
          <w:color w:val="000000"/>
          <w:sz w:val="24"/>
        </w:rPr>
        <w:t xml:space="preserve"> 地下水现状监测结果    </w:t>
      </w:r>
      <w:r>
        <w:rPr>
          <w:rFonts w:ascii="Times New Roman" w:hAnsi="Times New Roman"/>
          <w:color w:val="000000"/>
        </w:rPr>
        <w:t>单位：mg/L（pH除外）</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568"/>
        <w:gridCol w:w="1254"/>
        <w:gridCol w:w="1254"/>
        <w:gridCol w:w="1243"/>
        <w:gridCol w:w="1236"/>
        <w:gridCol w:w="1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序号</w:t>
            </w:r>
          </w:p>
        </w:tc>
        <w:tc>
          <w:tcPr>
            <w:tcW w:w="1568"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监测项目</w:t>
            </w:r>
          </w:p>
        </w:tc>
        <w:tc>
          <w:tcPr>
            <w:tcW w:w="1254"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color w:val="000000"/>
                <w:szCs w:val="21"/>
                <w:vertAlign w:val="superscript"/>
              </w:rPr>
              <w:t>#</w:t>
            </w:r>
          </w:p>
        </w:tc>
        <w:tc>
          <w:tcPr>
            <w:tcW w:w="1254"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2</w:t>
            </w:r>
            <w:r>
              <w:rPr>
                <w:rFonts w:ascii="Times New Roman" w:hAnsi="Times New Roman"/>
                <w:color w:val="000000"/>
                <w:szCs w:val="21"/>
                <w:vertAlign w:val="superscript"/>
              </w:rPr>
              <w:t>#</w:t>
            </w:r>
          </w:p>
        </w:tc>
        <w:tc>
          <w:tcPr>
            <w:tcW w:w="1243"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3</w:t>
            </w:r>
            <w:r>
              <w:rPr>
                <w:rFonts w:ascii="Times New Roman" w:hAnsi="Times New Roman"/>
                <w:color w:val="000000"/>
                <w:szCs w:val="21"/>
                <w:vertAlign w:val="superscript"/>
              </w:rPr>
              <w:t>#</w:t>
            </w:r>
          </w:p>
        </w:tc>
        <w:tc>
          <w:tcPr>
            <w:tcW w:w="1236"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4</w:t>
            </w:r>
            <w:r>
              <w:rPr>
                <w:rFonts w:ascii="Times New Roman" w:hAnsi="Times New Roman"/>
                <w:color w:val="000000"/>
                <w:szCs w:val="21"/>
                <w:vertAlign w:val="superscript"/>
              </w:rPr>
              <w:t>#</w:t>
            </w:r>
          </w:p>
        </w:tc>
        <w:tc>
          <w:tcPr>
            <w:tcW w:w="1219"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5</w:t>
            </w:r>
            <w:r>
              <w:rPr>
                <w:rFonts w:ascii="Times New Roman" w:hAnsi="Times New Roman"/>
                <w:color w:val="000000"/>
                <w:szCs w:val="21"/>
                <w:vertAlign w:val="superscrip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ascii="Times New Roman" w:hAnsi="Times New Roman"/>
                <w:color w:val="000000"/>
                <w:szCs w:val="21"/>
              </w:rPr>
              <w:t>1</w:t>
            </w:r>
          </w:p>
        </w:tc>
        <w:tc>
          <w:tcPr>
            <w:tcW w:w="1568" w:type="dxa"/>
            <w:vAlign w:val="center"/>
          </w:tcPr>
          <w:p>
            <w:pPr>
              <w:pStyle w:val="72"/>
              <w:rPr>
                <w:rFonts w:ascii="Times New Roman" w:hAnsi="Times New Roman"/>
                <w:color w:val="000000"/>
              </w:rPr>
            </w:pPr>
            <w:r>
              <w:rPr>
                <w:rFonts w:ascii="Times New Roman" w:hAnsi="Times New Roman"/>
                <w:b w:val="0"/>
                <w:bCs/>
                <w:i w:val="0"/>
                <w:iCs/>
                <w:snapToGrid w:val="0"/>
                <w:kern w:val="0"/>
                <w:u w:val="none"/>
              </w:rPr>
              <w:t>pH</w:t>
            </w:r>
          </w:p>
        </w:tc>
        <w:tc>
          <w:tcPr>
            <w:tcW w:w="1254"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6.69</w:t>
            </w:r>
          </w:p>
        </w:tc>
        <w:tc>
          <w:tcPr>
            <w:tcW w:w="1254"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7.24</w:t>
            </w:r>
          </w:p>
        </w:tc>
        <w:tc>
          <w:tcPr>
            <w:tcW w:w="1243"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7.05</w:t>
            </w:r>
          </w:p>
        </w:tc>
        <w:tc>
          <w:tcPr>
            <w:tcW w:w="1236"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7.04</w:t>
            </w:r>
          </w:p>
        </w:tc>
        <w:tc>
          <w:tcPr>
            <w:tcW w:w="1219"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7.18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ascii="Times New Roman" w:hAnsi="Times New Roman"/>
                <w:color w:val="000000"/>
                <w:szCs w:val="21"/>
              </w:rPr>
              <w:t>2</w:t>
            </w:r>
          </w:p>
        </w:tc>
        <w:tc>
          <w:tcPr>
            <w:tcW w:w="1568" w:type="dxa"/>
            <w:vAlign w:val="center"/>
          </w:tcPr>
          <w:p>
            <w:pPr>
              <w:pStyle w:val="72"/>
              <w:rPr>
                <w:rFonts w:ascii="Times New Roman" w:hAnsi="Times New Roman"/>
                <w:color w:val="000000"/>
              </w:rPr>
            </w:pPr>
            <w:r>
              <w:rPr>
                <w:rFonts w:ascii="Times New Roman" w:hAnsi="Times New Roman"/>
                <w:b w:val="0"/>
                <w:bCs/>
                <w:i w:val="0"/>
                <w:iCs/>
                <w:u w:val="none"/>
              </w:rPr>
              <w:t>氨氮</w:t>
            </w:r>
          </w:p>
        </w:tc>
        <w:tc>
          <w:tcPr>
            <w:tcW w:w="1254"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0.065</w:t>
            </w:r>
          </w:p>
        </w:tc>
        <w:tc>
          <w:tcPr>
            <w:tcW w:w="1254"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0.052</w:t>
            </w:r>
          </w:p>
        </w:tc>
        <w:tc>
          <w:tcPr>
            <w:tcW w:w="1243"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0.045</w:t>
            </w:r>
          </w:p>
        </w:tc>
        <w:tc>
          <w:tcPr>
            <w:tcW w:w="1236"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0.041</w:t>
            </w:r>
          </w:p>
        </w:tc>
        <w:tc>
          <w:tcPr>
            <w:tcW w:w="1219" w:type="dxa"/>
            <w:vAlign w:val="center"/>
          </w:tcPr>
          <w:p>
            <w:pPr>
              <w:jc w:val="center"/>
              <w:rPr>
                <w:rFonts w:ascii="Times New Roman" w:hAnsi="Times New Roman"/>
                <w:color w:val="000000"/>
                <w:szCs w:val="21"/>
              </w:rPr>
            </w:pPr>
            <w:r>
              <w:rPr>
                <w:rFonts w:hint="eastAsia" w:ascii="Times New Roman" w:hAnsi="Times New Roman"/>
                <w:color w:val="000000"/>
                <w:kern w:val="0"/>
                <w:szCs w:val="21"/>
              </w:rPr>
              <w:t>0.045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3</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snapToGrid w:val="0"/>
                <w:kern w:val="0"/>
                <w:u w:val="none"/>
              </w:rPr>
              <w:t>总硬度</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162</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178</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185</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36.7</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4</w:t>
            </w:r>
          </w:p>
        </w:tc>
        <w:tc>
          <w:tcPr>
            <w:tcW w:w="1568" w:type="dxa"/>
            <w:vAlign w:val="center"/>
          </w:tcPr>
          <w:p>
            <w:pPr>
              <w:pStyle w:val="72"/>
              <w:rPr>
                <w:rFonts w:ascii="Times New Roman" w:hAnsi="Times New Roman"/>
                <w:b w:val="0"/>
                <w:bCs/>
                <w:i w:val="0"/>
                <w:iCs/>
                <w:color w:val="000000"/>
                <w:u w:val="none"/>
              </w:rPr>
            </w:pPr>
            <w:r>
              <w:rPr>
                <w:rFonts w:ascii="Times New Roman" w:hAnsi="Times New Roman"/>
                <w:b w:val="0"/>
                <w:bCs/>
                <w:i w:val="0"/>
                <w:iCs/>
                <w:u w:val="none"/>
              </w:rPr>
              <w:t>硝酸盐氮</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1.61</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1.36</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1.42</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1.34</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5</w:t>
            </w:r>
          </w:p>
        </w:tc>
        <w:tc>
          <w:tcPr>
            <w:tcW w:w="1568" w:type="dxa"/>
            <w:vAlign w:val="center"/>
          </w:tcPr>
          <w:p>
            <w:pPr>
              <w:pStyle w:val="72"/>
              <w:rPr>
                <w:rFonts w:ascii="Times New Roman" w:hAnsi="Times New Roman"/>
                <w:b w:val="0"/>
                <w:bCs/>
                <w:i w:val="0"/>
                <w:iCs/>
                <w:color w:val="000000"/>
                <w:u w:val="none"/>
              </w:rPr>
            </w:pPr>
            <w:r>
              <w:rPr>
                <w:rFonts w:ascii="Times New Roman" w:hAnsi="Times New Roman"/>
                <w:b w:val="0"/>
                <w:bCs/>
                <w:i w:val="0"/>
                <w:iCs/>
                <w:u w:val="none"/>
              </w:rPr>
              <w:t>亚硝酸盐氮</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0.0012</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0.001L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0.0023</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0.0033</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6</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挥发酚</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7</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氰化物</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0.004L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0.004L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0.004L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0.004L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8</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硫酸盐</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28.1</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15.6</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14.9</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1.2</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9</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氯化物</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3.2</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2.6</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2.4</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1.2</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10</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氟化物</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11</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铁</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0.3L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0.3L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0.3L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0.3L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12</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锰</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0.1L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0.1L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0.1L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0.1L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13</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六价铬</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0.005</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0.006</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0.004L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0.004L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14</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铅</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0.0025L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0.0025L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0.0025L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0.0025L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0.0025L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15</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snapToGrid w:val="0"/>
                <w:u w:val="none"/>
              </w:rPr>
              <w:t>镉</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0.0005L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0.0005L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0.0005L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0.0005L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16</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汞</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0.0001L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0.0001L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0.0001L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0.0001L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17</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砷</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0.001L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0.001L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0.001L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0.001L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18</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铜</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0.2L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19</w:t>
            </w:r>
          </w:p>
        </w:tc>
        <w:tc>
          <w:tcPr>
            <w:tcW w:w="1568" w:type="dxa"/>
            <w:vAlign w:val="center"/>
          </w:tcPr>
          <w:p>
            <w:pPr>
              <w:pStyle w:val="72"/>
              <w:ind w:left="-105" w:leftChars="-50" w:right="-105" w:rightChars="-50"/>
              <w:rPr>
                <w:rFonts w:ascii="Times New Roman" w:hAnsi="Times New Roman"/>
                <w:b w:val="0"/>
                <w:bCs/>
                <w:i w:val="0"/>
                <w:iCs/>
                <w:color w:val="000000"/>
                <w:u w:val="none"/>
              </w:rPr>
            </w:pPr>
            <w:r>
              <w:rPr>
                <w:rFonts w:hint="eastAsia" w:ascii="Times New Roman" w:hAnsi="Times New Roman"/>
                <w:b w:val="0"/>
                <w:bCs/>
                <w:i w:val="0"/>
                <w:iCs/>
                <w:u w:val="none"/>
              </w:rPr>
              <w:t>锌</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0.05L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0.05L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0.05L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0.05L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20</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snapToGrid w:val="0"/>
                <w:u w:val="none"/>
              </w:rPr>
              <w:t>溶解性总固体</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144</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132</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115</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101</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rPr>
            </w:pPr>
            <w:r>
              <w:rPr>
                <w:rFonts w:hint="eastAsia" w:ascii="Times New Roman" w:hAnsi="Times New Roman"/>
                <w:color w:val="000000"/>
                <w:szCs w:val="21"/>
              </w:rPr>
              <w:t>21</w:t>
            </w:r>
          </w:p>
        </w:tc>
        <w:tc>
          <w:tcPr>
            <w:tcW w:w="1568" w:type="dxa"/>
            <w:vAlign w:val="center"/>
          </w:tcPr>
          <w:p>
            <w:pPr>
              <w:pStyle w:val="72"/>
              <w:rPr>
                <w:rFonts w:ascii="Times New Roman" w:hAnsi="Times New Roman"/>
                <w:b w:val="0"/>
                <w:bCs/>
                <w:i w:val="0"/>
                <w:iCs/>
                <w:color w:val="000000"/>
                <w:u w:val="none"/>
              </w:rPr>
            </w:pPr>
            <w:r>
              <w:rPr>
                <w:rFonts w:hint="eastAsia" w:ascii="Times New Roman" w:hAnsi="Times New Roman"/>
                <w:b w:val="0"/>
                <w:bCs/>
                <w:i w:val="0"/>
                <w:iCs/>
                <w:u w:val="none"/>
              </w:rPr>
              <w:t>镍</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0.005L</w:t>
            </w:r>
          </w:p>
        </w:tc>
        <w:tc>
          <w:tcPr>
            <w:tcW w:w="1254"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0.005L</w:t>
            </w:r>
          </w:p>
        </w:tc>
        <w:tc>
          <w:tcPr>
            <w:tcW w:w="1243"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0.005L</w:t>
            </w:r>
          </w:p>
        </w:tc>
        <w:tc>
          <w:tcPr>
            <w:tcW w:w="1236"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0.005L</w:t>
            </w:r>
          </w:p>
        </w:tc>
        <w:tc>
          <w:tcPr>
            <w:tcW w:w="1219" w:type="dxa"/>
            <w:vAlign w:val="center"/>
          </w:tcPr>
          <w:p>
            <w:pPr>
              <w:jc w:val="center"/>
              <w:rPr>
                <w:rFonts w:ascii="Times New Roman" w:hAnsi="Times New Roman"/>
                <w:bCs/>
                <w:iCs/>
                <w:color w:val="000000"/>
                <w:szCs w:val="21"/>
              </w:rPr>
            </w:pPr>
            <w:r>
              <w:rPr>
                <w:rFonts w:hint="eastAsia" w:ascii="Times New Roman" w:hAnsi="Times New Roman"/>
                <w:color w:val="000000"/>
                <w:kern w:val="0"/>
                <w:szCs w:val="21"/>
              </w:rPr>
              <w:t>0.005L</w:t>
            </w:r>
          </w:p>
        </w:tc>
      </w:tr>
    </w:tbl>
    <w:p>
      <w:pPr>
        <w:spacing w:line="360" w:lineRule="auto"/>
        <w:rPr>
          <w:sz w:val="24"/>
          <w:szCs w:val="24"/>
        </w:rPr>
      </w:pPr>
      <w:bookmarkStart w:id="315" w:name="_Toc2004"/>
      <w:r>
        <w:rPr>
          <w:sz w:val="24"/>
          <w:szCs w:val="24"/>
        </w:rPr>
        <w:t>4.</w:t>
      </w:r>
      <w:r>
        <w:rPr>
          <w:rFonts w:hint="eastAsia"/>
          <w:sz w:val="24"/>
          <w:szCs w:val="24"/>
        </w:rPr>
        <w:t>2.3</w:t>
      </w:r>
      <w:r>
        <w:rPr>
          <w:sz w:val="24"/>
          <w:szCs w:val="24"/>
        </w:rPr>
        <w:t>.5评价方法</w:t>
      </w:r>
      <w:bookmarkEnd w:id="315"/>
    </w:p>
    <w:p>
      <w:pPr>
        <w:adjustRightInd w:val="0"/>
        <w:snapToGrid w:val="0"/>
        <w:spacing w:line="360" w:lineRule="auto"/>
        <w:ind w:left="45" w:firstLine="480" w:firstLineChars="200"/>
        <w:rPr>
          <w:rFonts w:ascii="Times New Roman" w:hAnsi="Times New Roman"/>
          <w:sz w:val="24"/>
        </w:rPr>
      </w:pPr>
      <w:r>
        <w:rPr>
          <w:rFonts w:ascii="Times New Roman" w:hAnsi="Times New Roman"/>
          <w:sz w:val="24"/>
        </w:rPr>
        <w:t>采用单项污染物指数法，按GB/T14848-2017《地下水质量标准》中Ⅲ类标准进行评价。评价模型为：</w:t>
      </w:r>
    </w:p>
    <w:p>
      <w:pPr>
        <w:adjustRightInd w:val="0"/>
        <w:snapToGrid w:val="0"/>
        <w:spacing w:line="360" w:lineRule="auto"/>
        <w:ind w:firstLine="2880" w:firstLineChars="1200"/>
        <w:rPr>
          <w:rFonts w:ascii="Times New Roman" w:hAnsi="Times New Roman"/>
          <w:sz w:val="24"/>
        </w:rPr>
      </w:pPr>
      <w:r>
        <w:rPr>
          <w:rFonts w:ascii="Times New Roman" w:hAnsi="Times New Roman"/>
          <w:position w:val="-30"/>
          <w:sz w:val="24"/>
        </w:rPr>
        <w:object>
          <v:shape id="_x0000_i1028" o:spt="75" type="#_x0000_t75" style="height:35.3pt;width:42.8pt;" o:ole="t" filled="f" o:preferrelative="t" stroked="f" coordsize="21600,21600">
            <v:path/>
            <v:fill on="f" focussize="0,0"/>
            <v:stroke on="f" joinstyle="miter"/>
            <v:imagedata r:id="rId17" o:title=""/>
            <o:lock v:ext="edit" aspectratio="t"/>
            <w10:wrap type="none"/>
            <w10:anchorlock/>
          </v:shape>
          <o:OLEObject Type="Embed" ProgID="Equation.3" ShapeID="_x0000_i1028" DrawAspect="Content" ObjectID="_1468075728" r:id="rId16">
            <o:LockedField>false</o:LockedField>
          </o:OLEObject>
        </w:object>
      </w:r>
    </w:p>
    <w:p>
      <w:pPr>
        <w:adjustRightInd w:val="0"/>
        <w:snapToGrid w:val="0"/>
        <w:spacing w:line="360" w:lineRule="auto"/>
        <w:ind w:firstLine="720" w:firstLineChars="300"/>
        <w:rPr>
          <w:rFonts w:ascii="Times New Roman" w:hAnsi="Times New Roman"/>
          <w:sz w:val="24"/>
        </w:rPr>
      </w:pPr>
      <w:r>
        <w:rPr>
          <w:rFonts w:ascii="Times New Roman" w:hAnsi="Times New Roman"/>
          <w:sz w:val="24"/>
        </w:rPr>
        <w:t>式中：S</w:t>
      </w:r>
      <w:r>
        <w:rPr>
          <w:rFonts w:ascii="Times New Roman" w:hAnsi="Times New Roman"/>
          <w:sz w:val="24"/>
          <w:vertAlign w:val="subscript"/>
        </w:rPr>
        <w:t>i</w:t>
      </w:r>
      <w:r>
        <w:rPr>
          <w:rFonts w:ascii="Times New Roman" w:hAnsi="Times New Roman"/>
          <w:sz w:val="24"/>
        </w:rPr>
        <w:t>—某污染物的污染指数；</w:t>
      </w:r>
    </w:p>
    <w:p>
      <w:pPr>
        <w:adjustRightInd w:val="0"/>
        <w:snapToGrid w:val="0"/>
        <w:spacing w:line="360" w:lineRule="auto"/>
        <w:ind w:firstLine="1440" w:firstLineChars="600"/>
        <w:rPr>
          <w:rFonts w:ascii="Times New Roman" w:hAnsi="Times New Roman"/>
          <w:sz w:val="24"/>
        </w:rPr>
      </w:pPr>
      <w:r>
        <w:rPr>
          <w:rFonts w:ascii="Times New Roman" w:hAnsi="Times New Roman"/>
          <w:sz w:val="24"/>
        </w:rPr>
        <w:t>C</w:t>
      </w:r>
      <w:r>
        <w:rPr>
          <w:rFonts w:ascii="Times New Roman" w:hAnsi="Times New Roman"/>
          <w:sz w:val="24"/>
          <w:vertAlign w:val="subscript"/>
        </w:rPr>
        <w:t>i</w:t>
      </w:r>
      <w:r>
        <w:rPr>
          <w:rFonts w:ascii="Times New Roman" w:hAnsi="Times New Roman"/>
          <w:sz w:val="24"/>
        </w:rPr>
        <w:t>—某污染物的实测浓度，mg/L；</w:t>
      </w:r>
    </w:p>
    <w:p>
      <w:pPr>
        <w:adjustRightInd w:val="0"/>
        <w:snapToGrid w:val="0"/>
        <w:spacing w:line="360" w:lineRule="auto"/>
        <w:ind w:firstLine="1440" w:firstLineChars="600"/>
        <w:rPr>
          <w:rFonts w:ascii="Times New Roman" w:hAnsi="Times New Roman"/>
          <w:sz w:val="24"/>
        </w:rPr>
      </w:pPr>
      <w:r>
        <w:rPr>
          <w:rFonts w:ascii="Times New Roman" w:hAnsi="Times New Roman"/>
          <w:sz w:val="24"/>
        </w:rPr>
        <w:t>C</w:t>
      </w:r>
      <w:r>
        <w:rPr>
          <w:rFonts w:ascii="Times New Roman" w:hAnsi="Times New Roman"/>
          <w:sz w:val="24"/>
          <w:vertAlign w:val="subscript"/>
        </w:rPr>
        <w:t>o</w:t>
      </w:r>
      <w:r>
        <w:rPr>
          <w:rFonts w:ascii="Times New Roman" w:hAnsi="Times New Roman"/>
          <w:sz w:val="24"/>
        </w:rPr>
        <w:t>—某污染物的评价标准值，mg/L。</w:t>
      </w:r>
    </w:p>
    <w:p>
      <w:pPr>
        <w:spacing w:line="360" w:lineRule="auto"/>
        <w:ind w:firstLine="480" w:firstLineChars="200"/>
        <w:rPr>
          <w:rFonts w:ascii="Times New Roman" w:hAnsi="Times New Roman"/>
          <w:sz w:val="24"/>
        </w:rPr>
      </w:pPr>
      <w:r>
        <w:rPr>
          <w:rFonts w:ascii="Times New Roman" w:hAnsi="Times New Roman"/>
          <w:sz w:val="24"/>
        </w:rPr>
        <w:t>pH的标准指数计算式：</w:t>
      </w:r>
    </w:p>
    <w:p>
      <w:pPr>
        <w:spacing w:line="360" w:lineRule="auto"/>
        <w:rPr>
          <w:rFonts w:ascii="Times New Roman" w:hAnsi="Times New Roman"/>
          <w:sz w:val="24"/>
        </w:rPr>
      </w:pPr>
      <w:r>
        <w:rPr>
          <w:rFonts w:ascii="Times New Roman" w:hAnsi="Times New Roman"/>
          <w:sz w:val="24"/>
        </w:rPr>
        <w:t xml:space="preserve">              S</w:t>
      </w:r>
      <w:r>
        <w:rPr>
          <w:rFonts w:ascii="Times New Roman" w:hAnsi="Times New Roman"/>
          <w:sz w:val="24"/>
          <w:vertAlign w:val="subscript"/>
        </w:rPr>
        <w:t>pH,j</w:t>
      </w:r>
      <w:r>
        <w:rPr>
          <w:rFonts w:ascii="Times New Roman" w:hAnsi="Times New Roman"/>
          <w:sz w:val="24"/>
        </w:rPr>
        <w:t>=</w:t>
      </w:r>
      <w:r>
        <w:rPr>
          <w:rFonts w:ascii="Times New Roman" w:hAnsi="Times New Roman"/>
          <w:position w:val="-30"/>
          <w:sz w:val="24"/>
        </w:rPr>
        <w:object>
          <v:shape id="_x0000_i1029" o:spt="75" type="#_x0000_t75" style="height:36pt;width:57.05pt;" o:ole="t" filled="f" o:preferrelative="t" stroked="f" coordsize="21600,21600">
            <v:path/>
            <v:fill on="f" focussize="0,0"/>
            <v:stroke on="f" joinstyle="miter"/>
            <v:imagedata r:id="rId13" o:title=""/>
            <o:lock v:ext="edit" aspectratio="t"/>
            <w10:wrap type="none"/>
            <w10:anchorlock/>
          </v:shape>
          <o:OLEObject Type="Embed" ProgID="Equation.2" ShapeID="_x0000_i1029" DrawAspect="Content" ObjectID="_1468075729" r:id="rId18">
            <o:LockedField>false</o:LockedField>
          </o:OLEObject>
        </w:object>
      </w:r>
      <w:r>
        <w:rPr>
          <w:rFonts w:ascii="Times New Roman" w:hAnsi="Times New Roman"/>
          <w:sz w:val="24"/>
        </w:rPr>
        <w:t xml:space="preserve">        pH</w:t>
      </w:r>
      <w:r>
        <w:rPr>
          <w:rFonts w:ascii="Times New Roman" w:hAnsi="Times New Roman"/>
          <w:sz w:val="24"/>
          <w:vertAlign w:val="subscript"/>
        </w:rPr>
        <w:t>j</w:t>
      </w:r>
      <w:r>
        <w:rPr>
          <w:rFonts w:ascii="Times New Roman" w:hAnsi="Times New Roman"/>
          <w:sz w:val="24"/>
          <w:lang w:val="en-GB"/>
        </w:rPr>
        <w:t>≤</w:t>
      </w:r>
      <w:r>
        <w:rPr>
          <w:rFonts w:ascii="Times New Roman" w:hAnsi="Times New Roman"/>
          <w:sz w:val="24"/>
        </w:rPr>
        <w:t>7.0</w:t>
      </w:r>
    </w:p>
    <w:p>
      <w:pPr>
        <w:spacing w:line="360" w:lineRule="auto"/>
        <w:rPr>
          <w:rFonts w:ascii="Times New Roman" w:hAnsi="Times New Roman"/>
          <w:sz w:val="24"/>
        </w:rPr>
      </w:pPr>
      <w:r>
        <w:rPr>
          <w:rFonts w:ascii="Times New Roman" w:hAnsi="Times New Roman"/>
          <w:sz w:val="24"/>
        </w:rPr>
        <w:t xml:space="preserve">              S</w:t>
      </w:r>
      <w:r>
        <w:rPr>
          <w:rFonts w:ascii="Times New Roman" w:hAnsi="Times New Roman"/>
          <w:sz w:val="24"/>
          <w:vertAlign w:val="subscript"/>
        </w:rPr>
        <w:t>pH,j</w:t>
      </w:r>
      <w:r>
        <w:rPr>
          <w:rFonts w:ascii="Times New Roman" w:hAnsi="Times New Roman"/>
          <w:sz w:val="24"/>
        </w:rPr>
        <w:t>=</w:t>
      </w:r>
      <w:r>
        <w:rPr>
          <w:rFonts w:ascii="Times New Roman" w:hAnsi="Times New Roman"/>
          <w:position w:val="-30"/>
          <w:sz w:val="24"/>
        </w:rPr>
        <w:object>
          <v:shape id="_x0000_i1030" o:spt="75" type="#_x0000_t75" style="height:36pt;width:55.7pt;" o:ole="t" filled="f" o:preferrelative="t" stroked="f" coordsize="21600,21600">
            <v:path/>
            <v:fill on="f" focussize="0,0"/>
            <v:stroke on="f" joinstyle="miter"/>
            <v:imagedata r:id="rId15" o:title=""/>
            <o:lock v:ext="edit" aspectratio="t"/>
            <w10:wrap type="none"/>
            <w10:anchorlock/>
          </v:shape>
          <o:OLEObject Type="Embed" ProgID="Equation.2" ShapeID="_x0000_i1030" DrawAspect="Content" ObjectID="_1468075730" r:id="rId19">
            <o:LockedField>false</o:LockedField>
          </o:OLEObject>
        </w:object>
      </w:r>
      <w:r>
        <w:rPr>
          <w:rFonts w:ascii="Times New Roman" w:hAnsi="Times New Roman"/>
          <w:sz w:val="24"/>
        </w:rPr>
        <w:t xml:space="preserve">        pH</w:t>
      </w:r>
      <w:r>
        <w:rPr>
          <w:rFonts w:ascii="Times New Roman" w:hAnsi="Times New Roman"/>
          <w:sz w:val="24"/>
          <w:vertAlign w:val="subscript"/>
        </w:rPr>
        <w:t>j</w:t>
      </w:r>
      <w:r>
        <w:rPr>
          <w:rFonts w:ascii="Times New Roman" w:hAnsi="Times New Roman"/>
          <w:sz w:val="24"/>
        </w:rPr>
        <w:t>&gt;7.0</w:t>
      </w:r>
    </w:p>
    <w:p>
      <w:pPr>
        <w:spacing w:line="360" w:lineRule="auto"/>
        <w:ind w:firstLine="480"/>
        <w:rPr>
          <w:rFonts w:ascii="Times New Roman" w:hAnsi="Times New Roman"/>
          <w:sz w:val="24"/>
        </w:rPr>
      </w:pPr>
      <w:r>
        <w:rPr>
          <w:rFonts w:ascii="Times New Roman" w:hAnsi="Times New Roman"/>
          <w:sz w:val="24"/>
        </w:rPr>
        <w:t>式中：S</w:t>
      </w:r>
      <w:r>
        <w:rPr>
          <w:rFonts w:ascii="Times New Roman" w:hAnsi="Times New Roman"/>
          <w:sz w:val="24"/>
          <w:vertAlign w:val="subscript"/>
        </w:rPr>
        <w:t>pH，j</w:t>
      </w:r>
      <w:r>
        <w:rPr>
          <w:rFonts w:ascii="Times New Roman" w:hAnsi="Times New Roman"/>
          <w:sz w:val="24"/>
        </w:rPr>
        <w:t>—pH在第j点的标准指数；</w:t>
      </w:r>
    </w:p>
    <w:p>
      <w:pPr>
        <w:spacing w:line="360" w:lineRule="auto"/>
        <w:ind w:firstLine="480"/>
        <w:rPr>
          <w:rFonts w:ascii="Times New Roman" w:hAnsi="Times New Roman"/>
          <w:sz w:val="24"/>
        </w:rPr>
      </w:pPr>
      <w:r>
        <w:rPr>
          <w:rFonts w:ascii="Times New Roman" w:hAnsi="Times New Roman"/>
          <w:sz w:val="24"/>
        </w:rPr>
        <w:t xml:space="preserve">      pH</w:t>
      </w:r>
      <w:r>
        <w:rPr>
          <w:rFonts w:ascii="Times New Roman" w:hAnsi="Times New Roman"/>
          <w:sz w:val="24"/>
          <w:vertAlign w:val="subscript"/>
        </w:rPr>
        <w:t>j</w:t>
      </w:r>
      <w:r>
        <w:rPr>
          <w:rFonts w:ascii="Times New Roman" w:hAnsi="Times New Roman"/>
          <w:sz w:val="24"/>
        </w:rPr>
        <w:t>—j点的pH值；</w:t>
      </w:r>
    </w:p>
    <w:p>
      <w:pPr>
        <w:spacing w:line="360" w:lineRule="auto"/>
        <w:ind w:firstLine="480"/>
        <w:rPr>
          <w:rFonts w:ascii="Times New Roman" w:hAnsi="Times New Roman"/>
          <w:sz w:val="24"/>
        </w:rPr>
      </w:pPr>
      <w:r>
        <w:rPr>
          <w:rFonts w:ascii="Times New Roman" w:hAnsi="Times New Roman"/>
          <w:sz w:val="24"/>
        </w:rPr>
        <w:t xml:space="preserve">      pH</w:t>
      </w:r>
      <w:r>
        <w:rPr>
          <w:rFonts w:ascii="Times New Roman" w:hAnsi="Times New Roman"/>
          <w:sz w:val="24"/>
          <w:vertAlign w:val="subscript"/>
        </w:rPr>
        <w:t>sd</w:t>
      </w:r>
      <w:r>
        <w:rPr>
          <w:rFonts w:ascii="Times New Roman" w:hAnsi="Times New Roman"/>
          <w:sz w:val="24"/>
        </w:rPr>
        <w:t>—地表水水质标准中规定的pH值下限；</w:t>
      </w:r>
    </w:p>
    <w:p>
      <w:pPr>
        <w:spacing w:line="360" w:lineRule="auto"/>
        <w:ind w:firstLine="480"/>
        <w:rPr>
          <w:rFonts w:ascii="Times New Roman" w:hAnsi="Times New Roman"/>
          <w:sz w:val="24"/>
        </w:rPr>
      </w:pPr>
      <w:r>
        <w:rPr>
          <w:rFonts w:ascii="Times New Roman" w:hAnsi="Times New Roman"/>
          <w:sz w:val="24"/>
        </w:rPr>
        <w:t xml:space="preserve">      pH</w:t>
      </w:r>
      <w:r>
        <w:rPr>
          <w:rFonts w:ascii="Times New Roman" w:hAnsi="Times New Roman"/>
          <w:sz w:val="24"/>
          <w:vertAlign w:val="subscript"/>
        </w:rPr>
        <w:t>su</w:t>
      </w:r>
      <w:r>
        <w:rPr>
          <w:rFonts w:ascii="Times New Roman" w:hAnsi="Times New Roman"/>
          <w:sz w:val="24"/>
        </w:rPr>
        <w:t>—地表水水质标准中规定的pH值上限。</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当单项标准指数&gt;1时，表示该水质参数所表征的污染物已满足不了标准要求，水体已受到污染；反之，则满足标准要求。</w:t>
      </w:r>
    </w:p>
    <w:p>
      <w:pPr>
        <w:spacing w:line="360" w:lineRule="auto"/>
        <w:outlineLvl w:val="0"/>
        <w:rPr>
          <w:sz w:val="24"/>
          <w:szCs w:val="24"/>
        </w:rPr>
      </w:pPr>
      <w:bookmarkStart w:id="316" w:name="_Toc25004"/>
      <w:r>
        <w:rPr>
          <w:sz w:val="24"/>
          <w:szCs w:val="24"/>
        </w:rPr>
        <w:t>4.</w:t>
      </w:r>
      <w:r>
        <w:rPr>
          <w:rFonts w:hint="eastAsia"/>
          <w:sz w:val="24"/>
          <w:szCs w:val="24"/>
        </w:rPr>
        <w:t>2.3</w:t>
      </w:r>
      <w:r>
        <w:rPr>
          <w:sz w:val="24"/>
          <w:szCs w:val="24"/>
        </w:rPr>
        <w:t>.6评价标准</w:t>
      </w:r>
      <w:bookmarkEnd w:id="316"/>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采用GB/T14848-2017《地下水质量标准》中的Ⅲ类标准。</w:t>
      </w:r>
    </w:p>
    <w:p>
      <w:pPr>
        <w:spacing w:line="360" w:lineRule="auto"/>
        <w:outlineLvl w:val="0"/>
        <w:rPr>
          <w:sz w:val="24"/>
          <w:szCs w:val="24"/>
        </w:rPr>
      </w:pPr>
      <w:bookmarkStart w:id="317" w:name="_Toc3157"/>
      <w:r>
        <w:rPr>
          <w:sz w:val="24"/>
          <w:szCs w:val="24"/>
        </w:rPr>
        <w:t>4.</w:t>
      </w:r>
      <w:r>
        <w:rPr>
          <w:rFonts w:hint="eastAsia"/>
          <w:sz w:val="24"/>
          <w:szCs w:val="24"/>
        </w:rPr>
        <w:t>2.3</w:t>
      </w:r>
      <w:r>
        <w:rPr>
          <w:sz w:val="24"/>
          <w:szCs w:val="24"/>
        </w:rPr>
        <w:t>.7评价结果与分析</w:t>
      </w:r>
      <w:bookmarkEnd w:id="317"/>
    </w:p>
    <w:p>
      <w:pPr>
        <w:adjustRightInd w:val="0"/>
        <w:snapToGrid w:val="0"/>
        <w:spacing w:line="360" w:lineRule="auto"/>
        <w:ind w:firstLine="480"/>
        <w:rPr>
          <w:rFonts w:ascii="Times New Roman" w:hAnsi="Times New Roman"/>
          <w:color w:val="000000"/>
          <w:sz w:val="24"/>
          <w:u w:val="single"/>
        </w:rPr>
      </w:pPr>
      <w:r>
        <w:rPr>
          <w:rFonts w:ascii="Times New Roman" w:hAnsi="Times New Roman"/>
          <w:color w:val="000000"/>
          <w:sz w:val="24"/>
          <w:u w:val="single"/>
        </w:rPr>
        <w:t>地下水评价结果详见</w:t>
      </w:r>
      <w:r>
        <w:rPr>
          <w:rFonts w:hint="eastAsia" w:ascii="Times New Roman" w:hAnsi="Times New Roman"/>
          <w:color w:val="000000"/>
          <w:sz w:val="24"/>
          <w:u w:val="single"/>
        </w:rPr>
        <w:t>下表</w:t>
      </w:r>
      <w:r>
        <w:rPr>
          <w:rFonts w:ascii="Times New Roman" w:hAnsi="Times New Roman"/>
          <w:color w:val="000000"/>
          <w:sz w:val="24"/>
          <w:u w:val="single"/>
        </w:rPr>
        <w:t>。</w:t>
      </w:r>
    </w:p>
    <w:p>
      <w:pPr>
        <w:adjustRightInd w:val="0"/>
        <w:snapToGrid w:val="0"/>
        <w:ind w:left="46" w:leftChars="22" w:firstLine="2168" w:firstLineChars="900"/>
        <w:rPr>
          <w:rFonts w:ascii="Times New Roman" w:hAnsi="Times New Roman"/>
          <w:b/>
          <w:bCs/>
          <w:color w:val="000000"/>
          <w:sz w:val="24"/>
          <w:u w:val="single"/>
        </w:rPr>
      </w:pPr>
      <w:r>
        <w:rPr>
          <w:rFonts w:ascii="Times New Roman" w:hAnsi="Times New Roman"/>
          <w:b/>
          <w:bCs/>
          <w:color w:val="000000"/>
          <w:sz w:val="24"/>
          <w:u w:val="single"/>
        </w:rPr>
        <w:t>表4-</w:t>
      </w:r>
      <w:r>
        <w:rPr>
          <w:rFonts w:hint="eastAsia" w:ascii="Times New Roman" w:hAnsi="Times New Roman"/>
          <w:b/>
          <w:bCs/>
          <w:color w:val="000000"/>
          <w:sz w:val="24"/>
          <w:u w:val="single"/>
        </w:rPr>
        <w:t>7</w:t>
      </w:r>
      <w:r>
        <w:rPr>
          <w:rFonts w:ascii="Times New Roman" w:hAnsi="Times New Roman"/>
          <w:b/>
          <w:bCs/>
          <w:color w:val="000000"/>
          <w:sz w:val="24"/>
          <w:u w:val="single"/>
        </w:rPr>
        <w:t xml:space="preserve">  地下水现状评价结果表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568"/>
        <w:gridCol w:w="1254"/>
        <w:gridCol w:w="1254"/>
        <w:gridCol w:w="1243"/>
        <w:gridCol w:w="1236"/>
        <w:gridCol w:w="1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序号</w:t>
            </w:r>
          </w:p>
        </w:tc>
        <w:tc>
          <w:tcPr>
            <w:tcW w:w="1568"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监测项目</w:t>
            </w:r>
          </w:p>
        </w:tc>
        <w:tc>
          <w:tcPr>
            <w:tcW w:w="1254"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1</w:t>
            </w:r>
            <w:r>
              <w:rPr>
                <w:rFonts w:ascii="Times New Roman" w:hAnsi="Times New Roman"/>
                <w:color w:val="000000"/>
                <w:szCs w:val="21"/>
                <w:u w:val="single"/>
                <w:vertAlign w:val="superscript"/>
              </w:rPr>
              <w:t>#</w:t>
            </w:r>
          </w:p>
        </w:tc>
        <w:tc>
          <w:tcPr>
            <w:tcW w:w="1254"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2</w:t>
            </w:r>
            <w:r>
              <w:rPr>
                <w:rFonts w:ascii="Times New Roman" w:hAnsi="Times New Roman"/>
                <w:color w:val="000000"/>
                <w:szCs w:val="21"/>
                <w:u w:val="single"/>
                <w:vertAlign w:val="superscript"/>
              </w:rPr>
              <w:t>#</w:t>
            </w:r>
          </w:p>
        </w:tc>
        <w:tc>
          <w:tcPr>
            <w:tcW w:w="1243"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3</w:t>
            </w:r>
            <w:r>
              <w:rPr>
                <w:rFonts w:ascii="Times New Roman" w:hAnsi="Times New Roman"/>
                <w:color w:val="000000"/>
                <w:szCs w:val="21"/>
                <w:u w:val="single"/>
                <w:vertAlign w:val="superscript"/>
              </w:rPr>
              <w:t>#</w:t>
            </w:r>
          </w:p>
        </w:tc>
        <w:tc>
          <w:tcPr>
            <w:tcW w:w="1236"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4</w:t>
            </w:r>
            <w:r>
              <w:rPr>
                <w:rFonts w:ascii="Times New Roman" w:hAnsi="Times New Roman"/>
                <w:color w:val="000000"/>
                <w:szCs w:val="21"/>
                <w:u w:val="single"/>
                <w:vertAlign w:val="superscript"/>
              </w:rPr>
              <w:t>#</w:t>
            </w:r>
          </w:p>
        </w:tc>
        <w:tc>
          <w:tcPr>
            <w:tcW w:w="1219"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5</w:t>
            </w:r>
            <w:r>
              <w:rPr>
                <w:rFonts w:ascii="Times New Roman" w:hAnsi="Times New Roman"/>
                <w:color w:val="000000"/>
                <w:szCs w:val="21"/>
                <w:u w:val="single"/>
                <w:vertAlign w:val="superscrip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ascii="Times New Roman" w:hAnsi="Times New Roman"/>
                <w:color w:val="000000"/>
                <w:szCs w:val="21"/>
                <w:u w:val="single"/>
              </w:rPr>
              <w:t>1</w:t>
            </w:r>
          </w:p>
        </w:tc>
        <w:tc>
          <w:tcPr>
            <w:tcW w:w="1568" w:type="dxa"/>
            <w:vAlign w:val="center"/>
          </w:tcPr>
          <w:p>
            <w:pPr>
              <w:pStyle w:val="72"/>
              <w:rPr>
                <w:rFonts w:ascii="Times New Roman" w:hAnsi="Times New Roman"/>
                <w:color w:val="000000"/>
              </w:rPr>
            </w:pPr>
            <w:r>
              <w:rPr>
                <w:rFonts w:ascii="Times New Roman" w:hAnsi="Times New Roman"/>
                <w:b w:val="0"/>
                <w:bCs/>
                <w:i w:val="0"/>
                <w:iCs/>
                <w:snapToGrid w:val="0"/>
                <w:kern w:val="0"/>
              </w:rPr>
              <w:t>pH</w:t>
            </w:r>
          </w:p>
        </w:tc>
        <w:tc>
          <w:tcPr>
            <w:tcW w:w="1254"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0.31</w:t>
            </w:r>
          </w:p>
        </w:tc>
        <w:tc>
          <w:tcPr>
            <w:tcW w:w="1254"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0.12</w:t>
            </w:r>
          </w:p>
        </w:tc>
        <w:tc>
          <w:tcPr>
            <w:tcW w:w="1243"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0.025</w:t>
            </w:r>
          </w:p>
        </w:tc>
        <w:tc>
          <w:tcPr>
            <w:tcW w:w="1236"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0.02</w:t>
            </w:r>
          </w:p>
        </w:tc>
        <w:tc>
          <w:tcPr>
            <w:tcW w:w="1219"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ascii="Times New Roman" w:hAnsi="Times New Roman"/>
                <w:color w:val="000000"/>
                <w:szCs w:val="21"/>
                <w:u w:val="single"/>
              </w:rPr>
              <w:t>2</w:t>
            </w:r>
          </w:p>
        </w:tc>
        <w:tc>
          <w:tcPr>
            <w:tcW w:w="1568" w:type="dxa"/>
            <w:vAlign w:val="center"/>
          </w:tcPr>
          <w:p>
            <w:pPr>
              <w:pStyle w:val="72"/>
              <w:rPr>
                <w:rFonts w:ascii="Times New Roman" w:hAnsi="Times New Roman"/>
                <w:color w:val="000000"/>
              </w:rPr>
            </w:pPr>
            <w:r>
              <w:rPr>
                <w:rFonts w:ascii="Times New Roman" w:hAnsi="Times New Roman"/>
                <w:b w:val="0"/>
                <w:bCs/>
                <w:i w:val="0"/>
                <w:iCs/>
              </w:rPr>
              <w:t>氨氮</w:t>
            </w:r>
          </w:p>
        </w:tc>
        <w:tc>
          <w:tcPr>
            <w:tcW w:w="1254"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0.13</w:t>
            </w:r>
          </w:p>
        </w:tc>
        <w:tc>
          <w:tcPr>
            <w:tcW w:w="1254"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0.104</w:t>
            </w:r>
          </w:p>
        </w:tc>
        <w:tc>
          <w:tcPr>
            <w:tcW w:w="1243"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0.09</w:t>
            </w:r>
          </w:p>
        </w:tc>
        <w:tc>
          <w:tcPr>
            <w:tcW w:w="1236"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0.082</w:t>
            </w:r>
          </w:p>
        </w:tc>
        <w:tc>
          <w:tcPr>
            <w:tcW w:w="1219"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3</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snapToGrid w:val="0"/>
                <w:kern w:val="0"/>
              </w:rPr>
              <w:t>总硬度</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0.36</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0.38</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0.41</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0.08</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4</w:t>
            </w:r>
          </w:p>
        </w:tc>
        <w:tc>
          <w:tcPr>
            <w:tcW w:w="1568" w:type="dxa"/>
            <w:vAlign w:val="center"/>
          </w:tcPr>
          <w:p>
            <w:pPr>
              <w:pStyle w:val="72"/>
              <w:rPr>
                <w:rFonts w:ascii="Times New Roman" w:hAnsi="Times New Roman"/>
                <w:b w:val="0"/>
                <w:bCs/>
                <w:i w:val="0"/>
                <w:iCs/>
                <w:color w:val="000000"/>
              </w:rPr>
            </w:pPr>
            <w:r>
              <w:rPr>
                <w:rFonts w:ascii="Times New Roman" w:hAnsi="Times New Roman"/>
                <w:b w:val="0"/>
                <w:bCs/>
                <w:i w:val="0"/>
                <w:iCs/>
              </w:rPr>
              <w:t>硝酸盐氮</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0.08</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0.068</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0.071</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0.067</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5</w:t>
            </w:r>
          </w:p>
        </w:tc>
        <w:tc>
          <w:tcPr>
            <w:tcW w:w="1568" w:type="dxa"/>
            <w:vAlign w:val="center"/>
          </w:tcPr>
          <w:p>
            <w:pPr>
              <w:pStyle w:val="72"/>
              <w:rPr>
                <w:rFonts w:ascii="Times New Roman" w:hAnsi="Times New Roman"/>
                <w:b w:val="0"/>
                <w:bCs/>
                <w:i w:val="0"/>
                <w:iCs/>
                <w:color w:val="000000"/>
              </w:rPr>
            </w:pPr>
            <w:r>
              <w:rPr>
                <w:rFonts w:ascii="Times New Roman" w:hAnsi="Times New Roman"/>
                <w:b w:val="0"/>
                <w:bCs/>
                <w:i w:val="0"/>
                <w:iCs/>
              </w:rPr>
              <w:t>亚硝酸盐氮</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0.0012</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0.0023</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0.0033</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6</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挥发酚</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7</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氰化物</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8</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硫酸盐</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0.11</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0.06</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0.059</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0.004</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9</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氯化物</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0.01</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0.01</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0.009</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0.004</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bCs/>
                <w:iCs/>
                <w:color w:val="000000"/>
                <w:szCs w:val="21"/>
                <w:u w:val="singl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10</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氟化物</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11</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铁</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12</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锰</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13</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六价铬</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0.1</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0.12</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0.004L</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0.004L</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0.004L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14</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铅</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15</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snapToGrid w:val="0"/>
              </w:rPr>
              <w:t>镉</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16</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汞</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17</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砷</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18</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铜</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19</w:t>
            </w:r>
          </w:p>
        </w:tc>
        <w:tc>
          <w:tcPr>
            <w:tcW w:w="1568" w:type="dxa"/>
            <w:vAlign w:val="center"/>
          </w:tcPr>
          <w:p>
            <w:pPr>
              <w:pStyle w:val="72"/>
              <w:ind w:left="-105" w:leftChars="-50" w:right="-105" w:rightChars="-50"/>
              <w:rPr>
                <w:rFonts w:ascii="Times New Roman" w:hAnsi="Times New Roman"/>
                <w:b w:val="0"/>
                <w:bCs/>
                <w:i w:val="0"/>
                <w:iCs/>
                <w:color w:val="000000"/>
              </w:rPr>
            </w:pPr>
            <w:r>
              <w:rPr>
                <w:rFonts w:hint="eastAsia" w:ascii="Times New Roman" w:hAnsi="Times New Roman"/>
                <w:b w:val="0"/>
                <w:bCs/>
                <w:i w:val="0"/>
                <w:iCs/>
              </w:rPr>
              <w:t>锌</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20</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snapToGrid w:val="0"/>
              </w:rPr>
              <w:t>溶解性总固体</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0.144</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0.132</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0.115</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0.101</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vAlign w:val="center"/>
          </w:tcPr>
          <w:p>
            <w:pPr>
              <w:tabs>
                <w:tab w:val="left" w:pos="3780"/>
              </w:tabs>
              <w:spacing w:line="300" w:lineRule="exact"/>
              <w:jc w:val="center"/>
              <w:rPr>
                <w:rFonts w:ascii="Times New Roman" w:hAnsi="Times New Roman"/>
                <w:color w:val="000000"/>
                <w:szCs w:val="21"/>
                <w:u w:val="single"/>
              </w:rPr>
            </w:pPr>
            <w:r>
              <w:rPr>
                <w:rFonts w:hint="eastAsia" w:ascii="Times New Roman" w:hAnsi="Times New Roman"/>
                <w:color w:val="000000"/>
                <w:szCs w:val="21"/>
                <w:u w:val="single"/>
              </w:rPr>
              <w:t>21</w:t>
            </w:r>
          </w:p>
        </w:tc>
        <w:tc>
          <w:tcPr>
            <w:tcW w:w="1568" w:type="dxa"/>
            <w:vAlign w:val="center"/>
          </w:tcPr>
          <w:p>
            <w:pPr>
              <w:pStyle w:val="72"/>
              <w:rPr>
                <w:rFonts w:ascii="Times New Roman" w:hAnsi="Times New Roman"/>
                <w:b w:val="0"/>
                <w:bCs/>
                <w:i w:val="0"/>
                <w:iCs/>
                <w:color w:val="000000"/>
              </w:rPr>
            </w:pPr>
            <w:r>
              <w:rPr>
                <w:rFonts w:hint="eastAsia" w:ascii="Times New Roman" w:hAnsi="Times New Roman"/>
                <w:b w:val="0"/>
                <w:bCs/>
                <w:i w:val="0"/>
                <w:iCs/>
              </w:rPr>
              <w:t>镍</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54"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43"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36"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c>
          <w:tcPr>
            <w:tcW w:w="1219" w:type="dxa"/>
            <w:vAlign w:val="center"/>
          </w:tcPr>
          <w:p>
            <w:pPr>
              <w:jc w:val="center"/>
              <w:rPr>
                <w:rFonts w:ascii="Times New Roman" w:hAnsi="Times New Roman"/>
                <w:bCs/>
                <w:iCs/>
                <w:color w:val="000000"/>
                <w:szCs w:val="21"/>
                <w:u w:val="single"/>
              </w:rPr>
            </w:pPr>
            <w:r>
              <w:rPr>
                <w:rFonts w:hint="eastAsia" w:ascii="Times New Roman" w:hAnsi="Times New Roman"/>
                <w:color w:val="000000"/>
                <w:kern w:val="0"/>
                <w:szCs w:val="21"/>
                <w:u w:val="single"/>
              </w:rPr>
              <w:t>--</w:t>
            </w:r>
          </w:p>
        </w:tc>
      </w:tr>
    </w:tbl>
    <w:p>
      <w:pPr>
        <w:spacing w:beforeLines="50" w:line="360" w:lineRule="auto"/>
        <w:ind w:firstLine="482"/>
        <w:contextualSpacing/>
        <w:rPr>
          <w:rFonts w:ascii="Times New Roman" w:hAnsi="Times New Roman"/>
          <w:sz w:val="24"/>
          <w:u w:val="single"/>
        </w:rPr>
      </w:pPr>
      <w:r>
        <w:rPr>
          <w:rFonts w:ascii="Times New Roman" w:hAnsi="Times New Roman"/>
          <w:snapToGrid w:val="0"/>
          <w:sz w:val="24"/>
          <w:u w:val="single"/>
        </w:rPr>
        <w:t>根据表</w:t>
      </w:r>
      <w:r>
        <w:rPr>
          <w:rFonts w:ascii="Times New Roman" w:hAnsi="Times New Roman"/>
          <w:sz w:val="24"/>
          <w:u w:val="single"/>
        </w:rPr>
        <w:t>4-</w:t>
      </w:r>
      <w:r>
        <w:rPr>
          <w:rFonts w:hint="eastAsia" w:ascii="Times New Roman" w:hAnsi="Times New Roman"/>
          <w:sz w:val="24"/>
          <w:u w:val="single"/>
        </w:rPr>
        <w:t>7</w:t>
      </w:r>
      <w:r>
        <w:rPr>
          <w:rFonts w:ascii="Times New Roman" w:hAnsi="Times New Roman"/>
          <w:snapToGrid w:val="0"/>
          <w:sz w:val="24"/>
          <w:u w:val="single"/>
        </w:rPr>
        <w:t>中水质评价结果可知，</w:t>
      </w:r>
      <w:r>
        <w:rPr>
          <w:rFonts w:hint="eastAsia" w:ascii="Times New Roman" w:hAnsi="Times New Roman"/>
          <w:snapToGrid w:val="0"/>
          <w:sz w:val="24"/>
          <w:u w:val="single"/>
        </w:rPr>
        <w:t>1</w:t>
      </w:r>
      <w:r>
        <w:rPr>
          <w:rFonts w:hint="eastAsia" w:ascii="Times New Roman" w:hAnsi="Times New Roman"/>
          <w:snapToGrid w:val="0"/>
          <w:sz w:val="24"/>
          <w:u w:val="single"/>
          <w:vertAlign w:val="superscript"/>
        </w:rPr>
        <w:t>#</w:t>
      </w:r>
      <w:r>
        <w:rPr>
          <w:rFonts w:hint="eastAsia" w:ascii="Times New Roman" w:hAnsi="Times New Roman"/>
          <w:snapToGrid w:val="0"/>
          <w:sz w:val="24"/>
          <w:u w:val="single"/>
        </w:rPr>
        <w:t>~5</w:t>
      </w:r>
      <w:r>
        <w:rPr>
          <w:rFonts w:hint="eastAsia" w:ascii="Times New Roman" w:hAnsi="Times New Roman"/>
          <w:snapToGrid w:val="0"/>
          <w:sz w:val="24"/>
          <w:u w:val="single"/>
          <w:vertAlign w:val="superscript"/>
        </w:rPr>
        <w:t>#</w:t>
      </w:r>
      <w:r>
        <w:rPr>
          <w:rFonts w:ascii="Times New Roman" w:hAnsi="Times New Roman"/>
          <w:snapToGrid w:val="0"/>
          <w:sz w:val="24"/>
          <w:u w:val="single"/>
        </w:rPr>
        <w:t>监测</w:t>
      </w:r>
      <w:r>
        <w:rPr>
          <w:rFonts w:hint="eastAsia" w:ascii="Times New Roman" w:hAnsi="Times New Roman"/>
          <w:snapToGrid w:val="0"/>
          <w:sz w:val="24"/>
          <w:u w:val="single"/>
        </w:rPr>
        <w:t>点位的各项水污染监测因子</w:t>
      </w:r>
      <w:r>
        <w:rPr>
          <w:rFonts w:ascii="Times New Roman" w:hAnsi="Times New Roman"/>
          <w:snapToGrid w:val="0"/>
          <w:sz w:val="24"/>
          <w:u w:val="single"/>
        </w:rPr>
        <w:t>均</w:t>
      </w:r>
      <w:r>
        <w:rPr>
          <w:rFonts w:ascii="Times New Roman" w:hAnsi="Times New Roman"/>
          <w:sz w:val="24"/>
          <w:u w:val="single"/>
        </w:rPr>
        <w:t>能够满足《地下水质量标准》（GB/T14848-2017）中Ⅲ类标准要求，说明区域地下水环境较好</w:t>
      </w:r>
      <w:r>
        <w:rPr>
          <w:rFonts w:ascii="Times New Roman" w:hAnsi="Times New Roman"/>
          <w:kern w:val="0"/>
          <w:sz w:val="24"/>
          <w:u w:val="single"/>
        </w:rPr>
        <w:t>。</w:t>
      </w:r>
    </w:p>
    <w:p>
      <w:pPr>
        <w:widowControl/>
        <w:adjustRightInd w:val="0"/>
        <w:snapToGrid w:val="0"/>
        <w:spacing w:line="360" w:lineRule="auto"/>
        <w:outlineLvl w:val="0"/>
        <w:rPr>
          <w:rFonts w:ascii="Times New Roman" w:hAnsi="Times New Roman"/>
          <w:b/>
          <w:sz w:val="24"/>
        </w:rPr>
      </w:pPr>
      <w:bookmarkStart w:id="318" w:name="_Toc486350002"/>
      <w:bookmarkStart w:id="319" w:name="_Toc5764"/>
      <w:bookmarkStart w:id="320" w:name="_Toc101128747"/>
      <w:bookmarkStart w:id="321" w:name="_Toc101131367"/>
      <w:bookmarkStart w:id="322" w:name="_Toc27291557"/>
      <w:bookmarkStart w:id="323" w:name="_Toc26862444"/>
      <w:bookmarkStart w:id="324" w:name="_Toc26868289"/>
      <w:bookmarkStart w:id="325" w:name="_Toc26853577"/>
      <w:bookmarkStart w:id="326" w:name="_Toc26853221"/>
      <w:bookmarkStart w:id="327" w:name="_Toc484616298"/>
      <w:bookmarkStart w:id="328" w:name="_Toc5820"/>
      <w:bookmarkStart w:id="329" w:name="_Toc31416"/>
      <w:bookmarkStart w:id="330" w:name="_Toc20433"/>
      <w:r>
        <w:rPr>
          <w:rFonts w:ascii="Times New Roman" w:hAnsi="Times New Roman"/>
          <w:b/>
          <w:sz w:val="24"/>
        </w:rPr>
        <w:t>4.</w:t>
      </w:r>
      <w:r>
        <w:rPr>
          <w:rFonts w:hint="eastAsia" w:ascii="Times New Roman" w:hAnsi="Times New Roman"/>
          <w:b/>
          <w:sz w:val="24"/>
        </w:rPr>
        <w:t>2.4</w:t>
      </w:r>
      <w:r>
        <w:rPr>
          <w:rFonts w:ascii="Times New Roman" w:hAnsi="Times New Roman"/>
          <w:b/>
          <w:sz w:val="24"/>
        </w:rPr>
        <w:t>声环境质量现状调查与评价</w:t>
      </w:r>
      <w:bookmarkEnd w:id="318"/>
      <w:bookmarkEnd w:id="319"/>
      <w:bookmarkEnd w:id="320"/>
      <w:bookmarkEnd w:id="321"/>
      <w:bookmarkEnd w:id="322"/>
      <w:bookmarkEnd w:id="323"/>
      <w:bookmarkEnd w:id="324"/>
      <w:bookmarkEnd w:id="325"/>
      <w:bookmarkEnd w:id="326"/>
      <w:bookmarkEnd w:id="327"/>
      <w:bookmarkEnd w:id="328"/>
      <w:bookmarkEnd w:id="329"/>
      <w:bookmarkEnd w:id="330"/>
    </w:p>
    <w:p>
      <w:pPr>
        <w:spacing w:line="360" w:lineRule="auto"/>
        <w:rPr>
          <w:sz w:val="24"/>
          <w:szCs w:val="24"/>
        </w:rPr>
      </w:pPr>
      <w:bookmarkStart w:id="331" w:name="_Toc32661"/>
      <w:r>
        <w:rPr>
          <w:rFonts w:hint="eastAsia"/>
          <w:sz w:val="24"/>
          <w:szCs w:val="24"/>
        </w:rPr>
        <w:t>4.2.4</w:t>
      </w:r>
      <w:r>
        <w:rPr>
          <w:sz w:val="24"/>
          <w:szCs w:val="24"/>
        </w:rPr>
        <w:t>.1监测点位的布设</w:t>
      </w:r>
      <w:bookmarkEnd w:id="331"/>
    </w:p>
    <w:p>
      <w:pPr>
        <w:pStyle w:val="10"/>
        <w:rPr>
          <w:rFonts w:ascii="Times New Roman" w:hAnsi="Times New Roman"/>
        </w:rPr>
      </w:pPr>
      <w:r>
        <w:rPr>
          <w:rFonts w:ascii="Times New Roman" w:hAnsi="Times New Roman"/>
        </w:rPr>
        <w:t>本次评价在</w:t>
      </w:r>
      <w:r>
        <w:rPr>
          <w:rFonts w:hint="eastAsia" w:ascii="Times New Roman" w:hAnsi="Times New Roman"/>
        </w:rPr>
        <w:t>项目</w:t>
      </w:r>
      <w:r>
        <w:rPr>
          <w:rFonts w:ascii="Times New Roman" w:hAnsi="Times New Roman"/>
        </w:rPr>
        <w:t>所在位置</w:t>
      </w:r>
      <w:r>
        <w:rPr>
          <w:rFonts w:hint="eastAsia" w:ascii="Times New Roman" w:hAnsi="Times New Roman"/>
        </w:rPr>
        <w:t>四周</w:t>
      </w:r>
      <w:r>
        <w:rPr>
          <w:rFonts w:ascii="Times New Roman" w:hAnsi="Times New Roman"/>
        </w:rPr>
        <w:t>共布设</w:t>
      </w:r>
      <w:r>
        <w:rPr>
          <w:rFonts w:hint="eastAsia" w:ascii="Times New Roman" w:hAnsi="Times New Roman"/>
        </w:rPr>
        <w:t>4</w:t>
      </w:r>
      <w:r>
        <w:rPr>
          <w:rFonts w:ascii="Times New Roman" w:hAnsi="Times New Roman"/>
        </w:rPr>
        <w:t>个噪声监测点，以反映本次区域声环境质量现状。</w:t>
      </w:r>
    </w:p>
    <w:p>
      <w:pPr>
        <w:spacing w:line="360" w:lineRule="auto"/>
        <w:outlineLvl w:val="0"/>
        <w:rPr>
          <w:sz w:val="24"/>
          <w:szCs w:val="24"/>
        </w:rPr>
      </w:pPr>
      <w:bookmarkStart w:id="332" w:name="_Toc30539"/>
      <w:r>
        <w:rPr>
          <w:sz w:val="24"/>
          <w:szCs w:val="24"/>
        </w:rPr>
        <w:t>4.</w:t>
      </w:r>
      <w:r>
        <w:rPr>
          <w:rFonts w:hint="eastAsia"/>
          <w:sz w:val="24"/>
          <w:szCs w:val="24"/>
        </w:rPr>
        <w:t>2.4</w:t>
      </w:r>
      <w:r>
        <w:rPr>
          <w:sz w:val="24"/>
          <w:szCs w:val="24"/>
        </w:rPr>
        <w:t>.2监测单位及时间</w:t>
      </w:r>
      <w:bookmarkEnd w:id="332"/>
    </w:p>
    <w:p>
      <w:pPr>
        <w:pStyle w:val="10"/>
        <w:rPr>
          <w:rFonts w:ascii="Times New Roman" w:hAnsi="Times New Roman"/>
          <w:color w:val="000000"/>
        </w:rPr>
      </w:pPr>
      <w:r>
        <w:rPr>
          <w:rFonts w:ascii="Times New Roman" w:hAnsi="Times New Roman"/>
          <w:color w:val="000000"/>
        </w:rPr>
        <w:t>本次环评委托吉林省国安环境检测有限公司于2018年</w:t>
      </w:r>
      <w:r>
        <w:rPr>
          <w:rFonts w:hint="eastAsia" w:ascii="Times New Roman" w:hAnsi="Times New Roman"/>
          <w:color w:val="000000"/>
        </w:rPr>
        <w:t>11</w:t>
      </w:r>
      <w:r>
        <w:rPr>
          <w:rFonts w:ascii="Times New Roman" w:hAnsi="Times New Roman"/>
          <w:color w:val="000000"/>
        </w:rPr>
        <w:t>月1</w:t>
      </w:r>
      <w:r>
        <w:rPr>
          <w:rFonts w:hint="eastAsia" w:ascii="Times New Roman" w:hAnsi="Times New Roman"/>
          <w:color w:val="000000"/>
        </w:rPr>
        <w:t>2</w:t>
      </w:r>
      <w:r>
        <w:rPr>
          <w:rFonts w:ascii="Times New Roman" w:hAnsi="Times New Roman"/>
          <w:color w:val="000000"/>
        </w:rPr>
        <w:t>日进行监测，分昼夜进行监测。</w:t>
      </w:r>
    </w:p>
    <w:p>
      <w:pPr>
        <w:spacing w:line="360" w:lineRule="auto"/>
        <w:outlineLvl w:val="0"/>
        <w:rPr>
          <w:sz w:val="24"/>
          <w:szCs w:val="24"/>
        </w:rPr>
      </w:pPr>
      <w:bookmarkStart w:id="333" w:name="_Toc23064"/>
      <w:r>
        <w:rPr>
          <w:sz w:val="24"/>
          <w:szCs w:val="24"/>
        </w:rPr>
        <w:t>4.</w:t>
      </w:r>
      <w:r>
        <w:rPr>
          <w:rFonts w:hint="eastAsia"/>
          <w:sz w:val="24"/>
          <w:szCs w:val="24"/>
        </w:rPr>
        <w:t>2.4</w:t>
      </w:r>
      <w:r>
        <w:rPr>
          <w:sz w:val="24"/>
          <w:szCs w:val="24"/>
        </w:rPr>
        <w:t>.3</w:t>
      </w:r>
      <w:r>
        <w:rPr>
          <w:rFonts w:hint="eastAsia"/>
          <w:sz w:val="24"/>
          <w:szCs w:val="24"/>
        </w:rPr>
        <w:t>监测及</w:t>
      </w:r>
      <w:r>
        <w:rPr>
          <w:sz w:val="24"/>
          <w:szCs w:val="24"/>
        </w:rPr>
        <w:t>评价</w:t>
      </w:r>
      <w:bookmarkStart w:id="334" w:name="_Toc26853222"/>
      <w:r>
        <w:rPr>
          <w:rFonts w:hint="eastAsia"/>
          <w:sz w:val="24"/>
          <w:szCs w:val="24"/>
        </w:rPr>
        <w:t>结果</w:t>
      </w:r>
      <w:bookmarkEnd w:id="333"/>
    </w:p>
    <w:p>
      <w:pPr>
        <w:pStyle w:val="10"/>
        <w:rPr>
          <w:rFonts w:ascii="Times New Roman" w:hAnsi="Times New Roman"/>
          <w:bCs/>
        </w:rPr>
      </w:pPr>
      <w:r>
        <w:rPr>
          <w:rFonts w:ascii="Times New Roman" w:hAnsi="Times New Roman"/>
        </w:rPr>
        <w:t>环境噪声监测</w:t>
      </w:r>
      <w:r>
        <w:rPr>
          <w:rFonts w:hint="eastAsia" w:ascii="Times New Roman" w:hAnsi="Times New Roman"/>
        </w:rPr>
        <w:t>及评价</w:t>
      </w:r>
      <w:r>
        <w:rPr>
          <w:rFonts w:ascii="Times New Roman" w:hAnsi="Times New Roman"/>
        </w:rPr>
        <w:t>结果见</w:t>
      </w:r>
      <w:r>
        <w:rPr>
          <w:rFonts w:hint="eastAsia" w:ascii="Times New Roman" w:hAnsi="Times New Roman"/>
        </w:rPr>
        <w:t>下表</w:t>
      </w:r>
      <w:r>
        <w:rPr>
          <w:rFonts w:ascii="Times New Roman" w:hAnsi="Times New Roman"/>
        </w:rPr>
        <w:t>。</w:t>
      </w:r>
    </w:p>
    <w:bookmarkEnd w:id="334"/>
    <w:p>
      <w:pPr>
        <w:adjustRightInd w:val="0"/>
        <w:snapToGrid w:val="0"/>
        <w:ind w:firstLine="2650" w:firstLineChars="1100"/>
        <w:rPr>
          <w:rFonts w:ascii="Times New Roman" w:hAnsi="Times New Roman"/>
          <w:szCs w:val="21"/>
        </w:rPr>
      </w:pPr>
      <w:r>
        <w:rPr>
          <w:rFonts w:ascii="Times New Roman" w:hAnsi="Times New Roman"/>
          <w:b/>
          <w:sz w:val="24"/>
        </w:rPr>
        <w:t>表4-</w:t>
      </w:r>
      <w:r>
        <w:rPr>
          <w:rFonts w:hint="eastAsia" w:ascii="Times New Roman" w:hAnsi="Times New Roman"/>
          <w:b/>
          <w:sz w:val="24"/>
        </w:rPr>
        <w:t>8</w:t>
      </w:r>
      <w:r>
        <w:rPr>
          <w:rFonts w:ascii="Times New Roman" w:hAnsi="Times New Roman"/>
          <w:b/>
          <w:sz w:val="24"/>
        </w:rPr>
        <w:t xml:space="preserve"> 声环境监测结果      </w:t>
      </w:r>
      <w:r>
        <w:rPr>
          <w:rFonts w:ascii="Times New Roman" w:hAnsi="Times New Roman"/>
          <w:szCs w:val="21"/>
        </w:rPr>
        <w:t>单位：dB(A)</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3158"/>
        <w:gridCol w:w="1530"/>
        <w:gridCol w:w="1577"/>
        <w:gridCol w:w="1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adjustRightInd w:val="0"/>
              <w:snapToGrid w:val="0"/>
              <w:jc w:val="center"/>
              <w:rPr>
                <w:rFonts w:ascii="Times New Roman" w:hAnsi="Times New Roman"/>
                <w:szCs w:val="21"/>
              </w:rPr>
            </w:pPr>
            <w:r>
              <w:rPr>
                <w:rFonts w:ascii="Times New Roman" w:hAnsi="Times New Roman"/>
                <w:szCs w:val="21"/>
              </w:rPr>
              <w:t>序号</w:t>
            </w:r>
          </w:p>
        </w:tc>
        <w:tc>
          <w:tcPr>
            <w:tcW w:w="3158" w:type="dxa"/>
            <w:vAlign w:val="center"/>
          </w:tcPr>
          <w:p>
            <w:pPr>
              <w:adjustRightInd w:val="0"/>
              <w:snapToGrid w:val="0"/>
              <w:jc w:val="center"/>
              <w:rPr>
                <w:rFonts w:ascii="Times New Roman" w:hAnsi="Times New Roman"/>
                <w:szCs w:val="21"/>
              </w:rPr>
            </w:pPr>
            <w:r>
              <w:rPr>
                <w:rFonts w:ascii="Times New Roman" w:hAnsi="Times New Roman"/>
                <w:szCs w:val="21"/>
              </w:rPr>
              <w:t>监测点位</w:t>
            </w:r>
          </w:p>
        </w:tc>
        <w:tc>
          <w:tcPr>
            <w:tcW w:w="1530" w:type="dxa"/>
            <w:vAlign w:val="center"/>
          </w:tcPr>
          <w:p>
            <w:pPr>
              <w:adjustRightInd w:val="0"/>
              <w:snapToGrid w:val="0"/>
              <w:jc w:val="center"/>
              <w:rPr>
                <w:rFonts w:ascii="Times New Roman" w:hAnsi="Times New Roman"/>
                <w:szCs w:val="21"/>
              </w:rPr>
            </w:pPr>
            <w:r>
              <w:rPr>
                <w:rFonts w:ascii="Times New Roman" w:hAnsi="Times New Roman"/>
                <w:szCs w:val="21"/>
              </w:rPr>
              <w:t>昼间</w:t>
            </w:r>
          </w:p>
        </w:tc>
        <w:tc>
          <w:tcPr>
            <w:tcW w:w="1577" w:type="dxa"/>
            <w:vAlign w:val="center"/>
          </w:tcPr>
          <w:p>
            <w:pPr>
              <w:adjustRightInd w:val="0"/>
              <w:snapToGrid w:val="0"/>
              <w:jc w:val="center"/>
              <w:rPr>
                <w:rFonts w:ascii="Times New Roman" w:hAnsi="Times New Roman"/>
                <w:szCs w:val="21"/>
              </w:rPr>
            </w:pPr>
            <w:r>
              <w:rPr>
                <w:rFonts w:ascii="Times New Roman" w:hAnsi="Times New Roman"/>
                <w:szCs w:val="21"/>
              </w:rPr>
              <w:t>夜间</w:t>
            </w:r>
          </w:p>
        </w:tc>
        <w:tc>
          <w:tcPr>
            <w:tcW w:w="1381" w:type="dxa"/>
            <w:vAlign w:val="center"/>
          </w:tcPr>
          <w:p>
            <w:pPr>
              <w:adjustRightInd w:val="0"/>
              <w:snapToGrid w:val="0"/>
              <w:jc w:val="center"/>
              <w:rPr>
                <w:rFonts w:ascii="Times New Roman" w:hAnsi="Times New Roman"/>
                <w:szCs w:val="21"/>
              </w:rPr>
            </w:pPr>
            <w:r>
              <w:rPr>
                <w:rFonts w:ascii="Times New Roman" w:hAnsi="Times New Roman"/>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074" w:type="dxa"/>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szCs w:val="21"/>
              </w:rPr>
            </w:pPr>
            <w:r>
              <w:rPr>
                <w:rFonts w:ascii="Times New Roman" w:hAnsi="Times New Roman"/>
                <w:color w:val="000000"/>
                <w:szCs w:val="21"/>
              </w:rPr>
              <w:t>1</w:t>
            </w:r>
            <w:r>
              <w:rPr>
                <w:rFonts w:ascii="Times New Roman" w:hAnsi="Times New Roman"/>
                <w:color w:val="000000"/>
                <w:szCs w:val="21"/>
                <w:vertAlign w:val="superscript"/>
              </w:rPr>
              <w:t>#</w:t>
            </w:r>
          </w:p>
        </w:tc>
        <w:tc>
          <w:tcPr>
            <w:tcW w:w="3158" w:type="dxa"/>
            <w:vAlign w:val="center"/>
          </w:tcPr>
          <w:p>
            <w:pPr>
              <w:pStyle w:val="51"/>
              <w:rPr>
                <w:rFonts w:ascii="Times New Roman" w:hAnsi="Times New Roman"/>
              </w:rPr>
            </w:pPr>
            <w:r>
              <w:rPr>
                <w:rFonts w:ascii="Times New Roman" w:hAnsi="Times New Roman"/>
              </w:rPr>
              <w:t>厂区东侧</w:t>
            </w:r>
          </w:p>
        </w:tc>
        <w:tc>
          <w:tcPr>
            <w:tcW w:w="1530" w:type="dxa"/>
            <w:vAlign w:val="center"/>
          </w:tcPr>
          <w:p>
            <w:pPr>
              <w:pStyle w:val="80"/>
              <w:rPr>
                <w:rFonts w:ascii="Times New Roman" w:hAnsi="Times New Roman"/>
                <w:color w:val="000000"/>
                <w:szCs w:val="21"/>
              </w:rPr>
            </w:pPr>
            <w:r>
              <w:rPr>
                <w:rFonts w:hint="eastAsia" w:ascii="Times New Roman" w:hAnsi="Times New Roman"/>
                <w:szCs w:val="21"/>
              </w:rPr>
              <w:t>50.6</w:t>
            </w:r>
          </w:p>
        </w:tc>
        <w:tc>
          <w:tcPr>
            <w:tcW w:w="1577" w:type="dxa"/>
            <w:vAlign w:val="center"/>
          </w:tcPr>
          <w:p>
            <w:pPr>
              <w:pStyle w:val="80"/>
              <w:rPr>
                <w:rFonts w:ascii="Times New Roman" w:hAnsi="Times New Roman"/>
                <w:color w:val="000000"/>
                <w:szCs w:val="21"/>
              </w:rPr>
            </w:pPr>
            <w:r>
              <w:rPr>
                <w:rFonts w:hint="eastAsia" w:ascii="Times New Roman" w:hAnsi="Times New Roman"/>
                <w:szCs w:val="21"/>
              </w:rPr>
              <w:t>42.3</w:t>
            </w:r>
          </w:p>
        </w:tc>
        <w:tc>
          <w:tcPr>
            <w:tcW w:w="1381" w:type="dxa"/>
            <w:vMerge w:val="restart"/>
            <w:vAlign w:val="center"/>
          </w:tcPr>
          <w:p>
            <w:pPr>
              <w:adjustRightInd w:val="0"/>
              <w:snapToGrid w:val="0"/>
              <w:jc w:val="center"/>
              <w:rPr>
                <w:rFonts w:ascii="Times New Roman" w:hAnsi="Times New Roman"/>
                <w:szCs w:val="21"/>
              </w:rPr>
            </w:pPr>
            <w:r>
              <w:rPr>
                <w:rFonts w:hint="eastAsia" w:ascii="Times New Roman" w:hAnsi="Times New Roman"/>
                <w:szCs w:val="21"/>
              </w:rPr>
              <w:t>昼间：65</w:t>
            </w:r>
          </w:p>
          <w:p>
            <w:pPr>
              <w:adjustRightInd w:val="0"/>
              <w:snapToGrid w:val="0"/>
              <w:ind w:firstLine="210" w:firstLineChars="100"/>
              <w:rPr>
                <w:rFonts w:ascii="Times New Roman" w:hAnsi="Times New Roman"/>
                <w:szCs w:val="21"/>
              </w:rPr>
            </w:pPr>
            <w:r>
              <w:rPr>
                <w:rFonts w:hint="eastAsia" w:ascii="Times New Roman" w:hAnsi="Times New Roman"/>
                <w:szCs w:val="21"/>
              </w:rPr>
              <w:t>夜间：55</w:t>
            </w:r>
          </w:p>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szCs w:val="21"/>
              </w:rPr>
            </w:pPr>
            <w:r>
              <w:rPr>
                <w:rFonts w:ascii="Times New Roman" w:hAnsi="Times New Roman"/>
                <w:color w:val="000000"/>
                <w:szCs w:val="21"/>
              </w:rPr>
              <w:t>2</w:t>
            </w:r>
            <w:r>
              <w:rPr>
                <w:rFonts w:ascii="Times New Roman" w:hAnsi="Times New Roman"/>
                <w:color w:val="000000"/>
                <w:szCs w:val="21"/>
                <w:vertAlign w:val="superscript"/>
              </w:rPr>
              <w:t>#</w:t>
            </w:r>
          </w:p>
        </w:tc>
        <w:tc>
          <w:tcPr>
            <w:tcW w:w="3158" w:type="dxa"/>
            <w:vAlign w:val="center"/>
          </w:tcPr>
          <w:p>
            <w:pPr>
              <w:pStyle w:val="51"/>
              <w:rPr>
                <w:rFonts w:ascii="Times New Roman" w:hAnsi="Times New Roman"/>
              </w:rPr>
            </w:pPr>
            <w:r>
              <w:rPr>
                <w:rFonts w:ascii="Times New Roman" w:hAnsi="Times New Roman"/>
              </w:rPr>
              <w:t>厂区南侧</w:t>
            </w:r>
          </w:p>
        </w:tc>
        <w:tc>
          <w:tcPr>
            <w:tcW w:w="1530" w:type="dxa"/>
            <w:vAlign w:val="center"/>
          </w:tcPr>
          <w:p>
            <w:pPr>
              <w:pStyle w:val="80"/>
              <w:rPr>
                <w:rFonts w:ascii="Times New Roman" w:hAnsi="Times New Roman"/>
                <w:color w:val="000000"/>
                <w:szCs w:val="21"/>
              </w:rPr>
            </w:pPr>
            <w:r>
              <w:rPr>
                <w:rFonts w:hint="eastAsia" w:ascii="Times New Roman" w:hAnsi="Times New Roman"/>
                <w:szCs w:val="21"/>
              </w:rPr>
              <w:t>51.6</w:t>
            </w:r>
          </w:p>
        </w:tc>
        <w:tc>
          <w:tcPr>
            <w:tcW w:w="1577" w:type="dxa"/>
            <w:vAlign w:val="center"/>
          </w:tcPr>
          <w:p>
            <w:pPr>
              <w:pStyle w:val="80"/>
              <w:rPr>
                <w:rFonts w:ascii="Times New Roman" w:hAnsi="Times New Roman"/>
                <w:color w:val="000000"/>
                <w:szCs w:val="21"/>
              </w:rPr>
            </w:pPr>
            <w:r>
              <w:rPr>
                <w:rFonts w:hint="eastAsia" w:ascii="Times New Roman" w:hAnsi="Times New Roman"/>
                <w:szCs w:val="21"/>
              </w:rPr>
              <w:t>41.8</w:t>
            </w:r>
          </w:p>
        </w:tc>
        <w:tc>
          <w:tcPr>
            <w:tcW w:w="1381"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szCs w:val="21"/>
              </w:rPr>
            </w:pPr>
            <w:r>
              <w:rPr>
                <w:rFonts w:ascii="Times New Roman" w:hAnsi="Times New Roman"/>
                <w:color w:val="000000"/>
                <w:szCs w:val="21"/>
              </w:rPr>
              <w:t>3</w:t>
            </w:r>
            <w:r>
              <w:rPr>
                <w:rFonts w:ascii="Times New Roman" w:hAnsi="Times New Roman"/>
                <w:color w:val="000000"/>
                <w:szCs w:val="21"/>
                <w:vertAlign w:val="superscript"/>
              </w:rPr>
              <w:t>#</w:t>
            </w:r>
          </w:p>
        </w:tc>
        <w:tc>
          <w:tcPr>
            <w:tcW w:w="3158" w:type="dxa"/>
            <w:vAlign w:val="center"/>
          </w:tcPr>
          <w:p>
            <w:pPr>
              <w:pStyle w:val="51"/>
              <w:rPr>
                <w:rFonts w:ascii="Times New Roman" w:hAnsi="Times New Roman"/>
              </w:rPr>
            </w:pPr>
            <w:r>
              <w:rPr>
                <w:rFonts w:ascii="Times New Roman" w:hAnsi="Times New Roman"/>
              </w:rPr>
              <w:t>厂区西侧</w:t>
            </w:r>
          </w:p>
        </w:tc>
        <w:tc>
          <w:tcPr>
            <w:tcW w:w="1530" w:type="dxa"/>
            <w:vAlign w:val="center"/>
          </w:tcPr>
          <w:p>
            <w:pPr>
              <w:pStyle w:val="80"/>
              <w:rPr>
                <w:rFonts w:ascii="Times New Roman" w:hAnsi="Times New Roman"/>
                <w:color w:val="000000"/>
                <w:szCs w:val="21"/>
              </w:rPr>
            </w:pPr>
            <w:r>
              <w:rPr>
                <w:rFonts w:hint="eastAsia" w:ascii="Times New Roman" w:hAnsi="Times New Roman"/>
                <w:szCs w:val="21"/>
              </w:rPr>
              <w:t>52.9</w:t>
            </w:r>
          </w:p>
        </w:tc>
        <w:tc>
          <w:tcPr>
            <w:tcW w:w="1577" w:type="dxa"/>
            <w:vAlign w:val="center"/>
          </w:tcPr>
          <w:p>
            <w:pPr>
              <w:pStyle w:val="80"/>
              <w:rPr>
                <w:rFonts w:ascii="Times New Roman" w:hAnsi="Times New Roman"/>
                <w:color w:val="000000"/>
                <w:szCs w:val="21"/>
              </w:rPr>
            </w:pPr>
            <w:r>
              <w:rPr>
                <w:rFonts w:hint="eastAsia" w:ascii="Times New Roman" w:hAnsi="Times New Roman"/>
                <w:szCs w:val="21"/>
              </w:rPr>
              <w:t>42.3</w:t>
            </w:r>
          </w:p>
        </w:tc>
        <w:tc>
          <w:tcPr>
            <w:tcW w:w="1381"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szCs w:val="21"/>
              </w:rPr>
            </w:pPr>
            <w:r>
              <w:rPr>
                <w:rFonts w:ascii="Times New Roman" w:hAnsi="Times New Roman"/>
                <w:color w:val="000000"/>
                <w:szCs w:val="21"/>
              </w:rPr>
              <w:t>4</w:t>
            </w:r>
            <w:r>
              <w:rPr>
                <w:rFonts w:ascii="Times New Roman" w:hAnsi="Times New Roman"/>
                <w:color w:val="000000"/>
                <w:szCs w:val="21"/>
                <w:vertAlign w:val="superscript"/>
              </w:rPr>
              <w:t>#</w:t>
            </w:r>
          </w:p>
        </w:tc>
        <w:tc>
          <w:tcPr>
            <w:tcW w:w="3158" w:type="dxa"/>
            <w:vAlign w:val="center"/>
          </w:tcPr>
          <w:p>
            <w:pPr>
              <w:pStyle w:val="51"/>
              <w:rPr>
                <w:rFonts w:ascii="Times New Roman" w:hAnsi="Times New Roman"/>
              </w:rPr>
            </w:pPr>
            <w:r>
              <w:rPr>
                <w:rFonts w:ascii="Times New Roman" w:hAnsi="Times New Roman"/>
              </w:rPr>
              <w:t>厂区北侧</w:t>
            </w:r>
          </w:p>
        </w:tc>
        <w:tc>
          <w:tcPr>
            <w:tcW w:w="1530" w:type="dxa"/>
            <w:vAlign w:val="center"/>
          </w:tcPr>
          <w:p>
            <w:pPr>
              <w:pStyle w:val="80"/>
              <w:rPr>
                <w:rFonts w:ascii="Times New Roman" w:hAnsi="Times New Roman"/>
                <w:color w:val="000000"/>
                <w:szCs w:val="21"/>
              </w:rPr>
            </w:pPr>
            <w:r>
              <w:rPr>
                <w:rFonts w:hint="eastAsia" w:ascii="Times New Roman" w:hAnsi="Times New Roman"/>
                <w:szCs w:val="21"/>
              </w:rPr>
              <w:t>52.1</w:t>
            </w:r>
          </w:p>
        </w:tc>
        <w:tc>
          <w:tcPr>
            <w:tcW w:w="1577" w:type="dxa"/>
            <w:vAlign w:val="center"/>
          </w:tcPr>
          <w:p>
            <w:pPr>
              <w:pStyle w:val="80"/>
              <w:rPr>
                <w:rFonts w:ascii="Times New Roman" w:hAnsi="Times New Roman"/>
                <w:color w:val="000000"/>
                <w:szCs w:val="21"/>
              </w:rPr>
            </w:pPr>
            <w:r>
              <w:rPr>
                <w:rFonts w:hint="eastAsia" w:ascii="Times New Roman" w:hAnsi="Times New Roman"/>
                <w:szCs w:val="21"/>
              </w:rPr>
              <w:t>41.7</w:t>
            </w:r>
          </w:p>
        </w:tc>
        <w:tc>
          <w:tcPr>
            <w:tcW w:w="1381" w:type="dxa"/>
            <w:vMerge w:val="continue"/>
            <w:vAlign w:val="center"/>
          </w:tcPr>
          <w:p>
            <w:pPr>
              <w:adjustRightInd w:val="0"/>
              <w:snapToGrid w:val="0"/>
              <w:jc w:val="center"/>
              <w:rPr>
                <w:rFonts w:ascii="Times New Roman" w:hAnsi="Times New Roman"/>
                <w:szCs w:val="21"/>
              </w:rPr>
            </w:pPr>
          </w:p>
        </w:tc>
      </w:tr>
    </w:tbl>
    <w:p>
      <w:pPr>
        <w:spacing w:line="360" w:lineRule="auto"/>
        <w:ind w:firstLine="480" w:firstLineChars="200"/>
        <w:rPr>
          <w:rFonts w:ascii="Times New Roman" w:hAnsi="Times New Roman"/>
          <w:sz w:val="24"/>
        </w:rPr>
      </w:pPr>
      <w:r>
        <w:rPr>
          <w:rFonts w:ascii="Times New Roman" w:hAnsi="Times New Roman"/>
          <w:sz w:val="24"/>
        </w:rPr>
        <w:t>由</w:t>
      </w:r>
      <w:r>
        <w:rPr>
          <w:rFonts w:hint="eastAsia" w:ascii="Times New Roman" w:hAnsi="Times New Roman"/>
          <w:sz w:val="24"/>
        </w:rPr>
        <w:t>上表可以得出</w:t>
      </w:r>
      <w:r>
        <w:rPr>
          <w:rFonts w:ascii="Times New Roman" w:hAnsi="Times New Roman"/>
          <w:sz w:val="24"/>
        </w:rPr>
        <w:t>，采用直接比较的方法评价厂界处的噪声现状值</w:t>
      </w:r>
      <w:r>
        <w:rPr>
          <w:rFonts w:hint="eastAsia" w:ascii="Times New Roman" w:hAnsi="Times New Roman"/>
          <w:sz w:val="24"/>
        </w:rPr>
        <w:t>达标情况</w:t>
      </w:r>
      <w:r>
        <w:rPr>
          <w:rFonts w:ascii="Times New Roman" w:hAnsi="Times New Roman"/>
          <w:sz w:val="24"/>
        </w:rPr>
        <w:t>，</w:t>
      </w:r>
      <w:r>
        <w:rPr>
          <w:rFonts w:hint="eastAsia" w:ascii="Times New Roman" w:hAnsi="Times New Roman"/>
          <w:sz w:val="24"/>
        </w:rPr>
        <w:t>本项目厂界</w:t>
      </w:r>
      <w:r>
        <w:rPr>
          <w:rFonts w:ascii="Times New Roman" w:hAnsi="Times New Roman"/>
          <w:sz w:val="24"/>
        </w:rPr>
        <w:t>四周</w:t>
      </w:r>
      <w:r>
        <w:rPr>
          <w:rFonts w:hint="eastAsia" w:ascii="Times New Roman" w:hAnsi="Times New Roman"/>
          <w:sz w:val="24"/>
        </w:rPr>
        <w:t>均</w:t>
      </w:r>
      <w:r>
        <w:rPr>
          <w:rFonts w:ascii="Times New Roman" w:hAnsi="Times New Roman"/>
          <w:sz w:val="24"/>
        </w:rPr>
        <w:t>能够满足GB3096-2008《声环境质量标准》中</w:t>
      </w:r>
      <w:r>
        <w:rPr>
          <w:rFonts w:hint="eastAsia" w:ascii="Times New Roman" w:hAnsi="Times New Roman"/>
          <w:sz w:val="24"/>
        </w:rPr>
        <w:t xml:space="preserve">3 </w:t>
      </w:r>
      <w:r>
        <w:rPr>
          <w:rFonts w:ascii="Times New Roman" w:hAnsi="Times New Roman"/>
          <w:sz w:val="24"/>
        </w:rPr>
        <w:t>类区标准，</w:t>
      </w:r>
      <w:r>
        <w:rPr>
          <w:rFonts w:hint="eastAsia" w:ascii="Times New Roman" w:hAnsi="Times New Roman"/>
          <w:sz w:val="24"/>
        </w:rPr>
        <w:t>说明</w:t>
      </w:r>
      <w:r>
        <w:rPr>
          <w:rFonts w:ascii="Times New Roman" w:hAnsi="Times New Roman"/>
          <w:sz w:val="24"/>
        </w:rPr>
        <w:t>评价区域声环境质量良好。</w:t>
      </w:r>
    </w:p>
    <w:p>
      <w:pPr>
        <w:widowControl/>
        <w:adjustRightInd w:val="0"/>
        <w:snapToGrid w:val="0"/>
        <w:spacing w:line="360" w:lineRule="auto"/>
        <w:outlineLvl w:val="0"/>
        <w:rPr>
          <w:rFonts w:ascii="Times New Roman" w:hAnsi="Times New Roman"/>
          <w:b/>
          <w:sz w:val="24"/>
        </w:rPr>
      </w:pPr>
      <w:bookmarkStart w:id="335" w:name="_Toc8558"/>
      <w:bookmarkStart w:id="336" w:name="_Toc6942"/>
      <w:bookmarkStart w:id="337" w:name="_Toc29140"/>
      <w:r>
        <w:rPr>
          <w:rFonts w:hint="eastAsia" w:ascii="Times New Roman" w:hAnsi="Times New Roman"/>
          <w:b/>
          <w:sz w:val="24"/>
        </w:rPr>
        <w:t>4.2.5</w:t>
      </w:r>
      <w:r>
        <w:rPr>
          <w:rFonts w:ascii="Times New Roman" w:hAnsi="Times New Roman"/>
          <w:b/>
          <w:sz w:val="24"/>
        </w:rPr>
        <w:t>土壤环境质量现状调查与评价</w:t>
      </w:r>
      <w:bookmarkEnd w:id="335"/>
      <w:bookmarkEnd w:id="336"/>
      <w:bookmarkEnd w:id="337"/>
    </w:p>
    <w:p>
      <w:pPr>
        <w:adjustRightInd w:val="0"/>
        <w:snapToGrid w:val="0"/>
        <w:spacing w:line="360" w:lineRule="auto"/>
        <w:ind w:firstLine="480" w:firstLineChars="200"/>
        <w:rPr>
          <w:rFonts w:ascii="Times New Roman" w:hAnsi="Times New Roman"/>
          <w:sz w:val="24"/>
          <w:szCs w:val="21"/>
          <w:lang w:val="zh-CN"/>
        </w:rPr>
      </w:pPr>
      <w:r>
        <w:rPr>
          <w:rFonts w:ascii="Times New Roman" w:hAnsi="Times New Roman"/>
          <w:sz w:val="24"/>
          <w:szCs w:val="21"/>
          <w:lang w:val="zh-CN"/>
        </w:rPr>
        <w:t>（1）采样点布设</w:t>
      </w:r>
    </w:p>
    <w:p>
      <w:pPr>
        <w:adjustRightInd w:val="0"/>
        <w:snapToGrid w:val="0"/>
        <w:spacing w:line="360" w:lineRule="auto"/>
        <w:ind w:firstLine="480" w:firstLineChars="200"/>
        <w:rPr>
          <w:rFonts w:ascii="Times New Roman" w:hAnsi="Times New Roman"/>
          <w:sz w:val="24"/>
          <w:szCs w:val="21"/>
          <w:lang w:val="zh-CN"/>
        </w:rPr>
      </w:pPr>
      <w:r>
        <w:rPr>
          <w:rFonts w:hint="eastAsia" w:ascii="Times New Roman" w:hAnsi="Times New Roman"/>
          <w:sz w:val="24"/>
          <w:szCs w:val="21"/>
          <w:lang w:val="zh-CN"/>
        </w:rPr>
        <w:t>本次布设</w:t>
      </w:r>
      <w:r>
        <w:rPr>
          <w:rFonts w:ascii="Times New Roman" w:hAnsi="Times New Roman"/>
          <w:sz w:val="24"/>
          <w:szCs w:val="21"/>
          <w:lang w:val="zh-CN"/>
        </w:rPr>
        <w:t>3个土壤</w:t>
      </w:r>
      <w:r>
        <w:rPr>
          <w:rFonts w:hint="eastAsia" w:ascii="Times New Roman" w:hAnsi="Times New Roman"/>
          <w:sz w:val="24"/>
          <w:szCs w:val="21"/>
          <w:lang w:val="zh-CN"/>
        </w:rPr>
        <w:t>监测点</w:t>
      </w:r>
      <w:r>
        <w:rPr>
          <w:rFonts w:ascii="Times New Roman" w:hAnsi="Times New Roman"/>
          <w:sz w:val="24"/>
          <w:szCs w:val="21"/>
          <w:lang w:val="zh-CN"/>
        </w:rPr>
        <w:t>，监测点位置见</w:t>
      </w:r>
      <w:r>
        <w:rPr>
          <w:rFonts w:hint="eastAsia" w:ascii="Times New Roman" w:hAnsi="Times New Roman"/>
          <w:sz w:val="24"/>
          <w:szCs w:val="21"/>
          <w:lang w:val="zh-CN"/>
        </w:rPr>
        <w:t>下表及</w:t>
      </w:r>
      <w:r>
        <w:rPr>
          <w:rFonts w:ascii="Times New Roman" w:hAnsi="Times New Roman"/>
          <w:sz w:val="24"/>
          <w:szCs w:val="21"/>
          <w:lang w:val="zh-CN"/>
        </w:rPr>
        <w:t>附图</w:t>
      </w:r>
      <w:r>
        <w:rPr>
          <w:rFonts w:hint="eastAsia" w:ascii="Times New Roman" w:hAnsi="Times New Roman"/>
          <w:sz w:val="24"/>
          <w:szCs w:val="21"/>
        </w:rPr>
        <w:t>1</w:t>
      </w:r>
      <w:r>
        <w:rPr>
          <w:rFonts w:ascii="Times New Roman" w:hAnsi="Times New Roman"/>
          <w:sz w:val="24"/>
          <w:szCs w:val="21"/>
          <w:lang w:val="zh-CN"/>
        </w:rPr>
        <w:t>。</w:t>
      </w:r>
    </w:p>
    <w:p>
      <w:pPr>
        <w:adjustRightInd w:val="0"/>
        <w:snapToGrid w:val="0"/>
        <w:ind w:firstLine="480"/>
        <w:jc w:val="center"/>
        <w:rPr>
          <w:rFonts w:ascii="Times New Roman" w:hAnsi="Times New Roman"/>
          <w:b/>
          <w:bCs/>
          <w:color w:val="000000"/>
          <w:sz w:val="24"/>
        </w:rPr>
      </w:pPr>
      <w:r>
        <w:rPr>
          <w:rFonts w:ascii="Times New Roman" w:hAnsi="Times New Roman"/>
          <w:b/>
          <w:bCs/>
          <w:color w:val="000000"/>
          <w:sz w:val="24"/>
        </w:rPr>
        <w:t>表</w:t>
      </w:r>
      <w:r>
        <w:rPr>
          <w:rFonts w:hint="eastAsia" w:ascii="Times New Roman" w:hAnsi="Times New Roman"/>
          <w:b/>
          <w:bCs/>
          <w:color w:val="000000"/>
          <w:sz w:val="24"/>
        </w:rPr>
        <w:t xml:space="preserve">4-9 </w:t>
      </w:r>
      <w:r>
        <w:rPr>
          <w:rFonts w:ascii="Times New Roman" w:hAnsi="Times New Roman"/>
          <w:b/>
          <w:bCs/>
          <w:color w:val="000000"/>
          <w:sz w:val="24"/>
        </w:rPr>
        <w:t>评价区土壤监测点布设</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375"/>
        <w:gridCol w:w="2866"/>
        <w:gridCol w:w="3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184" w:type="dxa"/>
            <w:tcBorders>
              <w:bottom w:val="single" w:color="auto" w:sz="4" w:space="0"/>
            </w:tcBorders>
            <w:vAlign w:val="center"/>
          </w:tcPr>
          <w:p>
            <w:pPr>
              <w:pStyle w:val="56"/>
              <w:snapToGrid w:val="0"/>
              <w:rPr>
                <w:color w:val="000000"/>
                <w:szCs w:val="21"/>
              </w:rPr>
            </w:pPr>
            <w:r>
              <w:rPr>
                <w:color w:val="000000"/>
                <w:szCs w:val="21"/>
              </w:rPr>
              <w:t>监测点号</w:t>
            </w:r>
          </w:p>
        </w:tc>
        <w:tc>
          <w:tcPr>
            <w:tcW w:w="1375" w:type="dxa"/>
            <w:tcBorders>
              <w:bottom w:val="single" w:color="auto" w:sz="4" w:space="0"/>
            </w:tcBorders>
            <w:vAlign w:val="center"/>
          </w:tcPr>
          <w:p>
            <w:pPr>
              <w:pStyle w:val="56"/>
              <w:snapToGrid w:val="0"/>
              <w:rPr>
                <w:color w:val="000000"/>
                <w:szCs w:val="21"/>
              </w:rPr>
            </w:pPr>
            <w:r>
              <w:rPr>
                <w:color w:val="000000"/>
                <w:szCs w:val="21"/>
              </w:rPr>
              <w:t>土地类型</w:t>
            </w:r>
          </w:p>
        </w:tc>
        <w:tc>
          <w:tcPr>
            <w:tcW w:w="2866" w:type="dxa"/>
            <w:tcBorders>
              <w:bottom w:val="single" w:color="auto" w:sz="4" w:space="0"/>
            </w:tcBorders>
            <w:vAlign w:val="center"/>
          </w:tcPr>
          <w:p>
            <w:pPr>
              <w:pStyle w:val="56"/>
              <w:snapToGrid w:val="0"/>
              <w:rPr>
                <w:color w:val="000000"/>
                <w:szCs w:val="21"/>
              </w:rPr>
            </w:pPr>
            <w:r>
              <w:rPr>
                <w:color w:val="000000"/>
                <w:szCs w:val="21"/>
              </w:rPr>
              <w:t>监测点具体位置</w:t>
            </w:r>
          </w:p>
        </w:tc>
        <w:tc>
          <w:tcPr>
            <w:tcW w:w="3595" w:type="dxa"/>
            <w:tcBorders>
              <w:bottom w:val="single" w:color="auto" w:sz="4" w:space="0"/>
            </w:tcBorders>
            <w:vAlign w:val="center"/>
          </w:tcPr>
          <w:p>
            <w:pPr>
              <w:pStyle w:val="56"/>
              <w:snapToGrid w:val="0"/>
              <w:rPr>
                <w:color w:val="000000"/>
                <w:szCs w:val="21"/>
              </w:rPr>
            </w:pPr>
            <w:r>
              <w:rPr>
                <w:color w:val="000000"/>
                <w:szCs w:val="21"/>
              </w:rPr>
              <w:t>布设目的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184" w:type="dxa"/>
            <w:tcBorders>
              <w:top w:val="single" w:color="auto" w:sz="4" w:space="0"/>
              <w:bottom w:val="single" w:color="auto" w:sz="2" w:space="0"/>
            </w:tcBorders>
            <w:vAlign w:val="center"/>
          </w:tcPr>
          <w:p>
            <w:pPr>
              <w:snapToGrid w:val="0"/>
              <w:spacing w:before="100" w:after="100"/>
              <w:jc w:val="center"/>
              <w:rPr>
                <w:color w:val="000000"/>
                <w:szCs w:val="21"/>
              </w:rPr>
            </w:pPr>
            <w:r>
              <w:rPr>
                <w:rFonts w:hint="eastAsia"/>
                <w:color w:val="000000"/>
                <w:szCs w:val="21"/>
              </w:rPr>
              <w:t>1</w:t>
            </w:r>
            <w:r>
              <w:rPr>
                <w:rFonts w:hint="eastAsia"/>
                <w:color w:val="000000"/>
                <w:szCs w:val="21"/>
                <w:vertAlign w:val="superscript"/>
              </w:rPr>
              <w:t>#</w:t>
            </w:r>
          </w:p>
        </w:tc>
        <w:tc>
          <w:tcPr>
            <w:tcW w:w="1375" w:type="dxa"/>
            <w:tcBorders>
              <w:top w:val="single" w:color="auto" w:sz="4" w:space="0"/>
              <w:bottom w:val="single" w:color="auto" w:sz="2" w:space="0"/>
            </w:tcBorders>
            <w:vAlign w:val="center"/>
          </w:tcPr>
          <w:p>
            <w:pPr>
              <w:pStyle w:val="56"/>
              <w:rPr>
                <w:color w:val="000000"/>
                <w:szCs w:val="21"/>
              </w:rPr>
            </w:pPr>
            <w:r>
              <w:rPr>
                <w:rFonts w:hint="eastAsia"/>
                <w:color w:val="000000"/>
              </w:rPr>
              <w:t>建设用地</w:t>
            </w:r>
          </w:p>
        </w:tc>
        <w:tc>
          <w:tcPr>
            <w:tcW w:w="2866" w:type="dxa"/>
            <w:tcBorders>
              <w:top w:val="single" w:color="auto" w:sz="4" w:space="0"/>
            </w:tcBorders>
            <w:vAlign w:val="center"/>
          </w:tcPr>
          <w:p>
            <w:pPr>
              <w:pStyle w:val="56"/>
              <w:rPr>
                <w:color w:val="000000"/>
                <w:szCs w:val="21"/>
              </w:rPr>
            </w:pPr>
            <w:r>
              <w:rPr>
                <w:rFonts w:hint="eastAsia"/>
                <w:color w:val="000000"/>
              </w:rPr>
              <w:t>现有尾矿库</w:t>
            </w:r>
          </w:p>
        </w:tc>
        <w:tc>
          <w:tcPr>
            <w:tcW w:w="3595" w:type="dxa"/>
            <w:tcBorders>
              <w:top w:val="single" w:color="auto" w:sz="4" w:space="0"/>
              <w:bottom w:val="single" w:color="auto" w:sz="2" w:space="0"/>
            </w:tcBorders>
            <w:vAlign w:val="center"/>
          </w:tcPr>
          <w:p>
            <w:pPr>
              <w:pStyle w:val="56"/>
              <w:rPr>
                <w:color w:val="000000"/>
                <w:szCs w:val="21"/>
              </w:rPr>
            </w:pPr>
            <w:r>
              <w:rPr>
                <w:color w:val="000000"/>
              </w:rPr>
              <w:t>了解区内土壤环境质量现状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184" w:type="dxa"/>
            <w:tcBorders>
              <w:top w:val="single" w:color="auto" w:sz="2" w:space="0"/>
              <w:bottom w:val="single" w:color="auto" w:sz="2" w:space="0"/>
            </w:tcBorders>
            <w:vAlign w:val="center"/>
          </w:tcPr>
          <w:p>
            <w:pPr>
              <w:snapToGrid w:val="0"/>
              <w:spacing w:before="100" w:after="100"/>
              <w:jc w:val="center"/>
              <w:rPr>
                <w:color w:val="000000"/>
                <w:szCs w:val="21"/>
              </w:rPr>
            </w:pPr>
            <w:r>
              <w:rPr>
                <w:rFonts w:hint="eastAsia"/>
                <w:color w:val="000000"/>
                <w:szCs w:val="21"/>
              </w:rPr>
              <w:t>2</w:t>
            </w:r>
            <w:r>
              <w:rPr>
                <w:rFonts w:hint="eastAsia"/>
                <w:color w:val="000000"/>
                <w:szCs w:val="21"/>
                <w:vertAlign w:val="superscript"/>
              </w:rPr>
              <w:t>#</w:t>
            </w:r>
          </w:p>
        </w:tc>
        <w:tc>
          <w:tcPr>
            <w:tcW w:w="1375" w:type="dxa"/>
            <w:tcBorders>
              <w:top w:val="single" w:color="auto" w:sz="2" w:space="0"/>
              <w:bottom w:val="single" w:color="auto" w:sz="2" w:space="0"/>
            </w:tcBorders>
            <w:vAlign w:val="center"/>
          </w:tcPr>
          <w:p>
            <w:pPr>
              <w:pStyle w:val="56"/>
              <w:rPr>
                <w:color w:val="000000"/>
                <w:szCs w:val="21"/>
              </w:rPr>
            </w:pPr>
            <w:r>
              <w:rPr>
                <w:rFonts w:hint="eastAsia"/>
                <w:color w:val="000000"/>
              </w:rPr>
              <w:t>农田</w:t>
            </w:r>
          </w:p>
        </w:tc>
        <w:tc>
          <w:tcPr>
            <w:tcW w:w="2866" w:type="dxa"/>
            <w:vAlign w:val="center"/>
          </w:tcPr>
          <w:p>
            <w:pPr>
              <w:adjustRightInd w:val="0"/>
              <w:snapToGrid w:val="0"/>
              <w:jc w:val="center"/>
              <w:rPr>
                <w:color w:val="000000"/>
                <w:szCs w:val="21"/>
              </w:rPr>
            </w:pPr>
            <w:r>
              <w:rPr>
                <w:rFonts w:hint="eastAsia"/>
                <w:szCs w:val="21"/>
              </w:rPr>
              <w:t>九道羊岔农田</w:t>
            </w:r>
          </w:p>
        </w:tc>
        <w:tc>
          <w:tcPr>
            <w:tcW w:w="3595" w:type="dxa"/>
            <w:tcBorders>
              <w:top w:val="single" w:color="auto" w:sz="2" w:space="0"/>
              <w:bottom w:val="single" w:color="auto" w:sz="2" w:space="0"/>
            </w:tcBorders>
            <w:vAlign w:val="center"/>
          </w:tcPr>
          <w:p>
            <w:pPr>
              <w:pStyle w:val="56"/>
              <w:rPr>
                <w:color w:val="000000"/>
                <w:szCs w:val="21"/>
              </w:rPr>
            </w:pPr>
            <w:r>
              <w:rPr>
                <w:color w:val="000000"/>
              </w:rPr>
              <w:t>了解区内土壤环境质量现状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84" w:type="dxa"/>
            <w:tcBorders>
              <w:top w:val="single" w:color="auto" w:sz="2" w:space="0"/>
              <w:bottom w:val="single" w:color="auto" w:sz="12" w:space="0"/>
            </w:tcBorders>
            <w:vAlign w:val="center"/>
          </w:tcPr>
          <w:p>
            <w:pPr>
              <w:snapToGrid w:val="0"/>
              <w:spacing w:before="100" w:after="100"/>
              <w:jc w:val="center"/>
              <w:rPr>
                <w:color w:val="000000"/>
                <w:szCs w:val="21"/>
              </w:rPr>
            </w:pPr>
            <w:r>
              <w:rPr>
                <w:rFonts w:hint="eastAsia"/>
                <w:color w:val="000000"/>
                <w:szCs w:val="21"/>
              </w:rPr>
              <w:t>3</w:t>
            </w:r>
            <w:r>
              <w:rPr>
                <w:rFonts w:hint="eastAsia"/>
                <w:color w:val="000000"/>
                <w:szCs w:val="21"/>
                <w:vertAlign w:val="superscript"/>
              </w:rPr>
              <w:t>#</w:t>
            </w:r>
          </w:p>
        </w:tc>
        <w:tc>
          <w:tcPr>
            <w:tcW w:w="1375" w:type="dxa"/>
            <w:tcBorders>
              <w:top w:val="single" w:color="auto" w:sz="2" w:space="0"/>
              <w:bottom w:val="single" w:color="auto" w:sz="12" w:space="0"/>
            </w:tcBorders>
            <w:vAlign w:val="center"/>
          </w:tcPr>
          <w:p>
            <w:pPr>
              <w:pStyle w:val="56"/>
              <w:rPr>
                <w:color w:val="000000"/>
                <w:szCs w:val="21"/>
              </w:rPr>
            </w:pPr>
            <w:r>
              <w:rPr>
                <w:rFonts w:hint="eastAsia"/>
                <w:color w:val="000000"/>
              </w:rPr>
              <w:t>农田</w:t>
            </w:r>
          </w:p>
        </w:tc>
        <w:tc>
          <w:tcPr>
            <w:tcW w:w="2866" w:type="dxa"/>
            <w:vAlign w:val="center"/>
          </w:tcPr>
          <w:p>
            <w:pPr>
              <w:adjustRightInd w:val="0"/>
              <w:snapToGrid w:val="0"/>
              <w:jc w:val="center"/>
              <w:rPr>
                <w:color w:val="000000"/>
                <w:szCs w:val="21"/>
              </w:rPr>
            </w:pPr>
            <w:r>
              <w:rPr>
                <w:rFonts w:hint="eastAsia"/>
                <w:szCs w:val="21"/>
              </w:rPr>
              <w:t>八道羊岔农田</w:t>
            </w:r>
          </w:p>
        </w:tc>
        <w:tc>
          <w:tcPr>
            <w:tcW w:w="3595" w:type="dxa"/>
            <w:tcBorders>
              <w:top w:val="single" w:color="auto" w:sz="2" w:space="0"/>
            </w:tcBorders>
            <w:vAlign w:val="center"/>
          </w:tcPr>
          <w:p>
            <w:pPr>
              <w:pStyle w:val="56"/>
              <w:rPr>
                <w:color w:val="000000"/>
                <w:szCs w:val="21"/>
              </w:rPr>
            </w:pPr>
            <w:r>
              <w:rPr>
                <w:color w:val="000000"/>
              </w:rPr>
              <w:t>了解区内土壤环境质量现状</w:t>
            </w:r>
          </w:p>
        </w:tc>
      </w:tr>
    </w:tbl>
    <w:p>
      <w:pPr>
        <w:adjustRightInd w:val="0"/>
        <w:snapToGrid w:val="0"/>
        <w:spacing w:beforeLines="50" w:line="360" w:lineRule="auto"/>
        <w:ind w:firstLine="480" w:firstLineChars="200"/>
        <w:rPr>
          <w:rFonts w:ascii="Times New Roman" w:hAnsi="Times New Roman"/>
          <w:sz w:val="24"/>
          <w:szCs w:val="21"/>
          <w:lang w:val="zh-CN"/>
        </w:rPr>
      </w:pPr>
      <w:r>
        <w:rPr>
          <w:rFonts w:ascii="Times New Roman" w:hAnsi="Times New Roman"/>
          <w:sz w:val="24"/>
          <w:szCs w:val="21"/>
          <w:lang w:val="zh-CN"/>
        </w:rPr>
        <w:t>（2）监测项目</w:t>
      </w:r>
    </w:p>
    <w:p>
      <w:pPr>
        <w:adjustRightInd w:val="0"/>
        <w:snapToGrid w:val="0"/>
        <w:spacing w:line="360" w:lineRule="auto"/>
        <w:ind w:firstLine="480" w:firstLineChars="200"/>
        <w:rPr>
          <w:rFonts w:ascii="Times New Roman" w:hAnsi="Times New Roman"/>
          <w:bCs/>
          <w:sz w:val="24"/>
          <w:szCs w:val="21"/>
          <w:lang w:val="zh-CN"/>
        </w:rPr>
      </w:pPr>
      <w:r>
        <w:rPr>
          <w:rFonts w:ascii="Times New Roman" w:hAnsi="Times New Roman"/>
          <w:sz w:val="24"/>
          <w:szCs w:val="21"/>
        </w:rPr>
        <w:t>监测项目：</w:t>
      </w:r>
      <w:r>
        <w:rPr>
          <w:rFonts w:ascii="Times New Roman" w:hAnsi="Times New Roman"/>
          <w:snapToGrid w:val="0"/>
          <w:kern w:val="0"/>
          <w:sz w:val="24"/>
          <w:szCs w:val="24"/>
        </w:rPr>
        <w:t>pH、</w:t>
      </w:r>
      <w:r>
        <w:rPr>
          <w:rFonts w:ascii="Times New Roman" w:hAnsi="Times New Roman"/>
          <w:sz w:val="24"/>
          <w:szCs w:val="24"/>
        </w:rPr>
        <w:t>镉、汞、砷、铅、铜、锌、铬、镍；</w:t>
      </w:r>
      <w:r>
        <w:rPr>
          <w:rFonts w:ascii="Times New Roman" w:hAnsi="Times New Roman"/>
          <w:sz w:val="24"/>
        </w:rPr>
        <w:t>共9项</w:t>
      </w:r>
      <w:r>
        <w:rPr>
          <w:rFonts w:ascii="Times New Roman" w:hAnsi="Times New Roman"/>
          <w:sz w:val="24"/>
          <w:szCs w:val="21"/>
        </w:rPr>
        <w:t>。</w:t>
      </w:r>
    </w:p>
    <w:p>
      <w:pPr>
        <w:adjustRightInd w:val="0"/>
        <w:snapToGrid w:val="0"/>
        <w:spacing w:line="360" w:lineRule="auto"/>
        <w:ind w:firstLine="480" w:firstLineChars="200"/>
        <w:outlineLvl w:val="0"/>
        <w:rPr>
          <w:rFonts w:ascii="Times New Roman" w:hAnsi="Times New Roman"/>
          <w:color w:val="000000"/>
          <w:sz w:val="24"/>
          <w:szCs w:val="21"/>
          <w:lang w:val="zh-CN"/>
        </w:rPr>
      </w:pPr>
      <w:r>
        <w:rPr>
          <w:rFonts w:ascii="Times New Roman" w:hAnsi="Times New Roman"/>
          <w:color w:val="000000"/>
          <w:sz w:val="24"/>
          <w:szCs w:val="21"/>
          <w:lang w:val="zh-CN"/>
        </w:rPr>
        <w:t>（3）监测单位及监测时间</w:t>
      </w:r>
    </w:p>
    <w:p>
      <w:pPr>
        <w:pStyle w:val="10"/>
        <w:rPr>
          <w:rFonts w:ascii="Times New Roman" w:hAnsi="Times New Roman"/>
          <w:color w:val="000000"/>
        </w:rPr>
      </w:pPr>
      <w:r>
        <w:rPr>
          <w:rFonts w:ascii="Times New Roman" w:hAnsi="Times New Roman"/>
          <w:color w:val="000000"/>
        </w:rPr>
        <w:t>本次环评委托吉林省国安环境检测有限公司于2018年11月12日进行监测。</w:t>
      </w:r>
    </w:p>
    <w:p>
      <w:pPr>
        <w:adjustRightInd w:val="0"/>
        <w:snapToGrid w:val="0"/>
        <w:spacing w:line="360" w:lineRule="auto"/>
        <w:ind w:firstLine="480" w:firstLineChars="200"/>
        <w:outlineLvl w:val="0"/>
        <w:rPr>
          <w:rFonts w:ascii="Times New Roman" w:hAnsi="Times New Roman"/>
          <w:sz w:val="24"/>
          <w:szCs w:val="24"/>
          <w:lang w:val="zh-CN"/>
        </w:rPr>
      </w:pPr>
      <w:r>
        <w:rPr>
          <w:rFonts w:ascii="Times New Roman" w:hAnsi="Times New Roman"/>
          <w:sz w:val="24"/>
          <w:szCs w:val="24"/>
          <w:lang w:val="zh-CN"/>
        </w:rPr>
        <w:t>（4）评价标准</w:t>
      </w:r>
    </w:p>
    <w:p>
      <w:pPr>
        <w:adjustRightInd w:val="0"/>
        <w:snapToGrid w:val="0"/>
        <w:spacing w:line="360" w:lineRule="auto"/>
        <w:ind w:firstLine="480" w:firstLineChars="200"/>
        <w:rPr>
          <w:rFonts w:ascii="Times New Roman" w:hAnsi="Times New Roman"/>
          <w:sz w:val="24"/>
          <w:szCs w:val="24"/>
          <w:lang w:val="zh-CN"/>
        </w:rPr>
      </w:pPr>
      <w:r>
        <w:rPr>
          <w:rFonts w:ascii="Times New Roman" w:hAnsi="Times New Roman"/>
          <w:sz w:val="24"/>
          <w:szCs w:val="24"/>
          <w:lang w:val="zh-CN"/>
        </w:rPr>
        <w:t>评价标准</w:t>
      </w:r>
      <w:r>
        <w:rPr>
          <w:rFonts w:ascii="Times New Roman" w:hAnsi="Times New Roman"/>
          <w:sz w:val="24"/>
          <w:szCs w:val="24"/>
        </w:rPr>
        <w:t>采用《土壤环境质量建设用地土壤污染风险管控标准》（GB36600-2018）二类用地的筛选值和管制值</w:t>
      </w:r>
      <w:r>
        <w:rPr>
          <w:rFonts w:ascii="Times New Roman" w:hAnsi="Times New Roman"/>
          <w:sz w:val="24"/>
          <w:szCs w:val="24"/>
          <w:lang w:val="zh-CN"/>
        </w:rPr>
        <w:t>。</w:t>
      </w:r>
    </w:p>
    <w:p>
      <w:pPr>
        <w:adjustRightInd w:val="0"/>
        <w:snapToGrid w:val="0"/>
        <w:spacing w:line="360" w:lineRule="auto"/>
        <w:ind w:firstLine="480" w:firstLineChars="200"/>
        <w:outlineLvl w:val="0"/>
        <w:rPr>
          <w:rFonts w:ascii="Times New Roman" w:hAnsi="Times New Roman"/>
          <w:sz w:val="24"/>
          <w:szCs w:val="24"/>
          <w:lang w:val="zh-CN"/>
        </w:rPr>
      </w:pPr>
      <w:r>
        <w:rPr>
          <w:rFonts w:hint="eastAsia" w:ascii="Times New Roman" w:hAnsi="Times New Roman"/>
          <w:sz w:val="24"/>
          <w:szCs w:val="24"/>
        </w:rPr>
        <w:t>（5）</w:t>
      </w:r>
      <w:r>
        <w:rPr>
          <w:rFonts w:ascii="Times New Roman" w:hAnsi="Times New Roman"/>
          <w:sz w:val="24"/>
          <w:szCs w:val="24"/>
          <w:lang w:val="zh-CN"/>
        </w:rPr>
        <w:t>评价方法</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经过查询《土壤环境质量建设用地土壤污染风险管控标准》（GB36600-2018），其中没有明确规定土壤环境质量的评价方法，但是根据标准中5.3相关规定，本环评土壤环境质量现状评价采用直接比较法。</w:t>
      </w:r>
    </w:p>
    <w:p>
      <w:pPr>
        <w:adjustRightInd w:val="0"/>
        <w:snapToGrid w:val="0"/>
        <w:spacing w:line="360" w:lineRule="auto"/>
        <w:ind w:firstLine="480" w:firstLineChars="200"/>
        <w:rPr>
          <w:rFonts w:ascii="Times New Roman" w:hAnsi="Times New Roman"/>
          <w:color w:val="000000"/>
          <w:sz w:val="24"/>
          <w:szCs w:val="21"/>
          <w:u w:val="single"/>
          <w:lang w:val="zh-CN"/>
        </w:rPr>
      </w:pPr>
      <w:r>
        <w:rPr>
          <w:rFonts w:ascii="Times New Roman" w:hAnsi="Times New Roman"/>
          <w:color w:val="000000"/>
          <w:sz w:val="24"/>
          <w:szCs w:val="21"/>
          <w:lang w:val="zh-CN"/>
        </w:rPr>
        <w:t>（</w:t>
      </w:r>
      <w:r>
        <w:rPr>
          <w:rFonts w:hint="eastAsia" w:ascii="Times New Roman" w:hAnsi="Times New Roman"/>
          <w:color w:val="000000"/>
          <w:sz w:val="24"/>
          <w:szCs w:val="21"/>
          <w:u w:val="single"/>
        </w:rPr>
        <w:t>6</w:t>
      </w:r>
      <w:r>
        <w:rPr>
          <w:rFonts w:ascii="Times New Roman" w:hAnsi="Times New Roman"/>
          <w:color w:val="000000"/>
          <w:sz w:val="24"/>
          <w:szCs w:val="21"/>
          <w:u w:val="single"/>
          <w:lang w:val="zh-CN"/>
        </w:rPr>
        <w:t>）监测评价</w:t>
      </w:r>
      <w:r>
        <w:rPr>
          <w:rFonts w:hint="eastAsia" w:ascii="Times New Roman" w:hAnsi="Times New Roman"/>
          <w:color w:val="000000"/>
          <w:sz w:val="24"/>
          <w:szCs w:val="21"/>
          <w:u w:val="single"/>
        </w:rPr>
        <w:t xml:space="preserve"> </w:t>
      </w:r>
      <w:r>
        <w:rPr>
          <w:rFonts w:ascii="Times New Roman" w:hAnsi="Times New Roman"/>
          <w:color w:val="000000"/>
          <w:sz w:val="24"/>
          <w:szCs w:val="21"/>
          <w:u w:val="single"/>
          <w:lang w:val="zh-CN"/>
        </w:rPr>
        <w:t>结果</w:t>
      </w:r>
    </w:p>
    <w:p>
      <w:pPr>
        <w:adjustRightInd w:val="0"/>
        <w:snapToGrid w:val="0"/>
        <w:spacing w:line="360" w:lineRule="auto"/>
        <w:ind w:firstLine="480" w:firstLineChars="200"/>
        <w:rPr>
          <w:rFonts w:ascii="Times New Roman" w:hAnsi="Times New Roman"/>
          <w:color w:val="000000"/>
          <w:sz w:val="24"/>
          <w:szCs w:val="21"/>
          <w:u w:val="single"/>
          <w:lang w:val="zh-CN"/>
        </w:rPr>
      </w:pPr>
      <w:r>
        <w:rPr>
          <w:rFonts w:ascii="Times New Roman" w:hAnsi="Times New Roman"/>
          <w:color w:val="000000"/>
          <w:sz w:val="24"/>
          <w:szCs w:val="21"/>
          <w:u w:val="single"/>
          <w:lang w:val="zh-CN"/>
        </w:rPr>
        <w:t>监测结果与</w:t>
      </w:r>
      <w:r>
        <w:rPr>
          <w:rFonts w:hint="eastAsia" w:ascii="Times New Roman" w:hAnsi="Times New Roman"/>
          <w:color w:val="000000"/>
          <w:sz w:val="24"/>
          <w:szCs w:val="21"/>
          <w:u w:val="single"/>
          <w:lang w:val="zh-CN"/>
        </w:rPr>
        <w:t>标准值</w:t>
      </w:r>
      <w:r>
        <w:rPr>
          <w:rFonts w:ascii="Times New Roman" w:hAnsi="Times New Roman"/>
          <w:color w:val="000000"/>
          <w:sz w:val="24"/>
          <w:szCs w:val="21"/>
          <w:u w:val="single"/>
          <w:lang w:val="zh-CN"/>
        </w:rPr>
        <w:t>见表</w:t>
      </w:r>
      <w:r>
        <w:rPr>
          <w:rFonts w:hint="eastAsia" w:ascii="Times New Roman" w:hAnsi="Times New Roman"/>
          <w:color w:val="000000"/>
          <w:sz w:val="24"/>
          <w:szCs w:val="21"/>
          <w:u w:val="single"/>
        </w:rPr>
        <w:t>4-10</w:t>
      </w:r>
      <w:r>
        <w:rPr>
          <w:rFonts w:ascii="Times New Roman" w:hAnsi="Times New Roman"/>
          <w:color w:val="000000"/>
          <w:sz w:val="24"/>
          <w:szCs w:val="21"/>
          <w:u w:val="single"/>
          <w:lang w:val="zh-CN"/>
        </w:rPr>
        <w:t>和表</w:t>
      </w:r>
      <w:r>
        <w:rPr>
          <w:rFonts w:hint="eastAsia" w:ascii="Times New Roman" w:hAnsi="Times New Roman"/>
          <w:color w:val="000000"/>
          <w:sz w:val="24"/>
          <w:szCs w:val="21"/>
          <w:u w:val="single"/>
        </w:rPr>
        <w:t>4-11</w:t>
      </w:r>
      <w:r>
        <w:rPr>
          <w:rFonts w:ascii="Times New Roman" w:hAnsi="Times New Roman"/>
          <w:color w:val="000000"/>
          <w:sz w:val="24"/>
          <w:szCs w:val="21"/>
          <w:u w:val="single"/>
          <w:lang w:val="zh-CN"/>
        </w:rPr>
        <w:t>。</w:t>
      </w:r>
    </w:p>
    <w:p>
      <w:pPr>
        <w:jc w:val="center"/>
        <w:rPr>
          <w:rFonts w:ascii="Times New Roman" w:hAnsi="Times New Roman"/>
          <w:color w:val="000000"/>
          <w:szCs w:val="21"/>
          <w:u w:val="single"/>
        </w:rPr>
      </w:pPr>
      <w:r>
        <w:rPr>
          <w:rFonts w:ascii="Times New Roman" w:hAnsi="Times New Roman"/>
          <w:b/>
          <w:color w:val="000000"/>
          <w:sz w:val="24"/>
          <w:szCs w:val="21"/>
          <w:u w:val="single"/>
        </w:rPr>
        <w:t xml:space="preserve">               表4-</w:t>
      </w:r>
      <w:r>
        <w:rPr>
          <w:rFonts w:hint="eastAsia" w:ascii="Times New Roman" w:hAnsi="Times New Roman"/>
          <w:b/>
          <w:color w:val="000000"/>
          <w:sz w:val="24"/>
          <w:szCs w:val="21"/>
          <w:u w:val="single"/>
        </w:rPr>
        <w:t>10</w:t>
      </w:r>
      <w:r>
        <w:rPr>
          <w:rFonts w:ascii="Times New Roman" w:hAnsi="Times New Roman"/>
          <w:b/>
          <w:color w:val="000000"/>
          <w:sz w:val="24"/>
          <w:szCs w:val="21"/>
          <w:u w:val="single"/>
        </w:rPr>
        <w:t xml:space="preserve"> 土壤监测分析结果      </w:t>
      </w:r>
      <w:r>
        <w:rPr>
          <w:rFonts w:ascii="Times New Roman" w:hAnsi="Times New Roman"/>
          <w:color w:val="000000"/>
          <w:szCs w:val="21"/>
          <w:u w:val="single"/>
        </w:rPr>
        <w:t>单位：mg/kg</w:t>
      </w:r>
    </w:p>
    <w:tbl>
      <w:tblPr>
        <w:tblStyle w:val="24"/>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832"/>
        <w:gridCol w:w="832"/>
        <w:gridCol w:w="833"/>
        <w:gridCol w:w="830"/>
        <w:gridCol w:w="832"/>
        <w:gridCol w:w="830"/>
        <w:gridCol w:w="832"/>
        <w:gridCol w:w="8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877" w:type="dxa"/>
            <w:vMerge w:val="restart"/>
            <w:tcBorders>
              <w:top w:val="single" w:color="auto" w:sz="12" w:space="0"/>
            </w:tcBorders>
            <w:shd w:val="clear" w:color="auto" w:fill="FFFFFF"/>
            <w:vAlign w:val="center"/>
          </w:tcPr>
          <w:p>
            <w:pPr>
              <w:jc w:val="center"/>
              <w:rPr>
                <w:rFonts w:ascii="Times New Roman" w:hAnsi="Times New Roman"/>
                <w:kern w:val="0"/>
                <w:szCs w:val="21"/>
                <w:u w:val="single"/>
              </w:rPr>
            </w:pPr>
            <w:r>
              <w:rPr>
                <w:rFonts w:ascii="Times New Roman" w:hAnsi="Times New Roman"/>
                <w:kern w:val="0"/>
                <w:szCs w:val="21"/>
                <w:u w:val="single"/>
              </w:rPr>
              <w:t>监测点位</w:t>
            </w:r>
          </w:p>
        </w:tc>
        <w:tc>
          <w:tcPr>
            <w:tcW w:w="6650" w:type="dxa"/>
            <w:gridSpan w:val="8"/>
            <w:tcBorders>
              <w:top w:val="single" w:color="auto" w:sz="12" w:space="0"/>
              <w:left w:val="single" w:color="auto" w:sz="4" w:space="0"/>
            </w:tcBorders>
            <w:shd w:val="clear" w:color="auto" w:fill="FFFFFF"/>
            <w:vAlign w:val="center"/>
          </w:tcPr>
          <w:p>
            <w:pPr>
              <w:jc w:val="center"/>
              <w:rPr>
                <w:rFonts w:ascii="Times New Roman" w:hAnsi="Times New Roman"/>
                <w:kern w:val="0"/>
                <w:szCs w:val="21"/>
                <w:u w:val="single"/>
              </w:rPr>
            </w:pPr>
            <w:r>
              <w:rPr>
                <w:rFonts w:hint="eastAsia" w:ascii="Times New Roman" w:hAnsi="Times New Roman"/>
                <w:kern w:val="0"/>
                <w:szCs w:val="21"/>
                <w:u w:val="single"/>
              </w:rPr>
              <w:t>监测项目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877" w:type="dxa"/>
            <w:vMerge w:val="continue"/>
            <w:shd w:val="clear" w:color="auto" w:fill="FFFFFF"/>
            <w:vAlign w:val="center"/>
          </w:tcPr>
          <w:p>
            <w:pPr>
              <w:jc w:val="center"/>
              <w:rPr>
                <w:rFonts w:ascii="Times New Roman" w:hAnsi="Times New Roman"/>
                <w:kern w:val="0"/>
                <w:szCs w:val="21"/>
                <w:u w:val="single"/>
              </w:rPr>
            </w:pPr>
          </w:p>
        </w:tc>
        <w:tc>
          <w:tcPr>
            <w:tcW w:w="832" w:type="dxa"/>
            <w:tcBorders>
              <w:left w:val="single" w:color="auto" w:sz="4" w:space="0"/>
            </w:tcBorders>
            <w:shd w:val="clear" w:color="auto" w:fill="FFFFFF"/>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PH</w:t>
            </w:r>
          </w:p>
        </w:tc>
        <w:tc>
          <w:tcPr>
            <w:tcW w:w="832" w:type="dxa"/>
            <w:tcBorders>
              <w:left w:val="single" w:color="auto" w:sz="4" w:space="0"/>
            </w:tcBorders>
            <w:shd w:val="clear" w:color="auto" w:fill="FFFFFF"/>
            <w:vAlign w:val="center"/>
          </w:tcPr>
          <w:p>
            <w:pPr>
              <w:jc w:val="center"/>
              <w:rPr>
                <w:rFonts w:ascii="Times New Roman" w:hAnsi="Times New Roman"/>
                <w:color w:val="000000"/>
                <w:szCs w:val="21"/>
                <w:u w:val="single"/>
              </w:rPr>
            </w:pPr>
            <w:r>
              <w:rPr>
                <w:rFonts w:ascii="Times New Roman" w:hAnsi="Times New Roman"/>
                <w:color w:val="000000"/>
                <w:szCs w:val="21"/>
                <w:u w:val="single"/>
                <w:lang w:val="zh-CN"/>
              </w:rPr>
              <w:t>砷</w:t>
            </w:r>
          </w:p>
        </w:tc>
        <w:tc>
          <w:tcPr>
            <w:tcW w:w="833" w:type="dxa"/>
            <w:shd w:val="clear" w:color="auto" w:fill="FFFFFF"/>
            <w:vAlign w:val="center"/>
          </w:tcPr>
          <w:p>
            <w:pPr>
              <w:ind w:left="-105" w:leftChars="-50" w:right="-105" w:rightChars="-50"/>
              <w:jc w:val="center"/>
              <w:rPr>
                <w:rFonts w:ascii="Times New Roman" w:hAnsi="Times New Roman"/>
                <w:snapToGrid w:val="0"/>
                <w:kern w:val="0"/>
                <w:szCs w:val="21"/>
                <w:u w:val="single"/>
              </w:rPr>
            </w:pPr>
            <w:r>
              <w:rPr>
                <w:rFonts w:ascii="Times New Roman" w:hAnsi="Times New Roman"/>
                <w:color w:val="000000"/>
                <w:szCs w:val="21"/>
                <w:u w:val="single"/>
              </w:rPr>
              <w:t>镉</w:t>
            </w:r>
          </w:p>
        </w:tc>
        <w:tc>
          <w:tcPr>
            <w:tcW w:w="830" w:type="dxa"/>
            <w:shd w:val="clear" w:color="auto" w:fill="FFFFFF"/>
            <w:vAlign w:val="center"/>
          </w:tcPr>
          <w:p>
            <w:pPr>
              <w:ind w:left="-105" w:leftChars="-50" w:right="-105" w:rightChars="-50"/>
              <w:jc w:val="center"/>
              <w:rPr>
                <w:rFonts w:ascii="Times New Roman" w:hAnsi="Times New Roman"/>
                <w:color w:val="000000"/>
                <w:szCs w:val="21"/>
                <w:u w:val="single"/>
              </w:rPr>
            </w:pPr>
            <w:r>
              <w:rPr>
                <w:rFonts w:ascii="Times New Roman" w:hAnsi="Times New Roman"/>
                <w:color w:val="000000"/>
                <w:szCs w:val="21"/>
                <w:u w:val="single"/>
                <w:lang w:val="zh-CN"/>
              </w:rPr>
              <w:t>铬</w:t>
            </w:r>
          </w:p>
        </w:tc>
        <w:tc>
          <w:tcPr>
            <w:tcW w:w="832" w:type="dxa"/>
            <w:shd w:val="clear" w:color="auto" w:fill="FFFFFF"/>
            <w:vAlign w:val="center"/>
          </w:tcPr>
          <w:p>
            <w:pPr>
              <w:ind w:left="-105" w:leftChars="-50" w:right="-105" w:rightChars="-50"/>
              <w:jc w:val="center"/>
              <w:rPr>
                <w:rFonts w:ascii="Times New Roman" w:hAnsi="Times New Roman"/>
                <w:color w:val="000000"/>
                <w:szCs w:val="21"/>
                <w:u w:val="single"/>
              </w:rPr>
            </w:pPr>
            <w:r>
              <w:rPr>
                <w:rFonts w:ascii="Times New Roman" w:hAnsi="Times New Roman"/>
                <w:color w:val="000000"/>
                <w:szCs w:val="21"/>
                <w:u w:val="single"/>
                <w:lang w:val="zh-CN"/>
              </w:rPr>
              <w:t>铜</w:t>
            </w:r>
          </w:p>
        </w:tc>
        <w:tc>
          <w:tcPr>
            <w:tcW w:w="830" w:type="dxa"/>
            <w:shd w:val="clear" w:color="auto" w:fill="FFFFFF"/>
            <w:vAlign w:val="center"/>
          </w:tcPr>
          <w:p>
            <w:pPr>
              <w:ind w:left="-105" w:leftChars="-50" w:right="-105" w:rightChars="-50"/>
              <w:jc w:val="center"/>
              <w:rPr>
                <w:rFonts w:ascii="Times New Roman" w:hAnsi="Times New Roman"/>
                <w:color w:val="000000"/>
                <w:szCs w:val="21"/>
                <w:u w:val="single"/>
              </w:rPr>
            </w:pPr>
            <w:r>
              <w:rPr>
                <w:rFonts w:ascii="Times New Roman" w:hAnsi="Times New Roman"/>
                <w:color w:val="000000"/>
                <w:szCs w:val="21"/>
                <w:u w:val="single"/>
                <w:lang w:val="zh-CN"/>
              </w:rPr>
              <w:t>铅</w:t>
            </w:r>
          </w:p>
        </w:tc>
        <w:tc>
          <w:tcPr>
            <w:tcW w:w="832" w:type="dxa"/>
            <w:shd w:val="clear" w:color="auto" w:fill="FFFFFF"/>
            <w:vAlign w:val="center"/>
          </w:tcPr>
          <w:p>
            <w:pPr>
              <w:ind w:left="-105" w:leftChars="-50" w:right="-105" w:rightChars="-50"/>
              <w:jc w:val="center"/>
              <w:rPr>
                <w:rFonts w:ascii="Times New Roman" w:hAnsi="Times New Roman"/>
                <w:color w:val="000000"/>
                <w:szCs w:val="21"/>
                <w:u w:val="single"/>
              </w:rPr>
            </w:pPr>
            <w:r>
              <w:rPr>
                <w:rFonts w:ascii="Times New Roman" w:hAnsi="Times New Roman"/>
                <w:color w:val="000000"/>
                <w:szCs w:val="21"/>
                <w:u w:val="single"/>
                <w:lang w:val="zh-CN"/>
              </w:rPr>
              <w:t>汞</w:t>
            </w:r>
          </w:p>
        </w:tc>
        <w:tc>
          <w:tcPr>
            <w:tcW w:w="831" w:type="dxa"/>
            <w:shd w:val="clear" w:color="auto" w:fill="FFFFFF"/>
            <w:vAlign w:val="center"/>
          </w:tcPr>
          <w:p>
            <w:pPr>
              <w:ind w:left="-105" w:leftChars="-50" w:right="-105" w:rightChars="-50"/>
              <w:jc w:val="center"/>
              <w:rPr>
                <w:rFonts w:ascii="Times New Roman" w:hAnsi="Times New Roman"/>
                <w:color w:val="000000"/>
                <w:szCs w:val="21"/>
                <w:u w:val="single"/>
              </w:rPr>
            </w:pPr>
            <w:r>
              <w:rPr>
                <w:rFonts w:ascii="Times New Roman" w:hAnsi="Times New Roman"/>
                <w:color w:val="000000"/>
                <w:szCs w:val="21"/>
                <w:u w:val="single"/>
                <w:lang w:val="zh-CN"/>
              </w:rPr>
              <w:t>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877" w:type="dxa"/>
            <w:vAlign w:val="center"/>
          </w:tcPr>
          <w:p>
            <w:pPr>
              <w:ind w:left="-105" w:leftChars="-50" w:right="-105" w:rightChars="-50"/>
              <w:jc w:val="center"/>
              <w:rPr>
                <w:rFonts w:ascii="Times New Roman" w:hAnsi="Times New Roman"/>
                <w:kern w:val="0"/>
                <w:szCs w:val="21"/>
                <w:u w:val="single"/>
              </w:rPr>
            </w:pPr>
            <w:r>
              <w:rPr>
                <w:rFonts w:ascii="Times New Roman" w:hAnsi="Times New Roman"/>
                <w:color w:val="000000"/>
                <w:u w:val="single"/>
              </w:rPr>
              <w:t>1#现有尾矿库</w:t>
            </w:r>
          </w:p>
        </w:tc>
        <w:tc>
          <w:tcPr>
            <w:tcW w:w="832"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6.71</w:t>
            </w:r>
          </w:p>
        </w:tc>
        <w:tc>
          <w:tcPr>
            <w:tcW w:w="832"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3.2</w:t>
            </w:r>
          </w:p>
        </w:tc>
        <w:tc>
          <w:tcPr>
            <w:tcW w:w="833"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2.15</w:t>
            </w:r>
          </w:p>
        </w:tc>
        <w:tc>
          <w:tcPr>
            <w:tcW w:w="830"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76</w:t>
            </w:r>
          </w:p>
        </w:tc>
        <w:tc>
          <w:tcPr>
            <w:tcW w:w="832"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32</w:t>
            </w:r>
          </w:p>
        </w:tc>
        <w:tc>
          <w:tcPr>
            <w:tcW w:w="830"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15.3</w:t>
            </w:r>
          </w:p>
        </w:tc>
        <w:tc>
          <w:tcPr>
            <w:tcW w:w="832"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0.235</w:t>
            </w:r>
          </w:p>
        </w:tc>
        <w:tc>
          <w:tcPr>
            <w:tcW w:w="831"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877" w:type="dxa"/>
            <w:vAlign w:val="center"/>
          </w:tcPr>
          <w:p>
            <w:pPr>
              <w:ind w:left="-105" w:leftChars="-50" w:right="-105" w:rightChars="-50"/>
              <w:jc w:val="center"/>
              <w:rPr>
                <w:rFonts w:ascii="Times New Roman" w:hAnsi="Times New Roman"/>
                <w:color w:val="000000"/>
                <w:szCs w:val="21"/>
                <w:u w:val="single"/>
              </w:rPr>
            </w:pPr>
            <w:r>
              <w:rPr>
                <w:rFonts w:ascii="Times New Roman" w:hAnsi="Times New Roman"/>
                <w:szCs w:val="21"/>
                <w:u w:val="single"/>
              </w:rPr>
              <w:t>2#九道羊岔农田</w:t>
            </w:r>
          </w:p>
        </w:tc>
        <w:tc>
          <w:tcPr>
            <w:tcW w:w="832"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6.85</w:t>
            </w:r>
          </w:p>
        </w:tc>
        <w:tc>
          <w:tcPr>
            <w:tcW w:w="832"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3.5</w:t>
            </w:r>
          </w:p>
        </w:tc>
        <w:tc>
          <w:tcPr>
            <w:tcW w:w="833"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2.41</w:t>
            </w:r>
          </w:p>
        </w:tc>
        <w:tc>
          <w:tcPr>
            <w:tcW w:w="830"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74</w:t>
            </w:r>
          </w:p>
        </w:tc>
        <w:tc>
          <w:tcPr>
            <w:tcW w:w="832"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35</w:t>
            </w:r>
          </w:p>
        </w:tc>
        <w:tc>
          <w:tcPr>
            <w:tcW w:w="830"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15.8</w:t>
            </w:r>
          </w:p>
        </w:tc>
        <w:tc>
          <w:tcPr>
            <w:tcW w:w="832"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0.125</w:t>
            </w:r>
          </w:p>
        </w:tc>
        <w:tc>
          <w:tcPr>
            <w:tcW w:w="831"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877" w:type="dxa"/>
            <w:tcBorders>
              <w:bottom w:val="single" w:color="auto" w:sz="12" w:space="0"/>
            </w:tcBorders>
            <w:vAlign w:val="center"/>
          </w:tcPr>
          <w:p>
            <w:pPr>
              <w:ind w:left="-105" w:leftChars="-50" w:right="-105" w:rightChars="-50"/>
              <w:jc w:val="center"/>
              <w:rPr>
                <w:rFonts w:ascii="Times New Roman" w:hAnsi="Times New Roman"/>
                <w:color w:val="000000"/>
                <w:szCs w:val="21"/>
                <w:u w:val="single"/>
              </w:rPr>
            </w:pPr>
            <w:r>
              <w:rPr>
                <w:rFonts w:ascii="Times New Roman" w:hAnsi="Times New Roman"/>
                <w:szCs w:val="21"/>
                <w:u w:val="single"/>
              </w:rPr>
              <w:t>3#八道羊岔农田</w:t>
            </w:r>
          </w:p>
        </w:tc>
        <w:tc>
          <w:tcPr>
            <w:tcW w:w="832" w:type="dxa"/>
            <w:tcBorders>
              <w:bottom w:val="single" w:color="auto" w:sz="12" w:space="0"/>
            </w:tcBorders>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7.2</w:t>
            </w:r>
          </w:p>
        </w:tc>
        <w:tc>
          <w:tcPr>
            <w:tcW w:w="832" w:type="dxa"/>
            <w:tcBorders>
              <w:bottom w:val="single" w:color="auto" w:sz="12"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4.2</w:t>
            </w:r>
          </w:p>
        </w:tc>
        <w:tc>
          <w:tcPr>
            <w:tcW w:w="833" w:type="dxa"/>
            <w:tcBorders>
              <w:bottom w:val="single" w:color="auto" w:sz="12"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1.54</w:t>
            </w:r>
          </w:p>
        </w:tc>
        <w:tc>
          <w:tcPr>
            <w:tcW w:w="830" w:type="dxa"/>
            <w:tcBorders>
              <w:bottom w:val="single" w:color="auto" w:sz="12"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82</w:t>
            </w:r>
          </w:p>
        </w:tc>
        <w:tc>
          <w:tcPr>
            <w:tcW w:w="832" w:type="dxa"/>
            <w:tcBorders>
              <w:bottom w:val="single" w:color="auto" w:sz="12"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38</w:t>
            </w:r>
          </w:p>
        </w:tc>
        <w:tc>
          <w:tcPr>
            <w:tcW w:w="830" w:type="dxa"/>
            <w:tcBorders>
              <w:bottom w:val="single" w:color="auto" w:sz="12"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16.7</w:t>
            </w:r>
          </w:p>
        </w:tc>
        <w:tc>
          <w:tcPr>
            <w:tcW w:w="832" w:type="dxa"/>
            <w:tcBorders>
              <w:bottom w:val="single" w:color="auto" w:sz="12"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0.165</w:t>
            </w:r>
          </w:p>
        </w:tc>
        <w:tc>
          <w:tcPr>
            <w:tcW w:w="831" w:type="dxa"/>
            <w:tcBorders>
              <w:bottom w:val="single" w:color="auto" w:sz="12" w:space="0"/>
            </w:tcBorders>
            <w:vAlign w:val="center"/>
          </w:tcPr>
          <w:p>
            <w:pPr>
              <w:jc w:val="center"/>
              <w:rPr>
                <w:rFonts w:ascii="Times New Roman" w:hAnsi="Times New Roman"/>
                <w:color w:val="000000"/>
                <w:szCs w:val="21"/>
                <w:u w:val="single"/>
              </w:rPr>
            </w:pPr>
            <w:r>
              <w:rPr>
                <w:rFonts w:ascii="Times New Roman" w:hAnsi="Times New Roman"/>
                <w:color w:val="000000"/>
                <w:szCs w:val="21"/>
                <w:u w:val="single"/>
              </w:rPr>
              <w:t>28</w:t>
            </w:r>
          </w:p>
        </w:tc>
      </w:tr>
    </w:tbl>
    <w:p>
      <w:pPr>
        <w:pStyle w:val="2"/>
        <w:rPr>
          <w:rFonts w:ascii="Times New Roman" w:hAnsi="Times New Roman"/>
          <w:color w:val="000000"/>
          <w:szCs w:val="21"/>
          <w:u w:val="single"/>
        </w:rPr>
      </w:pPr>
    </w:p>
    <w:p>
      <w:pPr>
        <w:rPr>
          <w:rFonts w:ascii="Times New Roman" w:hAnsi="Times New Roman"/>
          <w:b/>
          <w:color w:val="000000"/>
          <w:sz w:val="24"/>
          <w:szCs w:val="21"/>
          <w:u w:val="single"/>
        </w:rPr>
      </w:pPr>
    </w:p>
    <w:p>
      <w:pPr>
        <w:pStyle w:val="54"/>
        <w:spacing w:line="240" w:lineRule="auto"/>
        <w:ind w:firstLine="0" w:firstLineChars="0"/>
        <w:jc w:val="center"/>
        <w:rPr>
          <w:b/>
          <w:bCs/>
          <w:color w:val="000000"/>
          <w:u w:val="single"/>
        </w:rPr>
      </w:pPr>
      <w:r>
        <w:rPr>
          <w:rFonts w:ascii="Times New Roman" w:hAnsi="Times New Roman"/>
          <w:b/>
          <w:bCs/>
          <w:color w:val="000000"/>
          <w:u w:val="single"/>
        </w:rPr>
        <w:t>表4-1</w:t>
      </w:r>
      <w:r>
        <w:rPr>
          <w:rFonts w:hint="eastAsia" w:ascii="Times New Roman" w:hAnsi="Times New Roman"/>
          <w:b/>
          <w:bCs/>
          <w:color w:val="000000"/>
          <w:u w:val="single"/>
        </w:rPr>
        <w:t>1</w:t>
      </w:r>
      <w:r>
        <w:rPr>
          <w:rFonts w:ascii="Times New Roman" w:hAnsi="Times New Roman"/>
          <w:b/>
          <w:bCs/>
          <w:color w:val="000000"/>
          <w:u w:val="single"/>
        </w:rPr>
        <w:t>建设用地土壤污染风险筛选值和管制值（基本项目</w:t>
      </w:r>
      <w:r>
        <w:rPr>
          <w:rFonts w:hint="eastAsia"/>
          <w:b/>
          <w:bCs/>
          <w:color w:val="000000"/>
          <w:u w:val="single"/>
        </w:rPr>
        <w:t>）</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417"/>
        <w:gridCol w:w="1417"/>
        <w:gridCol w:w="2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Merge w:val="restart"/>
            <w:vAlign w:val="center"/>
          </w:tcPr>
          <w:p>
            <w:pPr>
              <w:widowControl/>
              <w:snapToGrid w:val="0"/>
              <w:jc w:val="center"/>
              <w:rPr>
                <w:rFonts w:ascii="Times New Roman" w:hAnsi="Times New Roman"/>
                <w:color w:val="000000"/>
                <w:u w:val="single"/>
              </w:rPr>
            </w:pPr>
            <w:r>
              <w:rPr>
                <w:rFonts w:ascii="Times New Roman" w:hAnsi="Times New Roman"/>
                <w:color w:val="000000"/>
                <w:u w:val="single"/>
              </w:rPr>
              <w:t>污染物项目</w:t>
            </w:r>
          </w:p>
        </w:tc>
        <w:tc>
          <w:tcPr>
            <w:tcW w:w="2834" w:type="dxa"/>
            <w:gridSpan w:val="2"/>
            <w:vAlign w:val="center"/>
          </w:tcPr>
          <w:p>
            <w:pPr>
              <w:widowControl/>
              <w:snapToGrid w:val="0"/>
              <w:jc w:val="center"/>
              <w:rPr>
                <w:rFonts w:ascii="Times New Roman" w:hAnsi="Times New Roman"/>
                <w:color w:val="000000"/>
                <w:u w:val="single"/>
              </w:rPr>
            </w:pPr>
            <w:r>
              <w:rPr>
                <w:rFonts w:ascii="Times New Roman" w:hAnsi="Times New Roman"/>
                <w:color w:val="000000"/>
                <w:u w:val="single"/>
              </w:rPr>
              <w:t>标准值（mg/kg）</w:t>
            </w:r>
          </w:p>
        </w:tc>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Merge w:val="continue"/>
            <w:vAlign w:val="center"/>
          </w:tcPr>
          <w:p>
            <w:pPr>
              <w:widowControl/>
              <w:snapToGrid w:val="0"/>
              <w:jc w:val="center"/>
              <w:rPr>
                <w:rFonts w:ascii="Times New Roman" w:hAnsi="Times New Roman"/>
                <w:color w:val="000000"/>
                <w:u w:val="single"/>
              </w:rPr>
            </w:pPr>
          </w:p>
        </w:tc>
        <w:tc>
          <w:tcPr>
            <w:tcW w:w="1417"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筛选值</w:t>
            </w:r>
          </w:p>
        </w:tc>
        <w:tc>
          <w:tcPr>
            <w:tcW w:w="1417"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管制值</w:t>
            </w:r>
          </w:p>
        </w:tc>
        <w:tc>
          <w:tcPr>
            <w:tcW w:w="2835" w:type="dxa"/>
            <w:vMerge w:val="restart"/>
            <w:vAlign w:val="center"/>
          </w:tcPr>
          <w:p>
            <w:pPr>
              <w:widowControl/>
              <w:snapToGrid w:val="0"/>
              <w:jc w:val="center"/>
              <w:rPr>
                <w:rFonts w:ascii="Times New Roman" w:hAnsi="Times New Roman"/>
                <w:color w:val="000000"/>
                <w:u w:val="single"/>
              </w:rPr>
            </w:pPr>
            <w:r>
              <w:rPr>
                <w:rFonts w:ascii="Times New Roman" w:hAnsi="Times New Roman"/>
                <w:color w:val="000000"/>
                <w:u w:val="single"/>
              </w:rPr>
              <w:t>《土壤环境质量建设用地土壤污染风险管控标准》（GB36600-2018）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镉</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65</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172</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铅</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800</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2500</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汞</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38</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82</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砷</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60</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140</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铜</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18000</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36000</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镍</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900</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2000</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铬</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5.7</w:t>
            </w:r>
          </w:p>
        </w:tc>
        <w:tc>
          <w:tcPr>
            <w:tcW w:w="1417" w:type="dxa"/>
            <w:vAlign w:val="center"/>
          </w:tcPr>
          <w:p>
            <w:pPr>
              <w:snapToGrid w:val="0"/>
              <w:jc w:val="center"/>
              <w:rPr>
                <w:rFonts w:ascii="Times New Roman" w:hAnsi="Times New Roman"/>
                <w:color w:val="000000"/>
                <w:u w:val="single"/>
              </w:rPr>
            </w:pPr>
            <w:r>
              <w:rPr>
                <w:rFonts w:ascii="Times New Roman" w:hAnsi="Times New Roman"/>
                <w:color w:val="000000"/>
                <w:u w:val="single"/>
              </w:rPr>
              <w:t>78</w:t>
            </w:r>
          </w:p>
        </w:tc>
        <w:tc>
          <w:tcPr>
            <w:tcW w:w="2835" w:type="dxa"/>
            <w:vMerge w:val="continue"/>
            <w:vAlign w:val="center"/>
          </w:tcPr>
          <w:p>
            <w:pPr>
              <w:widowControl/>
              <w:snapToGrid w:val="0"/>
              <w:jc w:val="center"/>
              <w:rPr>
                <w:rFonts w:ascii="Times New Roman" w:hAnsi="Times New Roman"/>
                <w:color w:val="000000"/>
                <w:u w:val="single"/>
              </w:rPr>
            </w:pPr>
          </w:p>
        </w:tc>
      </w:tr>
    </w:tbl>
    <w:p>
      <w:pPr>
        <w:pStyle w:val="54"/>
        <w:spacing w:line="240" w:lineRule="auto"/>
        <w:ind w:firstLine="0" w:firstLineChars="0"/>
        <w:jc w:val="center"/>
        <w:rPr>
          <w:rFonts w:ascii="Times New Roman" w:hAnsi="Times New Roman"/>
          <w:b/>
          <w:bCs/>
          <w:color w:val="000000"/>
          <w:u w:val="single"/>
        </w:rPr>
      </w:pPr>
    </w:p>
    <w:p>
      <w:pPr>
        <w:pStyle w:val="54"/>
        <w:spacing w:line="240" w:lineRule="auto"/>
        <w:ind w:firstLine="0" w:firstLineChars="0"/>
        <w:jc w:val="center"/>
        <w:rPr>
          <w:b/>
          <w:bCs/>
          <w:color w:val="000000"/>
          <w:u w:val="single"/>
        </w:rPr>
      </w:pPr>
      <w:r>
        <w:rPr>
          <w:rFonts w:ascii="Times New Roman" w:hAnsi="Times New Roman"/>
          <w:b/>
          <w:bCs/>
          <w:color w:val="000000"/>
          <w:u w:val="single"/>
        </w:rPr>
        <w:t>表4-1</w:t>
      </w:r>
      <w:r>
        <w:rPr>
          <w:rFonts w:hint="eastAsia" w:ascii="Times New Roman" w:hAnsi="Times New Roman"/>
          <w:b/>
          <w:bCs/>
          <w:color w:val="000000"/>
          <w:u w:val="single"/>
        </w:rPr>
        <w:t>2农</w:t>
      </w:r>
      <w:r>
        <w:rPr>
          <w:rFonts w:ascii="Times New Roman" w:hAnsi="Times New Roman"/>
          <w:b/>
          <w:bCs/>
          <w:color w:val="000000"/>
          <w:u w:val="single"/>
        </w:rPr>
        <w:t>用地土壤污染风险筛选值和管制值（基本项目</w:t>
      </w:r>
      <w:r>
        <w:rPr>
          <w:rFonts w:hint="eastAsia"/>
          <w:b/>
          <w:bCs/>
          <w:color w:val="000000"/>
          <w:u w:val="single"/>
        </w:rPr>
        <w:t>）</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417"/>
        <w:gridCol w:w="1417"/>
        <w:gridCol w:w="2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Merge w:val="restart"/>
            <w:vAlign w:val="center"/>
          </w:tcPr>
          <w:p>
            <w:pPr>
              <w:widowControl/>
              <w:snapToGrid w:val="0"/>
              <w:jc w:val="center"/>
              <w:rPr>
                <w:rFonts w:ascii="Times New Roman" w:hAnsi="Times New Roman"/>
                <w:color w:val="000000"/>
                <w:u w:val="single"/>
              </w:rPr>
            </w:pPr>
            <w:r>
              <w:rPr>
                <w:rFonts w:ascii="Times New Roman" w:hAnsi="Times New Roman"/>
                <w:color w:val="000000"/>
                <w:u w:val="single"/>
              </w:rPr>
              <w:t>污染物项目</w:t>
            </w:r>
          </w:p>
        </w:tc>
        <w:tc>
          <w:tcPr>
            <w:tcW w:w="2834" w:type="dxa"/>
            <w:gridSpan w:val="2"/>
            <w:vAlign w:val="center"/>
          </w:tcPr>
          <w:p>
            <w:pPr>
              <w:widowControl/>
              <w:snapToGrid w:val="0"/>
              <w:jc w:val="center"/>
              <w:rPr>
                <w:rFonts w:ascii="Times New Roman" w:hAnsi="Times New Roman"/>
                <w:color w:val="000000"/>
                <w:u w:val="single"/>
              </w:rPr>
            </w:pPr>
            <w:r>
              <w:rPr>
                <w:rFonts w:ascii="Times New Roman" w:hAnsi="Times New Roman"/>
                <w:color w:val="000000"/>
                <w:u w:val="single"/>
              </w:rPr>
              <w:t>标准值（mg/kg）</w:t>
            </w:r>
          </w:p>
        </w:tc>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Merge w:val="continue"/>
            <w:vAlign w:val="center"/>
          </w:tcPr>
          <w:p>
            <w:pPr>
              <w:widowControl/>
              <w:snapToGrid w:val="0"/>
              <w:jc w:val="center"/>
              <w:rPr>
                <w:rFonts w:ascii="Times New Roman" w:hAnsi="Times New Roman"/>
                <w:color w:val="000000"/>
                <w:u w:val="single"/>
              </w:rPr>
            </w:pPr>
          </w:p>
        </w:tc>
        <w:tc>
          <w:tcPr>
            <w:tcW w:w="1417"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筛选值</w:t>
            </w:r>
          </w:p>
        </w:tc>
        <w:tc>
          <w:tcPr>
            <w:tcW w:w="1417"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管制值</w:t>
            </w:r>
          </w:p>
        </w:tc>
        <w:tc>
          <w:tcPr>
            <w:tcW w:w="2835" w:type="dxa"/>
            <w:vMerge w:val="restart"/>
            <w:vAlign w:val="center"/>
          </w:tcPr>
          <w:p>
            <w:pPr>
              <w:widowControl/>
              <w:snapToGrid w:val="0"/>
              <w:jc w:val="center"/>
              <w:rPr>
                <w:rFonts w:ascii="Times New Roman" w:hAnsi="Times New Roman"/>
                <w:color w:val="000000"/>
                <w:u w:val="single"/>
              </w:rPr>
            </w:pPr>
            <w:r>
              <w:rPr>
                <w:rFonts w:ascii="Times New Roman" w:hAnsi="Times New Roman"/>
                <w:color w:val="000000"/>
                <w:u w:val="single"/>
              </w:rPr>
              <w:t>《土壤环境质量建设用地土壤污染风险管控标准》（GB36600-2018）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镉</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0.3</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3.0</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铅</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120</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700</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汞</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2.4</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4.0</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砷</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30</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120</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铜</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200</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镍</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100</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w:t>
            </w:r>
          </w:p>
        </w:tc>
        <w:tc>
          <w:tcPr>
            <w:tcW w:w="2835" w:type="dxa"/>
            <w:vMerge w:val="continue"/>
            <w:vAlign w:val="center"/>
          </w:tcPr>
          <w:p>
            <w:pPr>
              <w:widowControl/>
              <w:snapToGrid w:val="0"/>
              <w:jc w:val="center"/>
              <w:rPr>
                <w:rFonts w:ascii="Times New Roman" w:hAnsi="Times New Roman"/>
                <w:color w:val="000000"/>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widowControl/>
              <w:snapToGrid w:val="0"/>
              <w:jc w:val="center"/>
              <w:rPr>
                <w:rFonts w:ascii="Times New Roman" w:hAnsi="Times New Roman"/>
                <w:color w:val="000000"/>
                <w:u w:val="single"/>
              </w:rPr>
            </w:pPr>
            <w:r>
              <w:rPr>
                <w:rFonts w:ascii="Times New Roman" w:hAnsi="Times New Roman"/>
                <w:color w:val="000000"/>
                <w:u w:val="single"/>
              </w:rPr>
              <w:t>铬</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200</w:t>
            </w:r>
          </w:p>
        </w:tc>
        <w:tc>
          <w:tcPr>
            <w:tcW w:w="1417" w:type="dxa"/>
            <w:vAlign w:val="center"/>
          </w:tcPr>
          <w:p>
            <w:pPr>
              <w:snapToGrid w:val="0"/>
              <w:jc w:val="center"/>
              <w:rPr>
                <w:rFonts w:ascii="Times New Roman" w:hAnsi="Times New Roman"/>
                <w:color w:val="000000"/>
                <w:u w:val="single"/>
              </w:rPr>
            </w:pPr>
            <w:r>
              <w:rPr>
                <w:rFonts w:hint="eastAsia" w:ascii="Times New Roman" w:hAnsi="Times New Roman"/>
                <w:color w:val="000000"/>
                <w:u w:val="single"/>
              </w:rPr>
              <w:t>1000</w:t>
            </w:r>
          </w:p>
        </w:tc>
        <w:tc>
          <w:tcPr>
            <w:tcW w:w="2835" w:type="dxa"/>
            <w:vMerge w:val="continue"/>
            <w:vAlign w:val="center"/>
          </w:tcPr>
          <w:p>
            <w:pPr>
              <w:widowControl/>
              <w:snapToGrid w:val="0"/>
              <w:jc w:val="center"/>
              <w:rPr>
                <w:rFonts w:ascii="Times New Roman" w:hAnsi="Times New Roman"/>
                <w:color w:val="000000"/>
                <w:u w:val="single"/>
              </w:rPr>
            </w:pPr>
          </w:p>
        </w:tc>
      </w:tr>
    </w:tbl>
    <w:p>
      <w:pPr>
        <w:spacing w:beforeLines="50" w:line="360" w:lineRule="auto"/>
        <w:ind w:firstLine="464" w:firstLineChars="200"/>
        <w:rPr>
          <w:rFonts w:ascii="Times New Roman" w:hAnsi="Times New Roman"/>
          <w:color w:val="000000"/>
          <w:sz w:val="24"/>
          <w:szCs w:val="24"/>
          <w:u w:val="single"/>
        </w:rPr>
      </w:pPr>
      <w:r>
        <w:rPr>
          <w:rFonts w:ascii="Times New Roman" w:hAnsi="Times New Roman"/>
          <w:color w:val="000000"/>
          <w:spacing w:val="-4"/>
          <w:sz w:val="24"/>
          <w:szCs w:val="21"/>
          <w:u w:val="single"/>
          <w:lang w:val="zh-CN"/>
        </w:rPr>
        <w:t>从表</w:t>
      </w:r>
      <w:r>
        <w:rPr>
          <w:rFonts w:ascii="Times New Roman" w:hAnsi="Times New Roman"/>
          <w:color w:val="000000"/>
          <w:sz w:val="24"/>
          <w:szCs w:val="21"/>
          <w:u w:val="single"/>
          <w:lang w:val="zh-CN"/>
        </w:rPr>
        <w:t>4</w:t>
      </w:r>
      <w:r>
        <w:rPr>
          <w:rFonts w:ascii="Times New Roman" w:hAnsi="Times New Roman"/>
          <w:color w:val="000000"/>
          <w:sz w:val="24"/>
          <w:szCs w:val="21"/>
          <w:u w:val="single"/>
        </w:rPr>
        <w:t>-</w:t>
      </w:r>
      <w:r>
        <w:rPr>
          <w:rFonts w:hint="eastAsia" w:ascii="Times New Roman" w:hAnsi="Times New Roman"/>
          <w:color w:val="000000"/>
          <w:sz w:val="24"/>
          <w:szCs w:val="21"/>
          <w:u w:val="single"/>
        </w:rPr>
        <w:t>11</w:t>
      </w:r>
      <w:r>
        <w:rPr>
          <w:rFonts w:ascii="Times New Roman" w:hAnsi="Times New Roman"/>
          <w:color w:val="000000"/>
          <w:sz w:val="24"/>
          <w:szCs w:val="21"/>
          <w:u w:val="single"/>
          <w:lang w:val="zh-CN"/>
        </w:rPr>
        <w:t>和表4</w:t>
      </w:r>
      <w:r>
        <w:rPr>
          <w:rFonts w:ascii="Times New Roman" w:hAnsi="Times New Roman"/>
          <w:color w:val="000000"/>
          <w:sz w:val="24"/>
          <w:szCs w:val="21"/>
          <w:u w:val="single"/>
        </w:rPr>
        <w:t>-</w:t>
      </w:r>
      <w:r>
        <w:rPr>
          <w:rFonts w:hint="eastAsia" w:ascii="Times New Roman" w:hAnsi="Times New Roman"/>
          <w:color w:val="000000"/>
          <w:sz w:val="24"/>
          <w:szCs w:val="21"/>
          <w:u w:val="single"/>
        </w:rPr>
        <w:t>12</w:t>
      </w:r>
      <w:r>
        <w:rPr>
          <w:rFonts w:ascii="Times New Roman" w:hAnsi="Times New Roman"/>
          <w:color w:val="000000"/>
          <w:sz w:val="24"/>
          <w:szCs w:val="21"/>
          <w:u w:val="single"/>
          <w:lang w:val="zh-CN"/>
        </w:rPr>
        <w:t>可知，</w:t>
      </w:r>
      <w:r>
        <w:rPr>
          <w:rFonts w:ascii="Times New Roman" w:hAnsi="Times New Roman"/>
          <w:color w:val="000000"/>
          <w:sz w:val="24"/>
          <w:szCs w:val="24"/>
          <w:u w:val="single"/>
        </w:rPr>
        <w:t>采用直接比较法判定土壤指数是否达标。</w:t>
      </w:r>
      <w:r>
        <w:rPr>
          <w:rFonts w:hint="eastAsia"/>
          <w:color w:val="000000"/>
          <w:sz w:val="24"/>
          <w:szCs w:val="24"/>
          <w:u w:val="single"/>
        </w:rPr>
        <w:t>经过查询</w:t>
      </w:r>
      <w:r>
        <w:rPr>
          <w:rFonts w:ascii="Times New Roman" w:hAnsi="Times New Roman"/>
          <w:color w:val="000000"/>
          <w:sz w:val="24"/>
          <w:szCs w:val="24"/>
          <w:u w:val="single"/>
        </w:rPr>
        <w:t>《土壤环境质量建设用地土壤污染风险管控标准》（GB36600-2018）</w:t>
      </w:r>
      <w:r>
        <w:rPr>
          <w:rFonts w:hint="eastAsia" w:ascii="Times New Roman" w:hAnsi="Times New Roman"/>
          <w:color w:val="000000"/>
          <w:sz w:val="24"/>
          <w:szCs w:val="24"/>
          <w:u w:val="single"/>
        </w:rPr>
        <w:t>和</w:t>
      </w:r>
      <w:r>
        <w:rPr>
          <w:rFonts w:ascii="Times New Roman" w:hAnsi="Times New Roman"/>
          <w:color w:val="000000"/>
          <w:sz w:val="24"/>
          <w:szCs w:val="24"/>
          <w:u w:val="single"/>
        </w:rPr>
        <w:t>《土壤环境质量</w:t>
      </w:r>
      <w:r>
        <w:rPr>
          <w:rFonts w:hint="eastAsia" w:ascii="Times New Roman" w:hAnsi="Times New Roman"/>
          <w:color w:val="000000"/>
          <w:sz w:val="24"/>
          <w:szCs w:val="24"/>
          <w:u w:val="single"/>
        </w:rPr>
        <w:t>农</w:t>
      </w:r>
      <w:r>
        <w:rPr>
          <w:rFonts w:ascii="Times New Roman" w:hAnsi="Times New Roman"/>
          <w:color w:val="000000"/>
          <w:sz w:val="24"/>
          <w:szCs w:val="24"/>
          <w:u w:val="single"/>
        </w:rPr>
        <w:t>用地土壤污染风险管控标准》（GB</w:t>
      </w:r>
      <w:r>
        <w:rPr>
          <w:rFonts w:hint="eastAsia" w:ascii="Times New Roman" w:hAnsi="Times New Roman"/>
          <w:color w:val="000000"/>
          <w:sz w:val="24"/>
          <w:szCs w:val="24"/>
          <w:u w:val="single"/>
        </w:rPr>
        <w:t>15618</w:t>
      </w:r>
      <w:r>
        <w:rPr>
          <w:rFonts w:ascii="Times New Roman" w:hAnsi="Times New Roman"/>
          <w:color w:val="000000"/>
          <w:sz w:val="24"/>
          <w:szCs w:val="24"/>
          <w:u w:val="single"/>
        </w:rPr>
        <w:t>-2018）</w:t>
      </w:r>
      <w:r>
        <w:rPr>
          <w:rFonts w:hint="eastAsia"/>
          <w:color w:val="000000"/>
          <w:sz w:val="24"/>
          <w:szCs w:val="24"/>
          <w:u w:val="single"/>
        </w:rPr>
        <w:t>，本项目规划用地为第二类用地，</w:t>
      </w:r>
      <w:r>
        <w:rPr>
          <w:rFonts w:ascii="Times New Roman" w:hAnsi="Times New Roman"/>
          <w:color w:val="000000"/>
          <w:sz w:val="24"/>
          <w:szCs w:val="24"/>
          <w:u w:val="single"/>
        </w:rPr>
        <w:t>适用表1和表2中第二类用地的筛选值和管制值。经过土壤样品监测结果同土壤污染物标准值对比后可以得出，本项目监测的</w:t>
      </w:r>
      <w:r>
        <w:rPr>
          <w:rFonts w:hint="eastAsia" w:ascii="Times New Roman" w:hAnsi="Times New Roman"/>
          <w:color w:val="000000"/>
          <w:sz w:val="24"/>
          <w:szCs w:val="24"/>
          <w:u w:val="single"/>
        </w:rPr>
        <w:t>均</w:t>
      </w:r>
      <w:r>
        <w:rPr>
          <w:rFonts w:hint="eastAsia"/>
          <w:color w:val="000000"/>
          <w:sz w:val="24"/>
          <w:szCs w:val="24"/>
          <w:u w:val="single"/>
        </w:rPr>
        <w:t>满足其风险筛选值但满足管制值。土壤污染风险较好。</w:t>
      </w:r>
    </w:p>
    <w:p>
      <w:pPr>
        <w:widowControl/>
        <w:adjustRightInd w:val="0"/>
        <w:snapToGrid w:val="0"/>
        <w:spacing w:line="360" w:lineRule="auto"/>
        <w:outlineLvl w:val="0"/>
        <w:rPr>
          <w:rFonts w:ascii="Times New Roman" w:hAnsi="Times New Roman"/>
          <w:b/>
          <w:color w:val="000000"/>
          <w:sz w:val="24"/>
        </w:rPr>
      </w:pPr>
      <w:bookmarkStart w:id="338" w:name="_Toc484616299"/>
      <w:bookmarkStart w:id="339" w:name="_Toc18040"/>
      <w:bookmarkStart w:id="340" w:name="_Toc486350003"/>
      <w:bookmarkStart w:id="341" w:name="_Toc20581"/>
      <w:bookmarkStart w:id="342" w:name="_Toc30652"/>
      <w:bookmarkStart w:id="343" w:name="_Toc16729"/>
      <w:r>
        <w:rPr>
          <w:rFonts w:hint="eastAsia" w:ascii="Times New Roman" w:hAnsi="Times New Roman"/>
          <w:b/>
          <w:color w:val="000000"/>
          <w:sz w:val="24"/>
        </w:rPr>
        <w:t>4.2.6</w:t>
      </w:r>
      <w:r>
        <w:rPr>
          <w:rFonts w:ascii="Times New Roman" w:hAnsi="Times New Roman"/>
          <w:b/>
          <w:color w:val="000000"/>
          <w:sz w:val="24"/>
        </w:rPr>
        <w:t>区域生态现状调查与评价</w:t>
      </w:r>
      <w:bookmarkEnd w:id="338"/>
      <w:bookmarkEnd w:id="339"/>
      <w:bookmarkEnd w:id="340"/>
      <w:bookmarkEnd w:id="341"/>
      <w:bookmarkEnd w:id="342"/>
      <w:bookmarkEnd w:id="343"/>
    </w:p>
    <w:p>
      <w:pPr>
        <w:spacing w:line="360" w:lineRule="auto"/>
        <w:rPr>
          <w:rFonts w:ascii="Times New Roman" w:hAnsi="Times New Roman"/>
          <w:color w:val="000000"/>
          <w:sz w:val="24"/>
          <w:szCs w:val="24"/>
        </w:rPr>
      </w:pPr>
      <w:bookmarkStart w:id="344" w:name="_Toc20694"/>
      <w:bookmarkStart w:id="345" w:name="_Toc168561905"/>
      <w:bookmarkStart w:id="346" w:name="_Toc170464380"/>
      <w:bookmarkStart w:id="347" w:name="_Toc170531936"/>
      <w:bookmarkStart w:id="348" w:name="_Toc170531541"/>
      <w:bookmarkStart w:id="349" w:name="_Toc170953639"/>
      <w:bookmarkStart w:id="350" w:name="_Toc168453555"/>
      <w:bookmarkStart w:id="351" w:name="_Toc170631220"/>
      <w:bookmarkStart w:id="352" w:name="_Toc168641260"/>
      <w:bookmarkStart w:id="353" w:name="_Toc170891968"/>
      <w:bookmarkStart w:id="354" w:name="_Toc172023717"/>
      <w:bookmarkStart w:id="355" w:name="_Toc172163491"/>
      <w:bookmarkStart w:id="356" w:name="_Toc170532189"/>
      <w:bookmarkStart w:id="357" w:name="_Toc172709380"/>
      <w:bookmarkStart w:id="358" w:name="_Toc168569723"/>
      <w:bookmarkStart w:id="359" w:name="_Toc169009503"/>
      <w:r>
        <w:rPr>
          <w:rFonts w:ascii="Times New Roman" w:hAnsi="Times New Roman"/>
          <w:color w:val="000000"/>
          <w:sz w:val="24"/>
          <w:szCs w:val="24"/>
        </w:rPr>
        <w:t>4.2.6.1生态功能区划调查</w:t>
      </w:r>
      <w:bookmarkEnd w:id="344"/>
    </w:p>
    <w:p>
      <w:pPr>
        <w:spacing w:line="360" w:lineRule="auto"/>
        <w:ind w:firstLine="480" w:firstLineChars="200"/>
        <w:rPr>
          <w:rFonts w:ascii="Times New Roman" w:hAnsi="Times New Roman"/>
          <w:sz w:val="24"/>
          <w:szCs w:val="32"/>
        </w:rPr>
      </w:pPr>
      <w:r>
        <w:rPr>
          <w:rFonts w:ascii="Times New Roman" w:hAnsi="Times New Roman"/>
          <w:sz w:val="24"/>
        </w:rPr>
        <w:t>生态功能区划是依据区域生态环境敏感性、生态系统受胁迫的过程和效应、生态服务功能重要性及生态系统的特征和差异而进行的地理空间分区。根据《吉林省生态功能区划研究》，本次评价区域的生态功能区划归属描述如下：</w:t>
      </w:r>
    </w:p>
    <w:p>
      <w:pPr>
        <w:spacing w:line="360" w:lineRule="auto"/>
        <w:ind w:firstLine="480" w:firstLineChars="200"/>
        <w:rPr>
          <w:rFonts w:ascii="Times New Roman" w:hAnsi="Times New Roman"/>
          <w:sz w:val="24"/>
          <w:szCs w:val="32"/>
        </w:rPr>
      </w:pPr>
      <w:r>
        <w:rPr>
          <w:rFonts w:ascii="Times New Roman" w:hAnsi="Times New Roman"/>
          <w:sz w:val="24"/>
        </w:rPr>
        <w:t>①吉林省生态功能一级区划归属</w:t>
      </w:r>
    </w:p>
    <w:p>
      <w:pPr>
        <w:spacing w:line="360" w:lineRule="auto"/>
        <w:ind w:firstLine="480" w:firstLineChars="200"/>
        <w:rPr>
          <w:rFonts w:ascii="Times New Roman" w:hAnsi="Times New Roman"/>
          <w:sz w:val="24"/>
        </w:rPr>
      </w:pPr>
      <w:r>
        <w:rPr>
          <w:rFonts w:ascii="Times New Roman" w:hAnsi="Times New Roman"/>
          <w:sz w:val="24"/>
        </w:rPr>
        <w:t>根据吉林省生态功能区划研究的成果及本项目位置，确定项目区属于“Ⅲ吉林东部长白山地生态区”。 生态功能一级区划见附图</w:t>
      </w:r>
      <w:r>
        <w:rPr>
          <w:rFonts w:hint="eastAsia" w:ascii="Times New Roman" w:hAnsi="Times New Roman"/>
          <w:sz w:val="24"/>
        </w:rPr>
        <w:t>8</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Times New Roman"/>
          <w:sz w:val="24"/>
        </w:rPr>
        <w:t>②吉林省生态功能二级区划归属</w:t>
      </w:r>
    </w:p>
    <w:p>
      <w:pPr>
        <w:spacing w:line="360" w:lineRule="auto"/>
        <w:ind w:firstLine="480" w:firstLineChars="200"/>
        <w:rPr>
          <w:rFonts w:ascii="Times New Roman" w:hAnsi="Times New Roman"/>
          <w:sz w:val="24"/>
        </w:rPr>
      </w:pPr>
      <w:r>
        <w:rPr>
          <w:rFonts w:ascii="Times New Roman" w:hAnsi="Times New Roman"/>
          <w:sz w:val="24"/>
        </w:rPr>
        <w:t>根据吉林省生态功能区划研究的成果及本项目位置，确定项目区属于“Ⅲ3鸭绿江中低山林特生态亚区”。 生态功能二级区划见附图</w:t>
      </w:r>
      <w:r>
        <w:rPr>
          <w:rFonts w:hint="eastAsia" w:ascii="Times New Roman" w:hAnsi="Times New Roman"/>
          <w:sz w:val="24"/>
        </w:rPr>
        <w:t>9</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Times New Roman"/>
          <w:sz w:val="24"/>
        </w:rPr>
        <w:t>③吉林省生态功能三级区划归属</w:t>
      </w:r>
    </w:p>
    <w:p>
      <w:pPr>
        <w:spacing w:line="360" w:lineRule="auto"/>
        <w:ind w:firstLine="480" w:firstLineChars="200"/>
        <w:rPr>
          <w:rFonts w:ascii="Times New Roman" w:hAnsi="Times New Roman"/>
          <w:sz w:val="24"/>
        </w:rPr>
      </w:pPr>
      <w:r>
        <w:rPr>
          <w:rFonts w:ascii="Times New Roman" w:hAnsi="Times New Roman"/>
          <w:sz w:val="24"/>
        </w:rPr>
        <w:t>根据吉林省生态功能区划研究的成果及本项目位置，确定项目区属于“Ⅲ-3-3浑江中上游通化-白山城镇和工矿及林农生态区”。 生态功能三级区划见附图</w:t>
      </w:r>
      <w:r>
        <w:rPr>
          <w:rFonts w:hint="eastAsia" w:ascii="Times New Roman" w:hAnsi="Times New Roman"/>
          <w:sz w:val="24"/>
        </w:rPr>
        <w:t>10</w:t>
      </w:r>
      <w:r>
        <w:rPr>
          <w:rFonts w:ascii="Times New Roman" w:hAnsi="Times New Roman"/>
          <w:sz w:val="24"/>
        </w:rPr>
        <w:t>。</w:t>
      </w:r>
    </w:p>
    <w:p>
      <w:pPr>
        <w:adjustRightInd w:val="0"/>
        <w:snapToGrid w:val="0"/>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本区位于吉林省东南部的龙岗山以东和以南、老岭以西的浑江上、中游地区，由小流域167、170、181组成。行政单元包括白山市区及其所述的板石、河口、太安、六道江、红土崖、大镜沟，江源县的大阳岔、三岔子、孙家堡子、石人、榆木桥、大石棚子、砟子，通化市市区及其所属乡镇和通化县东部哈泥河小流域及大罗圈河小流域的乡镇：二道江、环通、江东、金厂、五道江、大安、马当、干沟、二密等乡镇。全区土地面积为2864.69km</w:t>
      </w:r>
      <w:r>
        <w:rPr>
          <w:rFonts w:ascii="Times New Roman" w:hAnsi="Times New Roman"/>
          <w:snapToGrid w:val="0"/>
          <w:kern w:val="0"/>
          <w:sz w:val="24"/>
          <w:vertAlign w:val="superscript"/>
        </w:rPr>
        <w:t>2</w:t>
      </w:r>
      <w:r>
        <w:rPr>
          <w:rFonts w:ascii="Times New Roman" w:hAnsi="Times New Roman"/>
          <w:snapToGrid w:val="0"/>
          <w:kern w:val="0"/>
          <w:sz w:val="24"/>
        </w:rPr>
        <w:t>，占该亚区土地面积的19.67%。</w:t>
      </w:r>
    </w:p>
    <w:p>
      <w:pPr>
        <w:spacing w:line="360" w:lineRule="auto"/>
        <w:ind w:firstLine="480" w:firstLineChars="200"/>
        <w:rPr>
          <w:rFonts w:ascii="Times New Roman" w:hAnsi="Times New Roman"/>
          <w:color w:val="000000"/>
          <w:sz w:val="24"/>
          <w:szCs w:val="24"/>
        </w:rPr>
      </w:pPr>
      <w:r>
        <w:rPr>
          <w:rFonts w:ascii="Times New Roman" w:hAnsi="Times New Roman"/>
          <w:snapToGrid w:val="0"/>
          <w:sz w:val="24"/>
        </w:rPr>
        <w:t>本区东西两翼为中低山，中间为浑江谷地，自南而北形成多个小盆地。发源于老岭的浑江、大罗圈河和发源于龙岗山的哈泥河将地表切割得十分破碎。本区山岭纵横、沟谷交错，地貌多样。台地占土地面积的5.27%，丘陵占35.57%，低山占56.94%，中山占2.22%。本区处温带湿润的针阔混交林暗棕壤地带。地带性土壤为暗棕壤，受地形和母岩等因素的影响，土壤类型多样，山地土壤多位暗棕壤、白浆土，石灰岩土，河谷和沟谷的土壤主要有草甸土、泥炭土、冲积土和水稻土，其中冲积土和水稻土占全区土地面积的11.29%。本区自然资源丰富，素有“绿色立体宝库”之称。森林覆盖率达62.3%，森林资源十分丰富。珍稀野生动植物资源也十分丰富。药物资源得天独厚，是全国“五大药库”之一，已查明的药物资源有252科、596属、1133种。野生经济植物1133种，野生经济动物128种，主要特色经济物产有人参、天麻、五味子、贝母、细辛、葡萄、猕猴桃、鹿茸、林蛙和蜂蜜等。矿产资源种类繁多，已查明的款产资源有76种，探明储量的有34种，主要有煤、铁、铜、金、石灰石、大理石、石膏、火山渣等。旅游资源独具特色，境内白鸡腰子、大阳岔寒武-奥陶系地质自然保护区等自然风光和遗迹景观引人入胜。境内的大小水系依山脉走向遍布全区，水资源总量66.65×10</w:t>
      </w:r>
      <w:r>
        <w:rPr>
          <w:rFonts w:ascii="Times New Roman" w:hAnsi="Times New Roman"/>
          <w:snapToGrid w:val="0"/>
          <w:sz w:val="24"/>
          <w:vertAlign w:val="superscript"/>
        </w:rPr>
        <w:t>8</w:t>
      </w:r>
      <w:r>
        <w:rPr>
          <w:rFonts w:ascii="Times New Roman" w:hAnsi="Times New Roman"/>
          <w:snapToGrid w:val="0"/>
          <w:sz w:val="24"/>
        </w:rPr>
        <w:t>m</w:t>
      </w:r>
      <w:r>
        <w:rPr>
          <w:rFonts w:ascii="Times New Roman" w:hAnsi="Times New Roman"/>
          <w:snapToGrid w:val="0"/>
          <w:sz w:val="24"/>
          <w:vertAlign w:val="superscript"/>
        </w:rPr>
        <w:t>3</w:t>
      </w:r>
      <w:r>
        <w:rPr>
          <w:rFonts w:ascii="Times New Roman" w:hAnsi="Times New Roman"/>
          <w:snapToGrid w:val="0"/>
          <w:sz w:val="24"/>
        </w:rPr>
        <w:t>。全区群山环抱，河渠深峡，地面落差较大，具有修水利和水电、发展优质水稻的资源优势。通化市和白山市位于本区，特别是通化是吉林省重要的工业基地</w:t>
      </w:r>
      <w:r>
        <w:rPr>
          <w:rFonts w:ascii="Times New Roman" w:hAnsi="Times New Roman"/>
          <w:color w:val="000000"/>
          <w:sz w:val="24"/>
          <w:szCs w:val="24"/>
        </w:rPr>
        <w:t>。</w:t>
      </w:r>
    </w:p>
    <w:p>
      <w:pPr>
        <w:spacing w:line="360" w:lineRule="auto"/>
        <w:outlineLvl w:val="0"/>
        <w:rPr>
          <w:rFonts w:ascii="Times New Roman" w:hAnsi="Times New Roman"/>
          <w:sz w:val="24"/>
          <w:szCs w:val="24"/>
        </w:rPr>
      </w:pPr>
      <w:bookmarkStart w:id="360" w:name="_Toc4812"/>
      <w:r>
        <w:rPr>
          <w:rFonts w:hint="eastAsia" w:ascii="Times New Roman" w:hAnsi="Times New Roman"/>
          <w:sz w:val="24"/>
          <w:szCs w:val="24"/>
        </w:rPr>
        <w:t>4.2.6.2</w:t>
      </w:r>
      <w:r>
        <w:rPr>
          <w:rFonts w:ascii="Times New Roman" w:hAnsi="Times New Roman"/>
          <w:sz w:val="24"/>
          <w:szCs w:val="24"/>
        </w:rPr>
        <w:t>土地利用现状调查</w:t>
      </w:r>
      <w:bookmarkEnd w:id="360"/>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本项目生态评价范围</w:t>
      </w:r>
      <w:r>
        <w:rPr>
          <w:rFonts w:hint="eastAsia" w:ascii="Times New Roman" w:hAnsi="Times New Roman"/>
          <w:color w:val="000000"/>
          <w:sz w:val="24"/>
        </w:rPr>
        <w:t xml:space="preserve"> </w:t>
      </w:r>
      <w:r>
        <w:rPr>
          <w:rFonts w:ascii="Times New Roman" w:hAnsi="Times New Roman"/>
          <w:color w:val="000000"/>
          <w:sz w:val="24"/>
        </w:rPr>
        <w:t>为</w:t>
      </w:r>
      <w:r>
        <w:rPr>
          <w:rFonts w:hint="eastAsia" w:ascii="Times New Roman" w:hAnsi="Times New Roman"/>
          <w:bCs/>
          <w:color w:val="000000"/>
          <w:sz w:val="24"/>
        </w:rPr>
        <w:t>1.81</w:t>
      </w:r>
      <w:r>
        <w:rPr>
          <w:rFonts w:ascii="Times New Roman" w:hAnsi="Times New Roman"/>
          <w:color w:val="000000"/>
          <w:sz w:val="24"/>
        </w:rPr>
        <w:t>km</w:t>
      </w:r>
      <w:r>
        <w:rPr>
          <w:rFonts w:ascii="Times New Roman" w:hAnsi="Times New Roman"/>
          <w:color w:val="000000"/>
          <w:sz w:val="24"/>
          <w:vertAlign w:val="superscript"/>
        </w:rPr>
        <w:t>2</w:t>
      </w:r>
      <w:r>
        <w:rPr>
          <w:rFonts w:ascii="Times New Roman" w:hAnsi="Times New Roman"/>
          <w:color w:val="000000"/>
          <w:sz w:val="24"/>
        </w:rPr>
        <w:t>，可以分为林地、</w:t>
      </w:r>
      <w:r>
        <w:rPr>
          <w:rFonts w:hint="eastAsia" w:ascii="Times New Roman" w:hAnsi="Times New Roman"/>
          <w:color w:val="000000"/>
          <w:sz w:val="24"/>
        </w:rPr>
        <w:t>建设</w:t>
      </w:r>
      <w:r>
        <w:rPr>
          <w:rFonts w:ascii="Times New Roman" w:hAnsi="Times New Roman"/>
          <w:color w:val="000000"/>
          <w:sz w:val="24"/>
        </w:rPr>
        <w:t>用地</w:t>
      </w:r>
      <w:r>
        <w:rPr>
          <w:rFonts w:hint="eastAsia" w:ascii="Times New Roman" w:hAnsi="Times New Roman"/>
          <w:color w:val="000000"/>
          <w:sz w:val="24"/>
        </w:rPr>
        <w:t>、</w:t>
      </w:r>
      <w:r>
        <w:rPr>
          <w:rFonts w:ascii="Times New Roman" w:hAnsi="Times New Roman"/>
          <w:snapToGrid w:val="0"/>
          <w:color w:val="000000"/>
          <w:kern w:val="0"/>
          <w:sz w:val="24"/>
        </w:rPr>
        <w:t>交通运输用地</w:t>
      </w:r>
      <w:r>
        <w:rPr>
          <w:rFonts w:hint="eastAsia" w:ascii="Times New Roman" w:hAnsi="Times New Roman"/>
          <w:snapToGrid w:val="0"/>
          <w:color w:val="000000"/>
          <w:kern w:val="0"/>
          <w:sz w:val="24"/>
        </w:rPr>
        <w:t>和水域及水利用地</w:t>
      </w:r>
      <w:r>
        <w:rPr>
          <w:rFonts w:hint="eastAsia" w:ascii="Times New Roman" w:hAnsi="Times New Roman"/>
          <w:color w:val="000000"/>
          <w:sz w:val="24"/>
        </w:rPr>
        <w:t>4</w:t>
      </w:r>
      <w:r>
        <w:rPr>
          <w:rFonts w:ascii="Times New Roman" w:hAnsi="Times New Roman"/>
          <w:color w:val="000000"/>
          <w:sz w:val="24"/>
        </w:rPr>
        <w:t>种土地类型。</w:t>
      </w:r>
    </w:p>
    <w:p>
      <w:pPr>
        <w:spacing w:line="360" w:lineRule="auto"/>
        <w:ind w:firstLine="480" w:firstLineChars="200"/>
        <w:rPr>
          <w:rFonts w:ascii="Times New Roman" w:hAnsi="Times New Roman"/>
          <w:color w:val="000000"/>
          <w:sz w:val="24"/>
        </w:rPr>
      </w:pPr>
      <w:r>
        <w:rPr>
          <w:rFonts w:ascii="Times New Roman" w:hAnsi="Times New Roman"/>
          <w:color w:val="000000"/>
          <w:sz w:val="24"/>
        </w:rPr>
        <w:t>①林地—是评价区内最主要的用地类型，面积</w:t>
      </w:r>
      <w:r>
        <w:rPr>
          <w:rFonts w:hint="eastAsia" w:ascii="Times New Roman" w:hAnsi="Times New Roman"/>
          <w:color w:val="000000"/>
          <w:sz w:val="24"/>
        </w:rPr>
        <w:t>1.63k</w:t>
      </w:r>
      <w:r>
        <w:rPr>
          <w:rFonts w:ascii="Times New Roman" w:hAnsi="Times New Roman"/>
          <w:color w:val="000000"/>
          <w:sz w:val="24"/>
        </w:rPr>
        <w:t>m</w:t>
      </w:r>
      <w:r>
        <w:rPr>
          <w:rFonts w:ascii="Times New Roman" w:hAnsi="Times New Roman"/>
          <w:color w:val="000000"/>
          <w:sz w:val="24"/>
          <w:vertAlign w:val="superscript"/>
        </w:rPr>
        <w:t>2</w:t>
      </w:r>
      <w:r>
        <w:rPr>
          <w:rFonts w:ascii="Times New Roman" w:hAnsi="Times New Roman"/>
          <w:color w:val="000000"/>
          <w:sz w:val="24"/>
        </w:rPr>
        <w:t>，占评价区总面积的</w:t>
      </w:r>
      <w:r>
        <w:rPr>
          <w:rFonts w:hint="eastAsia" w:ascii="Times New Roman" w:hAnsi="Times New Roman"/>
          <w:color w:val="000000"/>
          <w:sz w:val="24"/>
        </w:rPr>
        <w:t>90</w:t>
      </w:r>
      <w:r>
        <w:rPr>
          <w:rFonts w:ascii="Times New Roman" w:hAnsi="Times New Roman"/>
          <w:color w:val="000000"/>
          <w:sz w:val="24"/>
        </w:rPr>
        <w:t>％。</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②</w:t>
      </w:r>
      <w:r>
        <w:rPr>
          <w:rFonts w:hint="eastAsia" w:ascii="Times New Roman" w:hAnsi="Times New Roman"/>
          <w:color w:val="000000"/>
          <w:sz w:val="24"/>
        </w:rPr>
        <w:t>建设</w:t>
      </w:r>
      <w:r>
        <w:rPr>
          <w:rFonts w:ascii="Times New Roman" w:hAnsi="Times New Roman"/>
          <w:color w:val="000000"/>
          <w:sz w:val="24"/>
        </w:rPr>
        <w:t>用地—包括</w:t>
      </w:r>
      <w:r>
        <w:rPr>
          <w:rFonts w:hint="eastAsia" w:ascii="Times New Roman" w:hAnsi="Times New Roman"/>
          <w:color w:val="000000"/>
          <w:sz w:val="24"/>
        </w:rPr>
        <w:t>本项目厂区以及两处林蛙养殖基地</w:t>
      </w:r>
      <w:r>
        <w:rPr>
          <w:rFonts w:ascii="Times New Roman" w:hAnsi="Times New Roman"/>
          <w:color w:val="000000"/>
          <w:sz w:val="24"/>
        </w:rPr>
        <w:t>，面积</w:t>
      </w:r>
      <w:r>
        <w:rPr>
          <w:rFonts w:hint="eastAsia" w:ascii="Times New Roman" w:hAnsi="Times New Roman"/>
          <w:color w:val="000000"/>
          <w:sz w:val="24"/>
        </w:rPr>
        <w:t>0.08k</w:t>
      </w:r>
      <w:r>
        <w:rPr>
          <w:rFonts w:ascii="Times New Roman" w:hAnsi="Times New Roman"/>
          <w:color w:val="000000"/>
          <w:sz w:val="24"/>
        </w:rPr>
        <w:t>m</w:t>
      </w:r>
      <w:r>
        <w:rPr>
          <w:rFonts w:ascii="Times New Roman" w:hAnsi="Times New Roman"/>
          <w:color w:val="000000"/>
          <w:sz w:val="24"/>
          <w:vertAlign w:val="superscript"/>
        </w:rPr>
        <w:t>2</w:t>
      </w:r>
      <w:r>
        <w:rPr>
          <w:rFonts w:ascii="Times New Roman" w:hAnsi="Times New Roman"/>
          <w:color w:val="000000"/>
          <w:sz w:val="24"/>
        </w:rPr>
        <w:t>，占评价区总面积的</w:t>
      </w:r>
      <w:r>
        <w:rPr>
          <w:rFonts w:hint="eastAsia" w:ascii="Times New Roman" w:hAnsi="Times New Roman"/>
          <w:color w:val="000000"/>
          <w:sz w:val="24"/>
        </w:rPr>
        <w:t>4.4</w:t>
      </w:r>
      <w:r>
        <w:rPr>
          <w:rFonts w:ascii="Times New Roman" w:hAnsi="Times New Roman"/>
          <w:color w:val="000000"/>
          <w:sz w:val="24"/>
        </w:rPr>
        <w:t>%。</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③</w:t>
      </w:r>
      <w:r>
        <w:rPr>
          <w:rFonts w:ascii="Times New Roman" w:hAnsi="Times New Roman"/>
          <w:snapToGrid w:val="0"/>
          <w:color w:val="000000"/>
          <w:kern w:val="0"/>
          <w:sz w:val="24"/>
        </w:rPr>
        <w:t>交通运输用地—主要为</w:t>
      </w:r>
      <w:r>
        <w:rPr>
          <w:rFonts w:hint="eastAsia" w:ascii="Times New Roman" w:hAnsi="Times New Roman"/>
          <w:snapToGrid w:val="0"/>
          <w:color w:val="000000"/>
          <w:kern w:val="0"/>
          <w:sz w:val="24"/>
        </w:rPr>
        <w:t>鹤大高速及其他道路</w:t>
      </w:r>
      <w:r>
        <w:rPr>
          <w:rFonts w:ascii="Times New Roman" w:hAnsi="Times New Roman"/>
          <w:snapToGrid w:val="0"/>
          <w:color w:val="000000"/>
          <w:kern w:val="0"/>
          <w:sz w:val="24"/>
        </w:rPr>
        <w:t>，</w:t>
      </w:r>
      <w:r>
        <w:rPr>
          <w:rFonts w:ascii="Times New Roman" w:hAnsi="Times New Roman"/>
          <w:color w:val="000000"/>
          <w:sz w:val="24"/>
        </w:rPr>
        <w:t>面积</w:t>
      </w:r>
      <w:r>
        <w:rPr>
          <w:rFonts w:hint="eastAsia" w:ascii="Times New Roman" w:hAnsi="Times New Roman"/>
          <w:color w:val="000000"/>
          <w:sz w:val="24"/>
        </w:rPr>
        <w:t>0.054k</w:t>
      </w:r>
      <w:r>
        <w:rPr>
          <w:rFonts w:ascii="Times New Roman" w:hAnsi="Times New Roman"/>
          <w:color w:val="000000"/>
          <w:sz w:val="24"/>
        </w:rPr>
        <w:t>m</w:t>
      </w:r>
      <w:r>
        <w:rPr>
          <w:rFonts w:ascii="Times New Roman" w:hAnsi="Times New Roman"/>
          <w:color w:val="000000"/>
          <w:sz w:val="24"/>
          <w:vertAlign w:val="superscript"/>
        </w:rPr>
        <w:t>2</w:t>
      </w:r>
      <w:r>
        <w:rPr>
          <w:rFonts w:ascii="Times New Roman" w:hAnsi="Times New Roman"/>
          <w:color w:val="000000"/>
          <w:sz w:val="24"/>
        </w:rPr>
        <w:t>，占评价区总面积的</w:t>
      </w:r>
      <w:r>
        <w:rPr>
          <w:rFonts w:hint="eastAsia" w:ascii="Times New Roman" w:hAnsi="Times New Roman"/>
          <w:color w:val="000000"/>
          <w:sz w:val="24"/>
        </w:rPr>
        <w:t>3</w:t>
      </w:r>
      <w:r>
        <w:rPr>
          <w:rFonts w:ascii="Times New Roman" w:hAnsi="Times New Roman"/>
          <w:color w:val="000000"/>
          <w:sz w:val="24"/>
        </w:rPr>
        <w:t>%。</w:t>
      </w:r>
    </w:p>
    <w:p>
      <w:pPr>
        <w:adjustRightInd w:val="0"/>
        <w:snapToGrid w:val="0"/>
        <w:spacing w:line="360" w:lineRule="auto"/>
        <w:ind w:firstLine="480" w:firstLineChars="200"/>
      </w:pPr>
      <w:r>
        <w:rPr>
          <w:rFonts w:hint="eastAsia" w:ascii="Times New Roman" w:hAnsi="Times New Roman"/>
          <w:color w:val="000000"/>
          <w:sz w:val="24"/>
        </w:rPr>
        <w:t xml:space="preserve">    ④水域及水利用地</w:t>
      </w:r>
      <w:r>
        <w:rPr>
          <w:rFonts w:ascii="Times New Roman" w:hAnsi="Times New Roman"/>
          <w:snapToGrid w:val="0"/>
          <w:color w:val="000000"/>
          <w:kern w:val="0"/>
          <w:sz w:val="24"/>
        </w:rPr>
        <w:t>—</w:t>
      </w:r>
      <w:r>
        <w:rPr>
          <w:rFonts w:hint="eastAsia" w:ascii="Times New Roman" w:hAnsi="Times New Roman"/>
          <w:snapToGrid w:val="0"/>
          <w:color w:val="000000"/>
          <w:kern w:val="0"/>
          <w:sz w:val="24"/>
        </w:rPr>
        <w:t>主要为西南岔河，面积为0.046</w:t>
      </w:r>
      <w:r>
        <w:rPr>
          <w:rFonts w:ascii="Times New Roman" w:hAnsi="Times New Roman"/>
          <w:color w:val="000000"/>
          <w:sz w:val="24"/>
        </w:rPr>
        <w:t>面积</w:t>
      </w:r>
      <w:r>
        <w:rPr>
          <w:rFonts w:hint="eastAsia" w:ascii="Times New Roman" w:hAnsi="Times New Roman"/>
          <w:color w:val="000000"/>
          <w:sz w:val="24"/>
        </w:rPr>
        <w:t>0.054k</w:t>
      </w:r>
      <w:r>
        <w:rPr>
          <w:rFonts w:ascii="Times New Roman" w:hAnsi="Times New Roman"/>
          <w:color w:val="000000"/>
          <w:sz w:val="24"/>
        </w:rPr>
        <w:t>m</w:t>
      </w:r>
      <w:r>
        <w:rPr>
          <w:rFonts w:ascii="Times New Roman" w:hAnsi="Times New Roman"/>
          <w:color w:val="000000"/>
          <w:sz w:val="24"/>
          <w:vertAlign w:val="superscript"/>
        </w:rPr>
        <w:t>2</w:t>
      </w:r>
      <w:r>
        <w:rPr>
          <w:rFonts w:ascii="Times New Roman" w:hAnsi="Times New Roman"/>
          <w:color w:val="000000"/>
          <w:sz w:val="24"/>
        </w:rPr>
        <w:t>，占评价区总面积的</w:t>
      </w:r>
      <w:r>
        <w:rPr>
          <w:rFonts w:hint="eastAsia" w:ascii="Times New Roman" w:hAnsi="Times New Roman"/>
          <w:color w:val="000000"/>
          <w:sz w:val="24"/>
        </w:rPr>
        <w:t>2.6</w:t>
      </w:r>
      <w:r>
        <w:rPr>
          <w:rFonts w:ascii="Times New Roman" w:hAnsi="Times New Roman"/>
          <w:color w:val="000000"/>
          <w:sz w:val="24"/>
        </w:rPr>
        <w:t>%。</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评价区现状土地利用结构见</w:t>
      </w:r>
      <w:r>
        <w:rPr>
          <w:rFonts w:hint="eastAsia" w:ascii="Times New Roman" w:hAnsi="Times New Roman"/>
          <w:color w:val="000000"/>
          <w:sz w:val="24"/>
        </w:rPr>
        <w:t>下表</w:t>
      </w:r>
      <w:r>
        <w:rPr>
          <w:rFonts w:ascii="Times New Roman" w:hAnsi="Times New Roman"/>
          <w:color w:val="000000"/>
          <w:sz w:val="24"/>
        </w:rPr>
        <w:t>和附图</w:t>
      </w:r>
      <w:r>
        <w:rPr>
          <w:rFonts w:hint="eastAsia" w:ascii="Times New Roman" w:hAnsi="Times New Roman"/>
          <w:color w:val="000000"/>
          <w:sz w:val="24"/>
        </w:rPr>
        <w:t>7</w:t>
      </w:r>
      <w:r>
        <w:rPr>
          <w:rFonts w:ascii="Times New Roman" w:hAnsi="Times New Roman"/>
          <w:color w:val="000000"/>
          <w:sz w:val="24"/>
        </w:rPr>
        <w:t>。</w:t>
      </w:r>
    </w:p>
    <w:p>
      <w:pPr>
        <w:adjustRightInd w:val="0"/>
        <w:snapToGrid w:val="0"/>
        <w:jc w:val="center"/>
        <w:rPr>
          <w:rFonts w:ascii="Times New Roman" w:hAnsi="Times New Roman"/>
          <w:snapToGrid w:val="0"/>
          <w:color w:val="000000"/>
          <w:kern w:val="0"/>
          <w:sz w:val="24"/>
        </w:rPr>
      </w:pPr>
      <w:r>
        <w:rPr>
          <w:rFonts w:ascii="Times New Roman" w:hAnsi="Times New Roman"/>
          <w:b/>
          <w:bCs/>
          <w:snapToGrid w:val="0"/>
          <w:color w:val="000000"/>
          <w:kern w:val="0"/>
          <w:sz w:val="24"/>
        </w:rPr>
        <w:t>表4-</w:t>
      </w:r>
      <w:r>
        <w:rPr>
          <w:rFonts w:hint="eastAsia" w:ascii="Times New Roman" w:hAnsi="Times New Roman"/>
          <w:b/>
          <w:bCs/>
          <w:snapToGrid w:val="0"/>
          <w:color w:val="000000"/>
          <w:kern w:val="0"/>
          <w:sz w:val="24"/>
        </w:rPr>
        <w:t>13</w:t>
      </w:r>
      <w:r>
        <w:rPr>
          <w:rFonts w:ascii="Times New Roman" w:hAnsi="Times New Roman"/>
          <w:b/>
          <w:bCs/>
          <w:color w:val="000000"/>
          <w:sz w:val="24"/>
        </w:rPr>
        <w:t xml:space="preserve">  </w:t>
      </w:r>
      <w:r>
        <w:rPr>
          <w:rFonts w:hint="eastAsia" w:ascii="Times New Roman" w:hAnsi="Times New Roman"/>
          <w:b/>
          <w:bCs/>
          <w:color w:val="000000"/>
          <w:sz w:val="24"/>
        </w:rPr>
        <w:t>生态</w:t>
      </w:r>
      <w:r>
        <w:rPr>
          <w:rFonts w:ascii="Times New Roman" w:hAnsi="Times New Roman"/>
          <w:b/>
          <w:bCs/>
          <w:color w:val="000000"/>
          <w:sz w:val="24"/>
        </w:rPr>
        <w:t>评价区</w:t>
      </w:r>
      <w:r>
        <w:rPr>
          <w:rFonts w:hint="eastAsia" w:ascii="Times New Roman" w:hAnsi="Times New Roman"/>
          <w:b/>
          <w:bCs/>
          <w:color w:val="000000"/>
          <w:sz w:val="24"/>
        </w:rPr>
        <w:t>及项目所在区域</w:t>
      </w:r>
      <w:r>
        <w:rPr>
          <w:rFonts w:ascii="Times New Roman" w:hAnsi="Times New Roman"/>
          <w:b/>
          <w:bCs/>
          <w:color w:val="000000"/>
          <w:sz w:val="24"/>
        </w:rPr>
        <w:t>现状土地利用结构</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2055"/>
        <w:gridCol w:w="1350"/>
        <w:gridCol w:w="1993"/>
        <w:gridCol w:w="15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9" w:type="dxa"/>
            <w:vAlign w:val="center"/>
          </w:tcPr>
          <w:p>
            <w:pPr>
              <w:pStyle w:val="56"/>
              <w:rPr>
                <w:color w:val="000000"/>
              </w:rPr>
            </w:pPr>
            <w:r>
              <w:rPr>
                <w:color w:val="000000"/>
              </w:rPr>
              <w:t>地类</w:t>
            </w:r>
          </w:p>
        </w:tc>
        <w:tc>
          <w:tcPr>
            <w:tcW w:w="2055" w:type="dxa"/>
            <w:vAlign w:val="center"/>
          </w:tcPr>
          <w:p>
            <w:pPr>
              <w:pStyle w:val="56"/>
              <w:rPr>
                <w:color w:val="000000"/>
              </w:rPr>
            </w:pPr>
            <w:r>
              <w:rPr>
                <w:color w:val="000000"/>
              </w:rPr>
              <w:t>生态评价范围（km</w:t>
            </w:r>
            <w:r>
              <w:rPr>
                <w:color w:val="000000"/>
                <w:vertAlign w:val="superscript"/>
              </w:rPr>
              <w:t>2</w:t>
            </w:r>
            <w:r>
              <w:rPr>
                <w:color w:val="000000"/>
              </w:rPr>
              <w:t>）</w:t>
            </w:r>
          </w:p>
        </w:tc>
        <w:tc>
          <w:tcPr>
            <w:tcW w:w="1350" w:type="dxa"/>
            <w:vAlign w:val="center"/>
          </w:tcPr>
          <w:p>
            <w:pPr>
              <w:pStyle w:val="56"/>
              <w:rPr>
                <w:color w:val="000000"/>
              </w:rPr>
            </w:pPr>
            <w:r>
              <w:rPr>
                <w:color w:val="000000"/>
              </w:rPr>
              <w:t>比例（％）</w:t>
            </w:r>
          </w:p>
        </w:tc>
        <w:tc>
          <w:tcPr>
            <w:tcW w:w="1993" w:type="dxa"/>
            <w:vAlign w:val="center"/>
          </w:tcPr>
          <w:p>
            <w:pPr>
              <w:pStyle w:val="56"/>
              <w:rPr>
                <w:color w:val="000000"/>
              </w:rPr>
            </w:pPr>
            <w:r>
              <w:rPr>
                <w:color w:val="000000"/>
              </w:rPr>
              <w:t>占地范围（km</w:t>
            </w:r>
            <w:r>
              <w:rPr>
                <w:color w:val="000000"/>
                <w:vertAlign w:val="superscript"/>
              </w:rPr>
              <w:t>2</w:t>
            </w:r>
            <w:r>
              <w:rPr>
                <w:color w:val="000000"/>
              </w:rPr>
              <w:t>）</w:t>
            </w:r>
          </w:p>
        </w:tc>
        <w:tc>
          <w:tcPr>
            <w:tcW w:w="1523" w:type="dxa"/>
            <w:vAlign w:val="center"/>
          </w:tcPr>
          <w:p>
            <w:pPr>
              <w:pStyle w:val="56"/>
              <w:rPr>
                <w:color w:val="000000"/>
              </w:rPr>
            </w:pPr>
            <w:r>
              <w:rPr>
                <w:color w:val="000000"/>
              </w:rPr>
              <w:t>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9" w:type="dxa"/>
            <w:vAlign w:val="center"/>
          </w:tcPr>
          <w:p>
            <w:pPr>
              <w:pStyle w:val="56"/>
              <w:rPr>
                <w:color w:val="000000"/>
              </w:rPr>
            </w:pPr>
            <w:r>
              <w:rPr>
                <w:color w:val="000000"/>
              </w:rPr>
              <w:t>总面积</w:t>
            </w:r>
          </w:p>
        </w:tc>
        <w:tc>
          <w:tcPr>
            <w:tcW w:w="2055" w:type="dxa"/>
            <w:vAlign w:val="center"/>
          </w:tcPr>
          <w:p>
            <w:pPr>
              <w:pStyle w:val="56"/>
              <w:rPr>
                <w:color w:val="000000"/>
              </w:rPr>
            </w:pPr>
            <w:r>
              <w:rPr>
                <w:color w:val="000000"/>
              </w:rPr>
              <w:t>1.81</w:t>
            </w:r>
          </w:p>
        </w:tc>
        <w:tc>
          <w:tcPr>
            <w:tcW w:w="1350" w:type="dxa"/>
            <w:vAlign w:val="center"/>
          </w:tcPr>
          <w:p>
            <w:pPr>
              <w:pStyle w:val="56"/>
              <w:rPr>
                <w:color w:val="000000"/>
              </w:rPr>
            </w:pPr>
            <w:r>
              <w:rPr>
                <w:color w:val="000000"/>
              </w:rPr>
              <w:t>100</w:t>
            </w:r>
          </w:p>
        </w:tc>
        <w:tc>
          <w:tcPr>
            <w:tcW w:w="1993" w:type="dxa"/>
            <w:vAlign w:val="center"/>
          </w:tcPr>
          <w:p>
            <w:pPr>
              <w:pStyle w:val="56"/>
              <w:rPr>
                <w:color w:val="000000"/>
              </w:rPr>
            </w:pPr>
            <w:r>
              <w:rPr>
                <w:color w:val="000000"/>
              </w:rPr>
              <w:t>9.69</w:t>
            </w:r>
          </w:p>
        </w:tc>
        <w:tc>
          <w:tcPr>
            <w:tcW w:w="1523" w:type="dxa"/>
            <w:vAlign w:val="center"/>
          </w:tcPr>
          <w:p>
            <w:pPr>
              <w:pStyle w:val="56"/>
              <w:rPr>
                <w:color w:val="000000"/>
              </w:rPr>
            </w:pPr>
            <w:r>
              <w:rPr>
                <w:color w:val="000000"/>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9" w:type="dxa"/>
            <w:vAlign w:val="center"/>
          </w:tcPr>
          <w:p>
            <w:pPr>
              <w:pStyle w:val="56"/>
              <w:rPr>
                <w:color w:val="000000"/>
              </w:rPr>
            </w:pPr>
            <w:r>
              <w:rPr>
                <w:color w:val="000000"/>
              </w:rPr>
              <w:t>林地</w:t>
            </w:r>
          </w:p>
        </w:tc>
        <w:tc>
          <w:tcPr>
            <w:tcW w:w="2055" w:type="dxa"/>
            <w:vAlign w:val="center"/>
          </w:tcPr>
          <w:p>
            <w:pPr>
              <w:pStyle w:val="56"/>
              <w:rPr>
                <w:color w:val="000000"/>
              </w:rPr>
            </w:pPr>
            <w:r>
              <w:rPr>
                <w:color w:val="000000"/>
              </w:rPr>
              <w:t>1.63</w:t>
            </w:r>
          </w:p>
        </w:tc>
        <w:tc>
          <w:tcPr>
            <w:tcW w:w="1350" w:type="dxa"/>
            <w:vAlign w:val="center"/>
          </w:tcPr>
          <w:p>
            <w:pPr>
              <w:pStyle w:val="56"/>
              <w:rPr>
                <w:color w:val="000000"/>
              </w:rPr>
            </w:pPr>
            <w:r>
              <w:rPr>
                <w:color w:val="000000"/>
              </w:rPr>
              <w:t>90</w:t>
            </w:r>
          </w:p>
        </w:tc>
        <w:tc>
          <w:tcPr>
            <w:tcW w:w="1993" w:type="dxa"/>
            <w:vAlign w:val="center"/>
          </w:tcPr>
          <w:p>
            <w:pPr>
              <w:pStyle w:val="56"/>
              <w:rPr>
                <w:color w:val="000000"/>
              </w:rPr>
            </w:pPr>
            <w:r>
              <w:rPr>
                <w:color w:val="000000"/>
              </w:rPr>
              <w:t>0.004</w:t>
            </w:r>
          </w:p>
        </w:tc>
        <w:tc>
          <w:tcPr>
            <w:tcW w:w="1523" w:type="dxa"/>
            <w:vAlign w:val="center"/>
          </w:tcPr>
          <w:p>
            <w:pPr>
              <w:pStyle w:val="56"/>
              <w:rPr>
                <w:color w:val="000000"/>
              </w:rPr>
            </w:pPr>
            <w:r>
              <w:rPr>
                <w:color w:val="000000"/>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799" w:type="dxa"/>
            <w:vAlign w:val="center"/>
          </w:tcPr>
          <w:p>
            <w:pPr>
              <w:pStyle w:val="56"/>
              <w:rPr>
                <w:color w:val="000000"/>
              </w:rPr>
            </w:pPr>
            <w:r>
              <w:rPr>
                <w:color w:val="000000"/>
              </w:rPr>
              <w:t>建设用地</w:t>
            </w:r>
          </w:p>
        </w:tc>
        <w:tc>
          <w:tcPr>
            <w:tcW w:w="2055" w:type="dxa"/>
            <w:vAlign w:val="center"/>
          </w:tcPr>
          <w:p>
            <w:pPr>
              <w:pStyle w:val="56"/>
              <w:rPr>
                <w:color w:val="000000"/>
              </w:rPr>
            </w:pPr>
            <w:r>
              <w:rPr>
                <w:color w:val="000000"/>
              </w:rPr>
              <w:t>0.08</w:t>
            </w:r>
          </w:p>
        </w:tc>
        <w:tc>
          <w:tcPr>
            <w:tcW w:w="1350" w:type="dxa"/>
            <w:vAlign w:val="center"/>
          </w:tcPr>
          <w:p>
            <w:pPr>
              <w:pStyle w:val="56"/>
              <w:rPr>
                <w:color w:val="000000"/>
              </w:rPr>
            </w:pPr>
            <w:r>
              <w:rPr>
                <w:color w:val="000000"/>
              </w:rPr>
              <w:t>4.4</w:t>
            </w:r>
          </w:p>
        </w:tc>
        <w:tc>
          <w:tcPr>
            <w:tcW w:w="1993" w:type="dxa"/>
            <w:vAlign w:val="center"/>
          </w:tcPr>
          <w:p>
            <w:pPr>
              <w:pStyle w:val="56"/>
              <w:rPr>
                <w:color w:val="000000"/>
              </w:rPr>
            </w:pPr>
            <w:r>
              <w:rPr>
                <w:color w:val="000000"/>
              </w:rPr>
              <w:t>0.072</w:t>
            </w:r>
          </w:p>
        </w:tc>
        <w:tc>
          <w:tcPr>
            <w:tcW w:w="1523" w:type="dxa"/>
            <w:vAlign w:val="center"/>
          </w:tcPr>
          <w:p>
            <w:pPr>
              <w:pStyle w:val="56"/>
              <w:rPr>
                <w:color w:val="000000"/>
              </w:rPr>
            </w:pPr>
            <w:r>
              <w:rPr>
                <w:color w:val="000000"/>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799" w:type="dxa"/>
            <w:vAlign w:val="center"/>
          </w:tcPr>
          <w:p>
            <w:pPr>
              <w:pStyle w:val="56"/>
              <w:rPr>
                <w:color w:val="000000"/>
              </w:rPr>
            </w:pPr>
            <w:r>
              <w:rPr>
                <w:color w:val="000000"/>
              </w:rPr>
              <w:t>交通运输用地</w:t>
            </w:r>
          </w:p>
        </w:tc>
        <w:tc>
          <w:tcPr>
            <w:tcW w:w="2055" w:type="dxa"/>
            <w:vAlign w:val="center"/>
          </w:tcPr>
          <w:p>
            <w:pPr>
              <w:pStyle w:val="56"/>
              <w:rPr>
                <w:color w:val="000000"/>
              </w:rPr>
            </w:pPr>
            <w:r>
              <w:rPr>
                <w:color w:val="000000"/>
              </w:rPr>
              <w:t>0.054</w:t>
            </w:r>
          </w:p>
        </w:tc>
        <w:tc>
          <w:tcPr>
            <w:tcW w:w="1350" w:type="dxa"/>
            <w:vAlign w:val="center"/>
          </w:tcPr>
          <w:p>
            <w:pPr>
              <w:pStyle w:val="56"/>
              <w:rPr>
                <w:color w:val="000000"/>
              </w:rPr>
            </w:pPr>
            <w:r>
              <w:rPr>
                <w:color w:val="000000"/>
              </w:rPr>
              <w:t>3</w:t>
            </w:r>
          </w:p>
        </w:tc>
        <w:tc>
          <w:tcPr>
            <w:tcW w:w="1993" w:type="dxa"/>
            <w:vAlign w:val="center"/>
          </w:tcPr>
          <w:p>
            <w:pPr>
              <w:pStyle w:val="56"/>
              <w:rPr>
                <w:color w:val="000000"/>
              </w:rPr>
            </w:pPr>
            <w:r>
              <w:rPr>
                <w:color w:val="000000"/>
              </w:rPr>
              <w:t>—</w:t>
            </w:r>
          </w:p>
        </w:tc>
        <w:tc>
          <w:tcPr>
            <w:tcW w:w="1523" w:type="dxa"/>
            <w:vAlign w:val="center"/>
          </w:tcPr>
          <w:p>
            <w:pPr>
              <w:pStyle w:val="56"/>
              <w:rPr>
                <w:color w:val="000000"/>
              </w:rPr>
            </w:pPr>
            <w:r>
              <w:rPr>
                <w:color w:val="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799" w:type="dxa"/>
            <w:vAlign w:val="center"/>
          </w:tcPr>
          <w:p>
            <w:pPr>
              <w:pStyle w:val="56"/>
              <w:rPr>
                <w:color w:val="000000"/>
              </w:rPr>
            </w:pPr>
            <w:r>
              <w:rPr>
                <w:color w:val="000000"/>
              </w:rPr>
              <w:t>水域及水利用地</w:t>
            </w:r>
          </w:p>
        </w:tc>
        <w:tc>
          <w:tcPr>
            <w:tcW w:w="2055" w:type="dxa"/>
            <w:vAlign w:val="center"/>
          </w:tcPr>
          <w:p>
            <w:pPr>
              <w:pStyle w:val="56"/>
              <w:rPr>
                <w:color w:val="000000"/>
              </w:rPr>
            </w:pPr>
            <w:r>
              <w:rPr>
                <w:color w:val="000000"/>
              </w:rPr>
              <w:t>0.046</w:t>
            </w:r>
          </w:p>
        </w:tc>
        <w:tc>
          <w:tcPr>
            <w:tcW w:w="1350" w:type="dxa"/>
            <w:vAlign w:val="center"/>
          </w:tcPr>
          <w:p>
            <w:pPr>
              <w:pStyle w:val="56"/>
              <w:rPr>
                <w:color w:val="000000"/>
              </w:rPr>
            </w:pPr>
            <w:r>
              <w:rPr>
                <w:color w:val="000000"/>
              </w:rPr>
              <w:t>2.6</w:t>
            </w:r>
          </w:p>
        </w:tc>
        <w:tc>
          <w:tcPr>
            <w:tcW w:w="1993" w:type="dxa"/>
            <w:vAlign w:val="center"/>
          </w:tcPr>
          <w:p>
            <w:pPr>
              <w:pStyle w:val="56"/>
              <w:rPr>
                <w:color w:val="000000"/>
              </w:rPr>
            </w:pPr>
            <w:r>
              <w:rPr>
                <w:color w:val="000000"/>
              </w:rPr>
              <w:t>—</w:t>
            </w:r>
          </w:p>
        </w:tc>
        <w:tc>
          <w:tcPr>
            <w:tcW w:w="1523" w:type="dxa"/>
            <w:vAlign w:val="center"/>
          </w:tcPr>
          <w:p>
            <w:pPr>
              <w:pStyle w:val="56"/>
              <w:rPr>
                <w:color w:val="000000"/>
              </w:rPr>
            </w:pPr>
            <w:r>
              <w:rPr>
                <w:color w:val="000000"/>
              </w:rPr>
              <w:t>—</w:t>
            </w:r>
          </w:p>
        </w:tc>
      </w:tr>
    </w:tbl>
    <w:p>
      <w:pPr>
        <w:spacing w:line="360" w:lineRule="auto"/>
        <w:ind w:firstLine="480"/>
        <w:rPr>
          <w:rFonts w:ascii="Times New Roman" w:hAnsi="Times New Roman"/>
          <w:color w:val="000000"/>
          <w:sz w:val="24"/>
        </w:rPr>
      </w:pPr>
      <w:r>
        <w:rPr>
          <w:rFonts w:ascii="Times New Roman" w:hAnsi="Times New Roman"/>
          <w:color w:val="000000"/>
          <w:sz w:val="24"/>
        </w:rPr>
        <w:t>从上表可以看出，</w:t>
      </w:r>
      <w:r>
        <w:rPr>
          <w:rFonts w:hint="eastAsia" w:ascii="Times New Roman" w:hAnsi="Times New Roman"/>
          <w:color w:val="000000"/>
          <w:sz w:val="24"/>
        </w:rPr>
        <w:t>本项目生态评价范围内</w:t>
      </w:r>
      <w:r>
        <w:rPr>
          <w:rFonts w:ascii="Times New Roman" w:hAnsi="Times New Roman"/>
          <w:color w:val="000000"/>
          <w:sz w:val="24"/>
        </w:rPr>
        <w:t>林地占有相当的比例（</w:t>
      </w:r>
      <w:r>
        <w:rPr>
          <w:rFonts w:hint="eastAsia" w:ascii="Times New Roman" w:hAnsi="Times New Roman"/>
          <w:color w:val="000000"/>
          <w:sz w:val="24"/>
        </w:rPr>
        <w:t>90</w:t>
      </w:r>
      <w:r>
        <w:rPr>
          <w:rFonts w:ascii="Times New Roman" w:hAnsi="Times New Roman"/>
          <w:color w:val="000000"/>
          <w:sz w:val="24"/>
        </w:rPr>
        <w:t>%），</w:t>
      </w:r>
      <w:r>
        <w:rPr>
          <w:rFonts w:hint="eastAsia" w:ascii="Times New Roman" w:hAnsi="Times New Roman"/>
          <w:color w:val="000000"/>
          <w:sz w:val="24"/>
        </w:rPr>
        <w:t>本项目在现有尾矿库基础上扩建。新增4000m</w:t>
      </w:r>
      <w:r>
        <w:rPr>
          <w:rFonts w:hint="eastAsia" w:ascii="Times New Roman" w:hAnsi="Times New Roman"/>
          <w:color w:val="000000"/>
          <w:sz w:val="24"/>
          <w:vertAlign w:val="superscript"/>
        </w:rPr>
        <w:t>2</w:t>
      </w:r>
      <w:r>
        <w:rPr>
          <w:rFonts w:hint="eastAsia" w:ascii="Times New Roman" w:hAnsi="Times New Roman"/>
          <w:color w:val="000000"/>
          <w:sz w:val="24"/>
        </w:rPr>
        <w:t>林地，目前企业正在办理林业相关手续（见附件）</w:t>
      </w:r>
      <w:r>
        <w:rPr>
          <w:rFonts w:ascii="Times New Roman" w:hAnsi="Times New Roman"/>
          <w:color w:val="000000"/>
          <w:sz w:val="24"/>
        </w:rPr>
        <w:t>。</w:t>
      </w:r>
    </w:p>
    <w:p>
      <w:pPr>
        <w:spacing w:line="360" w:lineRule="auto"/>
        <w:outlineLvl w:val="0"/>
        <w:rPr>
          <w:rFonts w:ascii="Times New Roman" w:hAnsi="Times New Roman"/>
          <w:sz w:val="24"/>
          <w:szCs w:val="24"/>
        </w:rPr>
      </w:pPr>
      <w:bookmarkStart w:id="361" w:name="_Toc31740"/>
      <w:r>
        <w:rPr>
          <w:rFonts w:ascii="Times New Roman" w:hAnsi="Times New Roman"/>
          <w:sz w:val="24"/>
          <w:szCs w:val="24"/>
        </w:rPr>
        <w:t>4.</w:t>
      </w:r>
      <w:r>
        <w:rPr>
          <w:rFonts w:hint="eastAsia" w:ascii="Times New Roman" w:hAnsi="Times New Roman"/>
          <w:sz w:val="24"/>
          <w:szCs w:val="24"/>
        </w:rPr>
        <w:t>2.</w:t>
      </w:r>
      <w:r>
        <w:rPr>
          <w:rFonts w:ascii="Times New Roman" w:hAnsi="Times New Roman"/>
          <w:sz w:val="24"/>
          <w:szCs w:val="24"/>
        </w:rPr>
        <w:t>6.3评价区生态环境特点</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1"/>
    </w:p>
    <w:p>
      <w:pPr>
        <w:spacing w:line="360" w:lineRule="auto"/>
        <w:ind w:firstLine="480" w:firstLineChars="200"/>
        <w:rPr>
          <w:rFonts w:ascii="Times New Roman" w:hAnsi="Times New Roman"/>
          <w:snapToGrid w:val="0"/>
          <w:color w:val="000000"/>
          <w:kern w:val="0"/>
          <w:sz w:val="24"/>
        </w:rPr>
      </w:pPr>
      <w:r>
        <w:rPr>
          <w:rFonts w:hint="eastAsia" w:ascii="Times New Roman" w:hAnsi="Times New Roman"/>
          <w:snapToGrid w:val="0"/>
          <w:color w:val="000000"/>
          <w:kern w:val="0"/>
          <w:sz w:val="24"/>
        </w:rPr>
        <w:t>（1）</w:t>
      </w:r>
      <w:r>
        <w:rPr>
          <w:rFonts w:ascii="Times New Roman" w:hAnsi="Times New Roman"/>
          <w:snapToGrid w:val="0"/>
          <w:color w:val="000000"/>
          <w:kern w:val="0"/>
          <w:sz w:val="24"/>
        </w:rPr>
        <w:t>植被</w:t>
      </w:r>
      <w:bookmarkStart w:id="362" w:name="_Toc336348336"/>
      <w:r>
        <w:rPr>
          <w:rFonts w:ascii="Times New Roman" w:hAnsi="Times New Roman"/>
          <w:snapToGrid w:val="0"/>
          <w:color w:val="000000"/>
          <w:kern w:val="0"/>
          <w:sz w:val="24"/>
        </w:rPr>
        <w:t>资源调查</w:t>
      </w:r>
    </w:p>
    <w:p>
      <w:pPr>
        <w:pStyle w:val="82"/>
        <w:adjustRightInd w:val="0"/>
        <w:snapToGrid w:val="0"/>
        <w:spacing w:line="360" w:lineRule="auto"/>
        <w:ind w:firstLine="480"/>
        <w:rPr>
          <w:rFonts w:ascii="Times New Roman" w:hAnsi="Times New Roman"/>
          <w:color w:val="000000"/>
          <w:sz w:val="24"/>
        </w:rPr>
      </w:pPr>
      <w:r>
        <w:rPr>
          <w:rFonts w:ascii="Times New Roman" w:hAnsi="Times New Roman"/>
          <w:color w:val="000000"/>
          <w:sz w:val="24"/>
        </w:rPr>
        <w:t>地表植被以森林为主，森林资源十分丰富，按植物地理区划属长白山植物区系、红松针阔混交林为其地带性植被的顶级群落，但由于历史和现代的种种原因，人类对森林的破坏和过分索取，结果使得长白山地区的原始森林植被大部分消失，面积锐减，仅有小面积零散分布（主要分布于长白山自然保护区内）。现存的森林绝大部分属于天然次生林，而且典型的以红松为建群种的针阔混交林已不多见，区域森林处于不同的退化阶段。山地分布的多为次生的红松－云冷杉为主的针阔混交林；谷地则多为次生的阔叶林，形成了大面积的杂木林、蒙古栎林、杨桦林、柞桦林、柞树榛子灌丛及色、椴、榆、枫、桦等组成的次生阔叶林。林木年龄一般在30～50年，林分结构各异，生长快慢不一，生产力及林木质量差异较大。总的来说，评价区近/成熟林森林比例较高，森林结构比较复杂，生态功能较高。此外，本区人工林的发展也较快，长白落叶松成为本区主要的人工林植被，其他还有少量的红松、樟子松等人工林。</w:t>
      </w:r>
      <w:r>
        <w:rPr>
          <w:rFonts w:hint="eastAsia" w:ascii="Times New Roman" w:hAnsi="Times New Roman"/>
          <w:color w:val="000000"/>
          <w:sz w:val="24"/>
        </w:rPr>
        <w:t>根据实地调查，</w:t>
      </w:r>
      <w:r>
        <w:rPr>
          <w:rFonts w:ascii="Times New Roman" w:hAnsi="Times New Roman"/>
          <w:color w:val="000000"/>
          <w:sz w:val="24"/>
        </w:rPr>
        <w:t>本项目所在区域内</w:t>
      </w:r>
      <w:r>
        <w:rPr>
          <w:rFonts w:hint="eastAsia" w:ascii="Times New Roman" w:hAnsi="Times New Roman"/>
          <w:color w:val="000000"/>
          <w:sz w:val="24"/>
        </w:rPr>
        <w:t>树种</w:t>
      </w:r>
      <w:r>
        <w:rPr>
          <w:rFonts w:ascii="Times New Roman" w:hAnsi="Times New Roman"/>
          <w:color w:val="000000"/>
          <w:sz w:val="24"/>
        </w:rPr>
        <w:t>主要为</w:t>
      </w:r>
      <w:r>
        <w:rPr>
          <w:rFonts w:hint="eastAsia" w:ascii="Times New Roman" w:hAnsi="Times New Roman"/>
          <w:color w:val="000000"/>
          <w:sz w:val="24"/>
        </w:rPr>
        <w:t>柞树、落叶松、杨树、杂树等，无《吉林省重点保护野生植物名录》中保护树种</w:t>
      </w:r>
      <w:r>
        <w:rPr>
          <w:rFonts w:ascii="Times New Roman" w:hAnsi="Times New Roman"/>
          <w:color w:val="000000"/>
          <w:sz w:val="24"/>
        </w:rPr>
        <w:t>。</w:t>
      </w:r>
    </w:p>
    <w:p>
      <w:pPr>
        <w:spacing w:line="360" w:lineRule="auto"/>
        <w:ind w:firstLine="480" w:firstLineChars="200"/>
        <w:jc w:val="left"/>
        <w:outlineLvl w:val="0"/>
        <w:rPr>
          <w:rFonts w:ascii="Times New Roman" w:hAnsi="Times New Roman"/>
          <w:color w:val="000000"/>
          <w:sz w:val="24"/>
        </w:rPr>
      </w:pPr>
      <w:r>
        <w:rPr>
          <w:rFonts w:hint="eastAsia" w:ascii="Times New Roman" w:hAnsi="Times New Roman"/>
          <w:color w:val="000000"/>
          <w:sz w:val="24"/>
        </w:rPr>
        <w:t>①柞树</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柞树（拉丁语学名：Xylosma racemosum），柞树属于壳斗科栎属植物。为落叶乔木，少数为灌木。叶缘有锯齿，少有全缘。雄花柔荑花序下垂，雌花单生于总苞内。坚果单生，果皮内壁无毛，不发育的胚珠位于种子基部之外侧。树干奇特苍劲，树形优美多姿，枝繁叶茂，耐修剪、易造型，经拉片造型后冠如华盖，材质坚实，纹理细密，材色棕红，供家具农具等用；叶、皮供药用。</w:t>
      </w:r>
    </w:p>
    <w:p>
      <w:pPr>
        <w:spacing w:line="360" w:lineRule="auto"/>
        <w:ind w:firstLine="480" w:firstLineChars="200"/>
        <w:jc w:val="left"/>
        <w:outlineLvl w:val="0"/>
        <w:rPr>
          <w:rFonts w:ascii="Times New Roman" w:hAnsi="Times New Roman"/>
          <w:color w:val="000000"/>
          <w:sz w:val="24"/>
        </w:rPr>
      </w:pPr>
      <w:r>
        <w:rPr>
          <w:rFonts w:hint="eastAsia" w:ascii="Times New Roman" w:hAnsi="Times New Roman"/>
          <w:color w:val="000000"/>
          <w:sz w:val="24"/>
        </w:rPr>
        <w:t>②落叶松</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落叶松（学名：Larix gmelinii (Rupr.) Kuzen.）是松科，落叶松属乔木，高达可达35m，胸径达90cm；幼树树皮深褐色，枝斜展或近平展，树冠卵状圆锥形；冬芽近圆球形，芽鳞暗褐色，边缘具睫毛，基部芽鳞的先端具长尖头。叶片倒披针状条形，先端尖或钝尖，上面中脉不隆起，球果幼时紫红色，成熟前卵圆形或椭圆形，黄褐色、褐色或紫褐色，种子斜卵圆形，灰白色，5-6 月开花，球果9 月成熟。</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落叶松是木材略重，硬度中等，易裂，边材淡黄色，心材黄褐色至红褐色，纹理直，结构细密，比重0.32-0.52，有树脂，耐久用。可供房屋建筑、土木工程、电杆、舟车、细木加工及木纤维工业原料等用材。树干可提取树脂，树皮可提取栲胶。</w:t>
      </w:r>
    </w:p>
    <w:p>
      <w:pPr>
        <w:pStyle w:val="82"/>
        <w:adjustRightInd w:val="0"/>
        <w:snapToGrid w:val="0"/>
        <w:spacing w:line="360" w:lineRule="auto"/>
        <w:ind w:firstLine="480" w:firstLineChars="200"/>
        <w:outlineLvl w:val="0"/>
        <w:rPr>
          <w:rFonts w:ascii="Times New Roman" w:hAnsi="Times New Roman"/>
          <w:color w:val="000000"/>
          <w:sz w:val="24"/>
        </w:rPr>
      </w:pPr>
      <w:r>
        <w:rPr>
          <w:rFonts w:hint="eastAsia" w:ascii="Times New Roman" w:hAnsi="Times New Roman"/>
          <w:color w:val="000000"/>
          <w:sz w:val="24"/>
        </w:rPr>
        <w:t>③杨树</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杨树（拉丁语学名：Populus），包括了胡杨、白杨、棉白杨等，通称“杨树”。在落叶前叶子变黄。与柳属植物相同，杨属植物的根部有着较强的侵略性，所以它们不能被种植在房屋和水管附近。杨树是杨柳科杨属植物落叶乔木的通称，全属共有100 多类品种，主要分布在欧洲（东非林场）、亚洲及北美洲，其中中国有50 多种。通常指杨柳科，杨属一类的泛称，又分为五个派：胡杨派、白杨派、青杨派、黑杨派、大叶杨派。乔木，树干通常端直；树皮光滑或纵裂，常为灰白色。约100 多种，广泛分布于欧、亚、北美。杨树性较耐寒、喜光、速生；沿河两岸、山坡和平原都能生长。木材白色，轻软，细致，比重0.4-0.5，供建筑、板料、火柴杆、造纸等用；叶可做为牛、羊的饲料；芽脂、花序、树皮可供药用；为营造防护林、水土保持林或四旁绿化的树种。</w:t>
      </w:r>
    </w:p>
    <w:p>
      <w:pPr>
        <w:spacing w:line="360" w:lineRule="auto"/>
        <w:ind w:firstLine="480" w:firstLineChars="200"/>
        <w:rPr>
          <w:rFonts w:ascii="Times New Roman" w:hAnsi="Times New Roman"/>
          <w:color w:val="000000"/>
          <w:sz w:val="24"/>
        </w:rPr>
      </w:pPr>
      <w:r>
        <w:rPr>
          <w:rFonts w:ascii="Times New Roman" w:hAnsi="Times New Roman"/>
          <w:color w:val="000000"/>
          <w:sz w:val="24"/>
        </w:rPr>
        <w:t>本区存在的主要生态环境问题：主要为原始森林过度破坏，林分结构、林种结构、林龄结构不尽合理，大多森林质量下降和生态系统退化，林地生产力降低，森林生态系统稳定性降低，使整体森林生态系统功能衰退。</w:t>
      </w:r>
    </w:p>
    <w:p>
      <w:pPr>
        <w:spacing w:line="360" w:lineRule="auto"/>
        <w:ind w:firstLine="480" w:firstLineChars="200"/>
        <w:outlineLvl w:val="0"/>
        <w:rPr>
          <w:rFonts w:ascii="Times New Roman" w:hAnsi="Times New Roman"/>
          <w:color w:val="000000"/>
          <w:sz w:val="24"/>
        </w:rPr>
      </w:pPr>
      <w:r>
        <w:rPr>
          <w:rFonts w:ascii="Times New Roman" w:hAnsi="Times New Roman"/>
          <w:color w:val="000000"/>
          <w:sz w:val="24"/>
        </w:rPr>
        <w:t>（2）动物资源现状</w:t>
      </w:r>
    </w:p>
    <w:p>
      <w:pPr>
        <w:spacing w:line="360" w:lineRule="auto"/>
        <w:ind w:firstLine="480" w:firstLineChars="200"/>
        <w:rPr>
          <w:rFonts w:ascii="Times New Roman" w:hAnsi="Times New Roman"/>
          <w:sz w:val="24"/>
        </w:rPr>
      </w:pPr>
      <w:r>
        <w:rPr>
          <w:rFonts w:ascii="Times New Roman" w:hAnsi="Times New Roman"/>
          <w:sz w:val="24"/>
        </w:rPr>
        <w:t>吉林省白山市处在长白山针阔混交林区，其野生动物在全国的区划中属于东北区长白山地针阔混交林动物区，历史上这里野生动植物资源十分丰富，不仅有丰富的森林资源、繁多的经济植物和药用植物，而且野生动物种类和数量都十分丰富。据调查，区内共有6类，其中小型动物松鼠、紫貂、花鼠等常成为优势种群；大型兽类野猪、狍子、獾、貉、狐等常见。白山市鸟类中林栖鸟种类较多，大山雀、啄木鸟等常见。</w:t>
      </w:r>
    </w:p>
    <w:p>
      <w:pPr>
        <w:pStyle w:val="82"/>
        <w:spacing w:line="360" w:lineRule="auto"/>
        <w:ind w:firstLine="480" w:firstLineChars="200"/>
        <w:rPr>
          <w:rFonts w:ascii="Times New Roman" w:hAnsi="Times New Roman"/>
          <w:sz w:val="24"/>
        </w:rPr>
      </w:pPr>
      <w:r>
        <w:rPr>
          <w:rFonts w:ascii="Times New Roman" w:hAnsi="Times New Roman"/>
          <w:sz w:val="24"/>
        </w:rPr>
        <w:t>白山市两栖、爬行类动物种类不多，爬行类主要有白条草蜥、蝮蛇、棕黑锦蛇等。两栖类主要有中国林蛙、东方铃蟾等。</w:t>
      </w:r>
    </w:p>
    <w:p>
      <w:pPr>
        <w:pStyle w:val="82"/>
        <w:spacing w:line="360" w:lineRule="auto"/>
        <w:ind w:firstLine="480" w:firstLineChars="200"/>
        <w:rPr>
          <w:rFonts w:ascii="Times New Roman" w:hAnsi="Times New Roman"/>
          <w:color w:val="000000"/>
          <w:sz w:val="24"/>
        </w:rPr>
      </w:pPr>
      <w:r>
        <w:rPr>
          <w:rFonts w:ascii="Times New Roman" w:hAnsi="Times New Roman"/>
          <w:sz w:val="24"/>
        </w:rPr>
        <w:t>经调查，本项目区内</w:t>
      </w:r>
      <w:r>
        <w:rPr>
          <w:rFonts w:ascii="Times New Roman" w:hAnsi="Times New Roman"/>
          <w:spacing w:val="2"/>
          <w:kern w:val="0"/>
          <w:sz w:val="24"/>
        </w:rPr>
        <w:t>由于人员活动比较频繁，野生动物的种类和数量相对较少。本项目区内分布最多的野生动物为小型兽类，如灰鼠、野兔、草蛇、雉鸡、</w:t>
      </w:r>
      <w:r>
        <w:rPr>
          <w:rFonts w:ascii="Times New Roman" w:hAnsi="Times New Roman"/>
          <w:sz w:val="24"/>
        </w:rPr>
        <w:t>等及爬行动物类</w:t>
      </w:r>
      <w:r>
        <w:rPr>
          <w:rFonts w:hint="eastAsia" w:ascii="宋体" w:hAnsi="宋体"/>
          <w:sz w:val="24"/>
        </w:rPr>
        <w:t>。</w:t>
      </w:r>
    </w:p>
    <w:p>
      <w:pPr>
        <w:spacing w:line="360" w:lineRule="auto"/>
        <w:ind w:firstLine="480" w:firstLineChars="200"/>
        <w:outlineLvl w:val="0"/>
        <w:rPr>
          <w:rFonts w:ascii="Times New Roman" w:hAnsi="Times New Roman"/>
          <w:snapToGrid w:val="0"/>
          <w:color w:val="000000"/>
          <w:kern w:val="0"/>
          <w:sz w:val="24"/>
        </w:rPr>
      </w:pPr>
      <w:r>
        <w:rPr>
          <w:rFonts w:hint="eastAsia" w:ascii="Times New Roman" w:hAnsi="Times New Roman"/>
          <w:snapToGrid w:val="0"/>
          <w:color w:val="000000"/>
          <w:kern w:val="0"/>
          <w:sz w:val="24"/>
        </w:rPr>
        <w:t>（3）</w:t>
      </w:r>
      <w:r>
        <w:rPr>
          <w:rFonts w:ascii="Times New Roman" w:hAnsi="Times New Roman"/>
          <w:snapToGrid w:val="0"/>
          <w:color w:val="000000"/>
          <w:kern w:val="0"/>
          <w:sz w:val="24"/>
        </w:rPr>
        <w:t>土壤调查</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区内多为山地，属于中山－低山地形，相对高差173.14m，矿区一带山体相对平缓；山体植被覆盖率较高，可达90％左右，本区土壤主要为暗棕壤，其容重较小，比较松散，易于遭到侵蚀；区域多年平均降水量874mm（800~1200mm）。本区土壤侵蚀形式主要为水力侵蚀，按照吉林省最新水土流失遥感调查发布的水土流失公告，本区属于轻度水力侵蚀区，其土壤侵蚀模数为1000t/km</w:t>
      </w:r>
      <w:r>
        <w:rPr>
          <w:rFonts w:ascii="Times New Roman" w:hAnsi="Times New Roman"/>
          <w:sz w:val="24"/>
          <w:vertAlign w:val="superscript"/>
        </w:rPr>
        <w:t>2</w:t>
      </w:r>
      <w:r>
        <w:rPr>
          <w:rFonts w:ascii="Times New Roman" w:hAnsi="Times New Roman"/>
          <w:sz w:val="24"/>
        </w:rPr>
        <w:t>.a。</w:t>
      </w:r>
    </w:p>
    <w:p>
      <w:pPr>
        <w:adjustRightInd w:val="0"/>
        <w:snapToGrid w:val="0"/>
        <w:spacing w:line="360" w:lineRule="auto"/>
        <w:ind w:firstLine="480" w:firstLineChars="200"/>
        <w:rPr>
          <w:rFonts w:ascii="Times New Roman" w:hAnsi="Times New Roman"/>
          <w:snapToGrid w:val="0"/>
          <w:color w:val="000000"/>
          <w:kern w:val="0"/>
          <w:sz w:val="24"/>
        </w:rPr>
      </w:pPr>
      <w:r>
        <w:rPr>
          <w:rFonts w:ascii="Times New Roman" w:hAnsi="Times New Roman"/>
          <w:sz w:val="24"/>
        </w:rPr>
        <w:t>评价区内森林面积大，郁闭度达0.8以上的林地发生土壤侵蚀的面积较小，郁闭度在0.4左右的林地发生土壤侵蚀的机会较大，因此本区林地面积虽然较大，但造成土壤侵蚀的面积并不大。可见本区发生土壤侵蚀的部位主要为林地、总侵蚀面积约</w:t>
      </w:r>
      <w:r>
        <w:rPr>
          <w:rFonts w:hint="eastAsia" w:ascii="Times New Roman" w:hAnsi="Times New Roman"/>
          <w:sz w:val="24"/>
        </w:rPr>
        <w:t>4000</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，按侵蚀模数500t/km</w:t>
      </w:r>
      <w:r>
        <w:rPr>
          <w:rFonts w:ascii="Times New Roman" w:hAnsi="Times New Roman"/>
          <w:sz w:val="24"/>
          <w:vertAlign w:val="superscript"/>
        </w:rPr>
        <w:t>2</w:t>
      </w:r>
      <w:r>
        <w:rPr>
          <w:rFonts w:ascii="Times New Roman" w:hAnsi="Times New Roman"/>
          <w:sz w:val="24"/>
        </w:rPr>
        <w:t>·a估算 ，土壤侵蚀总量约为</w:t>
      </w:r>
      <w:r>
        <w:rPr>
          <w:rFonts w:hint="eastAsia" w:ascii="Times New Roman" w:hAnsi="Times New Roman"/>
          <w:sz w:val="24"/>
        </w:rPr>
        <w:t>2</w:t>
      </w:r>
      <w:r>
        <w:rPr>
          <w:rFonts w:ascii="Times New Roman" w:hAnsi="Times New Roman"/>
          <w:sz w:val="24"/>
        </w:rPr>
        <w:t>t/a</w:t>
      </w:r>
      <w:r>
        <w:rPr>
          <w:rFonts w:ascii="Times New Roman" w:hAnsi="Times New Roman"/>
          <w:color w:val="000000"/>
          <w:sz w:val="24"/>
          <w:szCs w:val="28"/>
          <w:shd w:val="clear" w:color="auto" w:fill="FFFFFF"/>
        </w:rPr>
        <w:t>。</w:t>
      </w:r>
    </w:p>
    <w:bookmarkEnd w:id="362"/>
    <w:p>
      <w:pPr>
        <w:spacing w:line="360" w:lineRule="auto"/>
        <w:outlineLvl w:val="0"/>
        <w:rPr>
          <w:rFonts w:ascii="Times New Roman" w:hAnsi="Times New Roman"/>
          <w:sz w:val="24"/>
          <w:szCs w:val="24"/>
        </w:rPr>
      </w:pPr>
      <w:bookmarkStart w:id="363" w:name="_Toc2147"/>
      <w:r>
        <w:rPr>
          <w:rFonts w:ascii="Times New Roman" w:hAnsi="Times New Roman"/>
          <w:sz w:val="24"/>
          <w:szCs w:val="24"/>
        </w:rPr>
        <w:t>4.</w:t>
      </w:r>
      <w:r>
        <w:rPr>
          <w:rFonts w:hint="eastAsia" w:ascii="Times New Roman" w:hAnsi="Times New Roman"/>
          <w:sz w:val="24"/>
          <w:szCs w:val="24"/>
        </w:rPr>
        <w:t>2.</w:t>
      </w:r>
      <w:r>
        <w:rPr>
          <w:rFonts w:ascii="Times New Roman" w:hAnsi="Times New Roman"/>
          <w:sz w:val="24"/>
          <w:szCs w:val="24"/>
        </w:rPr>
        <w:t>6.4森林生态系统现状调查与评价</w:t>
      </w:r>
      <w:bookmarkEnd w:id="363"/>
    </w:p>
    <w:p>
      <w:pPr>
        <w:pStyle w:val="60"/>
        <w:ind w:firstLine="480"/>
        <w:rPr>
          <w:rFonts w:ascii="Times New Roman" w:hAnsi="Times New Roman"/>
          <w:color w:val="000000"/>
        </w:rPr>
      </w:pPr>
      <w:r>
        <w:rPr>
          <w:rFonts w:hint="eastAsia" w:ascii="Times New Roman" w:hAnsi="Times New Roman"/>
          <w:color w:val="000000"/>
        </w:rPr>
        <w:t>本项目主要位西南部地区。由于纬度偏低，气温与降水量偏高，因而在阔叶红松林的树种组成成分上，除红松外，阔叶树种如胡桃楸等有所增加，温性树种如沙冷杉比重增多，故有“红白松针阔叶混交林”之称。由于区内阔叶红松林的标志种沙冷杉干形高大通直，出材量高，利用价值大，过去多被采伐利用，目前所占比重很小。但总体来说，森林生态系统除了缺失原始林单元外，系统内的其他结构仍比较完整，系统的功能基本正常，它对于吉林省中西部地区的生态屏障作用，乃至对吉林全省的生态平衡具有重要意义</w:t>
      </w:r>
    </w:p>
    <w:p>
      <w:pPr>
        <w:pStyle w:val="60"/>
        <w:ind w:firstLine="480"/>
        <w:outlineLvl w:val="0"/>
        <w:rPr>
          <w:rFonts w:ascii="Times New Roman" w:hAnsi="Times New Roman"/>
          <w:color w:val="000000"/>
        </w:rPr>
      </w:pPr>
      <w:r>
        <w:rPr>
          <w:rFonts w:hint="eastAsia" w:ascii="Times New Roman" w:hAnsi="Times New Roman"/>
          <w:color w:val="000000"/>
        </w:rPr>
        <w:t>（1）针阔叶混交林</w:t>
      </w:r>
    </w:p>
    <w:p>
      <w:pPr>
        <w:pStyle w:val="60"/>
        <w:ind w:firstLine="480"/>
        <w:rPr>
          <w:rFonts w:ascii="Times New Roman" w:hAnsi="Times New Roman"/>
          <w:color w:val="000000"/>
        </w:rPr>
      </w:pPr>
      <w:r>
        <w:rPr>
          <w:rFonts w:hint="eastAsia" w:ascii="Times New Roman" w:hAnsi="Times New Roman"/>
          <w:color w:val="000000"/>
        </w:rPr>
        <w:t>本区是温带针阔混交林分布区，是吉林省森林资源最丰富的地区。按植物地理区划属长白区系，红松针阔混交林为其地带性植被的顶级群落。在海拔1100~1800m分布的主要为云杉、冷杉林群落；至海拔2100m以上，高山苔原成为主要的群落。在未遭到人类破坏以前的原始林中，乔木，灌木、地被物种类较丰富，此外还有一些藤本植物。区内主要乔木树种由：红松、沙冷杉、赤松、紫衫、长白落叶松等针叶树种和紫椴、枫桦、水曲柳、春榆、大青杨、蒙古栎、等阔叶树种。主要灌木有：耐阴的毛榛子、黄花忍冬、东北山梅花、土层厚的地段，暴马丁香、稠李等较多；在地势高、土层较薄的地段，则以胡枝子、兴安杜鹃为主。林内藤本植物主要有山葡萄、北五味子等。草本植物种类繁多，亦随中、小地形、林冠郁闭度及土壤干湿而变化；在排水良好的地段主要为四花苔草、乌苏里苔草、大叶柴胡等。但本区子19~20世纪日本等国家入侵以来，森林植被遭到极大的破坏，大规模看法使得森林结构破坏，植物多样性降低，群落处不同的退化阶段，形成了大面积的杂木林、柞桦林、山杨白桦林、榛子灌丛等林型。</w:t>
      </w:r>
    </w:p>
    <w:p>
      <w:pPr>
        <w:pStyle w:val="60"/>
        <w:ind w:left="420" w:leftChars="200" w:firstLine="0" w:firstLineChars="0"/>
        <w:outlineLvl w:val="0"/>
        <w:rPr>
          <w:rFonts w:ascii="Times New Roman" w:hAnsi="Times New Roman"/>
          <w:color w:val="000000"/>
        </w:rPr>
      </w:pPr>
      <w:r>
        <w:rPr>
          <w:rFonts w:hint="eastAsia" w:ascii="Times New Roman" w:hAnsi="Times New Roman"/>
          <w:color w:val="000000"/>
        </w:rPr>
        <w:t>（2）</w:t>
      </w:r>
      <w:r>
        <w:rPr>
          <w:rFonts w:ascii="Times New Roman" w:hAnsi="Times New Roman"/>
          <w:color w:val="000000"/>
        </w:rPr>
        <w:t>灌丛</w:t>
      </w:r>
    </w:p>
    <w:p>
      <w:pPr>
        <w:spacing w:line="360" w:lineRule="auto"/>
        <w:ind w:firstLine="480" w:firstLineChars="200"/>
        <w:rPr>
          <w:rFonts w:ascii="Times New Roman" w:hAnsi="Times New Roman"/>
          <w:color w:val="000000"/>
          <w:sz w:val="24"/>
        </w:rPr>
      </w:pPr>
      <w:r>
        <w:rPr>
          <w:rFonts w:ascii="Times New Roman" w:hAnsi="Times New Roman"/>
          <w:color w:val="000000"/>
          <w:sz w:val="24"/>
        </w:rPr>
        <w:t>灌丛主要是指灌木为优势种而组成的森林植物群落，群落结构简单，面积不大，呈零散分布，镶嵌在森林植被之间，多数是由于森林植被经人为反复破坏后形成的次生植被。本区灌丛植被主要有榛丛、胡枝子灌丛和柳丛等几种。</w:t>
      </w:r>
    </w:p>
    <w:p>
      <w:pPr>
        <w:spacing w:line="360" w:lineRule="auto"/>
        <w:ind w:firstLine="480" w:firstLineChars="200"/>
        <w:rPr>
          <w:rFonts w:ascii="Times New Roman" w:hAnsi="Times New Roman"/>
          <w:color w:val="000000"/>
          <w:sz w:val="24"/>
        </w:rPr>
      </w:pPr>
      <w:r>
        <w:rPr>
          <w:rFonts w:ascii="Times New Roman" w:hAnsi="Times New Roman"/>
          <w:color w:val="000000"/>
          <w:sz w:val="24"/>
        </w:rPr>
        <w:t>榛丛一般分布在海拔300～600m，多见于阳坡灌丛，有时也见于林下。主要类型有榛子单优灌丛（Ass. Corylus heterophylla）、羊胡子苔草－榛子灌丛（Ass. Carex callitrichos-Corylus heterophylla）、杂草－榛子灌丛（Ass. Grass-Corylus heterophylla）。</w:t>
      </w:r>
    </w:p>
    <w:p>
      <w:pPr>
        <w:spacing w:line="360" w:lineRule="auto"/>
        <w:ind w:firstLine="480" w:firstLineChars="200"/>
        <w:rPr>
          <w:rFonts w:ascii="Times New Roman" w:hAnsi="Times New Roman"/>
          <w:color w:val="000000"/>
          <w:sz w:val="24"/>
        </w:rPr>
      </w:pPr>
      <w:r>
        <w:rPr>
          <w:rFonts w:ascii="Times New Roman" w:hAnsi="Times New Roman"/>
          <w:color w:val="000000"/>
          <w:sz w:val="24"/>
        </w:rPr>
        <w:t>胡枝子灌丛在区内分布较为广泛，喜光、耐干旱贫瘠，主要分布在阳坡、半阴半阳的山脊、漫岗等坡地上。主要类型为羊胡子苔草－胡枝子灌丛（Ass. Carex callitrichos-Lespedeza bicolor）。</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柳丛生境为河流两岸、水湿地、沟谷地和排水不良的缓坡及漫岗等，主要分布在400～700m的地带。主要类型有小叶章－蒿柳群丛（Ass. Deyeuxia angustifolia-Salix viminalis）、小叶章－杞柳群丛（Ass. Deyuexia angustifolia-Salix integra）、圆叶柳群丛（Ass. Saliz rotundifolia）。</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据现场调查和咨询林业部门，没有国家和吉林省重点保护的野生植物。</w:t>
      </w:r>
    </w:p>
    <w:p>
      <w:pPr>
        <w:spacing w:line="360" w:lineRule="auto"/>
        <w:ind w:firstLine="480" w:firstLineChars="200"/>
        <w:outlineLvl w:val="0"/>
        <w:rPr>
          <w:rFonts w:ascii="Times New Roman" w:hAnsi="Times New Roman"/>
          <w:color w:val="000000"/>
          <w:sz w:val="24"/>
          <w:shd w:val="clear" w:color="auto" w:fill="FFFFFF"/>
        </w:rPr>
      </w:pPr>
      <w:r>
        <w:rPr>
          <w:rFonts w:hint="eastAsia" w:ascii="Times New Roman" w:hAnsi="Times New Roman"/>
          <w:snapToGrid w:val="0"/>
          <w:color w:val="000000"/>
          <w:kern w:val="0"/>
          <w:sz w:val="24"/>
        </w:rPr>
        <w:t>（3）</w:t>
      </w:r>
      <w:r>
        <w:rPr>
          <w:rFonts w:ascii="Times New Roman" w:hAnsi="Times New Roman"/>
          <w:color w:val="000000"/>
          <w:sz w:val="24"/>
        </w:rPr>
        <w:t>森林净生长量与蓄积量</w:t>
      </w:r>
    </w:p>
    <w:p>
      <w:pPr>
        <w:spacing w:line="360" w:lineRule="auto"/>
        <w:ind w:firstLine="480" w:firstLineChars="200"/>
        <w:rPr>
          <w:rFonts w:ascii="Times New Roman" w:hAnsi="Times New Roman"/>
          <w:color w:val="000000"/>
          <w:sz w:val="24"/>
        </w:rPr>
      </w:pPr>
      <w:r>
        <w:rPr>
          <w:rFonts w:ascii="Times New Roman" w:hAnsi="Times New Roman"/>
          <w:color w:val="000000"/>
          <w:sz w:val="24"/>
        </w:rPr>
        <w:t>由于本区森林植被分布的特点，其林木净生长量与蓄积量有较大的差异，调查了区内林场森林净生长量和蓄积量情况。经统计及评价区林地面积量算，评价区森林总蓄积量约为</w:t>
      </w:r>
      <w:r>
        <w:rPr>
          <w:rFonts w:hint="eastAsia" w:ascii="Times New Roman" w:hAnsi="Times New Roman"/>
          <w:color w:val="000000"/>
          <w:sz w:val="24"/>
        </w:rPr>
        <w:t>181</w:t>
      </w:r>
      <w:r>
        <w:rPr>
          <w:rFonts w:ascii="Times New Roman" w:hAnsi="Times New Roman"/>
          <w:color w:val="000000"/>
          <w:sz w:val="24"/>
        </w:rPr>
        <w:t>hm</w:t>
      </w:r>
      <w:r>
        <w:rPr>
          <w:rFonts w:ascii="Times New Roman" w:hAnsi="Times New Roman"/>
          <w:color w:val="000000"/>
          <w:sz w:val="24"/>
          <w:vertAlign w:val="superscript"/>
        </w:rPr>
        <w:t>2</w:t>
      </w:r>
      <w:r>
        <w:rPr>
          <w:rFonts w:ascii="Times New Roman" w:hAnsi="Times New Roman"/>
          <w:color w:val="000000"/>
          <w:sz w:val="24"/>
        </w:rPr>
        <w:t>×76m</w:t>
      </w:r>
      <w:r>
        <w:rPr>
          <w:rFonts w:ascii="Times New Roman" w:hAnsi="Times New Roman"/>
          <w:color w:val="000000"/>
          <w:sz w:val="24"/>
          <w:vertAlign w:val="superscript"/>
        </w:rPr>
        <w:t>3</w:t>
      </w:r>
      <w:r>
        <w:rPr>
          <w:rFonts w:ascii="Times New Roman" w:hAnsi="Times New Roman"/>
          <w:color w:val="000000"/>
          <w:sz w:val="24"/>
        </w:rPr>
        <w:t>/hm</w:t>
      </w:r>
      <w:r>
        <w:rPr>
          <w:rFonts w:ascii="Times New Roman" w:hAnsi="Times New Roman"/>
          <w:color w:val="000000"/>
          <w:sz w:val="24"/>
          <w:vertAlign w:val="superscript"/>
        </w:rPr>
        <w:t>2</w:t>
      </w:r>
      <w:r>
        <w:rPr>
          <w:rFonts w:ascii="Times New Roman" w:hAnsi="Times New Roman"/>
          <w:color w:val="000000"/>
          <w:sz w:val="24"/>
        </w:rPr>
        <w:t>＝</w:t>
      </w:r>
      <w:r>
        <w:rPr>
          <w:rFonts w:hint="eastAsia" w:ascii="Times New Roman" w:hAnsi="Times New Roman"/>
          <w:color w:val="000000"/>
          <w:sz w:val="24"/>
        </w:rPr>
        <w:t>13756</w:t>
      </w:r>
      <w:r>
        <w:rPr>
          <w:rFonts w:ascii="Times New Roman" w:hAnsi="Times New Roman"/>
          <w:color w:val="000000"/>
          <w:sz w:val="24"/>
        </w:rPr>
        <w:t>m</w:t>
      </w:r>
      <w:r>
        <w:rPr>
          <w:rFonts w:ascii="Times New Roman" w:hAnsi="Times New Roman"/>
          <w:color w:val="000000"/>
          <w:sz w:val="24"/>
          <w:vertAlign w:val="superscript"/>
        </w:rPr>
        <w:t>3</w:t>
      </w:r>
      <w:r>
        <w:rPr>
          <w:rFonts w:ascii="Times New Roman" w:hAnsi="Times New Roman"/>
          <w:color w:val="000000"/>
          <w:sz w:val="24"/>
        </w:rPr>
        <w:t>，按木材容积率0.6计算，评价区森林总生物量约为</w:t>
      </w:r>
      <w:r>
        <w:rPr>
          <w:rFonts w:hint="eastAsia" w:ascii="Times New Roman" w:hAnsi="Times New Roman"/>
          <w:color w:val="000000"/>
          <w:sz w:val="24"/>
        </w:rPr>
        <w:t>8253.6</w:t>
      </w:r>
      <w:r>
        <w:rPr>
          <w:rFonts w:ascii="Times New Roman" w:hAnsi="Times New Roman"/>
          <w:color w:val="000000"/>
          <w:sz w:val="24"/>
        </w:rPr>
        <w:t>t。各评价区生物量数据表明，区域内林地主要为落叶阔叶林和灌木林，植被覆盖率较高，森林生长状态良好。</w:t>
      </w:r>
    </w:p>
    <w:p>
      <w:pPr>
        <w:spacing w:line="360" w:lineRule="auto"/>
        <w:outlineLvl w:val="0"/>
        <w:rPr>
          <w:rFonts w:ascii="Times New Roman" w:hAnsi="Times New Roman"/>
          <w:sz w:val="24"/>
          <w:szCs w:val="24"/>
        </w:rPr>
      </w:pPr>
      <w:bookmarkStart w:id="364" w:name="_Toc19389"/>
      <w:r>
        <w:rPr>
          <w:rFonts w:ascii="Times New Roman" w:hAnsi="Times New Roman"/>
          <w:sz w:val="24"/>
          <w:szCs w:val="24"/>
        </w:rPr>
        <w:t>4.</w:t>
      </w:r>
      <w:r>
        <w:rPr>
          <w:rFonts w:hint="eastAsia" w:ascii="Times New Roman" w:hAnsi="Times New Roman"/>
          <w:sz w:val="24"/>
          <w:szCs w:val="24"/>
        </w:rPr>
        <w:t>2.</w:t>
      </w:r>
      <w:r>
        <w:rPr>
          <w:rFonts w:ascii="Times New Roman" w:hAnsi="Times New Roman"/>
          <w:sz w:val="24"/>
          <w:szCs w:val="24"/>
        </w:rPr>
        <w:t>6.5野生动植物资源现状调查与评价</w:t>
      </w:r>
      <w:bookmarkEnd w:id="364"/>
    </w:p>
    <w:p>
      <w:pPr>
        <w:pStyle w:val="82"/>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（1）区域野生动物</w:t>
      </w:r>
    </w:p>
    <w:p>
      <w:pPr>
        <w:pStyle w:val="82"/>
        <w:adjustRightInd w:val="0"/>
        <w:snapToGrid w:val="0"/>
        <w:spacing w:line="360" w:lineRule="auto"/>
        <w:ind w:firstLine="480"/>
        <w:rPr>
          <w:rFonts w:ascii="Times New Roman" w:hAnsi="Times New Roman"/>
          <w:color w:val="000000"/>
          <w:sz w:val="24"/>
        </w:rPr>
      </w:pPr>
      <w:r>
        <w:rPr>
          <w:rFonts w:ascii="Times New Roman" w:hAnsi="Times New Roman"/>
          <w:color w:val="000000"/>
          <w:sz w:val="24"/>
        </w:rPr>
        <w:t>本工程位于吉林省长白山地的西南部，处在东北－西南走向的长白山山脉之间。其野生动物在全国的区划中属于东北区长白山地针阔混交林动物区，可分为山地苔原动物群、山地岳桦林动物群、针叶林动物群、针阔混交林动物群、阔叶杂木林动物群、森林草原草地动物群等。由于这里气候冷凉、湿润，动物主要以林栖型为主。鸟类以林栖鸟种类较多，大山雀、啄木鸟、大杜鹃等常见。两栖、爬行类动物种类不多，爬行类主要有白条草蜥、蝮蛇等。两栖类主要有中国林蛙、东方铃蟾等。</w:t>
      </w:r>
    </w:p>
    <w:p>
      <w:pPr>
        <w:pStyle w:val="82"/>
        <w:adjustRightInd w:val="0"/>
        <w:snapToGrid w:val="0"/>
        <w:spacing w:line="360" w:lineRule="auto"/>
        <w:ind w:firstLine="480"/>
        <w:rPr>
          <w:rFonts w:ascii="Times New Roman" w:hAnsi="Times New Roman"/>
          <w:color w:val="000000"/>
          <w:sz w:val="24"/>
        </w:rPr>
      </w:pPr>
      <w:r>
        <w:rPr>
          <w:rFonts w:ascii="Times New Roman" w:hAnsi="Times New Roman"/>
          <w:color w:val="000000"/>
          <w:sz w:val="24"/>
        </w:rPr>
        <w:t>由于近百年来人口的迅速增加、人为捕猎活动频繁，近村庄的人工林中大型野生动物较难见到，只有在远离村屯和交通不便的深山才偶可见到。</w:t>
      </w:r>
    </w:p>
    <w:p>
      <w:pPr>
        <w:pStyle w:val="82"/>
        <w:adjustRightInd w:val="0"/>
        <w:snapToGrid w:val="0"/>
        <w:spacing w:line="360" w:lineRule="auto"/>
        <w:ind w:firstLine="480" w:firstLineChars="200"/>
        <w:outlineLvl w:val="0"/>
        <w:rPr>
          <w:rFonts w:ascii="Times New Roman" w:hAnsi="Times New Roman"/>
          <w:color w:val="000000"/>
          <w:sz w:val="24"/>
        </w:rPr>
      </w:pPr>
      <w:r>
        <w:rPr>
          <w:rFonts w:ascii="Times New Roman" w:hAnsi="Times New Roman"/>
          <w:color w:val="000000"/>
          <w:sz w:val="24"/>
        </w:rPr>
        <w:t>（2）区域野生植物</w:t>
      </w:r>
    </w:p>
    <w:p>
      <w:pPr>
        <w:pStyle w:val="82"/>
        <w:adjustRightInd w:val="0"/>
        <w:snapToGrid w:val="0"/>
        <w:spacing w:line="360" w:lineRule="auto"/>
        <w:ind w:firstLine="480"/>
        <w:rPr>
          <w:rFonts w:ascii="Times New Roman" w:hAnsi="Times New Roman"/>
          <w:color w:val="000000"/>
          <w:sz w:val="24"/>
        </w:rPr>
      </w:pPr>
      <w:r>
        <w:rPr>
          <w:rFonts w:ascii="Times New Roman" w:hAnsi="Times New Roman"/>
          <w:color w:val="000000"/>
          <w:sz w:val="24"/>
        </w:rPr>
        <w:t>项目所处的地区植物种类丰富，但由于评价区内人类活动比较频繁，所能看见的野生动物相对较少，在较干环境中形成的灌丛以榛、胡枝子为主，灌木浓密，多为1～1.5m高，草本植被也较多，主要有委陵菜、龙牙草、地榆、天冬、万年蒿等；在较湿环境中，如：沟谷、阴坡等，灌木多为杨柳科植物，伴生茶条槭、稠李、山里红等、林下草本较多，主要有蚊子草、蓼、毛茛、地榆等。</w:t>
      </w:r>
    </w:p>
    <w:p>
      <w:pPr>
        <w:spacing w:line="360" w:lineRule="auto"/>
        <w:outlineLvl w:val="0"/>
        <w:rPr>
          <w:rFonts w:ascii="Times New Roman" w:hAnsi="Times New Roman"/>
          <w:sz w:val="24"/>
          <w:szCs w:val="24"/>
        </w:rPr>
      </w:pPr>
      <w:bookmarkStart w:id="365" w:name="_Toc18094"/>
      <w:r>
        <w:rPr>
          <w:rFonts w:ascii="Times New Roman" w:hAnsi="Times New Roman"/>
          <w:sz w:val="24"/>
          <w:szCs w:val="24"/>
        </w:rPr>
        <w:t>4.2.6.6区域生态环境现状综合评价</w:t>
      </w:r>
      <w:bookmarkEnd w:id="365"/>
    </w:p>
    <w:p>
      <w:pPr>
        <w:spacing w:line="360" w:lineRule="auto"/>
        <w:ind w:firstLine="520" w:firstLineChars="217"/>
        <w:rPr>
          <w:rFonts w:ascii="Times New Roman" w:hAnsi="Times New Roman"/>
          <w:color w:val="000000"/>
          <w:sz w:val="24"/>
        </w:rPr>
      </w:pPr>
      <w:r>
        <w:rPr>
          <w:rFonts w:ascii="Times New Roman" w:hAnsi="Times New Roman"/>
          <w:color w:val="000000"/>
          <w:sz w:val="24"/>
        </w:rPr>
        <w:t>根据项目区生态环境特征，进行现状环境综合评价，采用定性描述与定量相结合的方法进行。</w:t>
      </w:r>
    </w:p>
    <w:p>
      <w:pPr>
        <w:spacing w:line="360" w:lineRule="auto"/>
        <w:ind w:firstLine="520" w:firstLineChars="217"/>
        <w:outlineLvl w:val="0"/>
        <w:rPr>
          <w:rFonts w:ascii="Times New Roman" w:hAnsi="Times New Roman"/>
          <w:color w:val="000000"/>
          <w:sz w:val="24"/>
        </w:rPr>
      </w:pPr>
      <w:r>
        <w:rPr>
          <w:rFonts w:hint="eastAsia" w:ascii="Times New Roman" w:hAnsi="Times New Roman"/>
          <w:color w:val="000000"/>
          <w:sz w:val="24"/>
        </w:rPr>
        <w:t>（1）</w:t>
      </w:r>
      <w:r>
        <w:rPr>
          <w:rFonts w:ascii="Times New Roman" w:hAnsi="Times New Roman"/>
          <w:color w:val="000000"/>
          <w:sz w:val="24"/>
        </w:rPr>
        <w:t>生物多样性调查与评价</w:t>
      </w:r>
    </w:p>
    <w:p>
      <w:pPr>
        <w:spacing w:line="360" w:lineRule="auto"/>
        <w:ind w:firstLine="520" w:firstLineChars="217"/>
        <w:rPr>
          <w:rFonts w:ascii="Times New Roman" w:hAnsi="Times New Roman"/>
          <w:color w:val="000000"/>
          <w:sz w:val="24"/>
        </w:rPr>
      </w:pPr>
      <w:r>
        <w:rPr>
          <w:rFonts w:ascii="Times New Roman" w:hAnsi="Times New Roman"/>
          <w:color w:val="000000"/>
          <w:sz w:val="24"/>
        </w:rPr>
        <w:t>评价区以森林生态系统为主，森林植被基本以针阔叶混交林为主；动物以小型动物为主，主要为田鼠、蛙类、大山雀、山斑鸠、啄木鸟、麻雀、燕子、喜鹊等。</w:t>
      </w:r>
    </w:p>
    <w:p>
      <w:pPr>
        <w:spacing w:line="360" w:lineRule="auto"/>
        <w:ind w:firstLine="520" w:firstLineChars="217"/>
        <w:outlineLvl w:val="0"/>
        <w:rPr>
          <w:rFonts w:ascii="Times New Roman" w:hAnsi="Times New Roman"/>
          <w:color w:val="000000"/>
          <w:sz w:val="24"/>
        </w:rPr>
      </w:pPr>
      <w:r>
        <w:rPr>
          <w:rFonts w:hint="eastAsia" w:ascii="Times New Roman" w:hAnsi="Times New Roman"/>
          <w:color w:val="000000"/>
          <w:sz w:val="24"/>
        </w:rPr>
        <w:t>（2）</w:t>
      </w:r>
      <w:r>
        <w:rPr>
          <w:rFonts w:ascii="Times New Roman" w:hAnsi="Times New Roman"/>
          <w:color w:val="000000"/>
          <w:sz w:val="24"/>
        </w:rPr>
        <w:t>生态环境质量</w:t>
      </w:r>
    </w:p>
    <w:p>
      <w:pPr>
        <w:spacing w:line="360" w:lineRule="auto"/>
        <w:ind w:firstLine="520" w:firstLineChars="217"/>
        <w:rPr>
          <w:rFonts w:ascii="Times New Roman" w:hAnsi="Times New Roman"/>
          <w:color w:val="000000"/>
          <w:sz w:val="24"/>
        </w:rPr>
      </w:pPr>
      <w:r>
        <w:rPr>
          <w:rFonts w:ascii="Times New Roman" w:hAnsi="Times New Roman"/>
          <w:color w:val="000000"/>
          <w:sz w:val="24"/>
        </w:rPr>
        <w:t>评价区内主要生态系统为森林，按其生态系统整体结构与环境功能及生态系统属性的信息，确定生态环境质量评价要素，选择了森林覆盖率、植被覆盖率、水土流失面积比例等要素作为综合评价因子。对评价区内的生态系统的评价要素进行了调查，评价区域生态环境质量要素调查结果见</w:t>
      </w:r>
      <w:r>
        <w:rPr>
          <w:rFonts w:hint="eastAsia" w:ascii="Times New Roman" w:hAnsi="Times New Roman"/>
          <w:color w:val="000000"/>
          <w:sz w:val="24"/>
        </w:rPr>
        <w:t>下表</w:t>
      </w:r>
      <w:r>
        <w:rPr>
          <w:rFonts w:ascii="Times New Roman" w:hAnsi="Times New Roman"/>
          <w:color w:val="000000"/>
          <w:sz w:val="24"/>
        </w:rPr>
        <w:t>。</w:t>
      </w:r>
    </w:p>
    <w:p>
      <w:pPr>
        <w:jc w:val="center"/>
        <w:rPr>
          <w:rFonts w:ascii="Times New Roman" w:hAnsi="Times New Roman"/>
          <w:b/>
          <w:color w:val="000000"/>
          <w:sz w:val="24"/>
        </w:rPr>
      </w:pPr>
      <w:r>
        <w:rPr>
          <w:rFonts w:ascii="Times New Roman" w:hAnsi="Times New Roman"/>
          <w:b/>
          <w:color w:val="000000"/>
          <w:sz w:val="24"/>
        </w:rPr>
        <w:t>表4-</w:t>
      </w:r>
      <w:r>
        <w:rPr>
          <w:rFonts w:hint="eastAsia" w:ascii="Times New Roman" w:hAnsi="Times New Roman"/>
          <w:b/>
          <w:color w:val="000000"/>
          <w:sz w:val="24"/>
        </w:rPr>
        <w:t>14</w:t>
      </w:r>
      <w:r>
        <w:rPr>
          <w:rFonts w:ascii="Times New Roman" w:hAnsi="Times New Roman"/>
          <w:b/>
          <w:color w:val="000000"/>
          <w:sz w:val="24"/>
        </w:rPr>
        <w:t xml:space="preserve"> 评价区生态环境质量要素现状调查结果</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vAlign w:val="center"/>
          </w:tcPr>
          <w:p>
            <w:pPr>
              <w:jc w:val="center"/>
              <w:rPr>
                <w:rFonts w:ascii="Times New Roman" w:hAnsi="Times New Roman"/>
                <w:color w:val="000000"/>
                <w:szCs w:val="21"/>
              </w:rPr>
            </w:pPr>
            <w:r>
              <w:rPr>
                <w:rFonts w:ascii="Times New Roman" w:hAnsi="Times New Roman"/>
                <w:color w:val="000000"/>
                <w:szCs w:val="21"/>
              </w:rPr>
              <w:t>生态要素</w:t>
            </w:r>
          </w:p>
        </w:tc>
        <w:tc>
          <w:tcPr>
            <w:tcW w:w="4360" w:type="dxa"/>
            <w:vAlign w:val="center"/>
          </w:tcPr>
          <w:p>
            <w:pPr>
              <w:jc w:val="center"/>
              <w:rPr>
                <w:rFonts w:ascii="Times New Roman" w:hAnsi="Times New Roman"/>
                <w:color w:val="000000"/>
                <w:szCs w:val="21"/>
              </w:rPr>
            </w:pPr>
            <w:r>
              <w:rPr>
                <w:rFonts w:ascii="Times New Roman" w:hAnsi="Times New Roman"/>
                <w:color w:val="000000"/>
                <w:szCs w:val="21"/>
              </w:rPr>
              <w:t>评价区域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vAlign w:val="center"/>
          </w:tcPr>
          <w:p>
            <w:pPr>
              <w:jc w:val="center"/>
              <w:rPr>
                <w:rFonts w:ascii="Times New Roman" w:hAnsi="Times New Roman"/>
                <w:color w:val="000000"/>
                <w:szCs w:val="21"/>
              </w:rPr>
            </w:pPr>
            <w:r>
              <w:rPr>
                <w:rFonts w:ascii="Times New Roman" w:hAnsi="Times New Roman"/>
                <w:color w:val="000000"/>
                <w:szCs w:val="21"/>
              </w:rPr>
              <w:t>森林覆盖率（%）</w:t>
            </w:r>
          </w:p>
        </w:tc>
        <w:tc>
          <w:tcPr>
            <w:tcW w:w="4360" w:type="dxa"/>
            <w:vAlign w:val="center"/>
          </w:tcPr>
          <w:p>
            <w:pPr>
              <w:pStyle w:val="56"/>
              <w:rPr>
                <w:color w:val="000000"/>
                <w:kern w:val="2"/>
                <w:szCs w:val="21"/>
              </w:rPr>
            </w:pPr>
            <w:r>
              <w:rPr>
                <w:kern w:val="2"/>
                <w:szCs w:val="21"/>
              </w:rPr>
              <w:t>83.67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0" w:type="dxa"/>
            <w:vAlign w:val="center"/>
          </w:tcPr>
          <w:p>
            <w:pPr>
              <w:jc w:val="center"/>
              <w:rPr>
                <w:rFonts w:ascii="Times New Roman" w:hAnsi="Times New Roman"/>
                <w:color w:val="000000"/>
                <w:szCs w:val="21"/>
              </w:rPr>
            </w:pPr>
            <w:r>
              <w:rPr>
                <w:rFonts w:ascii="Times New Roman" w:hAnsi="Times New Roman"/>
                <w:color w:val="000000"/>
                <w:szCs w:val="21"/>
              </w:rPr>
              <w:t>植被覆盖率（%）</w:t>
            </w:r>
          </w:p>
        </w:tc>
        <w:tc>
          <w:tcPr>
            <w:tcW w:w="4360" w:type="dxa"/>
            <w:vAlign w:val="center"/>
          </w:tcPr>
          <w:p>
            <w:pPr>
              <w:pStyle w:val="56"/>
              <w:rPr>
                <w:color w:val="000000"/>
                <w:kern w:val="2"/>
                <w:szCs w:val="21"/>
              </w:rPr>
            </w:pPr>
            <w:r>
              <w:rPr>
                <w:kern w:val="2"/>
                <w:szCs w:val="21"/>
              </w:rPr>
              <w:t xml:space="preserve">90.2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vAlign w:val="center"/>
          </w:tcPr>
          <w:p>
            <w:pPr>
              <w:jc w:val="center"/>
              <w:rPr>
                <w:rFonts w:ascii="Times New Roman" w:hAnsi="Times New Roman"/>
                <w:color w:val="000000"/>
                <w:szCs w:val="21"/>
              </w:rPr>
            </w:pPr>
            <w:r>
              <w:rPr>
                <w:rFonts w:ascii="Times New Roman" w:hAnsi="Times New Roman"/>
                <w:color w:val="000000"/>
                <w:szCs w:val="21"/>
              </w:rPr>
              <w:t>水土流失面积比例（%）</w:t>
            </w:r>
          </w:p>
        </w:tc>
        <w:tc>
          <w:tcPr>
            <w:tcW w:w="4360" w:type="dxa"/>
            <w:vAlign w:val="center"/>
          </w:tcPr>
          <w:p>
            <w:pPr>
              <w:pStyle w:val="56"/>
              <w:rPr>
                <w:color w:val="000000"/>
                <w:kern w:val="2"/>
                <w:szCs w:val="21"/>
              </w:rPr>
            </w:pPr>
            <w:r>
              <w:rPr>
                <w:kern w:val="2"/>
                <w:szCs w:val="21"/>
              </w:rPr>
              <w:t>10</w:t>
            </w:r>
          </w:p>
        </w:tc>
      </w:tr>
    </w:tbl>
    <w:p>
      <w:pPr>
        <w:adjustRightInd w:val="0"/>
        <w:snapToGrid w:val="0"/>
        <w:spacing w:beforeLines="50" w:line="360" w:lineRule="auto"/>
        <w:ind w:firstLine="480" w:firstLineChars="200"/>
        <w:rPr>
          <w:rFonts w:ascii="Times New Roman" w:hAnsi="Times New Roman"/>
          <w:color w:val="000000"/>
          <w:sz w:val="24"/>
        </w:rPr>
      </w:pPr>
      <w:r>
        <w:rPr>
          <w:rFonts w:hint="eastAsia" w:ascii="Times New Roman" w:hAnsi="Times New Roman"/>
          <w:snapToGrid w:val="0"/>
          <w:color w:val="000000"/>
          <w:kern w:val="0"/>
          <w:sz w:val="24"/>
        </w:rPr>
        <w:t>（3）</w:t>
      </w:r>
      <w:r>
        <w:rPr>
          <w:rFonts w:ascii="Times New Roman" w:hAnsi="Times New Roman"/>
          <w:color w:val="000000"/>
          <w:sz w:val="24"/>
        </w:rPr>
        <w:t>评价方法</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通过各种生态因子在空间的布局和相互关系来反映生态功能状况，结果再按各生态因子的优劣程度分级给分，并按100分制对各生态特征赋值。生态系统质量EQ按下式计算：</w:t>
      </w:r>
    </w:p>
    <w:p>
      <w:pPr>
        <w:spacing w:line="360" w:lineRule="auto"/>
        <w:ind w:firstLine="480" w:firstLineChars="200"/>
        <w:jc w:val="center"/>
        <w:rPr>
          <w:rFonts w:ascii="Times New Roman" w:hAnsi="Times New Roman"/>
          <w:color w:val="000000"/>
          <w:sz w:val="24"/>
        </w:rPr>
      </w:pPr>
      <w:r>
        <w:rPr>
          <w:rFonts w:ascii="Times New Roman" w:hAnsi="Times New Roman"/>
          <w:color w:val="000000"/>
          <w:position w:val="-28"/>
          <w:sz w:val="24"/>
        </w:rPr>
        <w:drawing>
          <wp:inline distT="0" distB="0" distL="0" distR="0">
            <wp:extent cx="871220" cy="431165"/>
            <wp:effectExtent l="19050" t="0" r="0"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noChangeArrowheads="1"/>
                    </pic:cNvPicPr>
                  </pic:nvPicPr>
                  <pic:blipFill>
                    <a:blip r:embed="rId20" cstate="print"/>
                    <a:srcRect/>
                    <a:stretch>
                      <a:fillRect/>
                    </a:stretch>
                  </pic:blipFill>
                  <pic:spPr>
                    <a:xfrm>
                      <a:off x="0" y="0"/>
                      <a:ext cx="871220" cy="431165"/>
                    </a:xfrm>
                    <a:prstGeom prst="rect">
                      <a:avLst/>
                    </a:prstGeom>
                    <a:noFill/>
                    <a:ln w="9525" cmpd="sng">
                      <a:noFill/>
                      <a:miter lim="800000"/>
                      <a:headEnd/>
                      <a:tailEnd/>
                    </a:ln>
                  </pic:spPr>
                </pic:pic>
              </a:graphicData>
            </a:graphic>
          </wp:inline>
        </w:drawing>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式中：EQ－生态系统质量；</w:t>
      </w:r>
    </w:p>
    <w:p>
      <w:pPr>
        <w:adjustRightInd w:val="0"/>
        <w:snapToGrid w:val="0"/>
        <w:spacing w:line="360" w:lineRule="auto"/>
        <w:ind w:firstLine="1200" w:firstLineChars="500"/>
        <w:rPr>
          <w:rFonts w:ascii="Times New Roman" w:hAnsi="Times New Roman"/>
          <w:color w:val="000000"/>
          <w:sz w:val="24"/>
        </w:rPr>
      </w:pPr>
      <w:r>
        <w:rPr>
          <w:rFonts w:ascii="Times New Roman" w:hAnsi="Times New Roman"/>
          <w:color w:val="000000"/>
          <w:sz w:val="24"/>
        </w:rPr>
        <w:t>Ai－第i个生态特征的赋值；</w:t>
      </w:r>
    </w:p>
    <w:p>
      <w:pPr>
        <w:adjustRightInd w:val="0"/>
        <w:snapToGrid w:val="0"/>
        <w:spacing w:line="360" w:lineRule="auto"/>
        <w:ind w:firstLine="1200" w:firstLineChars="500"/>
        <w:rPr>
          <w:rFonts w:ascii="Times New Roman" w:hAnsi="Times New Roman"/>
          <w:color w:val="000000"/>
          <w:sz w:val="24"/>
        </w:rPr>
      </w:pPr>
      <w:r>
        <w:rPr>
          <w:rFonts w:ascii="Times New Roman" w:hAnsi="Times New Roman"/>
          <w:color w:val="000000"/>
          <w:sz w:val="24"/>
        </w:rPr>
        <w:t>N－参与评价的特征数。</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按EQ值将生态系统分为五级，其中一级100～70分，二级69～50分，三级49~30分，四级29～10分，五级9～0分。本次评价生态环境质量分级标准见</w:t>
      </w:r>
      <w:r>
        <w:rPr>
          <w:rFonts w:hint="eastAsia" w:ascii="Times New Roman" w:hAnsi="Times New Roman"/>
          <w:color w:val="000000"/>
          <w:sz w:val="24"/>
        </w:rPr>
        <w:t>下表</w:t>
      </w:r>
      <w:r>
        <w:rPr>
          <w:rFonts w:ascii="Times New Roman" w:hAnsi="Times New Roman"/>
          <w:color w:val="000000"/>
          <w:sz w:val="24"/>
        </w:rPr>
        <w:t>。</w:t>
      </w:r>
    </w:p>
    <w:p>
      <w:pPr>
        <w:jc w:val="center"/>
        <w:rPr>
          <w:rFonts w:ascii="Times New Roman" w:hAnsi="Times New Roman"/>
          <w:b/>
          <w:color w:val="000000"/>
          <w:sz w:val="24"/>
        </w:rPr>
      </w:pPr>
      <w:r>
        <w:rPr>
          <w:rFonts w:ascii="Times New Roman" w:hAnsi="Times New Roman"/>
          <w:b/>
          <w:color w:val="000000"/>
          <w:sz w:val="24"/>
        </w:rPr>
        <w:t>表4-1</w:t>
      </w:r>
      <w:r>
        <w:rPr>
          <w:rFonts w:hint="eastAsia" w:ascii="Times New Roman" w:hAnsi="Times New Roman"/>
          <w:b/>
          <w:color w:val="000000"/>
          <w:sz w:val="24"/>
        </w:rPr>
        <w:t>5</w:t>
      </w:r>
      <w:r>
        <w:rPr>
          <w:rFonts w:ascii="Times New Roman" w:hAnsi="Times New Roman"/>
          <w:b/>
          <w:color w:val="000000"/>
          <w:sz w:val="24"/>
        </w:rPr>
        <w:t xml:space="preserve"> 评价区生态环境质量要素现状调查结构</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262"/>
        <w:gridCol w:w="1262"/>
        <w:gridCol w:w="1262"/>
        <w:gridCol w:w="1262"/>
        <w:gridCol w:w="1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Align w:val="center"/>
          </w:tcPr>
          <w:p>
            <w:pPr>
              <w:jc w:val="center"/>
              <w:rPr>
                <w:rFonts w:ascii="Times New Roman" w:hAnsi="Times New Roman"/>
                <w:color w:val="000000"/>
                <w:szCs w:val="21"/>
              </w:rPr>
            </w:pPr>
            <w:r>
              <w:rPr>
                <w:rFonts w:ascii="Times New Roman" w:hAnsi="Times New Roman"/>
                <w:color w:val="000000"/>
                <w:szCs w:val="21"/>
              </w:rPr>
              <w:t>项目</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一级</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二级</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三级</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四级</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五级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Align w:val="center"/>
          </w:tcPr>
          <w:p>
            <w:pPr>
              <w:jc w:val="center"/>
              <w:rPr>
                <w:rFonts w:ascii="Times New Roman" w:hAnsi="Times New Roman"/>
                <w:color w:val="000000"/>
                <w:szCs w:val="21"/>
              </w:rPr>
            </w:pPr>
            <w:r>
              <w:rPr>
                <w:rFonts w:ascii="Times New Roman" w:hAnsi="Times New Roman"/>
                <w:color w:val="000000"/>
                <w:szCs w:val="21"/>
              </w:rPr>
              <w:t>森林覆盖率（%）</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＞50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41~50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30~40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21~30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Align w:val="center"/>
          </w:tcPr>
          <w:p>
            <w:pPr>
              <w:jc w:val="center"/>
              <w:rPr>
                <w:rFonts w:ascii="Times New Roman" w:hAnsi="Times New Roman"/>
                <w:color w:val="000000"/>
                <w:szCs w:val="21"/>
              </w:rPr>
            </w:pPr>
            <w:r>
              <w:rPr>
                <w:rFonts w:ascii="Times New Roman" w:hAnsi="Times New Roman"/>
                <w:color w:val="000000"/>
                <w:szCs w:val="21"/>
              </w:rPr>
              <w:t>植被覆盖率（%）</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＞90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80~89</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70~79</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50~69</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Align w:val="center"/>
          </w:tcPr>
          <w:p>
            <w:pPr>
              <w:jc w:val="center"/>
              <w:rPr>
                <w:rFonts w:ascii="Times New Roman" w:hAnsi="Times New Roman"/>
                <w:color w:val="000000"/>
                <w:szCs w:val="21"/>
              </w:rPr>
            </w:pPr>
            <w:r>
              <w:rPr>
                <w:rFonts w:ascii="Times New Roman" w:hAnsi="Times New Roman"/>
                <w:color w:val="000000"/>
                <w:szCs w:val="21"/>
              </w:rPr>
              <w:t>水土流失面积比例（%）</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＜10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10~20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21~24</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25~30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Align w:val="center"/>
          </w:tcPr>
          <w:p>
            <w:pPr>
              <w:jc w:val="center"/>
              <w:rPr>
                <w:rFonts w:ascii="Times New Roman" w:hAnsi="Times New Roman"/>
                <w:color w:val="000000"/>
                <w:szCs w:val="21"/>
              </w:rPr>
            </w:pPr>
            <w:r>
              <w:rPr>
                <w:rFonts w:ascii="Times New Roman" w:hAnsi="Times New Roman"/>
                <w:color w:val="000000"/>
                <w:szCs w:val="21"/>
              </w:rPr>
              <w:t>评价分值</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100~70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69~50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49~30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29~10</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9~0</w:t>
            </w:r>
          </w:p>
        </w:tc>
      </w:tr>
    </w:tbl>
    <w:p>
      <w:pPr>
        <w:adjustRightInd w:val="0"/>
        <w:snapToGrid w:val="0"/>
        <w:spacing w:beforeLines="50" w:line="360" w:lineRule="auto"/>
        <w:ind w:firstLine="480" w:firstLineChars="200"/>
        <w:rPr>
          <w:rFonts w:ascii="Times New Roman" w:hAnsi="Times New Roman"/>
          <w:color w:val="000000"/>
          <w:sz w:val="24"/>
        </w:rPr>
      </w:pPr>
      <w:r>
        <w:rPr>
          <w:rFonts w:ascii="Times New Roman" w:hAnsi="Times New Roman"/>
          <w:color w:val="000000"/>
          <w:sz w:val="24"/>
        </w:rPr>
        <w:t>表中的一级生态环境质量处于良性循环，属优级；二级生态环境质量处于较好状态，属良级；三级处于中等，一般无山地灾害；四级生态环境已经出现问题，局部区域有山地自然灾害发生，属差级；五级生态环境质量问题已经非常严重，山地灾害频繁发生，完全处于恶性循环之中，属劣级。</w:t>
      </w:r>
    </w:p>
    <w:p>
      <w:pPr>
        <w:adjustRightInd w:val="0"/>
        <w:snapToGrid w:val="0"/>
        <w:spacing w:line="360" w:lineRule="auto"/>
        <w:ind w:firstLine="480" w:firstLineChars="200"/>
        <w:outlineLvl w:val="0"/>
        <w:rPr>
          <w:rFonts w:ascii="Times New Roman" w:hAnsi="Times New Roman"/>
          <w:color w:val="000000"/>
          <w:sz w:val="24"/>
        </w:rPr>
      </w:pPr>
      <w:r>
        <w:rPr>
          <w:rFonts w:hint="eastAsia" w:ascii="Times New Roman" w:hAnsi="Times New Roman"/>
          <w:snapToGrid w:val="0"/>
          <w:color w:val="000000"/>
          <w:kern w:val="0"/>
          <w:sz w:val="24"/>
        </w:rPr>
        <w:t>（4）</w:t>
      </w:r>
      <w:r>
        <w:rPr>
          <w:rFonts w:ascii="Times New Roman" w:hAnsi="Times New Roman"/>
          <w:color w:val="000000"/>
          <w:sz w:val="24"/>
        </w:rPr>
        <w:t>评价结果分析</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根据公式计算的生态环境质量及评价结果见</w:t>
      </w:r>
      <w:r>
        <w:rPr>
          <w:rFonts w:hint="eastAsia" w:ascii="Times New Roman" w:hAnsi="Times New Roman"/>
          <w:color w:val="000000"/>
          <w:sz w:val="24"/>
        </w:rPr>
        <w:t>下表</w:t>
      </w:r>
      <w:r>
        <w:rPr>
          <w:rFonts w:ascii="Times New Roman" w:hAnsi="Times New Roman"/>
          <w:color w:val="000000"/>
          <w:sz w:val="24"/>
        </w:rPr>
        <w:t>。</w:t>
      </w:r>
    </w:p>
    <w:p>
      <w:pPr>
        <w:jc w:val="center"/>
        <w:rPr>
          <w:rFonts w:ascii="Times New Roman" w:hAnsi="Times New Roman"/>
          <w:b/>
          <w:color w:val="000000"/>
          <w:sz w:val="24"/>
        </w:rPr>
      </w:pPr>
      <w:r>
        <w:rPr>
          <w:rFonts w:ascii="Times New Roman" w:hAnsi="Times New Roman"/>
          <w:b/>
          <w:color w:val="000000"/>
          <w:sz w:val="24"/>
        </w:rPr>
        <w:t>表4-</w:t>
      </w:r>
      <w:r>
        <w:rPr>
          <w:rFonts w:hint="eastAsia" w:ascii="Times New Roman" w:hAnsi="Times New Roman"/>
          <w:b/>
          <w:color w:val="000000"/>
          <w:sz w:val="24"/>
        </w:rPr>
        <w:t>16</w:t>
      </w:r>
      <w:r>
        <w:rPr>
          <w:rFonts w:ascii="Times New Roman" w:hAnsi="Times New Roman"/>
          <w:b/>
          <w:color w:val="000000"/>
          <w:sz w:val="24"/>
        </w:rPr>
        <w:t xml:space="preserve"> 生态环境质量评价结果</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vAlign w:val="center"/>
          </w:tcPr>
          <w:p>
            <w:pPr>
              <w:jc w:val="center"/>
              <w:rPr>
                <w:rFonts w:ascii="Times New Roman" w:hAnsi="Times New Roman"/>
                <w:color w:val="000000"/>
                <w:szCs w:val="21"/>
              </w:rPr>
            </w:pPr>
          </w:p>
        </w:tc>
        <w:tc>
          <w:tcPr>
            <w:tcW w:w="4360" w:type="dxa"/>
            <w:vAlign w:val="center"/>
          </w:tcPr>
          <w:p>
            <w:pPr>
              <w:jc w:val="center"/>
              <w:rPr>
                <w:rFonts w:ascii="Times New Roman" w:hAnsi="Times New Roman"/>
                <w:color w:val="000000"/>
                <w:szCs w:val="21"/>
              </w:rPr>
            </w:pPr>
            <w:r>
              <w:rPr>
                <w:rFonts w:ascii="Times New Roman" w:hAnsi="Times New Roman"/>
                <w:color w:val="000000"/>
                <w:szCs w:val="21"/>
              </w:rPr>
              <w:t>评价区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vAlign w:val="center"/>
          </w:tcPr>
          <w:p>
            <w:pPr>
              <w:jc w:val="center"/>
              <w:rPr>
                <w:rFonts w:ascii="Times New Roman" w:hAnsi="Times New Roman"/>
                <w:color w:val="000000"/>
                <w:szCs w:val="21"/>
              </w:rPr>
            </w:pPr>
            <w:r>
              <w:rPr>
                <w:rFonts w:ascii="Times New Roman" w:hAnsi="Times New Roman"/>
                <w:color w:val="000000"/>
                <w:szCs w:val="21"/>
              </w:rPr>
              <w:t>EQ值</w:t>
            </w:r>
          </w:p>
        </w:tc>
        <w:tc>
          <w:tcPr>
            <w:tcW w:w="4360" w:type="dxa"/>
          </w:tcPr>
          <w:p>
            <w:pPr>
              <w:jc w:val="center"/>
              <w:rPr>
                <w:rFonts w:ascii="Times New Roman" w:hAnsi="Times New Roman"/>
                <w:color w:val="000000"/>
                <w:szCs w:val="21"/>
              </w:rPr>
            </w:pPr>
            <w:r>
              <w:rPr>
                <w:rFonts w:hint="eastAsia" w:ascii="Times New Roman" w:hAnsi="Times New Roman"/>
                <w:color w:val="000000"/>
                <w:szCs w:val="21"/>
              </w:rPr>
              <w:t>61.29</w:t>
            </w:r>
            <w:r>
              <w:rPr>
                <w:rFonts w:ascii="Times New Roman" w:hAnsi="Times New Roman"/>
                <w:color w:val="000000"/>
                <w:szCs w:val="21"/>
              </w:rPr>
              <w:t>【（</w:t>
            </w:r>
            <w:r>
              <w:rPr>
                <w:rFonts w:hint="eastAsia" w:ascii="Times New Roman" w:hAnsi="Times New Roman"/>
                <w:color w:val="000000"/>
                <w:szCs w:val="21"/>
              </w:rPr>
              <w:t>83.67</w:t>
            </w:r>
            <w:r>
              <w:rPr>
                <w:rFonts w:ascii="Times New Roman" w:hAnsi="Times New Roman"/>
                <w:color w:val="000000"/>
                <w:szCs w:val="21"/>
              </w:rPr>
              <w:t>+</w:t>
            </w:r>
            <w:r>
              <w:rPr>
                <w:rFonts w:hint="eastAsia" w:ascii="Times New Roman" w:hAnsi="Times New Roman"/>
                <w:color w:val="000000"/>
                <w:szCs w:val="21"/>
              </w:rPr>
              <w:t>90.2</w:t>
            </w:r>
            <w:r>
              <w:rPr>
                <w:rFonts w:ascii="Times New Roman" w:hAnsi="Times New Roman"/>
                <w:color w:val="000000"/>
                <w:szCs w:val="21"/>
              </w:rPr>
              <w:t>+</w:t>
            </w:r>
            <w:r>
              <w:rPr>
                <w:rFonts w:hint="eastAsia" w:ascii="Times New Roman" w:hAnsi="Times New Roman"/>
                <w:color w:val="000000"/>
                <w:szCs w:val="21"/>
              </w:rPr>
              <w:t>10</w:t>
            </w:r>
            <w:r>
              <w:rPr>
                <w:rFonts w:ascii="Times New Roman" w:hAnsi="Times New Roman"/>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vAlign w:val="center"/>
          </w:tcPr>
          <w:p>
            <w:pPr>
              <w:jc w:val="center"/>
              <w:rPr>
                <w:rFonts w:ascii="Times New Roman" w:hAnsi="Times New Roman"/>
                <w:color w:val="000000"/>
                <w:szCs w:val="21"/>
              </w:rPr>
            </w:pPr>
            <w:r>
              <w:rPr>
                <w:rFonts w:ascii="Times New Roman" w:hAnsi="Times New Roman"/>
                <w:color w:val="000000"/>
                <w:szCs w:val="21"/>
              </w:rPr>
              <w:t>等级</w:t>
            </w:r>
          </w:p>
        </w:tc>
        <w:tc>
          <w:tcPr>
            <w:tcW w:w="4360" w:type="dxa"/>
          </w:tcPr>
          <w:p>
            <w:pPr>
              <w:jc w:val="center"/>
              <w:rPr>
                <w:rFonts w:ascii="Times New Roman" w:hAnsi="Times New Roman"/>
                <w:color w:val="000000"/>
                <w:szCs w:val="21"/>
              </w:rPr>
            </w:pPr>
            <w:r>
              <w:rPr>
                <w:rFonts w:hint="eastAsia" w:ascii="Times New Roman" w:hAnsi="Times New Roman"/>
                <w:color w:val="000000"/>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60" w:type="dxa"/>
            <w:vAlign w:val="center"/>
          </w:tcPr>
          <w:p>
            <w:pPr>
              <w:jc w:val="center"/>
              <w:rPr>
                <w:rFonts w:ascii="Times New Roman" w:hAnsi="Times New Roman"/>
                <w:color w:val="000000"/>
                <w:szCs w:val="21"/>
              </w:rPr>
            </w:pPr>
            <w:r>
              <w:rPr>
                <w:rFonts w:ascii="Times New Roman" w:hAnsi="Times New Roman"/>
                <w:color w:val="000000"/>
                <w:szCs w:val="21"/>
              </w:rPr>
              <w:t>评价结果</w:t>
            </w:r>
          </w:p>
        </w:tc>
        <w:tc>
          <w:tcPr>
            <w:tcW w:w="4360" w:type="dxa"/>
          </w:tcPr>
          <w:p>
            <w:pPr>
              <w:jc w:val="center"/>
              <w:rPr>
                <w:rFonts w:ascii="Times New Roman" w:hAnsi="Times New Roman"/>
                <w:color w:val="000000"/>
                <w:szCs w:val="21"/>
              </w:rPr>
            </w:pPr>
            <w:r>
              <w:rPr>
                <w:rFonts w:ascii="Times New Roman" w:hAnsi="Times New Roman"/>
                <w:color w:val="000000"/>
                <w:szCs w:val="21"/>
              </w:rPr>
              <w:t>生态环境质量良好</w:t>
            </w:r>
          </w:p>
        </w:tc>
      </w:tr>
    </w:tbl>
    <w:p>
      <w:pPr>
        <w:autoSpaceDE w:val="0"/>
        <w:autoSpaceDN w:val="0"/>
        <w:adjustRightInd w:val="0"/>
        <w:spacing w:line="360" w:lineRule="auto"/>
        <w:ind w:firstLine="480"/>
        <w:jc w:val="left"/>
        <w:rPr>
          <w:rFonts w:ascii="Times New Roman" w:hAnsi="Times New Roman"/>
          <w:color w:val="000000"/>
          <w:sz w:val="24"/>
        </w:rPr>
      </w:pPr>
      <w:r>
        <w:rPr>
          <w:rFonts w:ascii="Times New Roman" w:hAnsi="Times New Roman"/>
          <w:color w:val="000000"/>
          <w:sz w:val="24"/>
        </w:rPr>
        <w:t>综合评价结果表明，区域内林地主要为落叶阔叶林和灌木林，植被覆盖率较高，因此，评价区总体生态环境质量</w:t>
      </w:r>
      <w:r>
        <w:rPr>
          <w:rFonts w:hint="eastAsia" w:ascii="Times New Roman" w:hAnsi="Times New Roman"/>
          <w:color w:val="000000"/>
          <w:sz w:val="24"/>
        </w:rPr>
        <w:t>属于良好</w:t>
      </w:r>
      <w:r>
        <w:rPr>
          <w:rFonts w:ascii="Times New Roman" w:hAnsi="Times New Roman"/>
          <w:color w:val="000000"/>
          <w:sz w:val="24"/>
        </w:rPr>
        <w:t>。</w:t>
      </w:r>
    </w:p>
    <w:p>
      <w:pPr>
        <w:adjustRightInd w:val="0"/>
        <w:snapToGrid w:val="0"/>
        <w:spacing w:line="360" w:lineRule="auto"/>
        <w:jc w:val="center"/>
        <w:rPr>
          <w:rFonts w:ascii="Times New Roman" w:hAnsi="Times New Roman"/>
          <w:b/>
          <w:bCs/>
          <w:sz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Pr>
        <w:pStyle w:val="2"/>
        <w:rPr>
          <w:rFonts w:ascii="Times New Roman" w:hAnsi="Times New Roman"/>
          <w:color w:val="000000"/>
          <w:sz w:val="24"/>
          <w:szCs w:val="24"/>
        </w:rPr>
      </w:pPr>
    </w:p>
    <w:p/>
    <w:p>
      <w:pPr>
        <w:pStyle w:val="3"/>
        <w:spacing w:beforeLines="150" w:beforeAutospacing="0" w:afterLines="150" w:afterAutospacing="0" w:line="360" w:lineRule="auto"/>
      </w:pPr>
      <w:bookmarkStart w:id="366" w:name="_Toc10377"/>
      <w:bookmarkStart w:id="367" w:name="_Toc25380"/>
      <w:bookmarkStart w:id="368" w:name="_Toc19147"/>
      <w:r>
        <w:rPr>
          <w:rFonts w:hint="eastAsia"/>
        </w:rPr>
        <w:t>第五章 环境影响分析</w:t>
      </w:r>
      <w:bookmarkEnd w:id="366"/>
      <w:bookmarkEnd w:id="367"/>
      <w:bookmarkEnd w:id="368"/>
    </w:p>
    <w:p>
      <w:pPr>
        <w:pStyle w:val="4"/>
        <w:rPr>
          <w:rFonts w:ascii="Times New Roman" w:hAnsi="Times New Roman" w:eastAsia="宋体"/>
        </w:rPr>
      </w:pPr>
      <w:bookmarkStart w:id="369" w:name="_Toc11540"/>
      <w:bookmarkStart w:id="370" w:name="_Toc21464"/>
      <w:bookmarkStart w:id="371" w:name="_Toc20116"/>
      <w:r>
        <w:rPr>
          <w:rFonts w:ascii="Times New Roman" w:hAnsi="Times New Roman" w:eastAsia="宋体"/>
        </w:rPr>
        <w:t>5.1施工期大气环境影响分析</w:t>
      </w:r>
      <w:bookmarkEnd w:id="369"/>
      <w:bookmarkEnd w:id="370"/>
      <w:bookmarkEnd w:id="371"/>
    </w:p>
    <w:p>
      <w:pPr>
        <w:pStyle w:val="5"/>
        <w:spacing w:before="0" w:after="0" w:line="360" w:lineRule="auto"/>
        <w:rPr>
          <w:sz w:val="24"/>
          <w:szCs w:val="24"/>
        </w:rPr>
      </w:pPr>
      <w:bookmarkStart w:id="372" w:name="_Toc23546"/>
      <w:bookmarkStart w:id="373" w:name="_Toc15104"/>
      <w:bookmarkStart w:id="374" w:name="_Toc30800"/>
      <w:r>
        <w:rPr>
          <w:sz w:val="24"/>
          <w:szCs w:val="24"/>
        </w:rPr>
        <w:t>5.1.1</w:t>
      </w:r>
      <w:r>
        <w:rPr>
          <w:rFonts w:hint="eastAsia"/>
          <w:sz w:val="24"/>
          <w:szCs w:val="24"/>
        </w:rPr>
        <w:t>施工期大气环境影响分析</w:t>
      </w:r>
      <w:bookmarkEnd w:id="372"/>
      <w:bookmarkEnd w:id="373"/>
      <w:bookmarkEnd w:id="374"/>
    </w:p>
    <w:p>
      <w:pPr>
        <w:spacing w:line="360" w:lineRule="auto"/>
        <w:ind w:firstLine="480" w:firstLineChars="200"/>
        <w:rPr>
          <w:rFonts w:ascii="Times New Roman" w:hAnsi="Times New Roman"/>
          <w:sz w:val="24"/>
          <w:szCs w:val="21"/>
        </w:rPr>
      </w:pPr>
      <w:r>
        <w:rPr>
          <w:rFonts w:ascii="Times New Roman" w:hAnsi="Times New Roman"/>
          <w:sz w:val="24"/>
          <w:szCs w:val="21"/>
        </w:rPr>
        <w:t>（1）施工扬尘</w:t>
      </w:r>
    </w:p>
    <w:p>
      <w:pPr>
        <w:spacing w:line="360" w:lineRule="auto"/>
        <w:ind w:firstLine="480" w:firstLineChars="200"/>
        <w:rPr>
          <w:rFonts w:ascii="Times New Roman" w:hAnsi="Times New Roman"/>
          <w:sz w:val="24"/>
          <w:szCs w:val="21"/>
        </w:rPr>
      </w:pPr>
      <w:r>
        <w:rPr>
          <w:rFonts w:hint="eastAsia" w:ascii="Times New Roman" w:hAnsi="Times New Roman"/>
          <w:color w:val="FF0000"/>
          <w:sz w:val="24"/>
        </w:rPr>
        <w:t>本次扩建项目主要施工内容为尾矿库现有尾矿库尾渣清运以及扩建和压滤间建设</w:t>
      </w:r>
      <w:r>
        <w:rPr>
          <w:rFonts w:ascii="Times New Roman" w:hAnsi="Times New Roman"/>
          <w:sz w:val="24"/>
          <w:szCs w:val="21"/>
        </w:rPr>
        <w:t>，在施工场地将产生施工扬尘和粉尘</w:t>
      </w:r>
      <w:r>
        <w:rPr>
          <w:rFonts w:hint="eastAsia" w:ascii="Times New Roman" w:hAnsi="Times New Roman"/>
          <w:sz w:val="24"/>
        </w:rPr>
        <w:t>。</w:t>
      </w:r>
      <w:r>
        <w:rPr>
          <w:rFonts w:ascii="Times New Roman" w:hAnsi="Times New Roman"/>
          <w:sz w:val="24"/>
          <w:szCs w:val="21"/>
        </w:rPr>
        <w:t>上述粉尘在经过洒水降尘措施后，对区域环境空气影响较小；地表土石方开挖中产生的粉尘，建设单位拟采取洒水降尘的措施进行治理，效果比较明显，降尘效率在31～80％之间，平均可降尘50％左右，其粉尘排放对区域环境空气影响不大，且随着施工期的结束，上述影响也随之结束。</w:t>
      </w:r>
      <w:r>
        <w:rPr>
          <w:rFonts w:hint="eastAsia" w:ascii="Times New Roman" w:hAnsi="Times New Roman"/>
          <w:sz w:val="24"/>
          <w:szCs w:val="21"/>
        </w:rPr>
        <w:t>对项目南侧10m处西南岔河影响较小。</w:t>
      </w:r>
    </w:p>
    <w:p>
      <w:pPr>
        <w:spacing w:line="360" w:lineRule="auto"/>
        <w:ind w:firstLine="480" w:firstLineChars="200"/>
        <w:outlineLvl w:val="0"/>
        <w:rPr>
          <w:rFonts w:ascii="Times New Roman" w:hAnsi="Times New Roman"/>
          <w:sz w:val="24"/>
          <w:szCs w:val="21"/>
        </w:rPr>
      </w:pPr>
      <w:r>
        <w:rPr>
          <w:rFonts w:ascii="Times New Roman" w:hAnsi="Times New Roman"/>
          <w:sz w:val="24"/>
          <w:szCs w:val="21"/>
        </w:rPr>
        <w:t>（2）车辆尾气及运输扬尘</w:t>
      </w:r>
    </w:p>
    <w:p>
      <w:pPr>
        <w:spacing w:line="360" w:lineRule="auto"/>
        <w:ind w:firstLine="480" w:firstLineChars="200"/>
        <w:rPr>
          <w:rFonts w:ascii="Times New Roman" w:hAnsi="Times New Roman"/>
          <w:sz w:val="24"/>
          <w:szCs w:val="21"/>
        </w:rPr>
      </w:pPr>
      <w:r>
        <w:rPr>
          <w:rFonts w:hint="eastAsia" w:ascii="Times New Roman" w:hAnsi="Times New Roman"/>
          <w:color w:val="FF0000"/>
          <w:sz w:val="24"/>
        </w:rPr>
        <w:t>本项目施工期现有尾渣需清运13万t，</w:t>
      </w:r>
      <w:r>
        <w:rPr>
          <w:rFonts w:ascii="Times New Roman" w:hAnsi="Times New Roman"/>
          <w:color w:val="FF0000"/>
          <w:sz w:val="24"/>
        </w:rPr>
        <w:t>车辆排放的尾气比较集中</w:t>
      </w:r>
      <w:r>
        <w:rPr>
          <w:rFonts w:ascii="Times New Roman" w:hAnsi="Times New Roman"/>
          <w:sz w:val="24"/>
          <w:szCs w:val="21"/>
        </w:rPr>
        <w:t>。针对上述影响，企业拟采取加强施工车辆管理，定期维护和施工运输车辆上部加盖苫布和洒水降尘的措施，可有效减少施工车辆汽车尾气和运输扬尘对周围环境空气的影响。</w:t>
      </w:r>
    </w:p>
    <w:p>
      <w:pPr>
        <w:spacing w:line="360" w:lineRule="auto"/>
        <w:ind w:firstLine="480" w:firstLineChars="200"/>
        <w:rPr>
          <w:rFonts w:ascii="Times New Roman" w:hAnsi="Times New Roman"/>
          <w:sz w:val="24"/>
          <w:szCs w:val="21"/>
        </w:rPr>
      </w:pPr>
      <w:r>
        <w:rPr>
          <w:rFonts w:ascii="Times New Roman" w:hAnsi="Times New Roman"/>
          <w:bCs/>
          <w:sz w:val="24"/>
          <w:szCs w:val="21"/>
        </w:rPr>
        <w:t>另外，</w:t>
      </w:r>
      <w:r>
        <w:rPr>
          <w:rFonts w:ascii="Times New Roman" w:hAnsi="Times New Roman"/>
          <w:sz w:val="24"/>
        </w:rPr>
        <w:t>评价要求企业施工机械设备采用高标号燃油，降低烟气产生浓度及产生量，确保排放的烟气中主要污染物排放浓度满足《非道路移动机械用柴油机排气污染物排放限值及测量方法（中国第三、四阶段）》（GB20891-2014）中排放限值要求；并加强对运输车辆的维修与养护，使其处于良好的运行状态。</w:t>
      </w:r>
    </w:p>
    <w:p>
      <w:pPr>
        <w:pStyle w:val="5"/>
        <w:spacing w:before="0" w:after="0" w:line="360" w:lineRule="auto"/>
        <w:rPr>
          <w:sz w:val="24"/>
          <w:szCs w:val="24"/>
        </w:rPr>
      </w:pPr>
      <w:bookmarkStart w:id="375" w:name="_Toc28518"/>
      <w:bookmarkStart w:id="376" w:name="_Toc23923"/>
      <w:bookmarkStart w:id="377" w:name="_Toc23413"/>
      <w:r>
        <w:rPr>
          <w:sz w:val="24"/>
          <w:szCs w:val="24"/>
        </w:rPr>
        <w:t>5.1.</w:t>
      </w:r>
      <w:r>
        <w:rPr>
          <w:rFonts w:hint="eastAsia"/>
          <w:sz w:val="24"/>
          <w:szCs w:val="24"/>
        </w:rPr>
        <w:t>2施工期地表水环境影响分析</w:t>
      </w:r>
      <w:bookmarkEnd w:id="375"/>
      <w:bookmarkEnd w:id="376"/>
      <w:bookmarkEnd w:id="377"/>
    </w:p>
    <w:p>
      <w:pPr>
        <w:spacing w:line="360" w:lineRule="auto"/>
        <w:ind w:firstLine="480" w:firstLineChars="200"/>
        <w:rPr>
          <w:rFonts w:ascii="Times New Roman" w:hAnsi="Times New Roman"/>
          <w:sz w:val="24"/>
        </w:rPr>
      </w:pPr>
      <w:r>
        <w:rPr>
          <w:rFonts w:ascii="Times New Roman" w:hAnsi="Times New Roman"/>
          <w:sz w:val="24"/>
        </w:rPr>
        <w:t>（1）生产废水</w:t>
      </w:r>
    </w:p>
    <w:p>
      <w:pPr>
        <w:spacing w:line="360" w:lineRule="auto"/>
        <w:ind w:firstLine="480" w:firstLineChars="200"/>
        <w:rPr>
          <w:rFonts w:ascii="Times New Roman" w:hAnsi="Times New Roman"/>
          <w:sz w:val="24"/>
        </w:rPr>
      </w:pPr>
      <w:r>
        <w:rPr>
          <w:rFonts w:ascii="Times New Roman" w:hAnsi="Times New Roman"/>
          <w:sz w:val="24"/>
        </w:rPr>
        <w:t>施工生产废水主要产生于砂石料生产系统、施工机械车轮冲洗废水。砂石料生产废水水质较为浑浊，</w:t>
      </w:r>
      <w:r>
        <w:rPr>
          <w:rFonts w:ascii="Times New Roman" w:hAnsi="Times New Roman"/>
          <w:snapToGrid w:val="0"/>
          <w:sz w:val="24"/>
        </w:rPr>
        <w:t>产生量约为10t/d，</w:t>
      </w:r>
      <w:r>
        <w:rPr>
          <w:rFonts w:ascii="Times New Roman" w:hAnsi="Times New Roman"/>
          <w:sz w:val="24"/>
        </w:rPr>
        <w:t>如果不加处理，将浪费水资源且污染环境。机械车辆维修冲洗废水中主要含泥沙，废水</w:t>
      </w:r>
      <w:r>
        <w:rPr>
          <w:rFonts w:ascii="Times New Roman" w:hAnsi="Times New Roman"/>
          <w:snapToGrid w:val="0"/>
          <w:sz w:val="24"/>
        </w:rPr>
        <w:t>产生量约为2t/d，</w:t>
      </w:r>
      <w:r>
        <w:rPr>
          <w:rFonts w:ascii="Times New Roman" w:hAnsi="Times New Roman"/>
          <w:sz w:val="24"/>
        </w:rPr>
        <w:t>其主要污染控制指标为SS，需经沉淀处理。各施工区废水中COD产生浓度为: 280mg/l；BOD</w:t>
      </w:r>
      <w:r>
        <w:rPr>
          <w:rFonts w:ascii="Times New Roman" w:hAnsi="Times New Roman"/>
          <w:sz w:val="24"/>
          <w:vertAlign w:val="subscript"/>
        </w:rPr>
        <w:t>5</w:t>
      </w:r>
      <w:r>
        <w:rPr>
          <w:rFonts w:ascii="Times New Roman" w:hAnsi="Times New Roman"/>
          <w:sz w:val="24"/>
        </w:rPr>
        <w:t>的产生浓度为180mg/l；SS的产生浓度为500mg/l。采用沉淀的处理方案，生产废水经处理后回用；产生的污泥回填于施工场地内，经采取以上治理措施后对</w:t>
      </w:r>
      <w:r>
        <w:rPr>
          <w:rFonts w:hint="eastAsia" w:ascii="Times New Roman" w:hAnsi="Times New Roman"/>
          <w:sz w:val="24"/>
        </w:rPr>
        <w:t>项目南侧10m西南岔河</w:t>
      </w:r>
      <w:r>
        <w:rPr>
          <w:rFonts w:ascii="Times New Roman" w:hAnsi="Times New Roman"/>
          <w:sz w:val="24"/>
        </w:rPr>
        <w:t>的影响较小。</w:t>
      </w:r>
    </w:p>
    <w:p>
      <w:pPr>
        <w:spacing w:line="360" w:lineRule="auto"/>
        <w:ind w:firstLine="480" w:firstLineChars="200"/>
        <w:outlineLvl w:val="0"/>
        <w:rPr>
          <w:rFonts w:ascii="Times New Roman" w:hAnsi="Times New Roman"/>
          <w:sz w:val="24"/>
        </w:rPr>
      </w:pPr>
      <w:r>
        <w:rPr>
          <w:rFonts w:ascii="Times New Roman" w:hAnsi="Times New Roman"/>
          <w:sz w:val="24"/>
        </w:rPr>
        <w:t>（2）施工生活污水</w:t>
      </w:r>
    </w:p>
    <w:p>
      <w:pPr>
        <w:spacing w:line="360" w:lineRule="auto"/>
        <w:ind w:firstLine="480" w:firstLineChars="200"/>
        <w:rPr>
          <w:rFonts w:ascii="Times New Roman" w:hAnsi="Times New Roman"/>
          <w:sz w:val="24"/>
        </w:rPr>
      </w:pPr>
      <w:r>
        <w:rPr>
          <w:rFonts w:ascii="Times New Roman" w:hAnsi="Times New Roman"/>
          <w:sz w:val="24"/>
        </w:rPr>
        <w:t>施工生活污水来自施工期进场的管理人员和施工人员。生活污水的主要污染控制指标是BOD</w:t>
      </w:r>
      <w:r>
        <w:rPr>
          <w:rFonts w:ascii="Times New Roman" w:hAnsi="Times New Roman"/>
          <w:sz w:val="24"/>
          <w:vertAlign w:val="subscript"/>
        </w:rPr>
        <w:t>5</w:t>
      </w:r>
      <w:r>
        <w:rPr>
          <w:rFonts w:ascii="Times New Roman" w:hAnsi="Times New Roman"/>
          <w:sz w:val="24"/>
        </w:rPr>
        <w:t>、COD、SS等，COD产生浓度为: 280mg/l；BOD</w:t>
      </w:r>
      <w:r>
        <w:rPr>
          <w:rFonts w:ascii="Times New Roman" w:hAnsi="Times New Roman"/>
          <w:sz w:val="24"/>
          <w:vertAlign w:val="subscript"/>
        </w:rPr>
        <w:t>5</w:t>
      </w:r>
      <w:r>
        <w:rPr>
          <w:rFonts w:ascii="Times New Roman" w:hAnsi="Times New Roman"/>
          <w:sz w:val="24"/>
        </w:rPr>
        <w:t>的产生浓度为180mg/l；SS的产生浓度为250mg/l。生活污水排入</w:t>
      </w:r>
      <w:r>
        <w:rPr>
          <w:rFonts w:hint="eastAsia" w:ascii="Times New Roman" w:hAnsi="Times New Roman"/>
          <w:sz w:val="24"/>
        </w:rPr>
        <w:t>厂区内现有</w:t>
      </w:r>
      <w:r>
        <w:rPr>
          <w:rFonts w:ascii="Times New Roman" w:hAnsi="Times New Roman"/>
          <w:sz w:val="24"/>
        </w:rPr>
        <w:t>防渗旱厕，由当地农户定期清掏。</w:t>
      </w:r>
      <w:r>
        <w:rPr>
          <w:rFonts w:hint="eastAsia" w:ascii="Times New Roman" w:hAnsi="Times New Roman"/>
          <w:sz w:val="24"/>
        </w:rPr>
        <w:t>不会对南侧10m西南岔河产生影响。</w:t>
      </w:r>
    </w:p>
    <w:p>
      <w:pPr>
        <w:pStyle w:val="5"/>
        <w:spacing w:before="0" w:after="0" w:line="360" w:lineRule="auto"/>
        <w:rPr>
          <w:sz w:val="24"/>
          <w:szCs w:val="24"/>
        </w:rPr>
      </w:pPr>
      <w:bookmarkStart w:id="378" w:name="_Toc12442"/>
      <w:bookmarkStart w:id="379" w:name="_Toc8992"/>
      <w:bookmarkStart w:id="380" w:name="_Toc13605"/>
      <w:r>
        <w:rPr>
          <w:sz w:val="24"/>
          <w:szCs w:val="24"/>
        </w:rPr>
        <w:t>5.1.3施工期噪声环境影响分析</w:t>
      </w:r>
      <w:bookmarkEnd w:id="378"/>
      <w:bookmarkEnd w:id="379"/>
      <w:bookmarkEnd w:id="380"/>
    </w:p>
    <w:p>
      <w:pPr>
        <w:spacing w:line="360" w:lineRule="auto"/>
        <w:ind w:firstLine="540" w:firstLineChars="225"/>
        <w:rPr>
          <w:rFonts w:ascii="Times New Roman" w:hAnsi="Times New Roman"/>
          <w:sz w:val="24"/>
        </w:rPr>
      </w:pPr>
      <w:r>
        <w:rPr>
          <w:rFonts w:hint="eastAsia" w:ascii="Times New Roman" w:hAnsi="Times New Roman"/>
          <w:sz w:val="24"/>
        </w:rPr>
        <w:t>施工</w:t>
      </w:r>
      <w:r>
        <w:rPr>
          <w:rFonts w:ascii="Times New Roman" w:hAnsi="Times New Roman"/>
          <w:sz w:val="24"/>
        </w:rPr>
        <w:t>期间场地内车辆和</w:t>
      </w:r>
      <w:r>
        <w:rPr>
          <w:rFonts w:hint="eastAsia" w:ascii="Times New Roman" w:hAnsi="Times New Roman"/>
          <w:sz w:val="24"/>
        </w:rPr>
        <w:t>机械设备</w:t>
      </w:r>
      <w:r>
        <w:rPr>
          <w:rFonts w:ascii="Times New Roman" w:hAnsi="Times New Roman"/>
          <w:sz w:val="24"/>
        </w:rPr>
        <w:t>密度较大，声源集中，在一定范围内会对周围声环境产生影响。施工设备中挖掘机噪声的声级值最高，达95dB（A），据调查，其影响范围在施工场所200m范围之内。施工场地周边基本为林地，经树木隔声及距离衰减后，</w:t>
      </w:r>
      <w:r>
        <w:rPr>
          <w:rFonts w:hint="eastAsia" w:ascii="Times New Roman" w:hAnsi="Times New Roman"/>
          <w:sz w:val="24"/>
        </w:rPr>
        <w:t>厂界</w:t>
      </w:r>
      <w:r>
        <w:rPr>
          <w:rFonts w:ascii="Times New Roman" w:hAnsi="Times New Roman"/>
          <w:sz w:val="24"/>
        </w:rPr>
        <w:t>处噪声能够满足《建筑施工场界环境噪声排放标准》（GB12523-2011）中的噪声限值。</w:t>
      </w:r>
      <w:r>
        <w:rPr>
          <w:rFonts w:ascii="Times New Roman" w:hAnsi="Times New Roman"/>
          <w:snapToGrid w:val="0"/>
          <w:sz w:val="24"/>
        </w:rPr>
        <w:t>因此，施工期噪声对环境影响较小。且</w:t>
      </w:r>
      <w:r>
        <w:rPr>
          <w:rFonts w:hint="eastAsia" w:ascii="Times New Roman" w:hAnsi="Times New Roman"/>
          <w:snapToGrid w:val="0"/>
          <w:sz w:val="24"/>
        </w:rPr>
        <w:t>本项目周围2km内无村民等环境敏感点</w:t>
      </w:r>
      <w:r>
        <w:rPr>
          <w:rFonts w:ascii="Times New Roman" w:hAnsi="Times New Roman"/>
          <w:snapToGrid w:val="0"/>
          <w:sz w:val="24"/>
        </w:rPr>
        <w:t>，由于距离较远，因此，施工噪声不会对居民声环境产生影响。</w:t>
      </w:r>
    </w:p>
    <w:p>
      <w:pPr>
        <w:pStyle w:val="5"/>
        <w:spacing w:before="0" w:after="0" w:line="360" w:lineRule="auto"/>
        <w:rPr>
          <w:sz w:val="24"/>
          <w:szCs w:val="24"/>
        </w:rPr>
      </w:pPr>
      <w:bookmarkStart w:id="381" w:name="_Toc29226"/>
      <w:bookmarkStart w:id="382" w:name="_Toc15815"/>
      <w:bookmarkStart w:id="383" w:name="_Toc22009"/>
      <w:r>
        <w:rPr>
          <w:sz w:val="24"/>
          <w:szCs w:val="24"/>
        </w:rPr>
        <w:t>5.1.4施工期固体废物环境影响分析</w:t>
      </w:r>
      <w:bookmarkEnd w:id="381"/>
      <w:bookmarkEnd w:id="382"/>
      <w:bookmarkEnd w:id="383"/>
    </w:p>
    <w:p>
      <w:pPr>
        <w:spacing w:line="360" w:lineRule="auto"/>
        <w:ind w:firstLine="480"/>
        <w:rPr>
          <w:rFonts w:ascii="Times New Roman" w:hAnsi="Times New Roman"/>
          <w:sz w:val="24"/>
        </w:rPr>
      </w:pPr>
      <w:r>
        <w:rPr>
          <w:rFonts w:ascii="Times New Roman" w:hAnsi="Times New Roman"/>
          <w:sz w:val="24"/>
        </w:rPr>
        <w:t>本项目施工期产生的固体废物主要是施工建筑垃圾及施工人员生活垃圾。</w:t>
      </w:r>
    </w:p>
    <w:p>
      <w:pPr>
        <w:spacing w:line="360" w:lineRule="auto"/>
        <w:ind w:firstLine="480"/>
        <w:rPr>
          <w:rFonts w:ascii="Times New Roman" w:hAnsi="Times New Roman"/>
          <w:sz w:val="24"/>
          <w:u w:val="single"/>
        </w:rPr>
      </w:pPr>
      <w:r>
        <w:rPr>
          <w:rFonts w:ascii="Times New Roman" w:hAnsi="Times New Roman"/>
          <w:sz w:val="24"/>
        </w:rPr>
        <w:t>施工建筑垃圾产生量约为5t/a，全部运至建筑垃圾填埋场堆存。施工人员生活垃圾产生量约为2t/a，全部定期运至当地生活垃圾填埋场。</w:t>
      </w:r>
      <w:r>
        <w:rPr>
          <w:rFonts w:hint="eastAsia" w:ascii="Times New Roman" w:hAnsi="Times New Roman"/>
          <w:color w:val="FF0000"/>
          <w:sz w:val="24"/>
        </w:rPr>
        <w:t>施工期运输的尾渣13万t，直接外卖吉林市智德利商贸有限公司并由该公司负责运送尾渣。</w:t>
      </w:r>
      <w:r>
        <w:rPr>
          <w:rFonts w:ascii="Times New Roman" w:hAnsi="Times New Roman"/>
          <w:sz w:val="24"/>
        </w:rPr>
        <w:t>不会产生二次污染。</w:t>
      </w:r>
    </w:p>
    <w:p>
      <w:pPr>
        <w:pStyle w:val="5"/>
        <w:spacing w:before="0" w:after="0" w:line="360" w:lineRule="auto"/>
        <w:rPr>
          <w:sz w:val="24"/>
          <w:szCs w:val="24"/>
        </w:rPr>
      </w:pPr>
      <w:bookmarkStart w:id="384" w:name="_Toc6736"/>
      <w:bookmarkStart w:id="385" w:name="_Toc20740"/>
      <w:bookmarkStart w:id="386" w:name="_Toc8843"/>
      <w:r>
        <w:rPr>
          <w:sz w:val="24"/>
          <w:szCs w:val="24"/>
        </w:rPr>
        <w:t>5.1.5施工期水土流失分析</w:t>
      </w:r>
      <w:bookmarkEnd w:id="384"/>
      <w:bookmarkEnd w:id="385"/>
      <w:bookmarkEnd w:id="386"/>
    </w:p>
    <w:p>
      <w:pPr>
        <w:spacing w:line="360" w:lineRule="auto"/>
        <w:ind w:firstLine="480"/>
        <w:rPr>
          <w:rFonts w:ascii="Times New Roman" w:hAnsi="Times New Roman"/>
          <w:sz w:val="24"/>
        </w:rPr>
      </w:pPr>
      <w:r>
        <w:rPr>
          <w:rFonts w:ascii="Times New Roman" w:hAnsi="Times New Roman"/>
          <w:sz w:val="24"/>
        </w:rPr>
        <w:t>在施工过程中，场地平整、土石方开挖等施工活动将会</w:t>
      </w:r>
      <w:r>
        <w:rPr>
          <w:rFonts w:hint="eastAsia" w:ascii="Times New Roman" w:hAnsi="Times New Roman"/>
          <w:sz w:val="24"/>
        </w:rPr>
        <w:t>造成水土流失</w:t>
      </w:r>
      <w:r>
        <w:rPr>
          <w:rFonts w:ascii="Times New Roman" w:hAnsi="Times New Roman"/>
          <w:sz w:val="24"/>
        </w:rPr>
        <w:t>。</w:t>
      </w:r>
    </w:p>
    <w:p>
      <w:pPr>
        <w:spacing w:line="360" w:lineRule="auto"/>
        <w:ind w:firstLine="480"/>
        <w:rPr>
          <w:rFonts w:ascii="Times New Roman" w:hAnsi="Times New Roman"/>
          <w:sz w:val="24"/>
        </w:rPr>
      </w:pPr>
      <w:r>
        <w:rPr>
          <w:rFonts w:ascii="Times New Roman" w:hAnsi="Times New Roman"/>
          <w:sz w:val="24"/>
        </w:rPr>
        <w:t>水土流失主要发生在施工期，根据各个区域的扰动面积、扰动时段，各自区域的侵蚀模数，分别进行水土流失量预测，具体分析详见水土保持与生态治理专章。</w:t>
      </w:r>
    </w:p>
    <w:p>
      <w:pPr>
        <w:pStyle w:val="4"/>
        <w:rPr>
          <w:rFonts w:ascii="Times New Roman" w:hAnsi="Times New Roman"/>
        </w:rPr>
      </w:pPr>
      <w:bookmarkStart w:id="387" w:name="_Toc486350006"/>
      <w:bookmarkStart w:id="388" w:name="_Toc11462"/>
      <w:bookmarkStart w:id="389" w:name="_Toc484616302"/>
      <w:bookmarkStart w:id="390" w:name="_Toc21816"/>
      <w:bookmarkStart w:id="391" w:name="_Toc1936"/>
      <w:bookmarkStart w:id="392" w:name="_Toc18955"/>
      <w:r>
        <w:rPr>
          <w:rFonts w:ascii="Times New Roman" w:hAnsi="Times New Roman"/>
        </w:rPr>
        <w:t>5.2营运期环境影响分析</w:t>
      </w:r>
      <w:bookmarkEnd w:id="387"/>
      <w:bookmarkEnd w:id="388"/>
      <w:bookmarkEnd w:id="389"/>
      <w:bookmarkEnd w:id="390"/>
      <w:bookmarkEnd w:id="391"/>
      <w:bookmarkEnd w:id="392"/>
    </w:p>
    <w:p>
      <w:pPr>
        <w:widowControl/>
        <w:adjustRightInd w:val="0"/>
        <w:snapToGrid w:val="0"/>
        <w:spacing w:line="360" w:lineRule="auto"/>
        <w:outlineLvl w:val="2"/>
        <w:rPr>
          <w:rFonts w:ascii="Times New Roman" w:hAnsi="Times New Roman"/>
          <w:b/>
          <w:sz w:val="24"/>
        </w:rPr>
      </w:pPr>
      <w:bookmarkStart w:id="393" w:name="_Toc23785"/>
      <w:bookmarkStart w:id="394" w:name="_Toc1424"/>
      <w:bookmarkStart w:id="395" w:name="_Toc7377"/>
      <w:r>
        <w:rPr>
          <w:rFonts w:ascii="Times New Roman" w:hAnsi="Times New Roman"/>
          <w:b/>
          <w:sz w:val="24"/>
        </w:rPr>
        <w:t>5.2.1大气环境影响分析与评价</w:t>
      </w:r>
      <w:bookmarkEnd w:id="393"/>
      <w:bookmarkEnd w:id="394"/>
      <w:bookmarkEnd w:id="395"/>
    </w:p>
    <w:p>
      <w:pPr>
        <w:spacing w:line="360" w:lineRule="auto"/>
        <w:ind w:firstLine="480" w:firstLineChars="200"/>
        <w:outlineLvl w:val="0"/>
        <w:rPr>
          <w:rFonts w:ascii="Times New Roman" w:hAnsi="Times New Roman"/>
          <w:color w:val="000000"/>
          <w:sz w:val="24"/>
        </w:rPr>
      </w:pPr>
      <w:r>
        <w:rPr>
          <w:rFonts w:ascii="Times New Roman" w:hAnsi="Times New Roman"/>
          <w:color w:val="000000"/>
          <w:sz w:val="24"/>
        </w:rPr>
        <w:t>5.2.1.1气象条件概述</w:t>
      </w:r>
    </w:p>
    <w:p>
      <w:pPr>
        <w:spacing w:line="360" w:lineRule="auto"/>
        <w:ind w:firstLine="480" w:firstLineChars="200"/>
        <w:rPr>
          <w:rFonts w:ascii="Times New Roman" w:hAnsi="Times New Roman"/>
          <w:color w:val="000000"/>
          <w:sz w:val="24"/>
        </w:rPr>
      </w:pPr>
      <w:r>
        <w:rPr>
          <w:rFonts w:ascii="Times New Roman" w:hAnsi="Times New Roman"/>
          <w:color w:val="000000"/>
          <w:sz w:val="24"/>
        </w:rPr>
        <w:t>大气污染过程与气象条件有极为密切的关系，大气风场、温度层结、稳定度支配着污染物稀释、扩散、输送的过程与机制，决定其时间和空间的分布。本评价采用白山市气象台站近年的常规地面气象观测资料进行污染气象特征分析。白山市属温带大陆性季风气候，季节变化明显，日温差大，春季温低风大，夏季湿热多雨，秋季凉爽多晴，冬季漫长寒冷。常年主导风向为西南西风，年平均风速为2.2m/s，最大风速为20m/s，静风频率为40％。白山市年平均风速为2.0-2.5m/s，月平均风速3月最大，其平均风速为3.1m/s，9月最小，其平均风速为3.1m/s。四季中，春季平均风速最大，冬季最小。</w:t>
      </w:r>
    </w:p>
    <w:p>
      <w:pPr>
        <w:spacing w:line="360" w:lineRule="auto"/>
        <w:ind w:firstLine="480" w:firstLineChars="200"/>
        <w:outlineLvl w:val="0"/>
        <w:rPr>
          <w:rFonts w:ascii="Times New Roman" w:hAnsi="Times New Roman"/>
          <w:color w:val="000000"/>
          <w:sz w:val="24"/>
        </w:rPr>
      </w:pPr>
      <w:r>
        <w:rPr>
          <w:rFonts w:ascii="Times New Roman" w:hAnsi="Times New Roman"/>
          <w:color w:val="000000"/>
          <w:sz w:val="24"/>
        </w:rPr>
        <w:t>5.2.1.2环境空气影响预测与评价</w:t>
      </w:r>
    </w:p>
    <w:p>
      <w:pPr>
        <w:spacing w:line="360" w:lineRule="auto"/>
        <w:ind w:firstLine="480" w:firstLineChars="200"/>
        <w:rPr>
          <w:rFonts w:ascii="Times New Roman" w:hAnsi="Times New Roman"/>
          <w:color w:val="000000"/>
          <w:sz w:val="24"/>
        </w:rPr>
      </w:pPr>
      <w:r>
        <w:rPr>
          <w:rFonts w:ascii="Times New Roman" w:hAnsi="Times New Roman"/>
          <w:color w:val="000000"/>
          <w:sz w:val="24"/>
        </w:rPr>
        <w:t>根据《环境影响评价技术导则—大气环境》HJ2.2-20</w:t>
      </w:r>
      <w:r>
        <w:rPr>
          <w:rFonts w:hint="eastAsia" w:ascii="Times New Roman" w:hAnsi="Times New Roman"/>
          <w:color w:val="000000"/>
          <w:sz w:val="24"/>
        </w:rPr>
        <w:t>1</w:t>
      </w:r>
      <w:r>
        <w:rPr>
          <w:rFonts w:ascii="Times New Roman" w:hAnsi="Times New Roman"/>
          <w:color w:val="000000"/>
          <w:sz w:val="24"/>
        </w:rPr>
        <w:t>8中规定，一、二</w:t>
      </w:r>
      <w:r>
        <w:rPr>
          <w:rFonts w:hint="eastAsia" w:ascii="Times New Roman" w:hAnsi="Times New Roman"/>
          <w:color w:val="000000"/>
          <w:sz w:val="24"/>
        </w:rPr>
        <w:t>、三</w:t>
      </w:r>
      <w:r>
        <w:rPr>
          <w:rFonts w:ascii="Times New Roman" w:hAnsi="Times New Roman"/>
          <w:color w:val="000000"/>
          <w:sz w:val="24"/>
        </w:rPr>
        <w:t>级评价应选择导则中推荐模式清单中的进一步预测模式进行大气环境影响预测工作，三级评价</w:t>
      </w:r>
      <w:r>
        <w:rPr>
          <w:rFonts w:hint="eastAsia" w:ascii="Times New Roman" w:hAnsi="Times New Roman"/>
          <w:color w:val="000000"/>
          <w:sz w:val="24"/>
        </w:rPr>
        <w:t>只调查项目所在区域环境质量达标情况。本项目估算模型采用导则中推荐的AERCREEN模型进行估算</w:t>
      </w:r>
      <w:r>
        <w:rPr>
          <w:rFonts w:ascii="Times New Roman" w:hAnsi="Times New Roman"/>
          <w:color w:val="000000"/>
          <w:sz w:val="24"/>
        </w:rPr>
        <w:t>。本项目运营期废气主要</w:t>
      </w:r>
      <w:r>
        <w:rPr>
          <w:rFonts w:hint="eastAsia" w:ascii="Times New Roman" w:hAnsi="Times New Roman"/>
          <w:color w:val="000000"/>
          <w:sz w:val="24"/>
        </w:rPr>
        <w:t>为</w:t>
      </w:r>
      <w:r>
        <w:rPr>
          <w:rFonts w:ascii="Times New Roman" w:hAnsi="Times New Roman"/>
          <w:color w:val="000000"/>
          <w:sz w:val="24"/>
        </w:rPr>
        <w:t>尾矿库扬尘、</w:t>
      </w:r>
      <w:r>
        <w:rPr>
          <w:rFonts w:hint="eastAsia" w:ascii="Times New Roman" w:hAnsi="Times New Roman"/>
          <w:color w:val="000000"/>
          <w:sz w:val="24"/>
        </w:rPr>
        <w:t>以及胶带运输无组织粉尘</w:t>
      </w:r>
      <w:r>
        <w:rPr>
          <w:rFonts w:ascii="Times New Roman" w:hAnsi="Times New Roman"/>
          <w:color w:val="000000"/>
          <w:sz w:val="24"/>
        </w:rPr>
        <w:t>等。</w:t>
      </w:r>
    </w:p>
    <w:p>
      <w:pPr>
        <w:spacing w:line="360" w:lineRule="auto"/>
        <w:ind w:firstLine="480" w:firstLineChars="200"/>
        <w:outlineLvl w:val="0"/>
        <w:rPr>
          <w:rFonts w:ascii="Times New Roman" w:hAnsi="Times New Roman"/>
          <w:color w:val="000000"/>
          <w:sz w:val="24"/>
        </w:rPr>
      </w:pPr>
      <w:r>
        <w:rPr>
          <w:rFonts w:hint="eastAsia" w:ascii="Times New Roman" w:hAnsi="Times New Roman"/>
          <w:color w:val="000000"/>
          <w:sz w:val="24"/>
        </w:rPr>
        <w:t>1、源强统计</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本项目主要污染物源强为尾矿库扬尘和胶带运输机无组织粉尘。其中尾矿库扬尘年排放量为0.315t/a；胶带运输无组织粉尘年排放量为0.02t/a。共计0.335t/a（排放速率为0.038</w:t>
      </w:r>
      <w:r>
        <w:rPr>
          <w:rFonts w:ascii="Times New Roman" w:hAnsi="Times New Roman"/>
          <w:color w:val="000000"/>
          <w:kern w:val="0"/>
          <w:sz w:val="22"/>
        </w:rPr>
        <w:t>kg/h</w:t>
      </w:r>
      <w:r>
        <w:rPr>
          <w:rFonts w:hint="eastAsia" w:ascii="Times New Roman" w:hAnsi="Times New Roman"/>
          <w:color w:val="000000"/>
          <w:sz w:val="24"/>
        </w:rPr>
        <w:t>）。</w:t>
      </w:r>
    </w:p>
    <w:p>
      <w:pPr>
        <w:spacing w:line="360" w:lineRule="auto"/>
        <w:ind w:firstLine="480" w:firstLineChars="200"/>
        <w:outlineLvl w:val="0"/>
        <w:rPr>
          <w:rFonts w:ascii="Times New Roman" w:hAnsi="Times New Roman"/>
          <w:b/>
          <w:bCs/>
          <w:color w:val="000000"/>
          <w:sz w:val="24"/>
        </w:rPr>
      </w:pPr>
      <w:r>
        <w:rPr>
          <w:rFonts w:hint="eastAsia" w:ascii="Times New Roman" w:hAnsi="Times New Roman"/>
          <w:color w:val="000000"/>
          <w:sz w:val="24"/>
        </w:rPr>
        <w:t>2、地形参数</w:t>
      </w:r>
    </w:p>
    <w:p>
      <w:pPr>
        <w:pStyle w:val="2"/>
        <w:jc w:val="center"/>
      </w:pPr>
      <w:r>
        <w:rPr>
          <w:rFonts w:hint="eastAsia" w:ascii="Times New Roman" w:hAnsi="Times New Roman"/>
          <w:b/>
          <w:bCs/>
          <w:color w:val="000000"/>
          <w:sz w:val="24"/>
        </w:rPr>
        <w:t>表5-1  本项目估算模式地形参数表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363"/>
        <w:gridCol w:w="4227"/>
        <w:gridCol w:w="2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5590" w:type="dxa"/>
            <w:gridSpan w:val="2"/>
            <w:vAlign w:val="center"/>
          </w:tcPr>
          <w:p>
            <w:pPr>
              <w:widowControl/>
              <w:jc w:val="center"/>
              <w:textAlignment w:val="center"/>
              <w:rPr>
                <w:rFonts w:ascii="Times New Roman" w:hAnsi="Times New Roman"/>
                <w:color w:val="000000"/>
                <w:sz w:val="22"/>
              </w:rPr>
            </w:pPr>
            <w:r>
              <w:rPr>
                <w:rStyle w:val="28"/>
                <w:rFonts w:hint="default"/>
              </w:rPr>
              <w:t>选项</w:t>
            </w:r>
          </w:p>
        </w:tc>
        <w:tc>
          <w:tcPr>
            <w:tcW w:w="2746" w:type="dxa"/>
            <w:vAlign w:val="center"/>
          </w:tcPr>
          <w:p>
            <w:pPr>
              <w:widowControl/>
              <w:jc w:val="center"/>
              <w:textAlignment w:val="center"/>
              <w:rPr>
                <w:rFonts w:ascii="Times New Roman" w:hAnsi="Times New Roman"/>
                <w:color w:val="000000"/>
                <w:sz w:val="22"/>
              </w:rPr>
            </w:pPr>
            <w:r>
              <w:rPr>
                <w:rStyle w:val="28"/>
                <w:rFonts w:hint="default"/>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363" w:type="dxa"/>
            <w:vMerge w:val="restart"/>
            <w:vAlign w:val="center"/>
          </w:tcPr>
          <w:p>
            <w:pPr>
              <w:widowControl/>
              <w:jc w:val="center"/>
              <w:textAlignment w:val="center"/>
              <w:rPr>
                <w:rFonts w:ascii="Times New Roman" w:hAnsi="Times New Roman"/>
                <w:color w:val="000000"/>
                <w:sz w:val="22"/>
              </w:rPr>
            </w:pPr>
            <w:r>
              <w:rPr>
                <w:rStyle w:val="28"/>
                <w:rFonts w:hint="default"/>
              </w:rPr>
              <w:t>城市</w:t>
            </w:r>
            <w:r>
              <w:rPr>
                <w:rStyle w:val="38"/>
              </w:rPr>
              <w:t>/</w:t>
            </w:r>
            <w:r>
              <w:rPr>
                <w:rStyle w:val="28"/>
                <w:rFonts w:hint="default"/>
              </w:rPr>
              <w:t>农村选项</w:t>
            </w:r>
          </w:p>
        </w:tc>
        <w:tc>
          <w:tcPr>
            <w:tcW w:w="4227" w:type="dxa"/>
            <w:vAlign w:val="center"/>
          </w:tcPr>
          <w:p>
            <w:pPr>
              <w:widowControl/>
              <w:jc w:val="center"/>
              <w:textAlignment w:val="center"/>
              <w:rPr>
                <w:rFonts w:ascii="Times New Roman" w:hAnsi="Times New Roman"/>
                <w:color w:val="000000"/>
                <w:sz w:val="22"/>
              </w:rPr>
            </w:pPr>
            <w:r>
              <w:rPr>
                <w:rStyle w:val="28"/>
                <w:rFonts w:hint="default"/>
              </w:rPr>
              <w:t>城市</w:t>
            </w:r>
            <w:r>
              <w:rPr>
                <w:rStyle w:val="38"/>
              </w:rPr>
              <w:t>/</w:t>
            </w:r>
            <w:r>
              <w:rPr>
                <w:rStyle w:val="28"/>
                <w:rFonts w:hint="default"/>
              </w:rPr>
              <w:t>农村</w:t>
            </w:r>
          </w:p>
        </w:tc>
        <w:tc>
          <w:tcPr>
            <w:tcW w:w="2746" w:type="dxa"/>
            <w:vAlign w:val="center"/>
          </w:tcPr>
          <w:p>
            <w:pPr>
              <w:jc w:val="center"/>
              <w:rPr>
                <w:rFonts w:ascii="Times New Roman" w:hAnsi="Times New Roman"/>
                <w:color w:val="000000"/>
                <w:sz w:val="22"/>
              </w:rPr>
            </w:pPr>
            <w:r>
              <w:rPr>
                <w:rFonts w:hint="eastAsia" w:ascii="Times New Roman" w:hAnsi="Times New Roman"/>
                <w:color w:val="000000"/>
                <w:sz w:val="22"/>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363" w:type="dxa"/>
            <w:vMerge w:val="continue"/>
            <w:vAlign w:val="center"/>
          </w:tcPr>
          <w:p>
            <w:pPr>
              <w:jc w:val="center"/>
              <w:rPr>
                <w:rFonts w:ascii="Times New Roman" w:hAnsi="Times New Roman"/>
                <w:color w:val="000000"/>
                <w:sz w:val="22"/>
              </w:rPr>
            </w:pPr>
          </w:p>
        </w:tc>
        <w:tc>
          <w:tcPr>
            <w:tcW w:w="4227" w:type="dxa"/>
            <w:vAlign w:val="center"/>
          </w:tcPr>
          <w:p>
            <w:pPr>
              <w:widowControl/>
              <w:jc w:val="center"/>
              <w:textAlignment w:val="center"/>
              <w:rPr>
                <w:rFonts w:ascii="Times New Roman" w:hAnsi="Times New Roman"/>
                <w:color w:val="000000"/>
                <w:sz w:val="22"/>
              </w:rPr>
            </w:pPr>
            <w:r>
              <w:rPr>
                <w:rStyle w:val="28"/>
                <w:rFonts w:hint="default"/>
              </w:rPr>
              <w:t>人口数（城市选项时）</w:t>
            </w:r>
          </w:p>
        </w:tc>
        <w:tc>
          <w:tcPr>
            <w:tcW w:w="2746" w:type="dxa"/>
            <w:vAlign w:val="center"/>
          </w:tcPr>
          <w:p>
            <w:pPr>
              <w:jc w:val="center"/>
              <w:rPr>
                <w:rFonts w:ascii="Times New Roman" w:hAnsi="Times New Roman"/>
                <w:color w:val="000000"/>
                <w:sz w:val="22"/>
              </w:rPr>
            </w:pPr>
            <w:r>
              <w:rPr>
                <w:rFonts w:hint="eastAsia" w:ascii="Times New Roman" w:hAnsi="Times New Roman"/>
                <w:color w:val="000000"/>
                <w:sz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5590" w:type="dxa"/>
            <w:gridSpan w:val="2"/>
            <w:vAlign w:val="center"/>
          </w:tcPr>
          <w:p>
            <w:pPr>
              <w:widowControl/>
              <w:jc w:val="center"/>
              <w:textAlignment w:val="center"/>
              <w:rPr>
                <w:rFonts w:ascii="Times New Roman" w:hAnsi="Times New Roman"/>
                <w:color w:val="000000"/>
                <w:sz w:val="22"/>
              </w:rPr>
            </w:pPr>
            <w:r>
              <w:rPr>
                <w:rStyle w:val="28"/>
                <w:rFonts w:hint="default"/>
              </w:rPr>
              <w:t>最高环境温度</w:t>
            </w:r>
            <w:r>
              <w:rPr>
                <w:rStyle w:val="38"/>
              </w:rPr>
              <w:t>/</w:t>
            </w:r>
            <w:r>
              <w:rPr>
                <w:rStyle w:val="28"/>
                <w:rFonts w:hint="default"/>
              </w:rPr>
              <w:t>℃</w:t>
            </w:r>
          </w:p>
        </w:tc>
        <w:tc>
          <w:tcPr>
            <w:tcW w:w="2746" w:type="dxa"/>
            <w:vAlign w:val="center"/>
          </w:tcPr>
          <w:p>
            <w:pPr>
              <w:jc w:val="center"/>
              <w:rPr>
                <w:rFonts w:ascii="Times New Roman" w:hAnsi="Times New Roman"/>
                <w:color w:val="000000"/>
                <w:sz w:val="22"/>
              </w:rPr>
            </w:pPr>
            <w:r>
              <w:rPr>
                <w:rFonts w:hint="eastAsia" w:ascii="Times New Roman" w:hAnsi="Times New Roman"/>
                <w:color w:val="000000"/>
                <w:sz w:val="22"/>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5590" w:type="dxa"/>
            <w:gridSpan w:val="2"/>
            <w:vAlign w:val="center"/>
          </w:tcPr>
          <w:p>
            <w:pPr>
              <w:widowControl/>
              <w:jc w:val="center"/>
              <w:textAlignment w:val="center"/>
              <w:rPr>
                <w:rFonts w:ascii="Times New Roman" w:hAnsi="Times New Roman"/>
                <w:color w:val="000000"/>
                <w:sz w:val="22"/>
              </w:rPr>
            </w:pPr>
            <w:r>
              <w:rPr>
                <w:rStyle w:val="28"/>
                <w:rFonts w:hint="default"/>
              </w:rPr>
              <w:t>最低环境温度</w:t>
            </w:r>
            <w:r>
              <w:rPr>
                <w:rStyle w:val="38"/>
              </w:rPr>
              <w:t>/</w:t>
            </w:r>
            <w:r>
              <w:rPr>
                <w:rStyle w:val="28"/>
                <w:rFonts w:hint="default"/>
              </w:rPr>
              <w:t>℃</w:t>
            </w:r>
          </w:p>
        </w:tc>
        <w:tc>
          <w:tcPr>
            <w:tcW w:w="2746" w:type="dxa"/>
            <w:vAlign w:val="center"/>
          </w:tcPr>
          <w:p>
            <w:pPr>
              <w:jc w:val="center"/>
              <w:rPr>
                <w:rFonts w:ascii="Times New Roman" w:hAnsi="Times New Roman"/>
                <w:color w:val="000000"/>
                <w:sz w:val="22"/>
              </w:rPr>
            </w:pPr>
            <w:r>
              <w:rPr>
                <w:rFonts w:hint="eastAsia" w:ascii="Times New Roman" w:hAnsi="Times New Roman"/>
                <w:color w:val="000000"/>
                <w:sz w:val="22"/>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5590" w:type="dxa"/>
            <w:gridSpan w:val="2"/>
            <w:vAlign w:val="center"/>
          </w:tcPr>
          <w:p>
            <w:pPr>
              <w:widowControl/>
              <w:jc w:val="center"/>
              <w:textAlignment w:val="center"/>
              <w:rPr>
                <w:rFonts w:ascii="Times New Roman" w:hAnsi="Times New Roman"/>
                <w:color w:val="000000"/>
                <w:sz w:val="22"/>
              </w:rPr>
            </w:pPr>
            <w:r>
              <w:rPr>
                <w:rStyle w:val="28"/>
                <w:rFonts w:hint="default"/>
              </w:rPr>
              <w:t>土地利用类型</w:t>
            </w:r>
          </w:p>
        </w:tc>
        <w:tc>
          <w:tcPr>
            <w:tcW w:w="2746" w:type="dxa"/>
            <w:vAlign w:val="center"/>
          </w:tcPr>
          <w:p>
            <w:pPr>
              <w:jc w:val="center"/>
              <w:rPr>
                <w:rFonts w:ascii="Times New Roman" w:hAnsi="Times New Roman"/>
                <w:color w:val="000000"/>
                <w:sz w:val="22"/>
              </w:rPr>
            </w:pPr>
            <w:r>
              <w:rPr>
                <w:rFonts w:hint="eastAsia" w:ascii="Times New Roman" w:hAnsi="Times New Roman"/>
                <w:color w:val="000000"/>
                <w:sz w:val="22"/>
              </w:rPr>
              <w:t>林地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5590" w:type="dxa"/>
            <w:gridSpan w:val="2"/>
            <w:vAlign w:val="center"/>
          </w:tcPr>
          <w:p>
            <w:pPr>
              <w:widowControl/>
              <w:jc w:val="center"/>
              <w:textAlignment w:val="center"/>
              <w:rPr>
                <w:rFonts w:ascii="Times New Roman" w:hAnsi="Times New Roman"/>
                <w:color w:val="000000"/>
                <w:sz w:val="22"/>
              </w:rPr>
            </w:pPr>
            <w:r>
              <w:rPr>
                <w:rStyle w:val="28"/>
                <w:rFonts w:hint="default"/>
              </w:rPr>
              <w:t>区域湿度条件</w:t>
            </w:r>
          </w:p>
        </w:tc>
        <w:tc>
          <w:tcPr>
            <w:tcW w:w="2746" w:type="dxa"/>
            <w:vAlign w:val="center"/>
          </w:tcPr>
          <w:p>
            <w:pPr>
              <w:jc w:val="center"/>
              <w:rPr>
                <w:rFonts w:ascii="Times New Roman" w:hAnsi="Times New Roman"/>
                <w:color w:val="000000"/>
                <w:sz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363" w:type="dxa"/>
            <w:vMerge w:val="restart"/>
            <w:vAlign w:val="center"/>
          </w:tcPr>
          <w:p>
            <w:pPr>
              <w:widowControl/>
              <w:jc w:val="center"/>
              <w:textAlignment w:val="center"/>
              <w:rPr>
                <w:rFonts w:ascii="Times New Roman" w:hAnsi="Times New Roman"/>
                <w:color w:val="000000"/>
                <w:sz w:val="22"/>
              </w:rPr>
            </w:pPr>
            <w:r>
              <w:rPr>
                <w:rStyle w:val="28"/>
                <w:rFonts w:hint="default"/>
              </w:rPr>
              <w:t>是否考虑地形</w:t>
            </w:r>
          </w:p>
        </w:tc>
        <w:tc>
          <w:tcPr>
            <w:tcW w:w="4227" w:type="dxa"/>
            <w:vAlign w:val="center"/>
          </w:tcPr>
          <w:p>
            <w:pPr>
              <w:widowControl/>
              <w:jc w:val="center"/>
              <w:textAlignment w:val="center"/>
              <w:rPr>
                <w:rFonts w:ascii="Times New Roman" w:hAnsi="Times New Roman"/>
                <w:color w:val="000000"/>
                <w:sz w:val="22"/>
              </w:rPr>
            </w:pPr>
            <w:r>
              <w:rPr>
                <w:rStyle w:val="28"/>
                <w:rFonts w:hint="default"/>
              </w:rPr>
              <w:t>考虑地形</w:t>
            </w:r>
          </w:p>
        </w:tc>
        <w:tc>
          <w:tcPr>
            <w:tcW w:w="2746" w:type="dxa"/>
            <w:vAlign w:val="center"/>
          </w:tcPr>
          <w:p>
            <w:pPr>
              <w:widowControl/>
              <w:jc w:val="center"/>
              <w:textAlignment w:val="center"/>
              <w:rPr>
                <w:rFonts w:ascii="Times New Roman" w:hAnsi="Times New Roman"/>
                <w:color w:val="000000"/>
                <w:sz w:val="22"/>
              </w:rPr>
            </w:pPr>
            <w:r>
              <w:rPr>
                <w:rStyle w:val="28"/>
                <w:rFonts w:hint="default"/>
              </w:rPr>
              <w:t>□是</w:t>
            </w:r>
            <w:r>
              <w:rPr>
                <w:rStyle w:val="38"/>
              </w:rPr>
              <w:t xml:space="preserve">   </w:t>
            </w:r>
            <w:r>
              <w:rPr>
                <w:rStyle w:val="28"/>
                <w:rFonts w:hint="default"/>
              </w:rPr>
              <w:sym w:font="Wingdings 2" w:char="0052"/>
            </w:r>
            <w:r>
              <w:rPr>
                <w:rStyle w:val="28"/>
                <w:rFonts w:hint="default"/>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363" w:type="dxa"/>
            <w:vMerge w:val="continue"/>
            <w:vAlign w:val="center"/>
          </w:tcPr>
          <w:p>
            <w:pPr>
              <w:jc w:val="center"/>
              <w:rPr>
                <w:rFonts w:ascii="Times New Roman" w:hAnsi="Times New Roman"/>
                <w:color w:val="000000"/>
                <w:sz w:val="22"/>
              </w:rPr>
            </w:pPr>
          </w:p>
        </w:tc>
        <w:tc>
          <w:tcPr>
            <w:tcW w:w="4227" w:type="dxa"/>
            <w:vAlign w:val="center"/>
          </w:tcPr>
          <w:p>
            <w:pPr>
              <w:widowControl/>
              <w:jc w:val="center"/>
              <w:textAlignment w:val="center"/>
              <w:rPr>
                <w:rFonts w:ascii="Times New Roman" w:hAnsi="Times New Roman"/>
                <w:color w:val="000000"/>
                <w:sz w:val="22"/>
              </w:rPr>
            </w:pPr>
            <w:r>
              <w:rPr>
                <w:rStyle w:val="28"/>
                <w:rFonts w:hint="default"/>
              </w:rPr>
              <w:t>地形数据分辨率</w:t>
            </w:r>
            <w:r>
              <w:rPr>
                <w:rStyle w:val="38"/>
              </w:rPr>
              <w:t>/m</w:t>
            </w:r>
          </w:p>
        </w:tc>
        <w:tc>
          <w:tcPr>
            <w:tcW w:w="2746" w:type="dxa"/>
            <w:vAlign w:val="center"/>
          </w:tcPr>
          <w:p>
            <w:pPr>
              <w:jc w:val="center"/>
              <w:rPr>
                <w:rFonts w:ascii="Times New Roman" w:hAnsi="Times New Roman"/>
                <w:color w:val="000000"/>
                <w:sz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90" w:hRule="atLeast"/>
        </w:trPr>
        <w:tc>
          <w:tcPr>
            <w:tcW w:w="1363" w:type="dxa"/>
            <w:vMerge w:val="restart"/>
            <w:vAlign w:val="center"/>
          </w:tcPr>
          <w:p>
            <w:pPr>
              <w:widowControl/>
              <w:jc w:val="center"/>
              <w:textAlignment w:val="center"/>
              <w:rPr>
                <w:rFonts w:ascii="Times New Roman" w:hAnsi="Times New Roman"/>
                <w:color w:val="000000"/>
                <w:sz w:val="22"/>
              </w:rPr>
            </w:pPr>
            <w:r>
              <w:rPr>
                <w:rStyle w:val="28"/>
                <w:rFonts w:hint="default"/>
              </w:rPr>
              <w:t>是否考虑海岸线熏烟</w:t>
            </w:r>
          </w:p>
        </w:tc>
        <w:tc>
          <w:tcPr>
            <w:tcW w:w="4227" w:type="dxa"/>
            <w:vAlign w:val="center"/>
          </w:tcPr>
          <w:p>
            <w:pPr>
              <w:widowControl/>
              <w:jc w:val="center"/>
              <w:textAlignment w:val="center"/>
              <w:rPr>
                <w:rFonts w:ascii="Times New Roman" w:hAnsi="Times New Roman"/>
                <w:color w:val="000000"/>
                <w:sz w:val="22"/>
              </w:rPr>
            </w:pPr>
            <w:r>
              <w:rPr>
                <w:rStyle w:val="28"/>
                <w:rFonts w:hint="default"/>
              </w:rPr>
              <w:t>考虑海岸线熏烟</w:t>
            </w:r>
          </w:p>
        </w:tc>
        <w:tc>
          <w:tcPr>
            <w:tcW w:w="2746" w:type="dxa"/>
            <w:vAlign w:val="center"/>
          </w:tcPr>
          <w:p>
            <w:pPr>
              <w:widowControl/>
              <w:jc w:val="center"/>
              <w:textAlignment w:val="center"/>
              <w:rPr>
                <w:rFonts w:ascii="Times New Roman" w:hAnsi="Times New Roman"/>
                <w:color w:val="000000"/>
                <w:sz w:val="22"/>
              </w:rPr>
            </w:pPr>
            <w:r>
              <w:rPr>
                <w:rStyle w:val="28"/>
                <w:rFonts w:hint="default"/>
              </w:rPr>
              <w:t>□是</w:t>
            </w:r>
            <w:r>
              <w:rPr>
                <w:rStyle w:val="38"/>
              </w:rPr>
              <w:t xml:space="preserve">   </w:t>
            </w:r>
            <w:r>
              <w:rPr>
                <w:rStyle w:val="28"/>
                <w:rFonts w:hint="default"/>
              </w:rPr>
              <w:sym w:font="Wingdings 2" w:char="0052"/>
            </w:r>
            <w:r>
              <w:rPr>
                <w:rStyle w:val="28"/>
                <w:rFonts w:hint="default"/>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363" w:type="dxa"/>
            <w:vMerge w:val="continue"/>
            <w:vAlign w:val="center"/>
          </w:tcPr>
          <w:p>
            <w:pPr>
              <w:jc w:val="center"/>
              <w:rPr>
                <w:rFonts w:ascii="Times New Roman" w:hAnsi="Times New Roman"/>
                <w:color w:val="000000"/>
                <w:sz w:val="22"/>
              </w:rPr>
            </w:pPr>
          </w:p>
        </w:tc>
        <w:tc>
          <w:tcPr>
            <w:tcW w:w="4227" w:type="dxa"/>
            <w:vAlign w:val="center"/>
          </w:tcPr>
          <w:p>
            <w:pPr>
              <w:widowControl/>
              <w:jc w:val="center"/>
              <w:textAlignment w:val="center"/>
              <w:rPr>
                <w:rFonts w:ascii="Times New Roman" w:hAnsi="Times New Roman"/>
                <w:color w:val="000000"/>
                <w:sz w:val="22"/>
              </w:rPr>
            </w:pPr>
            <w:r>
              <w:rPr>
                <w:rStyle w:val="28"/>
                <w:rFonts w:hint="default"/>
              </w:rPr>
              <w:t>岸线距离</w:t>
            </w:r>
            <w:r>
              <w:rPr>
                <w:rStyle w:val="38"/>
              </w:rPr>
              <w:t>/km</w:t>
            </w:r>
          </w:p>
        </w:tc>
        <w:tc>
          <w:tcPr>
            <w:tcW w:w="2746" w:type="dxa"/>
            <w:vAlign w:val="center"/>
          </w:tcPr>
          <w:p>
            <w:pPr>
              <w:jc w:val="center"/>
              <w:rPr>
                <w:rFonts w:ascii="Times New Roman" w:hAnsi="Times New Roman"/>
                <w:color w:val="000000"/>
                <w:sz w:val="22"/>
              </w:rPr>
            </w:pPr>
            <w:r>
              <w:rPr>
                <w:rFonts w:hint="eastAsia" w:ascii="Times New Roman" w:hAnsi="Times New Roman"/>
                <w:color w:val="000000"/>
                <w:sz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1363" w:type="dxa"/>
            <w:vMerge w:val="continue"/>
            <w:vAlign w:val="center"/>
          </w:tcPr>
          <w:p>
            <w:pPr>
              <w:jc w:val="center"/>
              <w:rPr>
                <w:rFonts w:ascii="Times New Roman" w:hAnsi="Times New Roman"/>
                <w:color w:val="000000"/>
                <w:sz w:val="22"/>
              </w:rPr>
            </w:pPr>
          </w:p>
        </w:tc>
        <w:tc>
          <w:tcPr>
            <w:tcW w:w="4227" w:type="dxa"/>
            <w:vAlign w:val="center"/>
          </w:tcPr>
          <w:p>
            <w:pPr>
              <w:widowControl/>
              <w:jc w:val="center"/>
              <w:textAlignment w:val="center"/>
              <w:rPr>
                <w:rFonts w:ascii="Times New Roman" w:hAnsi="Times New Roman"/>
                <w:color w:val="000000"/>
                <w:sz w:val="22"/>
              </w:rPr>
            </w:pPr>
            <w:r>
              <w:rPr>
                <w:rStyle w:val="28"/>
                <w:rFonts w:hint="default"/>
              </w:rPr>
              <w:t>岸线方向</w:t>
            </w:r>
            <w:r>
              <w:rPr>
                <w:rStyle w:val="38"/>
              </w:rPr>
              <w:t>/°</w:t>
            </w:r>
          </w:p>
        </w:tc>
        <w:tc>
          <w:tcPr>
            <w:tcW w:w="2746" w:type="dxa"/>
            <w:vAlign w:val="center"/>
          </w:tcPr>
          <w:p>
            <w:pPr>
              <w:jc w:val="center"/>
              <w:rPr>
                <w:rFonts w:ascii="Times New Roman" w:hAnsi="Times New Roman"/>
                <w:color w:val="000000"/>
                <w:sz w:val="22"/>
              </w:rPr>
            </w:pPr>
            <w:r>
              <w:rPr>
                <w:rFonts w:hint="eastAsia" w:ascii="Times New Roman" w:hAnsi="Times New Roman"/>
                <w:color w:val="000000"/>
                <w:sz w:val="22"/>
              </w:rPr>
              <w:t>--</w:t>
            </w:r>
          </w:p>
        </w:tc>
      </w:tr>
    </w:tbl>
    <w:p>
      <w:pPr>
        <w:spacing w:line="360" w:lineRule="auto"/>
        <w:ind w:firstLine="480" w:firstLineChars="200"/>
        <w:rPr>
          <w:rFonts w:ascii="Times New Roman" w:hAnsi="Times New Roman"/>
          <w:color w:val="000000"/>
          <w:sz w:val="24"/>
        </w:rPr>
      </w:pPr>
    </w:p>
    <w:p>
      <w:pPr>
        <w:spacing w:line="360" w:lineRule="auto"/>
        <w:ind w:firstLine="480" w:firstLineChars="200"/>
        <w:rPr>
          <w:rFonts w:ascii="Times New Roman" w:hAnsi="Times New Roman"/>
          <w:color w:val="000000"/>
          <w:sz w:val="24"/>
        </w:rPr>
      </w:pP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2、污染源调查</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本项目厂区形状可看做矩形。根据导则附录C中的C4.2面原调查内容中C.10矩形面源参数表如下。</w:t>
      </w:r>
    </w:p>
    <w:p>
      <w:pPr>
        <w:pStyle w:val="2"/>
        <w:jc w:val="center"/>
        <w:rPr>
          <w:b/>
          <w:bCs/>
        </w:rPr>
      </w:pPr>
      <w:r>
        <w:rPr>
          <w:rFonts w:hint="eastAsia" w:ascii="Times New Roman" w:hAnsi="Times New Roman"/>
          <w:b/>
          <w:bCs/>
          <w:color w:val="000000"/>
          <w:sz w:val="24"/>
        </w:rPr>
        <w:t>表5-2  本项目面源参数表</w:t>
      </w:r>
    </w:p>
    <w:tbl>
      <w:tblPr>
        <w:tblStyle w:val="24"/>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439"/>
        <w:gridCol w:w="734"/>
        <w:gridCol w:w="764"/>
        <w:gridCol w:w="768"/>
        <w:gridCol w:w="767"/>
        <w:gridCol w:w="768"/>
        <w:gridCol w:w="768"/>
        <w:gridCol w:w="936"/>
        <w:gridCol w:w="737"/>
        <w:gridCol w:w="767"/>
        <w:gridCol w:w="8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439" w:type="dxa"/>
            <w:vMerge w:val="restart"/>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名称</w:t>
            </w:r>
          </w:p>
        </w:tc>
        <w:tc>
          <w:tcPr>
            <w:tcW w:w="1498" w:type="dxa"/>
            <w:gridSpan w:val="2"/>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面源起点坐标</w:t>
            </w:r>
            <w:r>
              <w:rPr>
                <w:rFonts w:ascii="Times New Roman" w:hAnsi="Times New Roman"/>
                <w:color w:val="000000"/>
                <w:kern w:val="0"/>
                <w:sz w:val="22"/>
              </w:rPr>
              <w:t>/m</w:t>
            </w:r>
          </w:p>
        </w:tc>
        <w:tc>
          <w:tcPr>
            <w:tcW w:w="768" w:type="dxa"/>
            <w:vMerge w:val="restart"/>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面源海拔高度</w:t>
            </w:r>
            <w:r>
              <w:rPr>
                <w:rFonts w:ascii="Times New Roman" w:hAnsi="Times New Roman"/>
                <w:color w:val="000000"/>
                <w:kern w:val="0"/>
                <w:sz w:val="22"/>
              </w:rPr>
              <w:t>/m</w:t>
            </w:r>
          </w:p>
        </w:tc>
        <w:tc>
          <w:tcPr>
            <w:tcW w:w="767" w:type="dxa"/>
            <w:vMerge w:val="restart"/>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面源长度</w:t>
            </w:r>
            <w:r>
              <w:rPr>
                <w:rFonts w:ascii="Times New Roman" w:hAnsi="Times New Roman"/>
                <w:color w:val="000000"/>
                <w:kern w:val="0"/>
                <w:sz w:val="22"/>
              </w:rPr>
              <w:t>/m</w:t>
            </w:r>
          </w:p>
        </w:tc>
        <w:tc>
          <w:tcPr>
            <w:tcW w:w="768" w:type="dxa"/>
            <w:vMerge w:val="restart"/>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面源宽度</w:t>
            </w:r>
            <w:r>
              <w:rPr>
                <w:rFonts w:ascii="Times New Roman" w:hAnsi="Times New Roman"/>
                <w:color w:val="000000"/>
                <w:kern w:val="0"/>
                <w:sz w:val="22"/>
              </w:rPr>
              <w:t>/m</w:t>
            </w:r>
          </w:p>
        </w:tc>
        <w:tc>
          <w:tcPr>
            <w:tcW w:w="768" w:type="dxa"/>
            <w:vMerge w:val="restart"/>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与正北向夹角</w:t>
            </w:r>
            <w:r>
              <w:rPr>
                <w:rFonts w:ascii="Times New Roman" w:hAnsi="Times New Roman"/>
                <w:color w:val="000000"/>
                <w:kern w:val="0"/>
                <w:sz w:val="22"/>
              </w:rPr>
              <w:t>/°</w:t>
            </w:r>
          </w:p>
        </w:tc>
        <w:tc>
          <w:tcPr>
            <w:tcW w:w="936" w:type="dxa"/>
            <w:vMerge w:val="restart"/>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面源有效排放高度</w:t>
            </w:r>
            <w:r>
              <w:rPr>
                <w:rFonts w:ascii="Times New Roman" w:hAnsi="Times New Roman"/>
                <w:color w:val="000000"/>
                <w:kern w:val="0"/>
                <w:sz w:val="22"/>
              </w:rPr>
              <w:t>/m</w:t>
            </w:r>
          </w:p>
        </w:tc>
        <w:tc>
          <w:tcPr>
            <w:tcW w:w="737" w:type="dxa"/>
            <w:vMerge w:val="restart"/>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年排放小时数</w:t>
            </w:r>
            <w:r>
              <w:rPr>
                <w:rFonts w:ascii="Times New Roman" w:hAnsi="Times New Roman"/>
                <w:color w:val="000000"/>
                <w:kern w:val="0"/>
                <w:sz w:val="22"/>
              </w:rPr>
              <w:t>/h</w:t>
            </w:r>
          </w:p>
        </w:tc>
        <w:tc>
          <w:tcPr>
            <w:tcW w:w="767" w:type="dxa"/>
            <w:vMerge w:val="restart"/>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排放工况</w:t>
            </w:r>
          </w:p>
        </w:tc>
        <w:tc>
          <w:tcPr>
            <w:tcW w:w="888" w:type="dxa"/>
            <w:tcBorders>
              <w:top w:val="single" w:color="auto" w:sz="12" w:space="0"/>
            </w:tcBorders>
            <w:vAlign w:val="center"/>
          </w:tcPr>
          <w:p>
            <w:pPr>
              <w:widowControl/>
              <w:jc w:val="center"/>
              <w:textAlignment w:val="center"/>
              <w:rPr>
                <w:rFonts w:ascii="Times New Roman" w:hAnsi="Times New Roman"/>
                <w:color w:val="000000"/>
                <w:sz w:val="22"/>
              </w:rPr>
            </w:pPr>
            <w:r>
              <w:rPr>
                <w:rFonts w:hint="eastAsia" w:ascii="宋体" w:hAnsi="宋体" w:cs="宋体"/>
                <w:color w:val="000000"/>
                <w:kern w:val="0"/>
                <w:sz w:val="22"/>
              </w:rPr>
              <w:t>污染物排放速率</w:t>
            </w:r>
            <w:r>
              <w:rPr>
                <w:rFonts w:ascii="Times New Roman" w:hAnsi="Times New Roman"/>
                <w:color w:val="000000"/>
                <w:kern w:val="0"/>
                <w:sz w:val="22"/>
              </w:rPr>
              <w:t>/</w:t>
            </w:r>
            <w:r>
              <w:rPr>
                <w:rFonts w:hint="eastAsia" w:ascii="宋体" w:hAnsi="宋体" w:cs="宋体"/>
                <w:color w:val="000000"/>
                <w:kern w:val="0"/>
                <w:sz w:val="22"/>
              </w:rPr>
              <w:t>（</w:t>
            </w:r>
            <w:r>
              <w:rPr>
                <w:rFonts w:ascii="Times New Roman" w:hAnsi="Times New Roman"/>
                <w:color w:val="000000"/>
                <w:kern w:val="0"/>
                <w:sz w:val="22"/>
              </w:rPr>
              <w:t>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35" w:hRule="atLeast"/>
        </w:trPr>
        <w:tc>
          <w:tcPr>
            <w:tcW w:w="439" w:type="dxa"/>
            <w:vMerge w:val="continue"/>
            <w:vAlign w:val="center"/>
          </w:tcPr>
          <w:p>
            <w:pPr>
              <w:jc w:val="center"/>
              <w:rPr>
                <w:rFonts w:ascii="Times New Roman" w:hAnsi="Times New Roman"/>
                <w:color w:val="000000"/>
                <w:sz w:val="22"/>
              </w:rPr>
            </w:pPr>
          </w:p>
        </w:tc>
        <w:tc>
          <w:tcPr>
            <w:tcW w:w="734" w:type="dxa"/>
            <w:vAlign w:val="center"/>
          </w:tcPr>
          <w:p>
            <w:pPr>
              <w:widowControl/>
              <w:jc w:val="center"/>
              <w:textAlignment w:val="center"/>
              <w:rPr>
                <w:rFonts w:ascii="Times New Roman" w:hAnsi="Times New Roman"/>
                <w:color w:val="000000"/>
                <w:sz w:val="22"/>
              </w:rPr>
            </w:pPr>
            <w:r>
              <w:rPr>
                <w:rFonts w:ascii="Times New Roman" w:hAnsi="Times New Roman"/>
                <w:color w:val="000000"/>
                <w:kern w:val="0"/>
                <w:sz w:val="22"/>
              </w:rPr>
              <w:t>X</w:t>
            </w:r>
          </w:p>
        </w:tc>
        <w:tc>
          <w:tcPr>
            <w:tcW w:w="764" w:type="dxa"/>
            <w:vAlign w:val="center"/>
          </w:tcPr>
          <w:p>
            <w:pPr>
              <w:widowControl/>
              <w:jc w:val="center"/>
              <w:textAlignment w:val="center"/>
              <w:rPr>
                <w:rFonts w:ascii="Times New Roman" w:hAnsi="Times New Roman"/>
                <w:color w:val="000000"/>
                <w:sz w:val="22"/>
              </w:rPr>
            </w:pPr>
            <w:r>
              <w:rPr>
                <w:rFonts w:ascii="Times New Roman" w:hAnsi="Times New Roman"/>
                <w:color w:val="000000"/>
                <w:kern w:val="0"/>
                <w:sz w:val="22"/>
              </w:rPr>
              <w:t>Y</w:t>
            </w:r>
          </w:p>
        </w:tc>
        <w:tc>
          <w:tcPr>
            <w:tcW w:w="768" w:type="dxa"/>
            <w:vMerge w:val="continue"/>
            <w:vAlign w:val="center"/>
          </w:tcPr>
          <w:p>
            <w:pPr>
              <w:jc w:val="center"/>
              <w:rPr>
                <w:rFonts w:ascii="Times New Roman" w:hAnsi="Times New Roman"/>
                <w:color w:val="000000"/>
                <w:sz w:val="22"/>
              </w:rPr>
            </w:pPr>
          </w:p>
        </w:tc>
        <w:tc>
          <w:tcPr>
            <w:tcW w:w="767" w:type="dxa"/>
            <w:vMerge w:val="continue"/>
            <w:vAlign w:val="center"/>
          </w:tcPr>
          <w:p>
            <w:pPr>
              <w:jc w:val="center"/>
              <w:rPr>
                <w:rFonts w:ascii="Times New Roman" w:hAnsi="Times New Roman"/>
                <w:color w:val="000000"/>
                <w:sz w:val="22"/>
              </w:rPr>
            </w:pPr>
          </w:p>
        </w:tc>
        <w:tc>
          <w:tcPr>
            <w:tcW w:w="768" w:type="dxa"/>
            <w:vMerge w:val="continue"/>
            <w:vAlign w:val="center"/>
          </w:tcPr>
          <w:p>
            <w:pPr>
              <w:jc w:val="center"/>
              <w:rPr>
                <w:rFonts w:ascii="Times New Roman" w:hAnsi="Times New Roman"/>
                <w:color w:val="000000"/>
                <w:sz w:val="22"/>
              </w:rPr>
            </w:pPr>
          </w:p>
        </w:tc>
        <w:tc>
          <w:tcPr>
            <w:tcW w:w="768" w:type="dxa"/>
            <w:vMerge w:val="continue"/>
            <w:vAlign w:val="center"/>
          </w:tcPr>
          <w:p>
            <w:pPr>
              <w:jc w:val="center"/>
              <w:rPr>
                <w:rFonts w:ascii="Times New Roman" w:hAnsi="Times New Roman"/>
                <w:color w:val="000000"/>
                <w:sz w:val="22"/>
              </w:rPr>
            </w:pPr>
          </w:p>
        </w:tc>
        <w:tc>
          <w:tcPr>
            <w:tcW w:w="936" w:type="dxa"/>
            <w:vMerge w:val="continue"/>
            <w:vAlign w:val="center"/>
          </w:tcPr>
          <w:p>
            <w:pPr>
              <w:jc w:val="center"/>
              <w:rPr>
                <w:rFonts w:ascii="Times New Roman" w:hAnsi="Times New Roman"/>
                <w:color w:val="000000"/>
                <w:sz w:val="22"/>
              </w:rPr>
            </w:pPr>
          </w:p>
        </w:tc>
        <w:tc>
          <w:tcPr>
            <w:tcW w:w="737" w:type="dxa"/>
            <w:vMerge w:val="continue"/>
            <w:vAlign w:val="center"/>
          </w:tcPr>
          <w:p>
            <w:pPr>
              <w:jc w:val="center"/>
              <w:rPr>
                <w:rFonts w:ascii="Times New Roman" w:hAnsi="Times New Roman"/>
                <w:color w:val="000000"/>
                <w:sz w:val="22"/>
              </w:rPr>
            </w:pPr>
          </w:p>
        </w:tc>
        <w:tc>
          <w:tcPr>
            <w:tcW w:w="767" w:type="dxa"/>
            <w:vMerge w:val="continue"/>
            <w:vAlign w:val="center"/>
          </w:tcPr>
          <w:p>
            <w:pPr>
              <w:jc w:val="center"/>
              <w:rPr>
                <w:rFonts w:ascii="Times New Roman" w:hAnsi="Times New Roman"/>
                <w:color w:val="000000"/>
                <w:sz w:val="22"/>
              </w:rPr>
            </w:pPr>
          </w:p>
        </w:tc>
        <w:tc>
          <w:tcPr>
            <w:tcW w:w="888" w:type="dxa"/>
            <w:vAlign w:val="center"/>
          </w:tcPr>
          <w:p>
            <w:pPr>
              <w:widowControl/>
              <w:jc w:val="center"/>
              <w:textAlignment w:val="center"/>
              <w:rPr>
                <w:rFonts w:ascii="Times New Roman" w:hAnsi="Times New Roman"/>
                <w:color w:val="000000"/>
                <w:sz w:val="22"/>
              </w:rPr>
            </w:pPr>
            <w:r>
              <w:rPr>
                <w:rFonts w:hint="eastAsia" w:ascii="Times New Roman" w:hAnsi="Times New Roman"/>
                <w:color w:val="000000"/>
                <w:sz w:val="22"/>
              </w:rPr>
              <w:t>TSP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6" w:hRule="atLeast"/>
        </w:trPr>
        <w:tc>
          <w:tcPr>
            <w:tcW w:w="439" w:type="dxa"/>
            <w:tcBorders>
              <w:bottom w:val="single" w:color="auto" w:sz="12" w:space="0"/>
            </w:tcBorders>
            <w:vAlign w:val="center"/>
          </w:tcPr>
          <w:p>
            <w:pPr>
              <w:jc w:val="center"/>
              <w:rPr>
                <w:rFonts w:ascii="Times New Roman" w:hAnsi="Times New Roman"/>
                <w:color w:val="000000"/>
                <w:sz w:val="22"/>
              </w:rPr>
            </w:pPr>
            <w:r>
              <w:rPr>
                <w:rFonts w:hint="eastAsia" w:ascii="Times New Roman" w:hAnsi="Times New Roman"/>
                <w:color w:val="000000"/>
                <w:sz w:val="22"/>
              </w:rPr>
              <w:t>厂区</w:t>
            </w:r>
          </w:p>
        </w:tc>
        <w:tc>
          <w:tcPr>
            <w:tcW w:w="734" w:type="dxa"/>
            <w:tcBorders>
              <w:bottom w:val="single" w:color="auto" w:sz="12" w:space="0"/>
            </w:tcBorders>
            <w:vAlign w:val="center"/>
          </w:tcPr>
          <w:p>
            <w:pPr>
              <w:jc w:val="center"/>
              <w:rPr>
                <w:rFonts w:ascii="Times New Roman" w:hAnsi="Times New Roman"/>
                <w:color w:val="000000"/>
                <w:sz w:val="22"/>
              </w:rPr>
            </w:pPr>
          </w:p>
        </w:tc>
        <w:tc>
          <w:tcPr>
            <w:tcW w:w="764" w:type="dxa"/>
            <w:tcBorders>
              <w:bottom w:val="single" w:color="auto" w:sz="12" w:space="0"/>
            </w:tcBorders>
            <w:vAlign w:val="center"/>
          </w:tcPr>
          <w:p>
            <w:pPr>
              <w:jc w:val="center"/>
              <w:rPr>
                <w:rFonts w:ascii="Times New Roman" w:hAnsi="Times New Roman"/>
                <w:color w:val="000000"/>
                <w:sz w:val="22"/>
              </w:rPr>
            </w:pPr>
          </w:p>
        </w:tc>
        <w:tc>
          <w:tcPr>
            <w:tcW w:w="768" w:type="dxa"/>
            <w:tcBorders>
              <w:bottom w:val="single" w:color="auto" w:sz="12" w:space="0"/>
            </w:tcBorders>
            <w:vAlign w:val="center"/>
          </w:tcPr>
          <w:p>
            <w:pPr>
              <w:jc w:val="center"/>
              <w:rPr>
                <w:rFonts w:ascii="Times New Roman" w:hAnsi="Times New Roman"/>
                <w:color w:val="000000"/>
                <w:sz w:val="22"/>
              </w:rPr>
            </w:pPr>
            <w:r>
              <w:rPr>
                <w:rFonts w:hint="eastAsia" w:ascii="Times New Roman" w:hAnsi="Times New Roman"/>
                <w:color w:val="000000"/>
                <w:sz w:val="22"/>
              </w:rPr>
              <w:t>3</w:t>
            </w:r>
          </w:p>
        </w:tc>
        <w:tc>
          <w:tcPr>
            <w:tcW w:w="767" w:type="dxa"/>
            <w:tcBorders>
              <w:bottom w:val="single" w:color="auto" w:sz="12" w:space="0"/>
            </w:tcBorders>
            <w:vAlign w:val="center"/>
          </w:tcPr>
          <w:p>
            <w:pPr>
              <w:jc w:val="center"/>
              <w:rPr>
                <w:rFonts w:ascii="Times New Roman" w:hAnsi="Times New Roman"/>
                <w:color w:val="000000"/>
                <w:sz w:val="22"/>
              </w:rPr>
            </w:pPr>
            <w:r>
              <w:rPr>
                <w:rFonts w:hint="eastAsia" w:ascii="Times New Roman" w:hAnsi="Times New Roman"/>
                <w:color w:val="000000"/>
                <w:sz w:val="22"/>
              </w:rPr>
              <w:t>270</w:t>
            </w:r>
          </w:p>
        </w:tc>
        <w:tc>
          <w:tcPr>
            <w:tcW w:w="768" w:type="dxa"/>
            <w:tcBorders>
              <w:bottom w:val="single" w:color="auto" w:sz="12" w:space="0"/>
            </w:tcBorders>
            <w:vAlign w:val="center"/>
          </w:tcPr>
          <w:p>
            <w:pPr>
              <w:jc w:val="center"/>
              <w:rPr>
                <w:rFonts w:ascii="Times New Roman" w:hAnsi="Times New Roman"/>
                <w:color w:val="000000"/>
                <w:sz w:val="22"/>
              </w:rPr>
            </w:pPr>
            <w:r>
              <w:rPr>
                <w:rFonts w:hint="eastAsia" w:ascii="Times New Roman" w:hAnsi="Times New Roman"/>
                <w:color w:val="000000"/>
                <w:sz w:val="22"/>
              </w:rPr>
              <w:t>281</w:t>
            </w:r>
          </w:p>
        </w:tc>
        <w:tc>
          <w:tcPr>
            <w:tcW w:w="768" w:type="dxa"/>
            <w:tcBorders>
              <w:bottom w:val="single" w:color="auto" w:sz="12" w:space="0"/>
            </w:tcBorders>
            <w:vAlign w:val="center"/>
          </w:tcPr>
          <w:p>
            <w:pPr>
              <w:jc w:val="center"/>
              <w:rPr>
                <w:rFonts w:ascii="Times New Roman" w:hAnsi="Times New Roman"/>
                <w:color w:val="000000"/>
                <w:sz w:val="22"/>
              </w:rPr>
            </w:pPr>
            <w:r>
              <w:rPr>
                <w:rFonts w:hint="eastAsia" w:ascii="Times New Roman" w:hAnsi="Times New Roman"/>
                <w:color w:val="000000"/>
                <w:sz w:val="22"/>
              </w:rPr>
              <w:t>0</w:t>
            </w:r>
          </w:p>
        </w:tc>
        <w:tc>
          <w:tcPr>
            <w:tcW w:w="936" w:type="dxa"/>
            <w:tcBorders>
              <w:bottom w:val="single" w:color="auto" w:sz="12" w:space="0"/>
            </w:tcBorders>
            <w:vAlign w:val="center"/>
          </w:tcPr>
          <w:p>
            <w:pPr>
              <w:jc w:val="center"/>
              <w:rPr>
                <w:rFonts w:ascii="Times New Roman" w:hAnsi="Times New Roman"/>
                <w:color w:val="000000"/>
                <w:sz w:val="22"/>
              </w:rPr>
            </w:pPr>
            <w:r>
              <w:rPr>
                <w:rFonts w:hint="eastAsia" w:ascii="Times New Roman" w:hAnsi="Times New Roman"/>
                <w:color w:val="000000"/>
                <w:sz w:val="22"/>
              </w:rPr>
              <w:t>3</w:t>
            </w:r>
          </w:p>
        </w:tc>
        <w:tc>
          <w:tcPr>
            <w:tcW w:w="737" w:type="dxa"/>
            <w:tcBorders>
              <w:bottom w:val="single" w:color="auto" w:sz="12" w:space="0"/>
            </w:tcBorders>
            <w:vAlign w:val="center"/>
          </w:tcPr>
          <w:p>
            <w:pPr>
              <w:jc w:val="center"/>
              <w:rPr>
                <w:rFonts w:ascii="Times New Roman" w:hAnsi="Times New Roman"/>
                <w:color w:val="000000"/>
                <w:sz w:val="22"/>
              </w:rPr>
            </w:pPr>
            <w:r>
              <w:rPr>
                <w:rFonts w:hint="eastAsia" w:ascii="Times New Roman" w:hAnsi="Times New Roman"/>
                <w:color w:val="000000"/>
                <w:sz w:val="22"/>
              </w:rPr>
              <w:t>365</w:t>
            </w:r>
          </w:p>
        </w:tc>
        <w:tc>
          <w:tcPr>
            <w:tcW w:w="767" w:type="dxa"/>
            <w:tcBorders>
              <w:bottom w:val="single" w:color="auto" w:sz="12" w:space="0"/>
            </w:tcBorders>
            <w:vAlign w:val="center"/>
          </w:tcPr>
          <w:p>
            <w:pPr>
              <w:jc w:val="center"/>
              <w:rPr>
                <w:rFonts w:ascii="Times New Roman" w:hAnsi="Times New Roman"/>
                <w:color w:val="000000"/>
                <w:sz w:val="22"/>
              </w:rPr>
            </w:pPr>
            <w:r>
              <w:rPr>
                <w:rFonts w:hint="eastAsia" w:ascii="Times New Roman" w:hAnsi="Times New Roman"/>
                <w:color w:val="000000"/>
                <w:sz w:val="22"/>
              </w:rPr>
              <w:t>正常</w:t>
            </w:r>
          </w:p>
        </w:tc>
        <w:tc>
          <w:tcPr>
            <w:tcW w:w="888" w:type="dxa"/>
            <w:tcBorders>
              <w:bottom w:val="single" w:color="auto" w:sz="12" w:space="0"/>
            </w:tcBorders>
            <w:vAlign w:val="center"/>
          </w:tcPr>
          <w:p>
            <w:pPr>
              <w:jc w:val="center"/>
              <w:rPr>
                <w:rFonts w:ascii="Times New Roman" w:hAnsi="Times New Roman"/>
                <w:color w:val="000000"/>
                <w:sz w:val="22"/>
              </w:rPr>
            </w:pPr>
            <w:r>
              <w:rPr>
                <w:rFonts w:hint="eastAsia" w:ascii="Times New Roman" w:hAnsi="Times New Roman"/>
                <w:color w:val="000000"/>
                <w:sz w:val="22"/>
              </w:rPr>
              <w:t>0.038</w:t>
            </w:r>
          </w:p>
        </w:tc>
      </w:tr>
    </w:tbl>
    <w:p>
      <w:pPr>
        <w:spacing w:line="360" w:lineRule="auto"/>
        <w:rPr>
          <w:rFonts w:ascii="Times New Roman" w:hAnsi="Times New Roman"/>
          <w:color w:val="000000"/>
          <w:sz w:val="24"/>
          <w:szCs w:val="24"/>
          <w:shd w:val="clear" w:color="auto" w:fill="FFFFFF"/>
        </w:rPr>
      </w:pPr>
    </w:p>
    <w:p>
      <w:pPr>
        <w:spacing w:beforeLines="50" w:line="360" w:lineRule="auto"/>
        <w:ind w:firstLine="480" w:firstLineChars="200"/>
        <w:rPr>
          <w:rFonts w:ascii="Times New Roman" w:hAnsi="Times New Roman"/>
          <w:color w:val="333333"/>
          <w:sz w:val="24"/>
          <w:szCs w:val="24"/>
          <w:shd w:val="clear" w:color="auto" w:fill="FFFFFF"/>
        </w:rPr>
      </w:pPr>
      <w:r>
        <w:rPr>
          <w:rFonts w:hint="eastAsia" w:ascii="Times New Roman" w:hAnsi="Times New Roman"/>
          <w:color w:val="333333"/>
          <w:sz w:val="24"/>
          <w:szCs w:val="24"/>
          <w:shd w:val="clear" w:color="auto" w:fill="FFFFFF"/>
        </w:rPr>
        <w:t>3、大气预测模式选取分析</w:t>
      </w:r>
    </w:p>
    <w:p>
      <w:pPr>
        <w:pStyle w:val="2"/>
        <w:spacing w:after="0" w:line="360" w:lineRule="auto"/>
        <w:ind w:firstLine="480" w:firstLineChars="200"/>
        <w:rPr>
          <w:rFonts w:ascii="Times New Roman" w:hAnsi="Times New Roman"/>
          <w:sz w:val="24"/>
        </w:rPr>
      </w:pPr>
      <w:r>
        <w:rPr>
          <w:rFonts w:ascii="Times New Roman" w:hAnsi="Times New Roman"/>
          <w:sz w:val="24"/>
        </w:rPr>
        <w:t>根据HJ2.2</w:t>
      </w:r>
      <w:r>
        <w:rPr>
          <w:rFonts w:hint="eastAsia" w:ascii="Times New Roman" w:hAnsi="Times New Roman"/>
          <w:sz w:val="24"/>
        </w:rPr>
        <w:t>-</w:t>
      </w:r>
      <w:r>
        <w:rPr>
          <w:rFonts w:ascii="Times New Roman" w:hAnsi="Times New Roman"/>
          <w:sz w:val="24"/>
        </w:rPr>
        <w:t>20</w:t>
      </w:r>
      <w:r>
        <w:rPr>
          <w:rFonts w:hint="eastAsia" w:ascii="Times New Roman" w:hAnsi="Times New Roman"/>
          <w:sz w:val="24"/>
        </w:rPr>
        <w:t>1</w:t>
      </w:r>
      <w:r>
        <w:rPr>
          <w:rFonts w:ascii="Times New Roman" w:hAnsi="Times New Roman"/>
          <w:sz w:val="24"/>
        </w:rPr>
        <w:t>8《环境影响评价技术导则（大气环境）》要求</w:t>
      </w:r>
      <w:r>
        <w:rPr>
          <w:rFonts w:hint="eastAsia" w:ascii="Times New Roman" w:hAnsi="Times New Roman"/>
          <w:sz w:val="24"/>
        </w:rPr>
        <w:t>，本项目估算模型采用导则中推荐的AERCREEN模型进行估算。AERSCREEN 为美国环保署（U.S. EPA，下同）开发的基于 AERMOD 估算模式的单源估算模型，可计算污染源包括点源、带盖点源、水平点源、矩形面源、圆形面源、体源和火炬源，能够考虑地形、熏烟和建筑物下洗的影响，可以输出1 小时、8 小时、24 小时平均、及年均地面浓度最大值，评价评价源对周边空气环境的影响程度和范围</w:t>
      </w:r>
      <w:r>
        <w:rPr>
          <w:rFonts w:ascii="Times New Roman" w:hAnsi="Times New Roman"/>
          <w:sz w:val="24"/>
        </w:rPr>
        <w:t>。</w:t>
      </w:r>
    </w:p>
    <w:p>
      <w:pPr>
        <w:spacing w:line="360" w:lineRule="auto"/>
        <w:ind w:firstLine="480" w:firstLineChars="200"/>
        <w:jc w:val="left"/>
        <w:rPr>
          <w:rFonts w:ascii="Times New Roman" w:hAnsi="Times New Roman"/>
          <w:sz w:val="24"/>
        </w:rPr>
      </w:pPr>
      <w:r>
        <w:rPr>
          <w:rFonts w:hint="eastAsia" w:ascii="Times New Roman" w:hAnsi="Times New Roman"/>
          <w:sz w:val="24"/>
        </w:rPr>
        <w:t>4、大气估算结果</w:t>
      </w:r>
    </w:p>
    <w:p>
      <w:pPr>
        <w:spacing w:line="360" w:lineRule="auto"/>
        <w:ind w:firstLine="566"/>
        <w:jc w:val="left"/>
        <w:rPr>
          <w:rFonts w:ascii="Times New Roman" w:hAnsi="Times New Roman"/>
          <w:sz w:val="24"/>
        </w:rPr>
      </w:pPr>
    </w:p>
    <w:p>
      <w:pPr>
        <w:spacing w:line="360" w:lineRule="auto"/>
        <w:ind w:firstLine="566"/>
        <w:jc w:val="left"/>
        <w:rPr>
          <w:rFonts w:ascii="Times New Roman" w:hAnsi="Times New Roman"/>
          <w:sz w:val="24"/>
        </w:rPr>
      </w:pPr>
    </w:p>
    <w:p>
      <w:pPr>
        <w:spacing w:line="360" w:lineRule="auto"/>
        <w:ind w:firstLine="566"/>
        <w:jc w:val="left"/>
        <w:rPr>
          <w:rFonts w:ascii="Times New Roman" w:hAnsi="Times New Roman"/>
          <w:sz w:val="24"/>
        </w:rPr>
      </w:pPr>
    </w:p>
    <w:p>
      <w:pPr>
        <w:spacing w:line="360" w:lineRule="auto"/>
        <w:jc w:val="left"/>
        <w:rPr>
          <w:rFonts w:ascii="Times New Roman" w:hAnsi="Times New Roman"/>
          <w:sz w:val="24"/>
        </w:rPr>
      </w:pPr>
    </w:p>
    <w:p>
      <w:pPr>
        <w:spacing w:line="360" w:lineRule="auto"/>
        <w:ind w:firstLine="566"/>
        <w:jc w:val="left"/>
        <w:rPr>
          <w:rFonts w:ascii="Times New Roman" w:hAnsi="Times New Roman"/>
          <w:sz w:val="24"/>
        </w:rPr>
      </w:pPr>
    </w:p>
    <w:p>
      <w:pPr>
        <w:spacing w:line="360" w:lineRule="auto"/>
        <w:ind w:firstLine="566"/>
        <w:jc w:val="left"/>
        <w:rPr>
          <w:rFonts w:ascii="Times New Roman" w:hAnsi="Times New Roman"/>
          <w:sz w:val="24"/>
        </w:rPr>
      </w:pPr>
    </w:p>
    <w:p>
      <w:pPr>
        <w:spacing w:line="360" w:lineRule="auto"/>
        <w:ind w:firstLine="566"/>
        <w:jc w:val="left"/>
        <w:rPr>
          <w:rFonts w:ascii="Times New Roman" w:hAnsi="Times New Roman"/>
          <w:sz w:val="24"/>
        </w:rPr>
      </w:pPr>
    </w:p>
    <w:p>
      <w:pPr>
        <w:spacing w:line="360" w:lineRule="auto"/>
        <w:ind w:firstLine="566"/>
        <w:jc w:val="left"/>
        <w:rPr>
          <w:rFonts w:ascii="Times New Roman" w:hAnsi="Times New Roman"/>
          <w:sz w:val="24"/>
        </w:rPr>
      </w:pPr>
    </w:p>
    <w:p>
      <w:pPr>
        <w:spacing w:line="360" w:lineRule="auto"/>
        <w:ind w:firstLine="566"/>
        <w:jc w:val="left"/>
        <w:rPr>
          <w:rFonts w:ascii="Times New Roman" w:hAnsi="Times New Roman"/>
          <w:sz w:val="24"/>
        </w:rPr>
      </w:pPr>
    </w:p>
    <w:p>
      <w:pPr>
        <w:spacing w:line="360" w:lineRule="auto"/>
        <w:ind w:firstLine="566"/>
        <w:jc w:val="left"/>
        <w:rPr>
          <w:rFonts w:ascii="Times New Roman" w:hAnsi="Times New Roman"/>
          <w:sz w:val="24"/>
        </w:rPr>
      </w:pPr>
      <w:r>
        <w:rPr>
          <w:rFonts w:hint="eastAsia" w:ascii="Times New Roman" w:hAnsi="Times New Roman"/>
          <w:sz w:val="24"/>
        </w:rPr>
        <w:t>本项目预测结果详见表5-3。</w:t>
      </w:r>
    </w:p>
    <w:p>
      <w:pPr>
        <w:pStyle w:val="2"/>
        <w:spacing w:after="0"/>
        <w:jc w:val="center"/>
        <w:rPr>
          <w:rFonts w:ascii="Times New Roman" w:hAnsi="Times New Roman"/>
          <w:b/>
          <w:bCs/>
          <w:sz w:val="24"/>
        </w:rPr>
      </w:pPr>
    </w:p>
    <w:p>
      <w:pPr>
        <w:pStyle w:val="2"/>
        <w:spacing w:after="0"/>
        <w:jc w:val="center"/>
        <w:rPr>
          <w:rFonts w:ascii="Times New Roman" w:hAnsi="Times New Roman"/>
          <w:b/>
          <w:bCs/>
          <w:sz w:val="24"/>
        </w:rPr>
      </w:pPr>
      <w:r>
        <w:drawing>
          <wp:inline distT="0" distB="0" distL="0" distR="0">
            <wp:extent cx="3002280" cy="3303905"/>
            <wp:effectExtent l="19050" t="0" r="762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noChangeArrowheads="1"/>
                    </pic:cNvPicPr>
                  </pic:nvPicPr>
                  <pic:blipFill>
                    <a:blip r:embed="rId21" cstate="print"/>
                    <a:srcRect/>
                    <a:stretch>
                      <a:fillRect/>
                    </a:stretch>
                  </pic:blipFill>
                  <pic:spPr>
                    <a:xfrm>
                      <a:off x="0" y="0"/>
                      <a:ext cx="3002280" cy="3303905"/>
                    </a:xfrm>
                    <a:prstGeom prst="rect">
                      <a:avLst/>
                    </a:prstGeom>
                    <a:noFill/>
                    <a:ln w="9525" cmpd="sng">
                      <a:noFill/>
                      <a:miter lim="800000"/>
                      <a:headEnd/>
                      <a:tailEnd/>
                    </a:ln>
                    <a:effectLst/>
                  </pic:spPr>
                </pic:pic>
              </a:graphicData>
            </a:graphic>
          </wp:inline>
        </w:drawing>
      </w:r>
    </w:p>
    <w:p>
      <w:pPr>
        <w:pStyle w:val="2"/>
        <w:spacing w:after="0"/>
        <w:rPr>
          <w:rFonts w:ascii="Times New Roman" w:hAnsi="Times New Roman"/>
          <w:b/>
          <w:bCs/>
          <w:sz w:val="24"/>
        </w:rPr>
      </w:pPr>
    </w:p>
    <w:p>
      <w:pPr>
        <w:pStyle w:val="2"/>
        <w:spacing w:after="0"/>
        <w:jc w:val="center"/>
      </w:pPr>
      <w:r>
        <w:rPr>
          <w:rFonts w:hint="eastAsia" w:ascii="Times New Roman" w:hAnsi="Times New Roman"/>
          <w:b/>
          <w:bCs/>
          <w:sz w:val="24"/>
        </w:rPr>
        <w:t>图5-1 厂区无组织粉尘预测结果一览表</w:t>
      </w:r>
      <w:r>
        <w:rPr>
          <w:rFonts w:hint="eastAsia" w:ascii="Times New Roman" w:hAnsi="Times New Roman"/>
          <w:b/>
          <w:bCs/>
          <w:sz w:val="24"/>
        </w:rPr>
        <w:tab/>
      </w:r>
    </w:p>
    <w:p>
      <w:pPr>
        <w:tabs>
          <w:tab w:val="left" w:pos="551"/>
        </w:tabs>
        <w:spacing w:before="157" w:line="360" w:lineRule="auto"/>
        <w:jc w:val="left"/>
        <w:rPr>
          <w:rFonts w:ascii="Times New Roman" w:hAnsi="Times New Roman"/>
          <w:sz w:val="24"/>
          <w:szCs w:val="24"/>
        </w:rPr>
      </w:pPr>
      <w:r>
        <w:rPr>
          <w:rFonts w:ascii="Times New Roman" w:hAnsi="Times New Roman"/>
        </w:rPr>
        <w:tab/>
      </w:r>
      <w:r>
        <w:rPr>
          <w:rFonts w:ascii="Times New Roman" w:hAnsi="Times New Roman"/>
          <w:sz w:val="24"/>
          <w:szCs w:val="24"/>
        </w:rPr>
        <w:t>④估算结果汇总</w:t>
      </w:r>
    </w:p>
    <w:p>
      <w:pPr>
        <w:spacing w:line="360" w:lineRule="auto"/>
        <w:ind w:firstLine="581"/>
        <w:jc w:val="left"/>
        <w:rPr>
          <w:rFonts w:ascii="Times New Roman" w:hAnsi="Times New Roman"/>
          <w:sz w:val="24"/>
          <w:szCs w:val="24"/>
        </w:rPr>
      </w:pPr>
      <w:r>
        <w:rPr>
          <w:rFonts w:ascii="Times New Roman" w:hAnsi="Times New Roman"/>
          <w:sz w:val="24"/>
          <w:szCs w:val="24"/>
        </w:rPr>
        <w:t>污染源预测估算结果汇总见下表及图5-3。</w:t>
      </w:r>
    </w:p>
    <w:p>
      <w:pPr>
        <w:spacing w:line="360" w:lineRule="auto"/>
        <w:ind w:firstLine="581"/>
        <w:jc w:val="left"/>
        <w:rPr>
          <w:sz w:val="24"/>
          <w:szCs w:val="24"/>
        </w:rPr>
      </w:pPr>
    </w:p>
    <w:p>
      <w:pPr>
        <w:pStyle w:val="2"/>
        <w:spacing w:after="0"/>
        <w:jc w:val="center"/>
        <w:rPr>
          <w:rFonts w:ascii="Times New Roman" w:hAnsi="Times New Roman"/>
          <w:b/>
          <w:bCs/>
          <w:sz w:val="24"/>
          <w:szCs w:val="24"/>
        </w:rPr>
      </w:pPr>
      <w:r>
        <w:rPr>
          <w:rFonts w:ascii="Times New Roman" w:hAnsi="Times New Roman"/>
          <w:b/>
          <w:bCs/>
          <w:sz w:val="24"/>
          <w:szCs w:val="24"/>
        </w:rPr>
        <w:t>表5-</w:t>
      </w:r>
      <w:r>
        <w:rPr>
          <w:rFonts w:hint="eastAsia" w:ascii="Times New Roman" w:hAnsi="Times New Roman"/>
          <w:b/>
          <w:bCs/>
          <w:sz w:val="24"/>
          <w:szCs w:val="24"/>
        </w:rPr>
        <w:t>3</w:t>
      </w:r>
      <w:r>
        <w:rPr>
          <w:rFonts w:ascii="Times New Roman" w:hAnsi="Times New Roman"/>
          <w:b/>
          <w:bCs/>
          <w:sz w:val="24"/>
          <w:szCs w:val="24"/>
        </w:rPr>
        <w:t xml:space="preserve">  污染源估算结果汇总表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014"/>
        <w:gridCol w:w="2902"/>
        <w:gridCol w:w="2438"/>
        <w:gridCol w:w="20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6" w:hRule="atLeast"/>
          <w:jc w:val="center"/>
        </w:trPr>
        <w:tc>
          <w:tcPr>
            <w:tcW w:w="1014" w:type="dxa"/>
            <w:vMerge w:val="restart"/>
            <w:vAlign w:val="center"/>
          </w:tcPr>
          <w:p>
            <w:pPr>
              <w:pStyle w:val="49"/>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2902" w:type="dxa"/>
            <w:vMerge w:val="restart"/>
            <w:vAlign w:val="center"/>
          </w:tcPr>
          <w:p>
            <w:pPr>
              <w:pStyle w:val="49"/>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项目</w:t>
            </w:r>
          </w:p>
        </w:tc>
        <w:tc>
          <w:tcPr>
            <w:tcW w:w="4446" w:type="dxa"/>
            <w:gridSpan w:val="2"/>
            <w:vAlign w:val="center"/>
          </w:tcPr>
          <w:p>
            <w:pPr>
              <w:pStyle w:val="49"/>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014" w:type="dxa"/>
            <w:vMerge w:val="continue"/>
            <w:vAlign w:val="center"/>
          </w:tcPr>
          <w:p>
            <w:pPr>
              <w:pStyle w:val="49"/>
              <w:spacing w:line="240" w:lineRule="auto"/>
              <w:ind w:firstLine="199" w:firstLineChars="95"/>
              <w:rPr>
                <w:rFonts w:ascii="Times New Roman" w:hAnsi="Times New Roman" w:cs="Times New Roman"/>
                <w:color w:val="auto"/>
                <w:sz w:val="21"/>
                <w:szCs w:val="21"/>
              </w:rPr>
            </w:pPr>
          </w:p>
        </w:tc>
        <w:tc>
          <w:tcPr>
            <w:tcW w:w="2902" w:type="dxa"/>
            <w:vMerge w:val="continue"/>
            <w:vAlign w:val="center"/>
          </w:tcPr>
          <w:p>
            <w:pPr>
              <w:pStyle w:val="49"/>
              <w:spacing w:line="240" w:lineRule="auto"/>
              <w:ind w:firstLine="420"/>
              <w:jc w:val="center"/>
              <w:rPr>
                <w:rFonts w:ascii="Times New Roman" w:hAnsi="Times New Roman" w:cs="Times New Roman"/>
                <w:color w:val="auto"/>
                <w:sz w:val="21"/>
                <w:szCs w:val="21"/>
              </w:rPr>
            </w:pPr>
          </w:p>
        </w:tc>
        <w:tc>
          <w:tcPr>
            <w:tcW w:w="2438" w:type="dxa"/>
            <w:tcBorders>
              <w:right w:val="single" w:color="auto" w:sz="4" w:space="0"/>
            </w:tcBorders>
            <w:vAlign w:val="center"/>
          </w:tcPr>
          <w:p>
            <w:pPr>
              <w:pStyle w:val="49"/>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预测质量</w:t>
            </w:r>
            <w:r>
              <w:rPr>
                <w:rFonts w:ascii="Times New Roman" w:hAnsi="Times New Roman" w:cs="Times New Roman"/>
                <w:color w:val="auto"/>
                <w:sz w:val="21"/>
                <w:szCs w:val="21"/>
              </w:rPr>
              <w:t>浓度（mg/m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2008" w:type="dxa"/>
            <w:tcBorders>
              <w:left w:val="single" w:color="auto" w:sz="4" w:space="0"/>
            </w:tcBorders>
            <w:vAlign w:val="center"/>
          </w:tcPr>
          <w:p>
            <w:pPr>
              <w:pStyle w:val="49"/>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浓度占标率（%）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4" w:hRule="atLeast"/>
          <w:jc w:val="center"/>
        </w:trPr>
        <w:tc>
          <w:tcPr>
            <w:tcW w:w="1014" w:type="dxa"/>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1</w:t>
            </w:r>
          </w:p>
        </w:tc>
        <w:tc>
          <w:tcPr>
            <w:tcW w:w="2902" w:type="dxa"/>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下风向最大质量浓度及占标率</w:t>
            </w:r>
          </w:p>
        </w:tc>
        <w:tc>
          <w:tcPr>
            <w:tcW w:w="2438" w:type="dxa"/>
            <w:tcBorders>
              <w:right w:val="single" w:color="auto" w:sz="4" w:space="0"/>
            </w:tcBorders>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2.109</w:t>
            </w:r>
          </w:p>
        </w:tc>
        <w:tc>
          <w:tcPr>
            <w:tcW w:w="2008" w:type="dxa"/>
            <w:tcBorders>
              <w:left w:val="single" w:color="auto" w:sz="4" w:space="0"/>
            </w:tcBorders>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94" w:hRule="atLeast"/>
          <w:jc w:val="center"/>
        </w:trPr>
        <w:tc>
          <w:tcPr>
            <w:tcW w:w="1014" w:type="dxa"/>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2</w:t>
            </w:r>
          </w:p>
        </w:tc>
        <w:tc>
          <w:tcPr>
            <w:tcW w:w="2902" w:type="dxa"/>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D10%最远距离/m</w:t>
            </w:r>
          </w:p>
        </w:tc>
        <w:tc>
          <w:tcPr>
            <w:tcW w:w="4446" w:type="dxa"/>
            <w:gridSpan w:val="2"/>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197</w:t>
            </w:r>
          </w:p>
        </w:tc>
      </w:tr>
    </w:tbl>
    <w:p>
      <w:pPr>
        <w:adjustRightInd w:val="0"/>
        <w:snapToGrid w:val="0"/>
      </w:pPr>
    </w:p>
    <w:p>
      <w:pPr>
        <w:spacing w:line="360" w:lineRule="auto"/>
        <w:ind w:firstLine="420" w:firstLineChars="200"/>
        <w:rPr>
          <w:rFonts w:ascii="Times New Roman" w:hAnsi="Times New Roman"/>
          <w:i/>
          <w:iCs/>
          <w:sz w:val="24"/>
          <w:szCs w:val="24"/>
          <w:u w:val="single"/>
        </w:rPr>
      </w:pPr>
      <w:r>
        <w:drawing>
          <wp:anchor distT="0" distB="0" distL="114300" distR="114300" simplePos="0" relativeHeight="251751424" behindDoc="0" locked="0" layoutInCell="1" allowOverlap="1">
            <wp:simplePos x="0" y="0"/>
            <wp:positionH relativeFrom="column">
              <wp:posOffset>-95250</wp:posOffset>
            </wp:positionH>
            <wp:positionV relativeFrom="paragraph">
              <wp:posOffset>57785</wp:posOffset>
            </wp:positionV>
            <wp:extent cx="4971415" cy="1590675"/>
            <wp:effectExtent l="19050" t="0" r="63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srcRect/>
                    <a:stretch>
                      <a:fillRect/>
                    </a:stretch>
                  </pic:blipFill>
                  <pic:spPr>
                    <a:xfrm>
                      <a:off x="0" y="0"/>
                      <a:ext cx="4971415" cy="1590675"/>
                    </a:xfrm>
                    <a:prstGeom prst="rect">
                      <a:avLst/>
                    </a:prstGeom>
                    <a:noFill/>
                    <a:ln w="9525" cmpd="sng">
                      <a:noFill/>
                      <a:miter lim="800000"/>
                      <a:headEnd/>
                      <a:tailEnd/>
                    </a:ln>
                    <a:effectLst/>
                  </pic:spPr>
                </pic:pic>
              </a:graphicData>
            </a:graphic>
          </wp:anchor>
        </w:drawing>
      </w:r>
    </w:p>
    <w:p>
      <w:pPr>
        <w:spacing w:line="360" w:lineRule="auto"/>
        <w:ind w:firstLine="480" w:firstLineChars="200"/>
        <w:rPr>
          <w:rFonts w:ascii="Times New Roman" w:hAnsi="Times New Roman"/>
          <w:i/>
          <w:iCs/>
          <w:sz w:val="24"/>
          <w:szCs w:val="24"/>
          <w:u w:val="single"/>
        </w:rPr>
      </w:pPr>
    </w:p>
    <w:p>
      <w:pPr>
        <w:spacing w:line="360" w:lineRule="auto"/>
        <w:ind w:firstLine="480" w:firstLineChars="200"/>
        <w:rPr>
          <w:rFonts w:ascii="Times New Roman" w:hAnsi="Times New Roman"/>
          <w:i/>
          <w:iCs/>
          <w:sz w:val="24"/>
          <w:szCs w:val="24"/>
          <w:u w:val="single"/>
        </w:rPr>
      </w:pPr>
    </w:p>
    <w:p>
      <w:pPr>
        <w:spacing w:line="360" w:lineRule="auto"/>
        <w:ind w:firstLine="480" w:firstLineChars="200"/>
        <w:rPr>
          <w:rFonts w:ascii="Times New Roman" w:hAnsi="Times New Roman"/>
          <w:i/>
          <w:iCs/>
          <w:sz w:val="24"/>
          <w:szCs w:val="24"/>
          <w:u w:val="single"/>
        </w:rPr>
      </w:pPr>
    </w:p>
    <w:p>
      <w:pPr>
        <w:spacing w:line="360" w:lineRule="auto"/>
        <w:ind w:firstLine="480" w:firstLineChars="200"/>
        <w:rPr>
          <w:rFonts w:ascii="Times New Roman" w:hAnsi="Times New Roman"/>
          <w:i/>
          <w:iCs/>
          <w:sz w:val="24"/>
          <w:szCs w:val="24"/>
          <w:u w:val="single"/>
        </w:rPr>
      </w:pPr>
    </w:p>
    <w:p>
      <w:pPr>
        <w:spacing w:line="360" w:lineRule="auto"/>
        <w:ind w:firstLine="480" w:firstLineChars="200"/>
        <w:rPr>
          <w:rFonts w:ascii="Times New Roman" w:hAnsi="Times New Roman"/>
          <w:i/>
          <w:iCs/>
          <w:sz w:val="24"/>
          <w:szCs w:val="24"/>
          <w:u w:val="single"/>
        </w:rPr>
      </w:pPr>
    </w:p>
    <w:p>
      <w:pPr>
        <w:spacing w:line="360" w:lineRule="auto"/>
        <w:ind w:firstLine="1687" w:firstLineChars="700"/>
        <w:rPr>
          <w:rFonts w:ascii="Times New Roman" w:hAnsi="Times New Roman"/>
          <w:i/>
          <w:iCs/>
          <w:sz w:val="24"/>
          <w:szCs w:val="24"/>
          <w:u w:val="single"/>
        </w:rPr>
      </w:pPr>
      <w:r>
        <w:rPr>
          <w:rFonts w:hint="eastAsia" w:ascii="Times New Roman" w:hAnsi="Times New Roman"/>
          <w:b/>
          <w:bCs/>
          <w:sz w:val="24"/>
        </w:rPr>
        <w:t>图5-2 本项目最大落地浓度及D10%距离</w:t>
      </w:r>
    </w:p>
    <w:p>
      <w:pPr>
        <w:spacing w:line="360" w:lineRule="auto"/>
        <w:ind w:firstLine="480" w:firstLineChars="200"/>
        <w:outlineLvl w:val="0"/>
        <w:rPr>
          <w:rFonts w:ascii="Times New Roman" w:hAnsi="Times New Roman"/>
          <w:sz w:val="24"/>
          <w:szCs w:val="24"/>
        </w:rPr>
      </w:pPr>
      <w:r>
        <w:rPr>
          <w:rFonts w:ascii="Times New Roman" w:hAnsi="Times New Roman"/>
          <w:sz w:val="24"/>
          <w:szCs w:val="24"/>
        </w:rPr>
        <w:t>5、估算结果分析</w:t>
      </w:r>
    </w:p>
    <w:p>
      <w:pPr>
        <w:spacing w:line="360" w:lineRule="auto"/>
        <w:ind w:firstLine="480" w:firstLineChars="200"/>
        <w:rPr>
          <w:rFonts w:ascii="Times New Roman" w:hAnsi="Times New Roman"/>
          <w:sz w:val="24"/>
          <w:szCs w:val="24"/>
        </w:rPr>
      </w:pPr>
      <w:r>
        <w:rPr>
          <w:rFonts w:ascii="Times New Roman" w:hAnsi="Times New Roman"/>
          <w:sz w:val="24"/>
          <w:szCs w:val="24"/>
        </w:rPr>
        <w:t>由预测结果可知，尾矿库扬尘最不利条件下，最大浓度距离为197m，扬尘最大落地浓度2.109</w:t>
      </w:r>
      <w:r>
        <w:rPr>
          <w:rFonts w:ascii="Times New Roman" w:hAnsi="Times New Roman"/>
          <w:spacing w:val="-20"/>
          <w:sz w:val="24"/>
          <w:szCs w:val="24"/>
        </w:rPr>
        <w:t>ug/m</w:t>
      </w:r>
      <w:r>
        <w:rPr>
          <w:rFonts w:ascii="Times New Roman" w:hAnsi="Times New Roman"/>
          <w:spacing w:val="-20"/>
          <w:sz w:val="24"/>
          <w:szCs w:val="24"/>
          <w:vertAlign w:val="superscript"/>
        </w:rPr>
        <w:t>3</w:t>
      </w:r>
      <w:r>
        <w:rPr>
          <w:rFonts w:ascii="Times New Roman" w:hAnsi="Times New Roman"/>
          <w:spacing w:val="-20"/>
          <w:sz w:val="24"/>
          <w:szCs w:val="24"/>
        </w:rPr>
        <w:t>，最大占标率为0.2%。因此尾矿库厂界处扬尘浓度</w:t>
      </w:r>
      <w:r>
        <w:rPr>
          <w:rFonts w:ascii="Times New Roman" w:hAnsi="Times New Roman"/>
          <w:sz w:val="24"/>
          <w:szCs w:val="24"/>
        </w:rPr>
        <w:t>能够满足《铁矿采选工业污染物排放标准》（GB28661-2012）中无组织排放浓度限值要求（1.0</w:t>
      </w:r>
      <w:r>
        <w:rPr>
          <w:rFonts w:ascii="Times New Roman" w:hAnsi="Times New Roman"/>
          <w:spacing w:val="-20"/>
          <w:sz w:val="24"/>
          <w:szCs w:val="24"/>
        </w:rPr>
        <w:t>mg/m</w:t>
      </w:r>
      <w:r>
        <w:rPr>
          <w:rFonts w:ascii="Times New Roman" w:hAnsi="Times New Roman"/>
          <w:spacing w:val="-20"/>
          <w:sz w:val="24"/>
          <w:szCs w:val="24"/>
          <w:vertAlign w:val="superscript"/>
        </w:rPr>
        <w:t>3</w:t>
      </w:r>
      <w:r>
        <w:rPr>
          <w:rFonts w:ascii="Times New Roman" w:hAnsi="Times New Roman"/>
          <w:sz w:val="24"/>
          <w:szCs w:val="24"/>
        </w:rPr>
        <w:t>），达标排放。判断本项目评价等级为三级评价。</w:t>
      </w:r>
    </w:p>
    <w:p>
      <w:pPr>
        <w:pStyle w:val="2"/>
        <w:spacing w:line="360" w:lineRule="auto"/>
        <w:ind w:firstLine="480" w:firstLineChars="200"/>
        <w:rPr>
          <w:rFonts w:ascii="Times New Roman" w:hAnsi="Times New Roman"/>
        </w:rPr>
      </w:pPr>
      <w:r>
        <w:rPr>
          <w:rFonts w:ascii="Times New Roman" w:hAnsi="Times New Roman"/>
          <w:sz w:val="24"/>
          <w:szCs w:val="24"/>
        </w:rPr>
        <w:t>根据HJ2.2-2018《环境影响评价技术导则 大气环境》中“8大气环境影响预测与评价中8.1一般性要求：三级评价项目不进行进一步预测与评价”。因此本项目无需进行进一步预测。</w:t>
      </w:r>
    </w:p>
    <w:p>
      <w:pPr>
        <w:spacing w:line="360" w:lineRule="auto"/>
        <w:ind w:firstLine="480" w:firstLineChars="200"/>
        <w:jc w:val="left"/>
        <w:outlineLvl w:val="0"/>
        <w:rPr>
          <w:rFonts w:hAnsi="宋体"/>
          <w:color w:val="000000"/>
          <w:sz w:val="24"/>
        </w:rPr>
      </w:pPr>
      <w:r>
        <w:rPr>
          <w:rFonts w:hint="eastAsia" w:hAnsi="宋体"/>
          <w:color w:val="000000"/>
          <w:sz w:val="24"/>
        </w:rPr>
        <w:t>6、大气环境防护距离</w:t>
      </w:r>
    </w:p>
    <w:p>
      <w:pPr>
        <w:adjustRightInd w:val="0"/>
        <w:snapToGrid w:val="0"/>
        <w:spacing w:line="360" w:lineRule="auto"/>
        <w:ind w:firstLine="480" w:firstLineChars="200"/>
        <w:rPr>
          <w:rFonts w:ascii="Times New Roman" w:hAnsi="Times New Roman"/>
          <w:sz w:val="24"/>
        </w:rPr>
      </w:pPr>
      <w:r>
        <w:rPr>
          <w:rFonts w:ascii="Times New Roman" w:hAnsi="Times New Roman"/>
          <w:bCs/>
          <w:iCs/>
          <w:sz w:val="24"/>
        </w:rPr>
        <w:t>大气环境防护距离是为了保护人群健康，减少正常排放条件下大气污染物对居住区的环境影响，在项目厂界以外设置的环境防护距离。参照《环境影响评价技术导则》（HJ2.2-20</w:t>
      </w:r>
      <w:r>
        <w:rPr>
          <w:rFonts w:hint="eastAsia" w:ascii="Times New Roman" w:hAnsi="Times New Roman"/>
          <w:bCs/>
          <w:iCs/>
          <w:sz w:val="24"/>
        </w:rPr>
        <w:t>1</w:t>
      </w:r>
      <w:r>
        <w:rPr>
          <w:rFonts w:ascii="Times New Roman" w:hAnsi="Times New Roman"/>
          <w:bCs/>
          <w:iCs/>
          <w:sz w:val="24"/>
        </w:rPr>
        <w:t>8）推荐的大气环境防护距离模式计算各无组织排放源的大气环境防护距离。计算出的距离是以面源中心为起点的控制距离，并结合厂区平面布置图，确定控制距离范围，超出厂界以外的范围即为项目大气环境防护区域。</w:t>
      </w:r>
    </w:p>
    <w:p>
      <w:pPr>
        <w:adjustRightInd w:val="0"/>
        <w:snapToGrid w:val="0"/>
        <w:spacing w:line="360" w:lineRule="auto"/>
        <w:ind w:firstLine="480" w:firstLineChars="200"/>
        <w:rPr>
          <w:rFonts w:ascii="Times New Roman" w:hAnsi="Times New Roman"/>
          <w:bCs/>
          <w:iCs/>
          <w:sz w:val="24"/>
        </w:rPr>
      </w:pPr>
      <w:r>
        <w:rPr>
          <w:rFonts w:hint="eastAsia" w:ascii="Times New Roman" w:hAnsi="Times New Roman"/>
          <w:bCs/>
          <w:iCs/>
          <w:sz w:val="24"/>
        </w:rPr>
        <w:drawing>
          <wp:anchor distT="0" distB="0" distL="114300" distR="114300" simplePos="0" relativeHeight="251752448" behindDoc="0" locked="0" layoutInCell="1" allowOverlap="1">
            <wp:simplePos x="0" y="0"/>
            <wp:positionH relativeFrom="column">
              <wp:posOffset>857250</wp:posOffset>
            </wp:positionH>
            <wp:positionV relativeFrom="paragraph">
              <wp:posOffset>239395</wp:posOffset>
            </wp:positionV>
            <wp:extent cx="3328035" cy="1973580"/>
            <wp:effectExtent l="19050" t="0" r="5715" b="0"/>
            <wp:wrapNone/>
            <wp:docPr id="17" name="图片 17" descr="QQ截图2019010815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90108153741"/>
                    <pic:cNvPicPr>
                      <a:picLocks noChangeAspect="1" noChangeArrowheads="1"/>
                    </pic:cNvPicPr>
                  </pic:nvPicPr>
                  <pic:blipFill>
                    <a:blip r:embed="rId23" cstate="print"/>
                    <a:srcRect/>
                    <a:stretch>
                      <a:fillRect/>
                    </a:stretch>
                  </pic:blipFill>
                  <pic:spPr>
                    <a:xfrm>
                      <a:off x="0" y="0"/>
                      <a:ext cx="3328035" cy="1973580"/>
                    </a:xfrm>
                    <a:prstGeom prst="rect">
                      <a:avLst/>
                    </a:prstGeom>
                    <a:noFill/>
                    <a:ln w="9525" cmpd="sng">
                      <a:noFill/>
                      <a:miter lim="800000"/>
                      <a:headEnd/>
                      <a:tailEnd/>
                    </a:ln>
                  </pic:spPr>
                </pic:pic>
              </a:graphicData>
            </a:graphic>
          </wp:anchor>
        </w:drawing>
      </w:r>
      <w:r>
        <w:rPr>
          <w:rFonts w:ascii="Times New Roman" w:hAnsi="Times New Roman"/>
          <w:bCs/>
          <w:iCs/>
          <w:sz w:val="24"/>
        </w:rPr>
        <w:t>本项目大气环境防护距离预测参数详见</w:t>
      </w:r>
      <w:r>
        <w:rPr>
          <w:rFonts w:hint="eastAsia" w:ascii="Times New Roman" w:hAnsi="Times New Roman"/>
          <w:bCs/>
          <w:iCs/>
          <w:sz w:val="24"/>
        </w:rPr>
        <w:t>下表</w:t>
      </w:r>
      <w:r>
        <w:rPr>
          <w:rFonts w:ascii="Times New Roman" w:hAnsi="Times New Roman"/>
          <w:bCs/>
          <w:iCs/>
          <w:sz w:val="24"/>
        </w:rPr>
        <w:t>，预测结果详见</w:t>
      </w:r>
      <w:r>
        <w:rPr>
          <w:rFonts w:hint="eastAsia" w:ascii="Times New Roman" w:hAnsi="Times New Roman"/>
          <w:bCs/>
          <w:iCs/>
          <w:sz w:val="24"/>
        </w:rPr>
        <w:t>图5-3</w:t>
      </w:r>
      <w:r>
        <w:rPr>
          <w:rFonts w:ascii="Times New Roman" w:hAnsi="Times New Roman"/>
          <w:bCs/>
          <w:iCs/>
          <w:sz w:val="24"/>
        </w:rPr>
        <w:t>。</w:t>
      </w:r>
    </w:p>
    <w:p>
      <w:pPr>
        <w:adjustRightInd w:val="0"/>
        <w:snapToGrid w:val="0"/>
        <w:spacing w:line="360" w:lineRule="auto"/>
        <w:ind w:firstLine="480" w:firstLineChars="200"/>
        <w:rPr>
          <w:rFonts w:ascii="Times New Roman" w:hAnsi="Times New Roman"/>
          <w:bCs/>
          <w:iCs/>
          <w:sz w:val="24"/>
        </w:rPr>
      </w:pPr>
    </w:p>
    <w:p>
      <w:pPr>
        <w:pStyle w:val="2"/>
        <w:jc w:val="center"/>
      </w:pPr>
    </w:p>
    <w:p>
      <w:pPr>
        <w:pStyle w:val="2"/>
        <w:spacing w:after="0"/>
        <w:jc w:val="center"/>
        <w:rPr>
          <w:b/>
          <w:bCs/>
          <w:sz w:val="24"/>
          <w:szCs w:val="24"/>
        </w:rPr>
      </w:pPr>
    </w:p>
    <w:p>
      <w:pPr>
        <w:pStyle w:val="2"/>
        <w:spacing w:after="0"/>
        <w:jc w:val="center"/>
        <w:rPr>
          <w:b/>
          <w:bCs/>
          <w:sz w:val="24"/>
          <w:szCs w:val="24"/>
        </w:rPr>
      </w:pPr>
    </w:p>
    <w:p>
      <w:pPr>
        <w:pStyle w:val="2"/>
        <w:spacing w:after="0"/>
        <w:jc w:val="center"/>
        <w:rPr>
          <w:b/>
          <w:bCs/>
          <w:sz w:val="24"/>
          <w:szCs w:val="24"/>
        </w:rPr>
      </w:pPr>
    </w:p>
    <w:p>
      <w:pPr>
        <w:pStyle w:val="2"/>
        <w:spacing w:after="0"/>
        <w:jc w:val="center"/>
        <w:rPr>
          <w:b/>
          <w:bCs/>
          <w:sz w:val="24"/>
          <w:szCs w:val="24"/>
        </w:rPr>
      </w:pPr>
    </w:p>
    <w:p>
      <w:pPr>
        <w:pStyle w:val="2"/>
        <w:spacing w:after="0"/>
        <w:jc w:val="center"/>
        <w:rPr>
          <w:b/>
          <w:bCs/>
          <w:sz w:val="24"/>
          <w:szCs w:val="24"/>
        </w:rPr>
      </w:pPr>
    </w:p>
    <w:p>
      <w:pPr>
        <w:pStyle w:val="2"/>
        <w:spacing w:after="0"/>
        <w:jc w:val="center"/>
        <w:rPr>
          <w:b/>
          <w:bCs/>
          <w:sz w:val="24"/>
          <w:szCs w:val="24"/>
        </w:rPr>
      </w:pPr>
    </w:p>
    <w:p>
      <w:pPr>
        <w:pStyle w:val="2"/>
        <w:spacing w:after="0"/>
        <w:jc w:val="center"/>
        <w:rPr>
          <w:b/>
          <w:bCs/>
          <w:sz w:val="24"/>
          <w:szCs w:val="24"/>
        </w:rPr>
      </w:pPr>
    </w:p>
    <w:p>
      <w:pPr>
        <w:pStyle w:val="2"/>
        <w:spacing w:after="0"/>
        <w:jc w:val="center"/>
        <w:rPr>
          <w:b/>
          <w:bCs/>
          <w:sz w:val="24"/>
          <w:szCs w:val="24"/>
        </w:rPr>
      </w:pPr>
    </w:p>
    <w:p>
      <w:pPr>
        <w:pStyle w:val="2"/>
        <w:spacing w:after="0"/>
        <w:jc w:val="center"/>
        <w:rPr>
          <w:b/>
          <w:bCs/>
          <w:sz w:val="24"/>
          <w:szCs w:val="24"/>
        </w:rPr>
      </w:pPr>
      <w:r>
        <w:rPr>
          <w:rFonts w:hint="eastAsia"/>
          <w:b/>
          <w:bCs/>
          <w:sz w:val="24"/>
          <w:szCs w:val="24"/>
        </w:rPr>
        <w:t>图5-3  厂区无组织粉尘大气环境防护距离计算结果截图</w:t>
      </w:r>
    </w:p>
    <w:p>
      <w:pPr>
        <w:adjustRightInd w:val="0"/>
        <w:snapToGrid w:val="0"/>
        <w:spacing w:beforeLines="50" w:line="360" w:lineRule="auto"/>
        <w:ind w:firstLine="480" w:firstLineChars="200"/>
        <w:rPr>
          <w:rFonts w:ascii="Times New Roman" w:hAnsi="Times New Roman"/>
          <w:bCs/>
          <w:iCs/>
          <w:sz w:val="24"/>
        </w:rPr>
      </w:pPr>
      <w:r>
        <w:rPr>
          <w:rFonts w:hint="eastAsia" w:ascii="Times New Roman" w:hAnsi="Times New Roman"/>
          <w:bCs/>
          <w:iCs/>
          <w:sz w:val="24"/>
        </w:rPr>
        <w:t>根据以上计算结果，本项目无组织排放面源不需要设置大气环境防护距离，无组织面源废气排放对厂区周边环境影响较小。</w:t>
      </w:r>
    </w:p>
    <w:p>
      <w:pPr>
        <w:widowControl/>
        <w:adjustRightInd w:val="0"/>
        <w:snapToGrid w:val="0"/>
        <w:spacing w:line="360" w:lineRule="auto"/>
        <w:outlineLvl w:val="0"/>
        <w:rPr>
          <w:rFonts w:ascii="Times New Roman" w:hAnsi="Times New Roman"/>
          <w:b/>
          <w:sz w:val="24"/>
        </w:rPr>
      </w:pPr>
      <w:bookmarkStart w:id="396" w:name="_Toc7314"/>
      <w:bookmarkStart w:id="397" w:name="_Toc24262"/>
      <w:bookmarkStart w:id="398" w:name="_Toc12060"/>
      <w:r>
        <w:rPr>
          <w:rFonts w:ascii="Times New Roman" w:hAnsi="Times New Roman"/>
          <w:b/>
          <w:sz w:val="24"/>
        </w:rPr>
        <w:t>5.2.</w:t>
      </w:r>
      <w:r>
        <w:rPr>
          <w:rFonts w:hint="eastAsia" w:ascii="Times New Roman" w:hAnsi="Times New Roman"/>
          <w:b/>
          <w:sz w:val="24"/>
        </w:rPr>
        <w:t>2地表水环境影响分析</w:t>
      </w:r>
      <w:bookmarkEnd w:id="396"/>
      <w:bookmarkEnd w:id="397"/>
      <w:bookmarkEnd w:id="398"/>
    </w:p>
    <w:p>
      <w:pPr>
        <w:spacing w:line="360" w:lineRule="auto"/>
        <w:ind w:firstLine="442"/>
        <w:jc w:val="left"/>
        <w:rPr>
          <w:rFonts w:ascii="Times New Roman" w:hAnsi="Times New Roman"/>
          <w:color w:val="000000"/>
          <w:sz w:val="24"/>
          <w:szCs w:val="24"/>
        </w:rPr>
      </w:pPr>
      <w:r>
        <w:rPr>
          <w:rFonts w:ascii="Times New Roman" w:hAnsi="Times New Roman"/>
          <w:color w:val="000000"/>
          <w:sz w:val="24"/>
          <w:szCs w:val="24"/>
        </w:rPr>
        <w:t>本次扩建项目无新增劳动定员，因此无生活废水产生。尾矿库干堆洒水降尘废水以及压滤间地面清扫水全部损耗。废水主要为尾矿压滤废水以及尾矿库淋溶水</w:t>
      </w:r>
      <w:r>
        <w:rPr>
          <w:rFonts w:hint="eastAsia" w:ascii="Times New Roman" w:hAnsi="Times New Roman"/>
          <w:color w:val="000000"/>
          <w:sz w:val="24"/>
          <w:szCs w:val="24"/>
        </w:rPr>
        <w:t>。</w:t>
      </w:r>
    </w:p>
    <w:p>
      <w:pPr>
        <w:spacing w:line="360" w:lineRule="auto"/>
        <w:ind w:firstLine="442"/>
        <w:jc w:val="left"/>
        <w:outlineLvl w:val="0"/>
        <w:rPr>
          <w:rFonts w:ascii="Times New Roman" w:hAnsi="Times New Roman"/>
          <w:color w:val="000000"/>
          <w:sz w:val="24"/>
          <w:szCs w:val="24"/>
        </w:rPr>
      </w:pPr>
      <w:r>
        <w:rPr>
          <w:rFonts w:hint="eastAsia" w:ascii="Times New Roman" w:hAnsi="Times New Roman"/>
          <w:color w:val="000000"/>
          <w:sz w:val="24"/>
          <w:szCs w:val="24"/>
        </w:rPr>
        <w:t>1、</w:t>
      </w:r>
      <w:r>
        <w:rPr>
          <w:rFonts w:ascii="Times New Roman" w:hAnsi="Times New Roman"/>
          <w:color w:val="000000"/>
          <w:sz w:val="24"/>
          <w:szCs w:val="24"/>
        </w:rPr>
        <w:t>尾矿压滤废水</w:t>
      </w:r>
    </w:p>
    <w:p>
      <w:pPr>
        <w:spacing w:line="360" w:lineRule="auto"/>
        <w:ind w:firstLine="442"/>
        <w:jc w:val="left"/>
        <w:rPr>
          <w:rFonts w:ascii="Times New Roman" w:hAnsi="Times New Roman"/>
          <w:color w:val="000000"/>
          <w:sz w:val="24"/>
          <w:szCs w:val="24"/>
        </w:rPr>
      </w:pPr>
      <w:r>
        <w:rPr>
          <w:rFonts w:hint="eastAsia" w:ascii="Times New Roman" w:hAnsi="Times New Roman"/>
          <w:color w:val="000000"/>
          <w:sz w:val="24"/>
          <w:szCs w:val="24"/>
        </w:rPr>
        <w:t>选矿车间</w:t>
      </w:r>
      <w:r>
        <w:rPr>
          <w:rFonts w:ascii="Times New Roman" w:hAnsi="Times New Roman"/>
          <w:color w:val="000000"/>
          <w:sz w:val="24"/>
          <w:szCs w:val="24"/>
        </w:rPr>
        <w:t>排出大量的尾矿浆。经分析，排放废水约为</w:t>
      </w:r>
      <w:r>
        <w:rPr>
          <w:rFonts w:hint="eastAsia" w:ascii="Times New Roman" w:hAnsi="Times New Roman"/>
          <w:color w:val="000000"/>
          <w:sz w:val="24"/>
          <w:szCs w:val="24"/>
        </w:rPr>
        <w:t>100</w:t>
      </w:r>
      <w:r>
        <w:rPr>
          <w:rFonts w:ascii="Times New Roman" w:hAnsi="Times New Roman"/>
          <w:color w:val="000000"/>
          <w:sz w:val="24"/>
          <w:szCs w:val="24"/>
        </w:rPr>
        <w:t>t/d（</w:t>
      </w:r>
      <w:r>
        <w:rPr>
          <w:rFonts w:hint="eastAsia" w:ascii="Times New Roman" w:hAnsi="Times New Roman"/>
          <w:color w:val="000000"/>
          <w:sz w:val="24"/>
          <w:szCs w:val="24"/>
        </w:rPr>
        <w:t>300</w:t>
      </w:r>
      <w:r>
        <w:rPr>
          <w:rFonts w:ascii="Times New Roman" w:hAnsi="Times New Roman"/>
          <w:color w:val="000000"/>
          <w:sz w:val="24"/>
          <w:szCs w:val="24"/>
        </w:rPr>
        <w:t>00t/a），根据</w:t>
      </w:r>
      <w:r>
        <w:rPr>
          <w:rFonts w:hint="eastAsia" w:ascii="Times New Roman" w:hAnsi="Times New Roman"/>
          <w:color w:val="000000"/>
          <w:sz w:val="24"/>
          <w:szCs w:val="24"/>
        </w:rPr>
        <w:t>类比数据，废水中</w:t>
      </w:r>
      <w:r>
        <w:rPr>
          <w:rFonts w:ascii="Times New Roman" w:hAnsi="Times New Roman"/>
          <w:bCs/>
          <w:color w:val="000000"/>
          <w:sz w:val="24"/>
          <w:szCs w:val="24"/>
        </w:rPr>
        <w:t>污染物产生浓度及产生量分别为COD：5</w:t>
      </w:r>
      <w:r>
        <w:rPr>
          <w:rFonts w:hint="eastAsia" w:ascii="Times New Roman" w:hAnsi="Times New Roman"/>
          <w:bCs/>
          <w:color w:val="000000"/>
          <w:sz w:val="24"/>
          <w:szCs w:val="24"/>
        </w:rPr>
        <w:t>0</w:t>
      </w:r>
      <w:r>
        <w:rPr>
          <w:rFonts w:ascii="Times New Roman" w:hAnsi="Times New Roman"/>
          <w:bCs/>
          <w:color w:val="000000"/>
          <w:sz w:val="24"/>
          <w:szCs w:val="24"/>
        </w:rPr>
        <w:t>mg/L、</w:t>
      </w:r>
      <w:r>
        <w:rPr>
          <w:rFonts w:hint="eastAsia" w:ascii="Times New Roman" w:hAnsi="Times New Roman"/>
          <w:bCs/>
          <w:color w:val="000000"/>
          <w:sz w:val="24"/>
          <w:szCs w:val="24"/>
        </w:rPr>
        <w:t>1.5</w:t>
      </w:r>
      <w:r>
        <w:rPr>
          <w:rFonts w:ascii="Times New Roman" w:hAnsi="Times New Roman"/>
          <w:bCs/>
          <w:color w:val="000000"/>
          <w:sz w:val="24"/>
          <w:szCs w:val="24"/>
        </w:rPr>
        <w:t>t/a，BOD</w:t>
      </w:r>
      <w:r>
        <w:rPr>
          <w:rFonts w:ascii="Times New Roman" w:hAnsi="Times New Roman"/>
          <w:bCs/>
          <w:color w:val="000000"/>
          <w:sz w:val="24"/>
          <w:szCs w:val="24"/>
          <w:vertAlign w:val="subscript"/>
        </w:rPr>
        <w:t>5</w:t>
      </w:r>
      <w:r>
        <w:rPr>
          <w:rFonts w:ascii="Times New Roman" w:hAnsi="Times New Roman"/>
          <w:bCs/>
          <w:color w:val="000000"/>
          <w:sz w:val="24"/>
          <w:szCs w:val="24"/>
        </w:rPr>
        <w:t>：</w:t>
      </w:r>
      <w:r>
        <w:rPr>
          <w:rFonts w:hint="eastAsia" w:ascii="Times New Roman" w:hAnsi="Times New Roman"/>
          <w:bCs/>
          <w:color w:val="000000"/>
          <w:sz w:val="24"/>
          <w:szCs w:val="24"/>
        </w:rPr>
        <w:t>10</w:t>
      </w:r>
      <w:r>
        <w:rPr>
          <w:rFonts w:ascii="Times New Roman" w:hAnsi="Times New Roman"/>
          <w:bCs/>
          <w:color w:val="000000"/>
          <w:sz w:val="24"/>
          <w:szCs w:val="24"/>
        </w:rPr>
        <w:t>mg/L、</w:t>
      </w:r>
      <w:r>
        <w:rPr>
          <w:rFonts w:hint="eastAsia" w:ascii="Times New Roman" w:hAnsi="Times New Roman"/>
          <w:bCs/>
          <w:color w:val="000000"/>
          <w:sz w:val="24"/>
          <w:szCs w:val="24"/>
        </w:rPr>
        <w:t>0.3</w:t>
      </w:r>
      <w:r>
        <w:rPr>
          <w:rFonts w:ascii="Times New Roman" w:hAnsi="Times New Roman"/>
          <w:bCs/>
          <w:color w:val="000000"/>
          <w:sz w:val="24"/>
          <w:szCs w:val="24"/>
        </w:rPr>
        <w:t>t/a，SS：</w:t>
      </w:r>
      <w:r>
        <w:rPr>
          <w:rFonts w:hint="eastAsia" w:ascii="Times New Roman" w:hAnsi="Times New Roman"/>
          <w:bCs/>
          <w:color w:val="000000"/>
          <w:sz w:val="24"/>
          <w:szCs w:val="24"/>
        </w:rPr>
        <w:t>500</w:t>
      </w:r>
      <w:r>
        <w:rPr>
          <w:rFonts w:ascii="Times New Roman" w:hAnsi="Times New Roman"/>
          <w:bCs/>
          <w:color w:val="000000"/>
          <w:sz w:val="24"/>
          <w:szCs w:val="24"/>
        </w:rPr>
        <w:t>mg/L、</w:t>
      </w:r>
      <w:r>
        <w:rPr>
          <w:rFonts w:hint="eastAsia" w:ascii="Times New Roman" w:hAnsi="Times New Roman"/>
          <w:bCs/>
          <w:color w:val="000000"/>
          <w:sz w:val="24"/>
          <w:szCs w:val="24"/>
        </w:rPr>
        <w:t>15</w:t>
      </w:r>
      <w:r>
        <w:rPr>
          <w:rFonts w:ascii="Times New Roman" w:hAnsi="Times New Roman"/>
          <w:bCs/>
          <w:color w:val="000000"/>
          <w:sz w:val="24"/>
          <w:szCs w:val="24"/>
        </w:rPr>
        <w:t>t/a。</w:t>
      </w:r>
      <w:r>
        <w:rPr>
          <w:rFonts w:hint="eastAsia" w:ascii="Times New Roman" w:hAnsi="Times New Roman"/>
          <w:color w:val="000000"/>
          <w:sz w:val="24"/>
          <w:szCs w:val="24"/>
        </w:rPr>
        <w:t>尾矿压滤废水全部通过水泵打入选矿车间内现有流入高位水池内，回用于选矿生 产，不外排</w:t>
      </w:r>
      <w:r>
        <w:rPr>
          <w:rFonts w:ascii="Times New Roman" w:hAnsi="Times New Roman"/>
          <w:color w:val="000000"/>
          <w:sz w:val="24"/>
          <w:szCs w:val="24"/>
        </w:rPr>
        <w:t>。</w:t>
      </w:r>
    </w:p>
    <w:p>
      <w:pPr>
        <w:spacing w:line="360" w:lineRule="auto"/>
        <w:ind w:firstLine="442"/>
        <w:jc w:val="left"/>
        <w:outlineLvl w:val="0"/>
        <w:rPr>
          <w:rFonts w:ascii="Times New Roman" w:hAnsi="Times New Roman"/>
          <w:color w:val="000000"/>
          <w:sz w:val="24"/>
          <w:szCs w:val="24"/>
        </w:rPr>
      </w:pPr>
      <w:r>
        <w:rPr>
          <w:rFonts w:hint="eastAsia" w:ascii="Times New Roman" w:hAnsi="Times New Roman"/>
          <w:color w:val="000000"/>
          <w:sz w:val="24"/>
          <w:szCs w:val="24"/>
        </w:rPr>
        <w:t>3、尾矿库汛期淋溶水</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经过前文工程分析得出，尾矿库干</w:t>
      </w:r>
      <w:r>
        <w:rPr>
          <w:rFonts w:ascii="Times New Roman" w:hAnsi="Times New Roman"/>
          <w:bCs/>
          <w:sz w:val="24"/>
        </w:rPr>
        <w:t>堆场淋溶水量约为0.38m³/d</w:t>
      </w:r>
      <w:r>
        <w:rPr>
          <w:rFonts w:hint="eastAsia" w:ascii="Times New Roman" w:hAnsi="Times New Roman"/>
          <w:bCs/>
          <w:sz w:val="24"/>
        </w:rPr>
        <w:t>（27.46t/a）</w:t>
      </w:r>
      <w:r>
        <w:rPr>
          <w:rFonts w:hint="eastAsia" w:ascii="Times New Roman" w:hAnsi="Times New Roman"/>
          <w:color w:val="000000"/>
          <w:sz w:val="24"/>
          <w:szCs w:val="24"/>
        </w:rPr>
        <w:t>。根据尾矿渣浸出毒性检测数据得出，本项目尾矿库淋溶水中重金属均未检出，其他污染物产生浓度及产生量分别为</w:t>
      </w:r>
      <w:r>
        <w:rPr>
          <w:rFonts w:ascii="Times New Roman" w:hAnsi="Times New Roman"/>
          <w:color w:val="000000"/>
          <w:sz w:val="24"/>
          <w:szCs w:val="24"/>
        </w:rPr>
        <w:t>COD：</w:t>
      </w:r>
      <w:r>
        <w:rPr>
          <w:rFonts w:hint="eastAsia" w:ascii="Times New Roman" w:hAnsi="Times New Roman"/>
          <w:color w:val="000000"/>
          <w:sz w:val="24"/>
          <w:szCs w:val="24"/>
        </w:rPr>
        <w:t>15</w:t>
      </w:r>
      <w:r>
        <w:rPr>
          <w:rFonts w:ascii="Times New Roman" w:hAnsi="Times New Roman"/>
          <w:color w:val="000000"/>
          <w:sz w:val="24"/>
          <w:szCs w:val="24"/>
        </w:rPr>
        <w:t>mg/L、</w:t>
      </w:r>
      <w:r>
        <w:rPr>
          <w:rFonts w:hint="eastAsia" w:ascii="Times New Roman" w:hAnsi="Times New Roman"/>
          <w:color w:val="000000"/>
          <w:sz w:val="24"/>
          <w:szCs w:val="24"/>
        </w:rPr>
        <w:t>0.000021</w:t>
      </w:r>
      <w:r>
        <w:rPr>
          <w:rFonts w:ascii="Times New Roman" w:hAnsi="Times New Roman"/>
          <w:color w:val="000000"/>
          <w:sz w:val="24"/>
          <w:szCs w:val="24"/>
        </w:rPr>
        <w:t>t/a，BOD</w:t>
      </w:r>
      <w:r>
        <w:rPr>
          <w:rFonts w:ascii="Times New Roman" w:hAnsi="Times New Roman"/>
          <w:color w:val="000000"/>
          <w:sz w:val="24"/>
          <w:szCs w:val="24"/>
          <w:vertAlign w:val="subscript"/>
        </w:rPr>
        <w:t>5</w:t>
      </w:r>
      <w:r>
        <w:rPr>
          <w:rFonts w:ascii="Times New Roman" w:hAnsi="Times New Roman"/>
          <w:color w:val="000000"/>
          <w:sz w:val="24"/>
          <w:szCs w:val="24"/>
        </w:rPr>
        <w:t>：</w:t>
      </w:r>
      <w:r>
        <w:rPr>
          <w:rFonts w:hint="eastAsia" w:ascii="Times New Roman" w:hAnsi="Times New Roman"/>
          <w:color w:val="000000"/>
          <w:sz w:val="24"/>
          <w:szCs w:val="24"/>
        </w:rPr>
        <w:t>2</w:t>
      </w:r>
      <w:r>
        <w:rPr>
          <w:rFonts w:ascii="Times New Roman" w:hAnsi="Times New Roman"/>
          <w:color w:val="000000"/>
          <w:sz w:val="24"/>
          <w:szCs w:val="24"/>
        </w:rPr>
        <w:t>mg/L、</w:t>
      </w:r>
      <w:r>
        <w:rPr>
          <w:rFonts w:hint="eastAsia" w:ascii="Times New Roman" w:hAnsi="Times New Roman"/>
          <w:color w:val="000000"/>
          <w:sz w:val="24"/>
          <w:szCs w:val="24"/>
        </w:rPr>
        <w:t>0.00005</w:t>
      </w:r>
      <w:r>
        <w:rPr>
          <w:rFonts w:ascii="Times New Roman" w:hAnsi="Times New Roman"/>
          <w:color w:val="000000"/>
          <w:sz w:val="24"/>
          <w:szCs w:val="24"/>
        </w:rPr>
        <w:t>t/a，SS：</w:t>
      </w:r>
      <w:r>
        <w:rPr>
          <w:rFonts w:hint="eastAsia" w:ascii="Times New Roman" w:hAnsi="Times New Roman"/>
          <w:color w:val="000000"/>
          <w:sz w:val="24"/>
          <w:szCs w:val="24"/>
        </w:rPr>
        <w:t>200</w:t>
      </w:r>
      <w:r>
        <w:rPr>
          <w:rFonts w:ascii="Times New Roman" w:hAnsi="Times New Roman"/>
          <w:color w:val="000000"/>
          <w:sz w:val="24"/>
          <w:szCs w:val="24"/>
        </w:rPr>
        <w:t>mg/L、</w:t>
      </w:r>
      <w:r>
        <w:rPr>
          <w:rFonts w:hint="eastAsia" w:ascii="Times New Roman" w:hAnsi="Times New Roman"/>
          <w:color w:val="000000"/>
          <w:sz w:val="24"/>
          <w:szCs w:val="24"/>
        </w:rPr>
        <w:t>0.005</w:t>
      </w:r>
      <w:r>
        <w:rPr>
          <w:rFonts w:ascii="Times New Roman" w:hAnsi="Times New Roman"/>
          <w:color w:val="000000"/>
          <w:sz w:val="24"/>
          <w:szCs w:val="24"/>
        </w:rPr>
        <w:t>t/a。</w:t>
      </w:r>
      <w:r>
        <w:rPr>
          <w:rFonts w:ascii="Times New Roman" w:hAnsi="Times New Roman"/>
          <w:bCs/>
          <w:sz w:val="24"/>
        </w:rPr>
        <w:t>产生淋溶水通过</w:t>
      </w:r>
      <w:r>
        <w:rPr>
          <w:rFonts w:hint="eastAsia" w:ascii="Times New Roman" w:hAnsi="Times New Roman"/>
          <w:bCs/>
          <w:sz w:val="24"/>
        </w:rPr>
        <w:t>新建的</w:t>
      </w:r>
      <w:r>
        <w:rPr>
          <w:rFonts w:ascii="Times New Roman" w:hAnsi="Times New Roman"/>
          <w:bCs/>
          <w:sz w:val="24"/>
        </w:rPr>
        <w:t>导流管流入尾矿库下游</w:t>
      </w:r>
      <w:r>
        <w:rPr>
          <w:rFonts w:hint="eastAsia" w:ascii="Times New Roman" w:hAnsi="Times New Roman"/>
          <w:bCs/>
          <w:sz w:val="24"/>
        </w:rPr>
        <w:t>拟建</w:t>
      </w:r>
      <w:r>
        <w:rPr>
          <w:rFonts w:ascii="Times New Roman" w:hAnsi="Times New Roman"/>
          <w:bCs/>
          <w:sz w:val="24"/>
        </w:rPr>
        <w:t>沉淀池内（容积为</w:t>
      </w:r>
      <w:r>
        <w:rPr>
          <w:rFonts w:hint="eastAsia" w:ascii="Times New Roman" w:hAnsi="Times New Roman"/>
          <w:bCs/>
          <w:sz w:val="24"/>
        </w:rPr>
        <w:t>5</w:t>
      </w:r>
      <w:r>
        <w:rPr>
          <w:rFonts w:ascii="Times New Roman" w:hAnsi="Times New Roman"/>
          <w:bCs/>
          <w:sz w:val="24"/>
        </w:rPr>
        <w:t>0m</w:t>
      </w:r>
      <w:r>
        <w:rPr>
          <w:rFonts w:ascii="Times New Roman" w:hAnsi="Times New Roman"/>
          <w:bCs/>
          <w:sz w:val="24"/>
          <w:vertAlign w:val="superscript"/>
        </w:rPr>
        <w:t>3</w:t>
      </w:r>
      <w:r>
        <w:rPr>
          <w:rFonts w:ascii="Times New Roman" w:hAnsi="Times New Roman"/>
          <w:bCs/>
          <w:sz w:val="24"/>
        </w:rPr>
        <w:t>）沉淀后，通过水泵抽至压滤间沉淀池内回用于选矿工序，不外排</w:t>
      </w:r>
      <w:r>
        <w:rPr>
          <w:rFonts w:hint="eastAsia" w:ascii="Times New Roman" w:hAnsi="Times New Roman"/>
          <w:color w:val="000000"/>
          <w:sz w:val="24"/>
          <w:szCs w:val="24"/>
        </w:rPr>
        <w:t>。</w:t>
      </w:r>
    </w:p>
    <w:p>
      <w:pPr>
        <w:spacing w:line="360" w:lineRule="auto"/>
        <w:ind w:firstLine="442"/>
        <w:jc w:val="left"/>
      </w:pPr>
      <w:r>
        <w:rPr>
          <w:rFonts w:hint="eastAsia" w:ascii="Times New Roman" w:hAnsi="Times New Roman"/>
          <w:color w:val="000000"/>
          <w:sz w:val="24"/>
          <w:szCs w:val="24"/>
        </w:rPr>
        <w:t>综上所述，本项目废水均不外排，不会影响项目所在区域南侧10m处的西南岔河地表水体。</w:t>
      </w:r>
    </w:p>
    <w:p>
      <w:pPr>
        <w:widowControl/>
        <w:adjustRightInd w:val="0"/>
        <w:snapToGrid w:val="0"/>
        <w:spacing w:line="360" w:lineRule="auto"/>
        <w:outlineLvl w:val="2"/>
        <w:rPr>
          <w:rFonts w:ascii="Times New Roman" w:hAnsi="Times New Roman"/>
          <w:b/>
          <w:color w:val="000000"/>
          <w:sz w:val="24"/>
        </w:rPr>
      </w:pPr>
      <w:bookmarkStart w:id="399" w:name="_Toc25879"/>
      <w:bookmarkStart w:id="400" w:name="_Toc694"/>
      <w:bookmarkStart w:id="401" w:name="_Toc2000"/>
      <w:r>
        <w:rPr>
          <w:rFonts w:ascii="Times New Roman" w:hAnsi="Times New Roman"/>
          <w:b/>
          <w:color w:val="000000"/>
          <w:sz w:val="24"/>
        </w:rPr>
        <w:t>5.2.</w:t>
      </w:r>
      <w:r>
        <w:rPr>
          <w:rFonts w:hint="eastAsia" w:ascii="Times New Roman" w:hAnsi="Times New Roman"/>
          <w:b/>
          <w:color w:val="000000"/>
          <w:sz w:val="24"/>
        </w:rPr>
        <w:t>3地下水环境影响分析</w:t>
      </w:r>
      <w:bookmarkEnd w:id="399"/>
      <w:bookmarkEnd w:id="400"/>
      <w:bookmarkEnd w:id="401"/>
    </w:p>
    <w:p>
      <w:pPr>
        <w:widowControl/>
        <w:adjustRightInd w:val="0"/>
        <w:snapToGrid w:val="0"/>
        <w:spacing w:line="360" w:lineRule="auto"/>
        <w:outlineLvl w:val="2"/>
        <w:rPr>
          <w:rFonts w:ascii="Times New Roman" w:hAnsi="Times New Roman"/>
          <w:b/>
          <w:color w:val="000000"/>
          <w:sz w:val="24"/>
        </w:rPr>
      </w:pPr>
      <w:bookmarkStart w:id="402" w:name="_Toc21630"/>
      <w:bookmarkStart w:id="403" w:name="_Toc29755"/>
      <w:bookmarkStart w:id="404" w:name="_Toc5758"/>
      <w:r>
        <w:rPr>
          <w:rFonts w:ascii="Times New Roman" w:hAnsi="Times New Roman"/>
          <w:b/>
          <w:color w:val="000000"/>
          <w:sz w:val="24"/>
        </w:rPr>
        <w:t>5.2.3.1地质条件</w:t>
      </w:r>
      <w:bookmarkEnd w:id="402"/>
      <w:bookmarkEnd w:id="403"/>
      <w:bookmarkEnd w:id="404"/>
    </w:p>
    <w:p>
      <w:pPr>
        <w:pStyle w:val="42"/>
        <w:spacing w:line="360" w:lineRule="auto"/>
        <w:ind w:firstLine="480" w:firstLineChars="200"/>
        <w:rPr>
          <w:rFonts w:ascii="Times New Roman" w:hAnsi="Times New Roman"/>
        </w:rPr>
      </w:pPr>
      <w:r>
        <w:rPr>
          <w:rFonts w:ascii="Times New Roman" w:hAnsi="Times New Roman"/>
        </w:rPr>
        <w:t>勘查区大地构造位置处于中朝准地台区（Ⅰ）、辽东台隆（Ⅱ）、铁岭—靖宇台拱（Ⅲ），龙岗断块（Ⅳ）南部。</w:t>
      </w:r>
    </w:p>
    <w:p>
      <w:pPr>
        <w:spacing w:line="360" w:lineRule="auto"/>
        <w:ind w:firstLine="480" w:firstLineChars="200"/>
        <w:rPr>
          <w:rFonts w:ascii="Times New Roman" w:hAnsi="Times New Roman"/>
          <w:sz w:val="24"/>
        </w:rPr>
      </w:pPr>
      <w:r>
        <w:rPr>
          <w:rFonts w:ascii="Times New Roman" w:hAnsi="Times New Roman"/>
          <w:sz w:val="24"/>
        </w:rPr>
        <w:t>一、地层</w:t>
      </w:r>
    </w:p>
    <w:p>
      <w:pPr>
        <w:pStyle w:val="42"/>
        <w:spacing w:line="360" w:lineRule="auto"/>
        <w:ind w:firstLine="480" w:firstLineChars="200"/>
        <w:rPr>
          <w:rFonts w:ascii="Times New Roman" w:hAnsi="Times New Roman"/>
        </w:rPr>
      </w:pPr>
      <w:r>
        <w:rPr>
          <w:rFonts w:ascii="Times New Roman" w:hAnsi="Times New Roman"/>
        </w:rPr>
        <w:t>矿区主要出露太古界表壳岩系杨家店组，该岩组是头道阳岔铁矿的赋矿层位。</w:t>
      </w:r>
    </w:p>
    <w:p>
      <w:pPr>
        <w:pStyle w:val="42"/>
        <w:spacing w:line="360" w:lineRule="auto"/>
        <w:ind w:firstLine="480" w:firstLineChars="200"/>
        <w:rPr>
          <w:rFonts w:ascii="Times New Roman" w:hAnsi="Times New Roman"/>
        </w:rPr>
      </w:pPr>
      <w:r>
        <w:rPr>
          <w:rFonts w:ascii="Times New Roman" w:hAnsi="Times New Roman"/>
        </w:rPr>
        <w:t>杨家店上岩组较多出露在矿区中部和北部。受太古宙二长花岗岩的侵入作用，使表壳岩系的产出形态趋于复杂，矿区中的赋矿表壳岩系多呈等轴状包体存在于二长花岗岩中。含矿层位总体走向为北东东向。太古宙二长花岗岩多出现在矿层的顶板，可能对成矿物质的富集起了较大作用，局部也破坏了矿体的连续性。</w:t>
      </w:r>
    </w:p>
    <w:p>
      <w:pPr>
        <w:pStyle w:val="42"/>
        <w:spacing w:line="360" w:lineRule="auto"/>
        <w:ind w:firstLine="480" w:firstLineChars="200"/>
        <w:rPr>
          <w:rFonts w:ascii="Times New Roman" w:hAnsi="Times New Roman"/>
        </w:rPr>
      </w:pPr>
      <w:r>
        <w:rPr>
          <w:rFonts w:ascii="Times New Roman" w:hAnsi="Times New Roman"/>
        </w:rPr>
        <w:t>主要岩石类型有黑云斜长角闪岩、含磁铁斜长角闪岩、含石榴黑云斜长角闪岩及磁铁石英岩。大多数矿体（磁铁石英岩）赋存在磁铁角闪石英岩或斜长角闪岩中。</w:t>
      </w:r>
    </w:p>
    <w:p>
      <w:pPr>
        <w:spacing w:line="360" w:lineRule="auto"/>
        <w:ind w:firstLine="480" w:firstLineChars="200"/>
        <w:rPr>
          <w:rFonts w:ascii="Times New Roman" w:hAnsi="Times New Roman"/>
          <w:sz w:val="24"/>
          <w:szCs w:val="28"/>
        </w:rPr>
      </w:pPr>
      <w:r>
        <w:rPr>
          <w:rFonts w:ascii="Times New Roman" w:hAnsi="Times New Roman"/>
          <w:sz w:val="24"/>
          <w:szCs w:val="28"/>
        </w:rPr>
        <w:t>二、岩浆岩</w:t>
      </w:r>
    </w:p>
    <w:p>
      <w:pPr>
        <w:pStyle w:val="42"/>
        <w:rPr>
          <w:rFonts w:ascii="Times New Roman" w:hAnsi="Times New Roman"/>
        </w:rPr>
      </w:pPr>
      <w:r>
        <w:rPr>
          <w:rFonts w:ascii="Times New Roman" w:hAnsi="Times New Roman"/>
        </w:rPr>
        <w:t>区内岩浆岩活动强烈，太古宙二长花岗岩在区内大面积分布，呈岩基或岩枝状侵入于太古宙变质表壳岩之中，使表壳岩呈残留体形式存在，对含矿地层有破坏和改造作用。除此之外，区内还见有少量混合伟晶岩脉，规模较小，对矿体影响不大。</w:t>
      </w:r>
      <w:bookmarkStart w:id="405" w:name="_Toc31347"/>
      <w:bookmarkStart w:id="406" w:name="_Toc910"/>
      <w:bookmarkStart w:id="407" w:name="_Toc23551"/>
    </w:p>
    <w:bookmarkEnd w:id="405"/>
    <w:bookmarkEnd w:id="406"/>
    <w:bookmarkEnd w:id="407"/>
    <w:p>
      <w:pPr>
        <w:widowControl/>
        <w:adjustRightInd w:val="0"/>
        <w:snapToGrid w:val="0"/>
        <w:spacing w:line="360" w:lineRule="auto"/>
        <w:ind w:firstLine="482" w:firstLineChars="200"/>
        <w:outlineLvl w:val="2"/>
        <w:rPr>
          <w:rFonts w:ascii="Times New Roman" w:hAnsi="Times New Roman"/>
          <w:b/>
          <w:color w:val="000000"/>
          <w:sz w:val="24"/>
        </w:rPr>
      </w:pPr>
      <w:bookmarkStart w:id="408" w:name="_Toc28173"/>
      <w:bookmarkStart w:id="409" w:name="_Toc31462"/>
      <w:bookmarkStart w:id="410" w:name="_Toc20353"/>
      <w:r>
        <w:rPr>
          <w:rFonts w:ascii="Times New Roman" w:hAnsi="Times New Roman"/>
          <w:b/>
          <w:color w:val="000000"/>
          <w:sz w:val="24"/>
        </w:rPr>
        <w:t>5.2.3.</w:t>
      </w:r>
      <w:r>
        <w:rPr>
          <w:rFonts w:hint="eastAsia" w:ascii="Times New Roman" w:hAnsi="Times New Roman"/>
          <w:b/>
          <w:color w:val="000000"/>
          <w:sz w:val="24"/>
        </w:rPr>
        <w:t>2构造</w:t>
      </w:r>
      <w:bookmarkEnd w:id="408"/>
      <w:bookmarkEnd w:id="409"/>
      <w:bookmarkEnd w:id="410"/>
    </w:p>
    <w:p>
      <w:pPr>
        <w:pStyle w:val="42"/>
        <w:spacing w:line="360" w:lineRule="auto"/>
        <w:ind w:firstLine="480" w:firstLineChars="200"/>
        <w:rPr>
          <w:rFonts w:ascii="Times New Roman" w:hAnsi="Times New Roman"/>
          <w:color w:val="FF0000"/>
        </w:rPr>
      </w:pPr>
      <w:r>
        <w:rPr>
          <w:rFonts w:ascii="Times New Roman" w:hAnsi="Times New Roman"/>
        </w:rPr>
        <w:t>区内断裂构造可分为韧性剪切带和脆性断裂两种类型，韧性剪切带主要见有北东向和北西向两条，为太古宙变质表壳岩与钓鱼台组石英砂岩的接触界线，对矿体没有影响；脆性断裂以张性为主，多发育在勘查区北部，无定向性，对矿体有破坏作用。</w:t>
      </w:r>
    </w:p>
    <w:p>
      <w:pPr>
        <w:widowControl/>
        <w:adjustRightInd w:val="0"/>
        <w:snapToGrid w:val="0"/>
        <w:spacing w:line="360" w:lineRule="auto"/>
        <w:ind w:firstLine="482" w:firstLineChars="200"/>
        <w:outlineLvl w:val="2"/>
        <w:rPr>
          <w:rFonts w:ascii="Times New Roman" w:hAnsi="Times New Roman"/>
          <w:b/>
          <w:color w:val="000000"/>
          <w:sz w:val="24"/>
        </w:rPr>
      </w:pPr>
      <w:bookmarkStart w:id="411" w:name="_Toc5974"/>
      <w:bookmarkStart w:id="412" w:name="_Toc29209"/>
      <w:bookmarkStart w:id="413" w:name="_Toc20800"/>
      <w:r>
        <w:rPr>
          <w:rFonts w:ascii="Times New Roman" w:hAnsi="Times New Roman"/>
          <w:b/>
          <w:color w:val="000000"/>
          <w:sz w:val="24"/>
        </w:rPr>
        <w:t>5.2.3.</w:t>
      </w:r>
      <w:r>
        <w:rPr>
          <w:rFonts w:hint="eastAsia" w:ascii="Times New Roman" w:hAnsi="Times New Roman"/>
          <w:b/>
          <w:color w:val="000000"/>
          <w:sz w:val="24"/>
        </w:rPr>
        <w:t>4</w:t>
      </w:r>
      <w:r>
        <w:rPr>
          <w:rFonts w:ascii="Times New Roman" w:hAnsi="Times New Roman"/>
          <w:b/>
          <w:color w:val="000000"/>
          <w:sz w:val="24"/>
        </w:rPr>
        <w:t>水文地质条件</w:t>
      </w:r>
      <w:bookmarkEnd w:id="411"/>
      <w:bookmarkEnd w:id="412"/>
      <w:bookmarkEnd w:id="413"/>
    </w:p>
    <w:p>
      <w:pPr>
        <w:pStyle w:val="42"/>
        <w:spacing w:line="360" w:lineRule="auto"/>
        <w:ind w:firstLine="480" w:firstLineChars="200"/>
        <w:rPr>
          <w:rFonts w:ascii="Times New Roman" w:hAnsi="Times New Roman"/>
        </w:rPr>
      </w:pPr>
      <w:r>
        <w:rPr>
          <w:rFonts w:ascii="Times New Roman" w:hAnsi="Times New Roman"/>
        </w:rPr>
        <w:t>一、地下水类型及含水层组划分</w:t>
      </w:r>
    </w:p>
    <w:p>
      <w:pPr>
        <w:pStyle w:val="42"/>
        <w:spacing w:line="360" w:lineRule="auto"/>
        <w:ind w:firstLine="480" w:firstLineChars="200"/>
        <w:rPr>
          <w:rFonts w:ascii="Times New Roman" w:hAnsi="Times New Roman"/>
        </w:rPr>
      </w:pPr>
      <w:r>
        <w:rPr>
          <w:rFonts w:ascii="Times New Roman" w:hAnsi="Times New Roman"/>
        </w:rPr>
        <w:t>矿区地下水类型主要为第四系砂砾石孔隙水、基岩风化裂隙水两种。</w:t>
      </w:r>
    </w:p>
    <w:p>
      <w:pPr>
        <w:pStyle w:val="42"/>
        <w:spacing w:line="360" w:lineRule="auto"/>
        <w:ind w:firstLine="480" w:firstLineChars="200"/>
        <w:rPr>
          <w:rFonts w:ascii="Times New Roman" w:hAnsi="Times New Roman"/>
        </w:rPr>
      </w:pPr>
      <w:r>
        <w:rPr>
          <w:rFonts w:ascii="Times New Roman" w:hAnsi="Times New Roman"/>
        </w:rPr>
        <w:t>二、含水层组空间分布及其水文地质特征</w:t>
      </w:r>
    </w:p>
    <w:p>
      <w:pPr>
        <w:pStyle w:val="42"/>
        <w:spacing w:line="360" w:lineRule="auto"/>
        <w:ind w:firstLine="480" w:firstLineChars="200"/>
        <w:rPr>
          <w:rFonts w:ascii="Times New Roman" w:hAnsi="Times New Roman"/>
        </w:rPr>
      </w:pPr>
      <w:r>
        <w:rPr>
          <w:rFonts w:ascii="Times New Roman" w:hAnsi="Times New Roman"/>
        </w:rPr>
        <w:t>（1）第四系砂砾石孔隙潜水含水层</w:t>
      </w:r>
    </w:p>
    <w:p>
      <w:pPr>
        <w:pStyle w:val="42"/>
        <w:spacing w:line="360" w:lineRule="auto"/>
        <w:ind w:firstLine="480" w:firstLineChars="200"/>
        <w:rPr>
          <w:rFonts w:ascii="Times New Roman" w:hAnsi="Times New Roman"/>
        </w:rPr>
      </w:pPr>
      <w:r>
        <w:rPr>
          <w:rFonts w:ascii="Times New Roman" w:hAnsi="Times New Roman"/>
        </w:rPr>
        <w:t>呈带状分布于矿区东部西北岔河两侧及沟谷底部，主要为第四系洪积砂、砾石等松散沉积物含水，范围小、厚度薄，富水性弱，接受大气降水及风化裂隙水补给，该潜水对矿体开采无影响。</w:t>
      </w:r>
    </w:p>
    <w:p>
      <w:pPr>
        <w:pStyle w:val="42"/>
        <w:spacing w:line="360" w:lineRule="auto"/>
        <w:ind w:firstLine="480" w:firstLineChars="200"/>
        <w:rPr>
          <w:rFonts w:ascii="Times New Roman" w:hAnsi="Times New Roman"/>
        </w:rPr>
      </w:pPr>
      <w:r>
        <w:rPr>
          <w:rFonts w:ascii="Times New Roman" w:hAnsi="Times New Roman"/>
        </w:rPr>
        <w:t>（2）基岩风化裂隙水含水层</w:t>
      </w:r>
    </w:p>
    <w:p>
      <w:pPr>
        <w:pStyle w:val="42"/>
        <w:spacing w:line="360" w:lineRule="auto"/>
        <w:ind w:firstLine="480" w:firstLineChars="200"/>
        <w:rPr>
          <w:rFonts w:ascii="Times New Roman" w:hAnsi="Times New Roman"/>
        </w:rPr>
      </w:pPr>
      <w:r>
        <w:rPr>
          <w:rFonts w:ascii="Times New Roman" w:hAnsi="Times New Roman"/>
        </w:rPr>
        <w:t>分布全区，为区内主要含水层。出露标高为650 m～1062 m，含水岩系主要为太古宙二长花岗岩、斜长角闪岩夹磁铁矿、厚层状石英砂岩。风化裂隙发育中等，风化带深度一般为20 m～40 m，富水性弱，接受大气降水补给，在负地形以泉的形式排泄，泉流量0.155l/s～0.454l/s。为矿床充水的主要来源。</w:t>
      </w:r>
    </w:p>
    <w:p>
      <w:pPr>
        <w:pStyle w:val="42"/>
        <w:spacing w:line="360" w:lineRule="auto"/>
        <w:ind w:firstLine="480" w:firstLineChars="200"/>
        <w:rPr>
          <w:rFonts w:ascii="Times New Roman" w:hAnsi="Times New Roman"/>
        </w:rPr>
      </w:pPr>
      <w:r>
        <w:rPr>
          <w:rFonts w:ascii="Times New Roman" w:hAnsi="Times New Roman"/>
        </w:rPr>
        <w:t>三、隔水层</w:t>
      </w:r>
    </w:p>
    <w:p>
      <w:pPr>
        <w:pStyle w:val="42"/>
        <w:spacing w:line="360" w:lineRule="auto"/>
        <w:ind w:firstLine="480" w:firstLineChars="200"/>
        <w:rPr>
          <w:rFonts w:ascii="Times New Roman" w:hAnsi="Times New Roman"/>
        </w:rPr>
      </w:pPr>
      <w:r>
        <w:rPr>
          <w:rFonts w:ascii="Times New Roman" w:hAnsi="Times New Roman"/>
        </w:rPr>
        <w:t>风化带之下的新鲜完整基岩，裂隙不发育遇水多闭合，岩石隔水性能良好为隔水层。</w:t>
      </w:r>
    </w:p>
    <w:p>
      <w:pPr>
        <w:pStyle w:val="42"/>
        <w:spacing w:line="360" w:lineRule="auto"/>
        <w:ind w:firstLine="480" w:firstLineChars="200"/>
        <w:rPr>
          <w:rFonts w:ascii="Times New Roman" w:hAnsi="Times New Roman"/>
        </w:rPr>
      </w:pPr>
      <w:r>
        <w:rPr>
          <w:rFonts w:ascii="Times New Roman" w:hAnsi="Times New Roman"/>
        </w:rPr>
        <w:t>四、地下水补、径、排条件及动态变化规律</w:t>
      </w:r>
    </w:p>
    <w:p>
      <w:pPr>
        <w:pStyle w:val="42"/>
        <w:spacing w:line="360" w:lineRule="auto"/>
        <w:ind w:firstLine="480" w:firstLineChars="200"/>
        <w:rPr>
          <w:rFonts w:ascii="Times New Roman" w:hAnsi="Times New Roman"/>
        </w:rPr>
      </w:pPr>
      <w:r>
        <w:rPr>
          <w:rFonts w:ascii="Times New Roman" w:hAnsi="Times New Roman"/>
        </w:rPr>
        <w:t>本区地下水总的活动规律是接受大气降水补给，汇水面积小，地形坡度较大，覆盖层不厚，因此地表水径流条件较好，径流路程短，排泄快，由沟谷排泄降雨或融雪水。矿区地形为山地，地表水不发育，地下水类型以基岩风化裂隙水及孔隙—裂隙水为主，其补给来源主要为大气降水和融雪水，降水量比较充沛，山区覆盖比较薄，有利于渗入补给。裂隙多深处为封闭型，节理、裂隙相互连通性差，因此，地下水径流途径短，难于汇集渗入深部。大部分在山坡、谷底以泉的形式排泄。</w:t>
      </w:r>
    </w:p>
    <w:p>
      <w:pPr>
        <w:pStyle w:val="42"/>
      </w:pPr>
      <w:r>
        <w:rPr>
          <w:rFonts w:hint="eastAsia"/>
        </w:rPr>
        <w:t>本项目水文地质情况详见附图11。</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6</w:t>
      </w:r>
      <w:r>
        <w:rPr>
          <w:rFonts w:ascii="Times New Roman" w:hAnsi="Times New Roman"/>
          <w:color w:val="000000"/>
          <w:sz w:val="24"/>
        </w:rPr>
        <w:t>、地下水水位监测见</w:t>
      </w:r>
      <w:r>
        <w:rPr>
          <w:rFonts w:hint="eastAsia" w:ascii="Times New Roman" w:hAnsi="Times New Roman"/>
          <w:color w:val="000000"/>
          <w:sz w:val="24"/>
        </w:rPr>
        <w:t>下表</w:t>
      </w:r>
      <w:r>
        <w:rPr>
          <w:rFonts w:ascii="Times New Roman" w:hAnsi="Times New Roman"/>
          <w:color w:val="000000"/>
          <w:sz w:val="24"/>
        </w:rPr>
        <w:t xml:space="preserve">。 </w:t>
      </w:r>
    </w:p>
    <w:p>
      <w:pPr>
        <w:jc w:val="center"/>
        <w:rPr>
          <w:rFonts w:ascii="Times New Roman" w:hAnsi="Times New Roman"/>
          <w:b/>
          <w:color w:val="000000"/>
          <w:sz w:val="24"/>
        </w:rPr>
      </w:pPr>
      <w:r>
        <w:rPr>
          <w:rFonts w:hint="eastAsia" w:ascii="Times New Roman" w:hAnsi="Times New Roman"/>
          <w:b/>
          <w:color w:val="000000"/>
          <w:sz w:val="24"/>
        </w:rPr>
        <w:t xml:space="preserve">表5-4 </w:t>
      </w:r>
      <w:r>
        <w:rPr>
          <w:rFonts w:ascii="Times New Roman" w:hAnsi="Times New Roman"/>
          <w:b/>
          <w:color w:val="000000"/>
          <w:sz w:val="24"/>
        </w:rPr>
        <w:t>本项目地下水水位调查点位一览表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794"/>
        <w:gridCol w:w="1381"/>
        <w:gridCol w:w="1225"/>
        <w:gridCol w:w="1225"/>
        <w:gridCol w:w="768"/>
        <w:gridCol w:w="661"/>
        <w:gridCol w:w="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jc w:val="center"/>
              <w:rPr>
                <w:rFonts w:ascii="Times New Roman" w:hAnsi="Times New Roman"/>
                <w:color w:val="000000"/>
                <w:szCs w:val="21"/>
              </w:rPr>
            </w:pPr>
            <w:r>
              <w:rPr>
                <w:rFonts w:ascii="Times New Roman" w:hAnsi="Times New Roman"/>
                <w:color w:val="000000"/>
                <w:szCs w:val="21"/>
              </w:rPr>
              <w:t>序号</w:t>
            </w:r>
          </w:p>
        </w:tc>
        <w:tc>
          <w:tcPr>
            <w:tcW w:w="1794" w:type="dxa"/>
            <w:vAlign w:val="center"/>
          </w:tcPr>
          <w:p>
            <w:pPr>
              <w:jc w:val="center"/>
              <w:rPr>
                <w:rFonts w:ascii="Times New Roman" w:hAnsi="Times New Roman"/>
                <w:color w:val="000000"/>
                <w:szCs w:val="21"/>
              </w:rPr>
            </w:pPr>
            <w:r>
              <w:rPr>
                <w:rFonts w:ascii="Times New Roman" w:hAnsi="Times New Roman"/>
                <w:color w:val="000000"/>
                <w:szCs w:val="21"/>
              </w:rPr>
              <w:t>调查位置</w:t>
            </w:r>
          </w:p>
        </w:tc>
        <w:tc>
          <w:tcPr>
            <w:tcW w:w="1381" w:type="dxa"/>
            <w:vAlign w:val="center"/>
          </w:tcPr>
          <w:p>
            <w:pPr>
              <w:jc w:val="center"/>
              <w:rPr>
                <w:rFonts w:ascii="Times New Roman" w:hAnsi="Times New Roman"/>
                <w:color w:val="000000"/>
                <w:szCs w:val="21"/>
              </w:rPr>
            </w:pPr>
            <w:r>
              <w:rPr>
                <w:rFonts w:ascii="Times New Roman" w:hAnsi="Times New Roman"/>
                <w:color w:val="000000"/>
                <w:szCs w:val="21"/>
              </w:rPr>
              <w:t>坐标经度</w:t>
            </w:r>
          </w:p>
        </w:tc>
        <w:tc>
          <w:tcPr>
            <w:tcW w:w="1225" w:type="dxa"/>
            <w:vAlign w:val="center"/>
          </w:tcPr>
          <w:p>
            <w:pPr>
              <w:jc w:val="center"/>
              <w:rPr>
                <w:rFonts w:ascii="Times New Roman" w:hAnsi="Times New Roman"/>
                <w:color w:val="000000"/>
                <w:szCs w:val="21"/>
              </w:rPr>
            </w:pPr>
            <w:r>
              <w:rPr>
                <w:rFonts w:ascii="Times New Roman" w:hAnsi="Times New Roman"/>
                <w:color w:val="000000"/>
                <w:szCs w:val="21"/>
              </w:rPr>
              <w:t>坐标纬度</w:t>
            </w:r>
          </w:p>
        </w:tc>
        <w:tc>
          <w:tcPr>
            <w:tcW w:w="1225" w:type="dxa"/>
            <w:vAlign w:val="center"/>
          </w:tcPr>
          <w:p>
            <w:pPr>
              <w:jc w:val="center"/>
              <w:rPr>
                <w:rFonts w:ascii="Times New Roman" w:hAnsi="Times New Roman"/>
                <w:color w:val="000000"/>
                <w:szCs w:val="21"/>
              </w:rPr>
            </w:pPr>
            <w:r>
              <w:rPr>
                <w:rFonts w:ascii="Times New Roman" w:hAnsi="Times New Roman"/>
                <w:color w:val="000000"/>
                <w:szCs w:val="21"/>
              </w:rPr>
              <w:t>地下水水位（m）</w:t>
            </w:r>
          </w:p>
        </w:tc>
        <w:tc>
          <w:tcPr>
            <w:tcW w:w="768" w:type="dxa"/>
            <w:vAlign w:val="center"/>
          </w:tcPr>
          <w:p>
            <w:pPr>
              <w:jc w:val="center"/>
              <w:rPr>
                <w:rFonts w:ascii="Times New Roman" w:hAnsi="Times New Roman"/>
                <w:color w:val="000000"/>
                <w:szCs w:val="21"/>
              </w:rPr>
            </w:pPr>
            <w:r>
              <w:rPr>
                <w:rFonts w:ascii="Times New Roman" w:hAnsi="Times New Roman"/>
                <w:color w:val="000000"/>
                <w:szCs w:val="21"/>
              </w:rPr>
              <w:t>井深</w:t>
            </w:r>
            <w:r>
              <w:rPr>
                <w:rFonts w:ascii="Times New Roman" w:hAnsi="Times New Roman"/>
                <w:color w:val="000000"/>
                <w:spacing w:val="-20"/>
                <w:szCs w:val="21"/>
              </w:rPr>
              <w:t>（m）</w:t>
            </w:r>
          </w:p>
        </w:tc>
        <w:tc>
          <w:tcPr>
            <w:tcW w:w="661" w:type="dxa"/>
            <w:vAlign w:val="center"/>
          </w:tcPr>
          <w:p>
            <w:pPr>
              <w:jc w:val="center"/>
              <w:rPr>
                <w:rFonts w:ascii="Times New Roman" w:hAnsi="Times New Roman"/>
                <w:color w:val="000000"/>
                <w:szCs w:val="21"/>
              </w:rPr>
            </w:pPr>
            <w:r>
              <w:rPr>
                <w:rFonts w:ascii="Times New Roman" w:hAnsi="Times New Roman"/>
                <w:color w:val="000000"/>
                <w:szCs w:val="21"/>
              </w:rPr>
              <w:t>结构</w:t>
            </w:r>
          </w:p>
        </w:tc>
        <w:tc>
          <w:tcPr>
            <w:tcW w:w="810" w:type="dxa"/>
            <w:vAlign w:val="center"/>
          </w:tcPr>
          <w:p>
            <w:pPr>
              <w:jc w:val="center"/>
              <w:rPr>
                <w:rFonts w:ascii="Times New Roman" w:hAnsi="Times New Roman"/>
                <w:color w:val="000000"/>
                <w:szCs w:val="21"/>
              </w:rPr>
            </w:pPr>
            <w:r>
              <w:rPr>
                <w:rFonts w:ascii="Times New Roman" w:hAnsi="Times New Roman"/>
                <w:color w:val="000000"/>
                <w:szCs w:val="21"/>
              </w:rPr>
              <w:t>地下水类型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jc w:val="center"/>
              <w:rPr>
                <w:rFonts w:ascii="Times New Roman" w:hAnsi="Times New Roman"/>
                <w:color w:val="000000"/>
                <w:szCs w:val="21"/>
              </w:rPr>
            </w:pPr>
            <w:r>
              <w:rPr>
                <w:rFonts w:ascii="Times New Roman" w:hAnsi="Times New Roman"/>
                <w:color w:val="000000"/>
                <w:szCs w:val="21"/>
              </w:rPr>
              <w:t>1#</w:t>
            </w:r>
          </w:p>
        </w:tc>
        <w:tc>
          <w:tcPr>
            <w:tcW w:w="1794" w:type="dxa"/>
            <w:vAlign w:val="center"/>
          </w:tcPr>
          <w:p>
            <w:pPr>
              <w:adjustRightInd w:val="0"/>
              <w:snapToGrid w:val="0"/>
              <w:jc w:val="center"/>
              <w:rPr>
                <w:rFonts w:ascii="Times New Roman" w:hAnsi="Times New Roman"/>
                <w:color w:val="000000"/>
                <w:szCs w:val="21"/>
              </w:rPr>
            </w:pPr>
            <w:r>
              <w:rPr>
                <w:rFonts w:hint="eastAsia" w:ascii="Times New Roman" w:hAnsi="Times New Roman"/>
                <w:szCs w:val="21"/>
              </w:rPr>
              <w:t>现有尾矿库井</w:t>
            </w:r>
          </w:p>
        </w:tc>
        <w:tc>
          <w:tcPr>
            <w:tcW w:w="1381" w:type="dxa"/>
            <w:vAlign w:val="center"/>
          </w:tcPr>
          <w:p>
            <w:pPr>
              <w:jc w:val="center"/>
              <w:rPr>
                <w:color w:val="000000"/>
                <w:kern w:val="0"/>
                <w:sz w:val="24"/>
                <w:szCs w:val="24"/>
              </w:rPr>
            </w:pPr>
            <w:r>
              <w:rPr>
                <w:rFonts w:ascii="Times New Roman" w:hAnsi="Times New Roman"/>
                <w:szCs w:val="21"/>
              </w:rPr>
              <w:t>126.565797</w:t>
            </w:r>
          </w:p>
        </w:tc>
        <w:tc>
          <w:tcPr>
            <w:tcW w:w="1225" w:type="dxa"/>
            <w:vAlign w:val="center"/>
          </w:tcPr>
          <w:p>
            <w:pPr>
              <w:jc w:val="center"/>
              <w:rPr>
                <w:color w:val="000000"/>
              </w:rPr>
            </w:pPr>
            <w:r>
              <w:rPr>
                <w:rFonts w:ascii="Times New Roman" w:hAnsi="Times New Roman"/>
                <w:szCs w:val="21"/>
              </w:rPr>
              <w:t>42.131977</w:t>
            </w:r>
          </w:p>
        </w:tc>
        <w:tc>
          <w:tcPr>
            <w:tcW w:w="1225" w:type="dxa"/>
            <w:vAlign w:val="center"/>
          </w:tcPr>
          <w:p>
            <w:pPr>
              <w:widowControl/>
              <w:jc w:val="center"/>
              <w:rPr>
                <w:color w:val="000000"/>
                <w:kern w:val="0"/>
                <w:sz w:val="24"/>
                <w:szCs w:val="24"/>
              </w:rPr>
            </w:pPr>
            <w:r>
              <w:rPr>
                <w:rFonts w:ascii="Times New Roman" w:hAnsi="Times New Roman"/>
              </w:rPr>
              <w:t>767.46</w:t>
            </w:r>
          </w:p>
        </w:tc>
        <w:tc>
          <w:tcPr>
            <w:tcW w:w="768" w:type="dxa"/>
            <w:vAlign w:val="center"/>
          </w:tcPr>
          <w:p>
            <w:pPr>
              <w:adjustRightInd w:val="0"/>
              <w:snapToGrid w:val="0"/>
              <w:jc w:val="center"/>
              <w:rPr>
                <w:rFonts w:ascii="Times New Roman" w:hAnsi="Times New Roman"/>
                <w:color w:val="000000"/>
                <w:szCs w:val="21"/>
              </w:rPr>
            </w:pPr>
            <w:r>
              <w:rPr>
                <w:rFonts w:ascii="Times New Roman" w:hAnsi="Times New Roman"/>
                <w:szCs w:val="21"/>
              </w:rPr>
              <w:t>80</w:t>
            </w:r>
          </w:p>
        </w:tc>
        <w:tc>
          <w:tcPr>
            <w:tcW w:w="661" w:type="dxa"/>
            <w:vAlign w:val="center"/>
          </w:tcPr>
          <w:p>
            <w:pPr>
              <w:jc w:val="center"/>
              <w:rPr>
                <w:rFonts w:ascii="Times New Roman" w:hAnsi="Times New Roman"/>
                <w:color w:val="000000"/>
                <w:szCs w:val="21"/>
              </w:rPr>
            </w:pPr>
            <w:r>
              <w:rPr>
                <w:rFonts w:ascii="Times New Roman" w:hAnsi="Times New Roman"/>
                <w:color w:val="000000"/>
                <w:szCs w:val="21"/>
              </w:rPr>
              <w:t>管井</w:t>
            </w:r>
          </w:p>
        </w:tc>
        <w:tc>
          <w:tcPr>
            <w:tcW w:w="810" w:type="dxa"/>
            <w:vAlign w:val="center"/>
          </w:tcPr>
          <w:p>
            <w:pPr>
              <w:jc w:val="center"/>
              <w:rPr>
                <w:rFonts w:ascii="Times New Roman" w:hAnsi="Times New Roman"/>
                <w:color w:val="000000"/>
                <w:szCs w:val="21"/>
              </w:rPr>
            </w:pPr>
            <w:r>
              <w:rPr>
                <w:rFonts w:ascii="Times New Roman" w:hAnsi="Times New Roman"/>
                <w:color w:val="000000"/>
                <w:szCs w:val="21"/>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jc w:val="center"/>
              <w:rPr>
                <w:rFonts w:ascii="Times New Roman" w:hAnsi="Times New Roman"/>
                <w:color w:val="000000"/>
                <w:szCs w:val="21"/>
              </w:rPr>
            </w:pPr>
            <w:r>
              <w:rPr>
                <w:rFonts w:ascii="Times New Roman" w:hAnsi="Times New Roman"/>
                <w:color w:val="000000"/>
                <w:szCs w:val="21"/>
              </w:rPr>
              <w:t>2#</w:t>
            </w:r>
          </w:p>
        </w:tc>
        <w:tc>
          <w:tcPr>
            <w:tcW w:w="1794" w:type="dxa"/>
            <w:vAlign w:val="center"/>
          </w:tcPr>
          <w:p>
            <w:pPr>
              <w:adjustRightInd w:val="0"/>
              <w:snapToGrid w:val="0"/>
              <w:jc w:val="center"/>
              <w:rPr>
                <w:rFonts w:ascii="Times New Roman" w:hAnsi="Times New Roman"/>
                <w:color w:val="000000"/>
                <w:szCs w:val="21"/>
              </w:rPr>
            </w:pPr>
            <w:r>
              <w:rPr>
                <w:rFonts w:ascii="Times New Roman" w:hAnsi="Times New Roman"/>
                <w:szCs w:val="21"/>
              </w:rPr>
              <w:t>九道羊岔</w:t>
            </w:r>
            <w:r>
              <w:rPr>
                <w:rFonts w:hint="eastAsia" w:ascii="Times New Roman" w:hAnsi="Times New Roman"/>
                <w:szCs w:val="21"/>
              </w:rPr>
              <w:t>水井</w:t>
            </w:r>
          </w:p>
        </w:tc>
        <w:tc>
          <w:tcPr>
            <w:tcW w:w="1381" w:type="dxa"/>
            <w:vAlign w:val="center"/>
          </w:tcPr>
          <w:p>
            <w:pPr>
              <w:jc w:val="center"/>
              <w:rPr>
                <w:color w:val="000000"/>
              </w:rPr>
            </w:pPr>
            <w:r>
              <w:rPr>
                <w:rFonts w:ascii="Times New Roman" w:hAnsi="Times New Roman"/>
                <w:szCs w:val="21"/>
              </w:rPr>
              <w:t>126.575239</w:t>
            </w:r>
          </w:p>
        </w:tc>
        <w:tc>
          <w:tcPr>
            <w:tcW w:w="1225" w:type="dxa"/>
            <w:vAlign w:val="center"/>
          </w:tcPr>
          <w:p>
            <w:pPr>
              <w:jc w:val="center"/>
              <w:rPr>
                <w:color w:val="000000"/>
              </w:rPr>
            </w:pPr>
            <w:r>
              <w:rPr>
                <w:rFonts w:ascii="Times New Roman" w:hAnsi="Times New Roman"/>
                <w:szCs w:val="21"/>
              </w:rPr>
              <w:t>42.140216</w:t>
            </w:r>
          </w:p>
        </w:tc>
        <w:tc>
          <w:tcPr>
            <w:tcW w:w="1225" w:type="dxa"/>
            <w:vAlign w:val="center"/>
          </w:tcPr>
          <w:p>
            <w:pPr>
              <w:jc w:val="center"/>
              <w:rPr>
                <w:color w:val="000000"/>
              </w:rPr>
            </w:pPr>
            <w:r>
              <w:rPr>
                <w:rFonts w:ascii="Times New Roman" w:hAnsi="Times New Roman"/>
              </w:rPr>
              <w:t>896.86</w:t>
            </w:r>
          </w:p>
        </w:tc>
        <w:tc>
          <w:tcPr>
            <w:tcW w:w="768" w:type="dxa"/>
            <w:vAlign w:val="center"/>
          </w:tcPr>
          <w:p>
            <w:pPr>
              <w:adjustRightInd w:val="0"/>
              <w:snapToGrid w:val="0"/>
              <w:jc w:val="center"/>
              <w:rPr>
                <w:rFonts w:ascii="Times New Roman" w:hAnsi="Times New Roman"/>
                <w:color w:val="000000"/>
                <w:szCs w:val="21"/>
              </w:rPr>
            </w:pPr>
            <w:r>
              <w:rPr>
                <w:rFonts w:ascii="Times New Roman" w:hAnsi="Times New Roman"/>
                <w:szCs w:val="21"/>
              </w:rPr>
              <w:t>80</w:t>
            </w:r>
          </w:p>
        </w:tc>
        <w:tc>
          <w:tcPr>
            <w:tcW w:w="661" w:type="dxa"/>
            <w:vAlign w:val="center"/>
          </w:tcPr>
          <w:p>
            <w:pPr>
              <w:jc w:val="center"/>
              <w:rPr>
                <w:rFonts w:ascii="Times New Roman" w:hAnsi="Times New Roman"/>
                <w:color w:val="000000"/>
                <w:szCs w:val="21"/>
              </w:rPr>
            </w:pPr>
            <w:r>
              <w:rPr>
                <w:rFonts w:ascii="Times New Roman" w:hAnsi="Times New Roman"/>
                <w:color w:val="000000"/>
                <w:szCs w:val="21"/>
              </w:rPr>
              <w:t>管井</w:t>
            </w:r>
          </w:p>
        </w:tc>
        <w:tc>
          <w:tcPr>
            <w:tcW w:w="810" w:type="dxa"/>
            <w:vAlign w:val="center"/>
          </w:tcPr>
          <w:p>
            <w:pPr>
              <w:jc w:val="center"/>
              <w:rPr>
                <w:rFonts w:ascii="Times New Roman" w:hAnsi="Times New Roman"/>
                <w:color w:val="000000"/>
                <w:szCs w:val="21"/>
              </w:rPr>
            </w:pPr>
            <w:r>
              <w:rPr>
                <w:rFonts w:ascii="Times New Roman" w:hAnsi="Times New Roman"/>
                <w:color w:val="000000"/>
                <w:szCs w:val="21"/>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jc w:val="center"/>
              <w:rPr>
                <w:rFonts w:ascii="Times New Roman" w:hAnsi="Times New Roman"/>
                <w:color w:val="000000"/>
                <w:szCs w:val="21"/>
              </w:rPr>
            </w:pPr>
            <w:r>
              <w:rPr>
                <w:rFonts w:ascii="Times New Roman" w:hAnsi="Times New Roman"/>
                <w:color w:val="000000"/>
                <w:szCs w:val="21"/>
              </w:rPr>
              <w:t>3#</w:t>
            </w:r>
          </w:p>
        </w:tc>
        <w:tc>
          <w:tcPr>
            <w:tcW w:w="1794" w:type="dxa"/>
            <w:vAlign w:val="center"/>
          </w:tcPr>
          <w:p>
            <w:pPr>
              <w:adjustRightInd w:val="0"/>
              <w:snapToGrid w:val="0"/>
              <w:jc w:val="center"/>
              <w:rPr>
                <w:rFonts w:ascii="Times New Roman" w:hAnsi="Times New Roman"/>
                <w:color w:val="000000"/>
                <w:szCs w:val="21"/>
              </w:rPr>
            </w:pPr>
            <w:r>
              <w:rPr>
                <w:rFonts w:ascii="Times New Roman" w:hAnsi="Times New Roman"/>
                <w:szCs w:val="21"/>
              </w:rPr>
              <w:t>八道羊岔</w:t>
            </w:r>
            <w:r>
              <w:rPr>
                <w:rFonts w:hint="eastAsia" w:ascii="Times New Roman" w:hAnsi="Times New Roman"/>
                <w:szCs w:val="21"/>
              </w:rPr>
              <w:t>水井</w:t>
            </w:r>
          </w:p>
        </w:tc>
        <w:tc>
          <w:tcPr>
            <w:tcW w:w="1381" w:type="dxa"/>
            <w:vAlign w:val="center"/>
          </w:tcPr>
          <w:p>
            <w:pPr>
              <w:jc w:val="center"/>
              <w:rPr>
                <w:color w:val="000000"/>
              </w:rPr>
            </w:pPr>
            <w:r>
              <w:rPr>
                <w:rFonts w:ascii="Times New Roman" w:hAnsi="Times New Roman"/>
                <w:szCs w:val="21"/>
              </w:rPr>
              <w:t>126.592276</w:t>
            </w:r>
          </w:p>
        </w:tc>
        <w:tc>
          <w:tcPr>
            <w:tcW w:w="1225" w:type="dxa"/>
            <w:vAlign w:val="center"/>
          </w:tcPr>
          <w:p>
            <w:pPr>
              <w:jc w:val="center"/>
              <w:rPr>
                <w:color w:val="000000"/>
              </w:rPr>
            </w:pPr>
            <w:r>
              <w:rPr>
                <w:rFonts w:ascii="Times New Roman" w:hAnsi="Times New Roman"/>
                <w:szCs w:val="21"/>
              </w:rPr>
              <w:t>42.156009</w:t>
            </w:r>
          </w:p>
        </w:tc>
        <w:tc>
          <w:tcPr>
            <w:tcW w:w="1225" w:type="dxa"/>
            <w:vAlign w:val="center"/>
          </w:tcPr>
          <w:p>
            <w:pPr>
              <w:jc w:val="center"/>
              <w:rPr>
                <w:color w:val="000000"/>
              </w:rPr>
            </w:pPr>
            <w:r>
              <w:rPr>
                <w:rFonts w:ascii="Times New Roman" w:hAnsi="Times New Roman"/>
              </w:rPr>
              <w:t>689.62</w:t>
            </w:r>
          </w:p>
        </w:tc>
        <w:tc>
          <w:tcPr>
            <w:tcW w:w="768" w:type="dxa"/>
            <w:vAlign w:val="center"/>
          </w:tcPr>
          <w:p>
            <w:pPr>
              <w:adjustRightInd w:val="0"/>
              <w:snapToGrid w:val="0"/>
              <w:jc w:val="center"/>
              <w:rPr>
                <w:rFonts w:ascii="Times New Roman" w:hAnsi="Times New Roman"/>
                <w:color w:val="000000"/>
                <w:szCs w:val="21"/>
              </w:rPr>
            </w:pPr>
            <w:r>
              <w:rPr>
                <w:rFonts w:ascii="Times New Roman" w:hAnsi="Times New Roman"/>
                <w:szCs w:val="21"/>
              </w:rPr>
              <w:t>25</w:t>
            </w:r>
          </w:p>
        </w:tc>
        <w:tc>
          <w:tcPr>
            <w:tcW w:w="661" w:type="dxa"/>
            <w:vAlign w:val="center"/>
          </w:tcPr>
          <w:p>
            <w:pPr>
              <w:jc w:val="center"/>
              <w:rPr>
                <w:rFonts w:ascii="Times New Roman" w:hAnsi="Times New Roman"/>
                <w:color w:val="000000"/>
                <w:szCs w:val="21"/>
              </w:rPr>
            </w:pPr>
            <w:r>
              <w:rPr>
                <w:rFonts w:ascii="Times New Roman" w:hAnsi="Times New Roman"/>
                <w:color w:val="000000"/>
                <w:szCs w:val="21"/>
              </w:rPr>
              <w:t>管井</w:t>
            </w:r>
          </w:p>
        </w:tc>
        <w:tc>
          <w:tcPr>
            <w:tcW w:w="810" w:type="dxa"/>
            <w:vAlign w:val="center"/>
          </w:tcPr>
          <w:p>
            <w:pPr>
              <w:jc w:val="center"/>
              <w:rPr>
                <w:rFonts w:ascii="Times New Roman" w:hAnsi="Times New Roman"/>
                <w:color w:val="000000"/>
                <w:szCs w:val="21"/>
              </w:rPr>
            </w:pPr>
            <w:r>
              <w:rPr>
                <w:rFonts w:ascii="Times New Roman" w:hAnsi="Times New Roman"/>
                <w:color w:val="000000"/>
                <w:szCs w:val="21"/>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58" w:type="dxa"/>
            <w:vAlign w:val="center"/>
          </w:tcPr>
          <w:p>
            <w:pPr>
              <w:jc w:val="center"/>
              <w:rPr>
                <w:rFonts w:ascii="Times New Roman" w:hAnsi="Times New Roman"/>
                <w:color w:val="000000"/>
                <w:szCs w:val="21"/>
              </w:rPr>
            </w:pPr>
            <w:r>
              <w:rPr>
                <w:rFonts w:ascii="Times New Roman" w:hAnsi="Times New Roman"/>
                <w:color w:val="000000"/>
                <w:szCs w:val="21"/>
              </w:rPr>
              <w:t>4#</w:t>
            </w:r>
          </w:p>
        </w:tc>
        <w:tc>
          <w:tcPr>
            <w:tcW w:w="1794" w:type="dxa"/>
            <w:vAlign w:val="center"/>
          </w:tcPr>
          <w:p>
            <w:pPr>
              <w:adjustRightInd w:val="0"/>
              <w:snapToGrid w:val="0"/>
              <w:jc w:val="center"/>
              <w:rPr>
                <w:rFonts w:ascii="Times New Roman" w:hAnsi="Times New Roman"/>
                <w:color w:val="000000"/>
                <w:szCs w:val="21"/>
              </w:rPr>
            </w:pPr>
            <w:r>
              <w:rPr>
                <w:rFonts w:ascii="Times New Roman" w:hAnsi="Times New Roman"/>
                <w:szCs w:val="21"/>
              </w:rPr>
              <w:t>七道羊岔</w:t>
            </w:r>
            <w:r>
              <w:rPr>
                <w:rFonts w:hint="eastAsia" w:ascii="Times New Roman" w:hAnsi="Times New Roman"/>
                <w:szCs w:val="21"/>
              </w:rPr>
              <w:t>水井</w:t>
            </w:r>
          </w:p>
        </w:tc>
        <w:tc>
          <w:tcPr>
            <w:tcW w:w="1381" w:type="dxa"/>
            <w:vAlign w:val="center"/>
          </w:tcPr>
          <w:p>
            <w:pPr>
              <w:jc w:val="center"/>
              <w:rPr>
                <w:color w:val="000000"/>
              </w:rPr>
            </w:pPr>
            <w:r>
              <w:rPr>
                <w:rFonts w:ascii="Times New Roman" w:hAnsi="Times New Roman"/>
                <w:szCs w:val="21"/>
              </w:rPr>
              <w:t>126.595623</w:t>
            </w:r>
          </w:p>
        </w:tc>
        <w:tc>
          <w:tcPr>
            <w:tcW w:w="1225" w:type="dxa"/>
            <w:vAlign w:val="center"/>
          </w:tcPr>
          <w:p>
            <w:pPr>
              <w:jc w:val="center"/>
              <w:rPr>
                <w:color w:val="000000"/>
              </w:rPr>
            </w:pPr>
            <w:r>
              <w:rPr>
                <w:rFonts w:ascii="Times New Roman" w:hAnsi="Times New Roman"/>
                <w:szCs w:val="21"/>
              </w:rPr>
              <w:t>42.121184</w:t>
            </w:r>
          </w:p>
        </w:tc>
        <w:tc>
          <w:tcPr>
            <w:tcW w:w="1225" w:type="dxa"/>
            <w:vAlign w:val="center"/>
          </w:tcPr>
          <w:p>
            <w:pPr>
              <w:jc w:val="center"/>
              <w:rPr>
                <w:color w:val="000000"/>
              </w:rPr>
            </w:pPr>
            <w:r>
              <w:rPr>
                <w:rFonts w:ascii="Times New Roman" w:hAnsi="Times New Roman"/>
              </w:rPr>
              <w:t>613.77</w:t>
            </w:r>
          </w:p>
        </w:tc>
        <w:tc>
          <w:tcPr>
            <w:tcW w:w="768" w:type="dxa"/>
            <w:vAlign w:val="center"/>
          </w:tcPr>
          <w:p>
            <w:pPr>
              <w:adjustRightInd w:val="0"/>
              <w:snapToGrid w:val="0"/>
              <w:jc w:val="center"/>
              <w:rPr>
                <w:rFonts w:ascii="Times New Roman" w:hAnsi="Times New Roman"/>
                <w:color w:val="000000"/>
                <w:szCs w:val="21"/>
              </w:rPr>
            </w:pPr>
            <w:r>
              <w:rPr>
                <w:rFonts w:ascii="Times New Roman" w:hAnsi="Times New Roman"/>
                <w:szCs w:val="21"/>
              </w:rPr>
              <w:t>25</w:t>
            </w:r>
          </w:p>
        </w:tc>
        <w:tc>
          <w:tcPr>
            <w:tcW w:w="661" w:type="dxa"/>
            <w:vAlign w:val="center"/>
          </w:tcPr>
          <w:p>
            <w:pPr>
              <w:jc w:val="center"/>
              <w:rPr>
                <w:rFonts w:ascii="Times New Roman" w:hAnsi="Times New Roman"/>
                <w:color w:val="000000"/>
                <w:szCs w:val="21"/>
              </w:rPr>
            </w:pPr>
            <w:r>
              <w:rPr>
                <w:rFonts w:ascii="Times New Roman" w:hAnsi="Times New Roman"/>
                <w:color w:val="000000"/>
                <w:szCs w:val="21"/>
              </w:rPr>
              <w:t>管井</w:t>
            </w:r>
          </w:p>
        </w:tc>
        <w:tc>
          <w:tcPr>
            <w:tcW w:w="810" w:type="dxa"/>
            <w:vAlign w:val="center"/>
          </w:tcPr>
          <w:p>
            <w:pPr>
              <w:jc w:val="center"/>
              <w:rPr>
                <w:rFonts w:ascii="Times New Roman" w:hAnsi="Times New Roman"/>
                <w:color w:val="000000"/>
                <w:szCs w:val="21"/>
              </w:rPr>
            </w:pPr>
            <w:r>
              <w:rPr>
                <w:rFonts w:ascii="Times New Roman" w:hAnsi="Times New Roman"/>
                <w:color w:val="000000"/>
                <w:szCs w:val="21"/>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jc w:val="center"/>
              <w:rPr>
                <w:rFonts w:ascii="Times New Roman" w:hAnsi="Times New Roman"/>
                <w:color w:val="000000"/>
                <w:szCs w:val="21"/>
              </w:rPr>
            </w:pPr>
            <w:r>
              <w:rPr>
                <w:rFonts w:ascii="Times New Roman" w:hAnsi="Times New Roman"/>
                <w:color w:val="000000"/>
                <w:szCs w:val="21"/>
              </w:rPr>
              <w:t>5#</w:t>
            </w:r>
          </w:p>
        </w:tc>
        <w:tc>
          <w:tcPr>
            <w:tcW w:w="1794" w:type="dxa"/>
            <w:vAlign w:val="center"/>
          </w:tcPr>
          <w:p>
            <w:pPr>
              <w:adjustRightInd w:val="0"/>
              <w:snapToGrid w:val="0"/>
              <w:jc w:val="center"/>
              <w:rPr>
                <w:rFonts w:ascii="Times New Roman" w:hAnsi="Times New Roman"/>
                <w:color w:val="000000"/>
                <w:szCs w:val="21"/>
              </w:rPr>
            </w:pPr>
            <w:r>
              <w:rPr>
                <w:rFonts w:ascii="Times New Roman" w:hAnsi="Times New Roman"/>
                <w:szCs w:val="21"/>
              </w:rPr>
              <w:t>参场</w:t>
            </w:r>
            <w:r>
              <w:rPr>
                <w:rFonts w:hint="eastAsia" w:ascii="Times New Roman" w:hAnsi="Times New Roman"/>
                <w:szCs w:val="21"/>
              </w:rPr>
              <w:t>水井</w:t>
            </w:r>
          </w:p>
        </w:tc>
        <w:tc>
          <w:tcPr>
            <w:tcW w:w="1381" w:type="dxa"/>
            <w:vAlign w:val="center"/>
          </w:tcPr>
          <w:p>
            <w:pPr>
              <w:jc w:val="center"/>
              <w:rPr>
                <w:color w:val="000000"/>
              </w:rPr>
            </w:pPr>
            <w:r>
              <w:rPr>
                <w:rFonts w:ascii="Times New Roman" w:hAnsi="Times New Roman"/>
                <w:szCs w:val="21"/>
              </w:rPr>
              <w:t>126.555369</w:t>
            </w:r>
          </w:p>
        </w:tc>
        <w:tc>
          <w:tcPr>
            <w:tcW w:w="1225" w:type="dxa"/>
            <w:vAlign w:val="center"/>
          </w:tcPr>
          <w:p>
            <w:pPr>
              <w:jc w:val="center"/>
              <w:rPr>
                <w:color w:val="000000"/>
              </w:rPr>
            </w:pPr>
            <w:r>
              <w:rPr>
                <w:rFonts w:ascii="Times New Roman" w:hAnsi="Times New Roman"/>
                <w:szCs w:val="21"/>
              </w:rPr>
              <w:t>42.131548</w:t>
            </w:r>
          </w:p>
        </w:tc>
        <w:tc>
          <w:tcPr>
            <w:tcW w:w="1225" w:type="dxa"/>
            <w:vAlign w:val="center"/>
          </w:tcPr>
          <w:p>
            <w:pPr>
              <w:jc w:val="center"/>
              <w:rPr>
                <w:color w:val="000000"/>
              </w:rPr>
            </w:pPr>
            <w:r>
              <w:rPr>
                <w:rFonts w:ascii="Times New Roman" w:hAnsi="Times New Roman"/>
              </w:rPr>
              <w:t>843.08</w:t>
            </w:r>
          </w:p>
        </w:tc>
        <w:tc>
          <w:tcPr>
            <w:tcW w:w="768" w:type="dxa"/>
            <w:vAlign w:val="center"/>
          </w:tcPr>
          <w:p>
            <w:pPr>
              <w:adjustRightInd w:val="0"/>
              <w:snapToGrid w:val="0"/>
              <w:jc w:val="center"/>
              <w:rPr>
                <w:rFonts w:ascii="Times New Roman" w:hAnsi="Times New Roman"/>
                <w:color w:val="000000"/>
                <w:szCs w:val="21"/>
              </w:rPr>
            </w:pPr>
            <w:r>
              <w:rPr>
                <w:rFonts w:ascii="Times New Roman" w:hAnsi="Times New Roman"/>
                <w:szCs w:val="21"/>
              </w:rPr>
              <w:t>30</w:t>
            </w:r>
          </w:p>
        </w:tc>
        <w:tc>
          <w:tcPr>
            <w:tcW w:w="661" w:type="dxa"/>
            <w:vAlign w:val="center"/>
          </w:tcPr>
          <w:p>
            <w:pPr>
              <w:jc w:val="center"/>
              <w:rPr>
                <w:rFonts w:ascii="Times New Roman" w:hAnsi="Times New Roman"/>
                <w:color w:val="000000"/>
                <w:szCs w:val="21"/>
              </w:rPr>
            </w:pPr>
            <w:r>
              <w:rPr>
                <w:rFonts w:ascii="Times New Roman" w:hAnsi="Times New Roman"/>
                <w:color w:val="000000"/>
                <w:szCs w:val="21"/>
              </w:rPr>
              <w:t>管井</w:t>
            </w:r>
          </w:p>
        </w:tc>
        <w:tc>
          <w:tcPr>
            <w:tcW w:w="810" w:type="dxa"/>
            <w:vAlign w:val="center"/>
          </w:tcPr>
          <w:p>
            <w:pPr>
              <w:jc w:val="center"/>
              <w:rPr>
                <w:rFonts w:ascii="Times New Roman" w:hAnsi="Times New Roman"/>
                <w:color w:val="000000"/>
                <w:szCs w:val="21"/>
              </w:rPr>
            </w:pPr>
            <w:r>
              <w:rPr>
                <w:rFonts w:ascii="Times New Roman" w:hAnsi="Times New Roman"/>
                <w:color w:val="000000"/>
                <w:szCs w:val="21"/>
              </w:rPr>
              <w:t>潜水</w:t>
            </w:r>
          </w:p>
        </w:tc>
      </w:tr>
    </w:tbl>
    <w:p>
      <w:pPr>
        <w:widowControl/>
        <w:adjustRightInd w:val="0"/>
        <w:snapToGrid w:val="0"/>
        <w:spacing w:beforeLines="50" w:line="360" w:lineRule="auto"/>
        <w:ind w:firstLine="482" w:firstLineChars="200"/>
        <w:outlineLvl w:val="2"/>
        <w:rPr>
          <w:rFonts w:ascii="Times New Roman" w:hAnsi="Times New Roman"/>
          <w:b/>
          <w:color w:val="000000"/>
          <w:sz w:val="24"/>
        </w:rPr>
      </w:pPr>
      <w:bookmarkStart w:id="414" w:name="_Toc19773"/>
      <w:bookmarkStart w:id="415" w:name="_Toc32314"/>
      <w:bookmarkStart w:id="416" w:name="_Toc14801"/>
      <w:r>
        <w:rPr>
          <w:rFonts w:ascii="Times New Roman" w:hAnsi="Times New Roman"/>
          <w:b/>
          <w:color w:val="000000"/>
          <w:sz w:val="24"/>
        </w:rPr>
        <w:t>5.2.3.</w:t>
      </w:r>
      <w:r>
        <w:rPr>
          <w:rFonts w:hint="eastAsia" w:ascii="Times New Roman" w:hAnsi="Times New Roman"/>
          <w:b/>
          <w:color w:val="000000"/>
          <w:sz w:val="24"/>
        </w:rPr>
        <w:t>5</w:t>
      </w:r>
      <w:r>
        <w:rPr>
          <w:rFonts w:ascii="Times New Roman" w:hAnsi="Times New Roman"/>
          <w:b/>
          <w:color w:val="000000"/>
          <w:sz w:val="24"/>
        </w:rPr>
        <w:t>预测原则</w:t>
      </w:r>
      <w:bookmarkEnd w:id="414"/>
      <w:bookmarkEnd w:id="415"/>
      <w:bookmarkEnd w:id="416"/>
    </w:p>
    <w:p>
      <w:pPr>
        <w:spacing w:line="360" w:lineRule="auto"/>
        <w:ind w:firstLine="480" w:firstLineChars="200"/>
        <w:rPr>
          <w:rFonts w:ascii="Times New Roman" w:hAnsi="Times New Roman"/>
          <w:color w:val="000000"/>
          <w:sz w:val="24"/>
        </w:rPr>
      </w:pPr>
      <w:r>
        <w:rPr>
          <w:rFonts w:ascii="Times New Roman" w:hAnsi="Times New Roman"/>
          <w:color w:val="000000"/>
          <w:sz w:val="24"/>
        </w:rPr>
        <w:t>根据《环境影响评价技术导则—地下水环境》（HJ610-2016）的规定，</w:t>
      </w:r>
      <w:r>
        <w:rPr>
          <w:rFonts w:hint="eastAsia" w:ascii="Times New Roman" w:hAnsi="Times New Roman"/>
          <w:color w:val="000000"/>
          <w:sz w:val="24"/>
        </w:rPr>
        <w:t>白山市江源区五道羊岔铁矿有限责任公司五道羊岔铁矿尾矿库扩建项目</w:t>
      </w:r>
      <w:r>
        <w:rPr>
          <w:rFonts w:ascii="Times New Roman" w:hAnsi="Times New Roman"/>
          <w:color w:val="000000"/>
          <w:sz w:val="24"/>
        </w:rPr>
        <w:t>属于Ⅰ类建设项目，评价工作等级为二级。</w:t>
      </w:r>
      <w:r>
        <w:rPr>
          <w:rFonts w:hint="eastAsia" w:ascii="Times New Roman" w:hAnsi="Times New Roman"/>
          <w:color w:val="000000"/>
          <w:sz w:val="24"/>
        </w:rPr>
        <w:t>白山市江源区五道羊岔铁矿有限责任公司五道羊岔铁矿尾矿库扩建项目</w:t>
      </w:r>
      <w:r>
        <w:rPr>
          <w:rFonts w:ascii="Times New Roman" w:hAnsi="Times New Roman"/>
          <w:color w:val="000000"/>
          <w:sz w:val="24"/>
        </w:rPr>
        <w:t>地下水环境影响预测应遵循《建设项目环境影响评价技术导则 总纲》（HJ2.1-2016）与《环境影响评价技术导则 地下水环境》（HJ610-2016）确定的原则进行。</w:t>
      </w:r>
    </w:p>
    <w:p>
      <w:pPr>
        <w:widowControl/>
        <w:adjustRightInd w:val="0"/>
        <w:snapToGrid w:val="0"/>
        <w:spacing w:line="360" w:lineRule="auto"/>
        <w:ind w:firstLine="482" w:firstLineChars="200"/>
        <w:outlineLvl w:val="0"/>
        <w:rPr>
          <w:rFonts w:ascii="Times New Roman" w:hAnsi="Times New Roman"/>
          <w:b/>
          <w:color w:val="000000"/>
          <w:sz w:val="24"/>
        </w:rPr>
      </w:pPr>
      <w:bookmarkStart w:id="417" w:name="_Toc26829"/>
      <w:bookmarkStart w:id="418" w:name="_Toc12360"/>
      <w:bookmarkStart w:id="419" w:name="_Toc475"/>
      <w:r>
        <w:rPr>
          <w:rFonts w:ascii="Times New Roman" w:hAnsi="Times New Roman"/>
          <w:b/>
          <w:color w:val="000000"/>
          <w:sz w:val="24"/>
        </w:rPr>
        <w:t>5.2.3.</w:t>
      </w:r>
      <w:r>
        <w:rPr>
          <w:rFonts w:hint="eastAsia" w:ascii="Times New Roman" w:hAnsi="Times New Roman"/>
          <w:b/>
          <w:color w:val="000000"/>
          <w:sz w:val="24"/>
        </w:rPr>
        <w:t>6</w:t>
      </w:r>
      <w:r>
        <w:rPr>
          <w:rFonts w:ascii="Times New Roman" w:hAnsi="Times New Roman"/>
          <w:b/>
          <w:color w:val="000000"/>
          <w:sz w:val="24"/>
        </w:rPr>
        <w:t>环境影响分析</w:t>
      </w:r>
      <w:bookmarkEnd w:id="417"/>
      <w:bookmarkEnd w:id="418"/>
      <w:bookmarkEnd w:id="419"/>
    </w:p>
    <w:p>
      <w:pPr>
        <w:spacing w:line="360" w:lineRule="auto"/>
        <w:ind w:firstLine="480" w:firstLineChars="200"/>
        <w:rPr>
          <w:rFonts w:ascii="Times New Roman" w:hAnsi="Times New Roman"/>
          <w:color w:val="000000"/>
          <w:sz w:val="24"/>
        </w:rPr>
      </w:pPr>
      <w:r>
        <w:rPr>
          <w:rFonts w:ascii="Times New Roman" w:hAnsi="Times New Roman"/>
          <w:color w:val="000000"/>
          <w:sz w:val="24"/>
        </w:rPr>
        <w:t>考虑到地下水环境污染的复杂性、隐蔽性和难恢复性，应遵循保护优先、预防为主的原则，为评价各方案的环境安全和环境保护措施的合理性提供依据，因此本次工作对建设项目可能对地下水环境产生的影响进行预测。</w:t>
      </w:r>
    </w:p>
    <w:p>
      <w:pPr>
        <w:widowControl/>
        <w:adjustRightInd w:val="0"/>
        <w:snapToGrid w:val="0"/>
        <w:spacing w:line="360" w:lineRule="auto"/>
        <w:ind w:firstLine="482" w:firstLineChars="200"/>
        <w:outlineLvl w:val="0"/>
        <w:rPr>
          <w:rFonts w:ascii="Times New Roman" w:hAnsi="Times New Roman"/>
          <w:b/>
          <w:color w:val="000000"/>
          <w:sz w:val="24"/>
        </w:rPr>
      </w:pPr>
      <w:bookmarkStart w:id="420" w:name="_Toc26626"/>
      <w:bookmarkStart w:id="421" w:name="_Toc17845"/>
      <w:bookmarkStart w:id="422" w:name="_Toc13250"/>
      <w:r>
        <w:rPr>
          <w:rFonts w:ascii="Times New Roman" w:hAnsi="Times New Roman"/>
          <w:b/>
          <w:color w:val="000000"/>
          <w:sz w:val="24"/>
        </w:rPr>
        <w:t>5.2.3.</w:t>
      </w:r>
      <w:r>
        <w:rPr>
          <w:rFonts w:hint="eastAsia" w:ascii="Times New Roman" w:hAnsi="Times New Roman"/>
          <w:b/>
          <w:color w:val="000000"/>
          <w:sz w:val="24"/>
        </w:rPr>
        <w:t>7</w:t>
      </w:r>
      <w:r>
        <w:rPr>
          <w:rFonts w:ascii="Times New Roman" w:hAnsi="Times New Roman"/>
          <w:b/>
          <w:color w:val="000000"/>
          <w:sz w:val="24"/>
        </w:rPr>
        <w:t>预测范围</w:t>
      </w:r>
      <w:bookmarkEnd w:id="420"/>
      <w:bookmarkEnd w:id="421"/>
      <w:bookmarkEnd w:id="422"/>
    </w:p>
    <w:p>
      <w:pPr>
        <w:spacing w:line="360" w:lineRule="auto"/>
        <w:ind w:firstLine="480" w:firstLineChars="200"/>
        <w:rPr>
          <w:rFonts w:ascii="Times New Roman" w:hAnsi="Times New Roman"/>
          <w:color w:val="000000"/>
          <w:sz w:val="24"/>
        </w:rPr>
      </w:pPr>
      <w:r>
        <w:rPr>
          <w:rFonts w:ascii="Times New Roman" w:hAnsi="Times New Roman"/>
          <w:color w:val="000000"/>
          <w:sz w:val="24"/>
        </w:rPr>
        <w:t>据本项目场地水文地质条件，</w:t>
      </w:r>
      <w:r>
        <w:rPr>
          <w:rFonts w:hint="eastAsia" w:ascii="Times New Roman" w:hAnsi="Times New Roman"/>
          <w:color w:val="000000"/>
          <w:sz w:val="24"/>
        </w:rPr>
        <w:t>矿区隔水层属相对隔水层，与含水层呈渐变关系，岩性为斜长角闪岩、角闪片岩、凝灰岩、斜长花岗岩、花岗闪长岩等。与下部</w:t>
      </w:r>
      <w:r>
        <w:rPr>
          <w:rFonts w:ascii="Times New Roman" w:hAnsi="Times New Roman"/>
          <w:color w:val="000000"/>
          <w:sz w:val="24"/>
        </w:rPr>
        <w:t>含水层</w:t>
      </w:r>
      <w:r>
        <w:rPr>
          <w:rFonts w:hint="eastAsia" w:ascii="Times New Roman" w:hAnsi="Times New Roman"/>
          <w:color w:val="000000"/>
          <w:sz w:val="24"/>
        </w:rPr>
        <w:t>之间</w:t>
      </w:r>
      <w:r>
        <w:rPr>
          <w:rFonts w:ascii="Times New Roman" w:hAnsi="Times New Roman"/>
          <w:color w:val="000000"/>
          <w:sz w:val="24"/>
        </w:rPr>
        <w:t>不存在直接的水力联系，因此本次预测的重点层位为</w:t>
      </w:r>
      <w:r>
        <w:rPr>
          <w:rFonts w:hint="eastAsia" w:ascii="Times New Roman" w:hAnsi="Times New Roman"/>
          <w:color w:val="000000"/>
          <w:sz w:val="24"/>
        </w:rPr>
        <w:t>裂隙水</w:t>
      </w:r>
      <w:r>
        <w:rPr>
          <w:rFonts w:ascii="Times New Roman" w:hAnsi="Times New Roman"/>
          <w:color w:val="000000"/>
          <w:sz w:val="24"/>
        </w:rPr>
        <w:t>含水层。预测的范围与调查评价范围一致。</w:t>
      </w:r>
    </w:p>
    <w:p>
      <w:pPr>
        <w:widowControl/>
        <w:adjustRightInd w:val="0"/>
        <w:snapToGrid w:val="0"/>
        <w:spacing w:line="360" w:lineRule="auto"/>
        <w:ind w:firstLine="482" w:firstLineChars="200"/>
        <w:outlineLvl w:val="0"/>
        <w:rPr>
          <w:rFonts w:ascii="Times New Roman" w:hAnsi="Times New Roman"/>
          <w:b/>
          <w:color w:val="000000"/>
          <w:sz w:val="24"/>
        </w:rPr>
      </w:pPr>
      <w:bookmarkStart w:id="423" w:name="_Toc6040"/>
      <w:bookmarkStart w:id="424" w:name="_Toc13814"/>
      <w:bookmarkStart w:id="425" w:name="_Toc4698"/>
      <w:r>
        <w:rPr>
          <w:rFonts w:ascii="Times New Roman" w:hAnsi="Times New Roman"/>
          <w:b/>
          <w:color w:val="000000"/>
          <w:sz w:val="24"/>
        </w:rPr>
        <w:t>5.2.3.</w:t>
      </w:r>
      <w:r>
        <w:rPr>
          <w:rFonts w:hint="eastAsia" w:ascii="Times New Roman" w:hAnsi="Times New Roman"/>
          <w:b/>
          <w:color w:val="000000"/>
          <w:sz w:val="24"/>
        </w:rPr>
        <w:t>8</w:t>
      </w:r>
      <w:r>
        <w:rPr>
          <w:rFonts w:ascii="Times New Roman" w:hAnsi="Times New Roman"/>
          <w:b/>
          <w:color w:val="000000"/>
          <w:sz w:val="24"/>
        </w:rPr>
        <w:t>预测时段</w:t>
      </w:r>
      <w:bookmarkEnd w:id="423"/>
      <w:bookmarkEnd w:id="424"/>
      <w:bookmarkEnd w:id="425"/>
    </w:p>
    <w:p>
      <w:pPr>
        <w:spacing w:line="360" w:lineRule="auto"/>
        <w:ind w:firstLine="480" w:firstLineChars="200"/>
        <w:rPr>
          <w:rFonts w:ascii="Times New Roman" w:hAnsi="Times New Roman"/>
          <w:color w:val="000000"/>
          <w:sz w:val="24"/>
        </w:rPr>
      </w:pPr>
      <w:r>
        <w:rPr>
          <w:rFonts w:ascii="Times New Roman" w:hAnsi="Times New Roman"/>
          <w:color w:val="000000"/>
          <w:sz w:val="24"/>
        </w:rPr>
        <w:t>地下水环境影响预测时段应选取可能产生地下水污染的关键时段，本次工作中将预测污染发生后的5d、100d、365d、1000d、2000d、3650d。</w:t>
      </w:r>
    </w:p>
    <w:p>
      <w:pPr>
        <w:widowControl/>
        <w:adjustRightInd w:val="0"/>
        <w:snapToGrid w:val="0"/>
        <w:spacing w:line="360" w:lineRule="auto"/>
        <w:ind w:firstLine="482" w:firstLineChars="200"/>
        <w:outlineLvl w:val="0"/>
        <w:rPr>
          <w:rFonts w:ascii="Times New Roman" w:hAnsi="Times New Roman"/>
          <w:b/>
          <w:color w:val="000000"/>
          <w:sz w:val="24"/>
        </w:rPr>
      </w:pPr>
      <w:bookmarkStart w:id="426" w:name="_Toc19493"/>
      <w:bookmarkStart w:id="427" w:name="_Toc20234"/>
      <w:bookmarkStart w:id="428" w:name="_Toc22934"/>
      <w:r>
        <w:rPr>
          <w:rFonts w:ascii="Times New Roman" w:hAnsi="Times New Roman"/>
          <w:b/>
          <w:color w:val="000000"/>
          <w:sz w:val="24"/>
        </w:rPr>
        <w:t>5.2.3.</w:t>
      </w:r>
      <w:r>
        <w:rPr>
          <w:rFonts w:hint="eastAsia" w:ascii="Times New Roman" w:hAnsi="Times New Roman"/>
          <w:b/>
          <w:color w:val="000000"/>
          <w:sz w:val="24"/>
        </w:rPr>
        <w:t>9</w:t>
      </w:r>
      <w:r>
        <w:rPr>
          <w:rFonts w:ascii="Times New Roman" w:hAnsi="Times New Roman"/>
          <w:b/>
          <w:color w:val="000000"/>
          <w:sz w:val="24"/>
        </w:rPr>
        <w:t>污染情景设置</w:t>
      </w:r>
      <w:bookmarkEnd w:id="426"/>
      <w:bookmarkEnd w:id="427"/>
      <w:bookmarkEnd w:id="428"/>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按照《环境影响评价技术导则地下水环境》（HJ610-2016）要求，根据项目可研及工程分析，本项目所排废水主要为</w:t>
      </w:r>
      <w:r>
        <w:rPr>
          <w:rFonts w:ascii="Times New Roman" w:hAnsi="Times New Roman"/>
          <w:color w:val="000000"/>
          <w:sz w:val="24"/>
          <w:szCs w:val="24"/>
        </w:rPr>
        <w:t>尾矿压滤废水以及尾矿库淋溶水</w:t>
      </w:r>
      <w:r>
        <w:rPr>
          <w:rFonts w:ascii="Times New Roman" w:hAnsi="Times New Roman"/>
          <w:color w:val="000000"/>
          <w:sz w:val="24"/>
        </w:rPr>
        <w:t>。</w:t>
      </w:r>
    </w:p>
    <w:p>
      <w:pPr>
        <w:pStyle w:val="42"/>
        <w:spacing w:line="360" w:lineRule="auto"/>
        <w:ind w:firstLine="480" w:firstLineChars="200"/>
        <w:outlineLvl w:val="0"/>
        <w:rPr>
          <w:rFonts w:ascii="Times New Roman" w:hAnsi="Times New Roman"/>
          <w:color w:val="000000"/>
          <w:kern w:val="2"/>
          <w:szCs w:val="24"/>
        </w:rPr>
      </w:pPr>
      <w:r>
        <w:rPr>
          <w:rFonts w:hint="eastAsia" w:ascii="Times New Roman" w:hAnsi="Times New Roman"/>
          <w:color w:val="000000"/>
          <w:kern w:val="2"/>
          <w:szCs w:val="24"/>
        </w:rPr>
        <w:t>1、尾矿压滤废水</w:t>
      </w:r>
    </w:p>
    <w:p>
      <w:pPr>
        <w:pStyle w:val="42"/>
        <w:spacing w:line="360" w:lineRule="auto"/>
        <w:ind w:firstLine="480" w:firstLineChars="200"/>
        <w:rPr>
          <w:rFonts w:ascii="Times New Roman" w:hAnsi="Times New Roman"/>
          <w:color w:val="000000"/>
          <w:kern w:val="2"/>
          <w:szCs w:val="24"/>
        </w:rPr>
      </w:pPr>
      <w:r>
        <w:rPr>
          <w:rFonts w:hint="eastAsia" w:ascii="Times New Roman" w:hAnsi="Times New Roman"/>
          <w:color w:val="000000"/>
          <w:kern w:val="2"/>
          <w:szCs w:val="24"/>
        </w:rPr>
        <w:t>本次拟建的压滤车间内压滤过程中会产生大量的尾矿浆。经过新建的沉淀池（容积为150m</w:t>
      </w:r>
      <w:r>
        <w:rPr>
          <w:rFonts w:hint="eastAsia" w:ascii="Times New Roman" w:hAnsi="Times New Roman"/>
          <w:color w:val="000000"/>
          <w:kern w:val="2"/>
          <w:szCs w:val="24"/>
          <w:vertAlign w:val="superscript"/>
        </w:rPr>
        <w:t>3</w:t>
      </w:r>
      <w:r>
        <w:rPr>
          <w:rFonts w:hint="eastAsia" w:ascii="Times New Roman" w:hAnsi="Times New Roman"/>
          <w:color w:val="000000"/>
          <w:kern w:val="2"/>
          <w:szCs w:val="24"/>
        </w:rPr>
        <w:t>）沉淀后，全部通过水泵打入选矿车间内现有流入高位水池内，回用于选矿生产，不外排。。</w:t>
      </w:r>
    </w:p>
    <w:p>
      <w:pPr>
        <w:pStyle w:val="42"/>
        <w:spacing w:line="360" w:lineRule="auto"/>
        <w:ind w:firstLine="480" w:firstLineChars="200"/>
        <w:outlineLvl w:val="0"/>
        <w:rPr>
          <w:rFonts w:ascii="Times New Roman" w:hAnsi="Times New Roman"/>
          <w:color w:val="000000"/>
          <w:kern w:val="2"/>
          <w:szCs w:val="24"/>
        </w:rPr>
      </w:pPr>
      <w:r>
        <w:rPr>
          <w:rFonts w:hint="eastAsia" w:ascii="Times New Roman" w:hAnsi="Times New Roman"/>
          <w:color w:val="000000"/>
          <w:kern w:val="2"/>
          <w:szCs w:val="24"/>
        </w:rPr>
        <w:t>2、尾矿库汛期淋溶水</w:t>
      </w:r>
    </w:p>
    <w:p>
      <w:pPr>
        <w:pStyle w:val="42"/>
        <w:spacing w:line="360" w:lineRule="auto"/>
        <w:ind w:firstLine="480" w:firstLineChars="200"/>
        <w:rPr>
          <w:rFonts w:ascii="Times New Roman" w:hAnsi="Times New Roman"/>
          <w:color w:val="000000"/>
        </w:rPr>
      </w:pPr>
      <w:r>
        <w:rPr>
          <w:rFonts w:hint="eastAsia" w:ascii="Times New Roman" w:hAnsi="Times New Roman"/>
          <w:color w:val="000000"/>
          <w:kern w:val="2"/>
          <w:szCs w:val="24"/>
        </w:rPr>
        <w:t>夏季汛期尾矿库将产生淋溶水。通过新建的导流管流入尾矿库下游拟建沉淀池内（容积为50m</w:t>
      </w:r>
      <w:r>
        <w:rPr>
          <w:rFonts w:hint="eastAsia" w:ascii="Times New Roman" w:hAnsi="Times New Roman"/>
          <w:color w:val="000000"/>
          <w:kern w:val="2"/>
          <w:szCs w:val="24"/>
          <w:vertAlign w:val="superscript"/>
        </w:rPr>
        <w:t>3</w:t>
      </w:r>
      <w:r>
        <w:rPr>
          <w:rFonts w:hint="eastAsia" w:ascii="Times New Roman" w:hAnsi="Times New Roman"/>
          <w:color w:val="000000"/>
          <w:kern w:val="2"/>
          <w:szCs w:val="24"/>
        </w:rPr>
        <w:t>）沉淀后，通过水泵抽至压滤间沉淀池内回用于选矿工序，不外排。</w:t>
      </w:r>
    </w:p>
    <w:p>
      <w:pPr>
        <w:widowControl/>
        <w:adjustRightInd w:val="0"/>
        <w:snapToGrid w:val="0"/>
        <w:spacing w:line="360" w:lineRule="auto"/>
        <w:ind w:firstLine="482" w:firstLineChars="200"/>
        <w:outlineLvl w:val="0"/>
        <w:rPr>
          <w:rFonts w:ascii="Times New Roman" w:hAnsi="Times New Roman"/>
          <w:b/>
          <w:color w:val="000000"/>
          <w:sz w:val="24"/>
        </w:rPr>
      </w:pPr>
      <w:bookmarkStart w:id="429" w:name="_Toc17347"/>
      <w:bookmarkStart w:id="430" w:name="_Toc5112"/>
      <w:bookmarkStart w:id="431" w:name="_Toc23307"/>
      <w:r>
        <w:rPr>
          <w:rFonts w:ascii="Times New Roman" w:hAnsi="Times New Roman"/>
          <w:b/>
          <w:color w:val="000000"/>
          <w:sz w:val="24"/>
        </w:rPr>
        <w:t>5.2.3.</w:t>
      </w:r>
      <w:r>
        <w:rPr>
          <w:rFonts w:hint="eastAsia" w:ascii="Times New Roman" w:hAnsi="Times New Roman"/>
          <w:b/>
          <w:color w:val="000000"/>
          <w:sz w:val="24"/>
        </w:rPr>
        <w:t>10</w:t>
      </w:r>
      <w:r>
        <w:rPr>
          <w:rFonts w:ascii="Times New Roman" w:hAnsi="Times New Roman"/>
          <w:b/>
          <w:color w:val="000000"/>
          <w:sz w:val="24"/>
        </w:rPr>
        <w:t>正常状况下地下水环境影响预测</w:t>
      </w:r>
      <w:bookmarkEnd w:id="429"/>
      <w:bookmarkEnd w:id="430"/>
      <w:bookmarkEnd w:id="431"/>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在正常状况下，建设项目的</w:t>
      </w:r>
      <w:r>
        <w:rPr>
          <w:rFonts w:hint="eastAsia" w:ascii="Times New Roman" w:hAnsi="Times New Roman"/>
          <w:color w:val="000000"/>
          <w:sz w:val="24"/>
        </w:rPr>
        <w:t>两座</w:t>
      </w:r>
      <w:r>
        <w:rPr>
          <w:rFonts w:ascii="Times New Roman" w:hAnsi="Times New Roman"/>
          <w:color w:val="000000"/>
          <w:sz w:val="24"/>
        </w:rPr>
        <w:t>沉淀池为钢筋混凝土结构，因此废水不具备渗漏的途径和通道。在正常状况下废水难以对地下水产生影响，因此本次评价不进行正常状况下的地下水预测。</w:t>
      </w:r>
    </w:p>
    <w:p>
      <w:pPr>
        <w:widowControl/>
        <w:adjustRightInd w:val="0"/>
        <w:snapToGrid w:val="0"/>
        <w:spacing w:line="360" w:lineRule="auto"/>
        <w:ind w:firstLine="482" w:firstLineChars="200"/>
        <w:outlineLvl w:val="0"/>
        <w:rPr>
          <w:rFonts w:ascii="Times New Roman" w:hAnsi="Times New Roman"/>
          <w:b/>
          <w:color w:val="000000"/>
          <w:sz w:val="24"/>
        </w:rPr>
      </w:pPr>
      <w:bookmarkStart w:id="432" w:name="_Toc32011"/>
      <w:bookmarkStart w:id="433" w:name="_Toc27554"/>
      <w:bookmarkStart w:id="434" w:name="_Toc4257"/>
      <w:r>
        <w:rPr>
          <w:rFonts w:ascii="Times New Roman" w:hAnsi="Times New Roman"/>
          <w:b/>
          <w:color w:val="000000"/>
          <w:sz w:val="24"/>
        </w:rPr>
        <w:t>5.2.3.1</w:t>
      </w:r>
      <w:r>
        <w:rPr>
          <w:rFonts w:hint="eastAsia" w:ascii="Times New Roman" w:hAnsi="Times New Roman"/>
          <w:b/>
          <w:color w:val="000000"/>
          <w:sz w:val="24"/>
        </w:rPr>
        <w:t>1</w:t>
      </w:r>
      <w:r>
        <w:rPr>
          <w:rFonts w:ascii="Times New Roman" w:hAnsi="Times New Roman"/>
          <w:b/>
          <w:color w:val="000000"/>
          <w:sz w:val="24"/>
        </w:rPr>
        <w:t>非正常状况下地下水环境影响预测</w:t>
      </w:r>
      <w:bookmarkEnd w:id="432"/>
      <w:bookmarkEnd w:id="433"/>
      <w:bookmarkEnd w:id="434"/>
    </w:p>
    <w:p>
      <w:pPr>
        <w:pStyle w:val="53"/>
        <w:ind w:firstLine="480"/>
        <w:rPr>
          <w:rFonts w:ascii="Times New Roman" w:hAnsi="Times New Roman"/>
          <w:b w:val="0"/>
          <w:color w:val="000000"/>
        </w:rPr>
      </w:pPr>
      <w:r>
        <w:rPr>
          <w:rFonts w:ascii="Times New Roman" w:hAnsi="Times New Roman"/>
          <w:b w:val="0"/>
          <w:color w:val="000000"/>
        </w:rPr>
        <w:t>非正常状况是指建设项目的工艺设备或地下水环境保护措施因系统老化、腐蚀等原因不能正常运行或保护效果达不到设计要求时的运行状况，防渗层功能降低，污染物进入含水层中，由于逐渐积累，从而污染潜水含水层的情况。现实过程中，由于项目建设或地质环境问题，沉淀池在池体老化腐蚀、防渗性能降低的情况下，污染物渗入地下并直接进入含水层中，从而对地下水环境造成影响的情况。这种渗漏往往不容易发现。因此本次预测在非正常状况下，沉淀池池体发生渗漏，污染物以一定的浓度泄漏进入地下水潜水含水层的情形。</w:t>
      </w:r>
    </w:p>
    <w:p>
      <w:pPr>
        <w:widowControl/>
        <w:adjustRightInd w:val="0"/>
        <w:snapToGrid w:val="0"/>
        <w:spacing w:line="360" w:lineRule="auto"/>
        <w:ind w:firstLine="482" w:firstLineChars="200"/>
        <w:outlineLvl w:val="0"/>
        <w:rPr>
          <w:rFonts w:ascii="Times New Roman" w:hAnsi="Times New Roman"/>
          <w:b/>
          <w:color w:val="000000"/>
          <w:sz w:val="24"/>
        </w:rPr>
      </w:pPr>
      <w:bookmarkStart w:id="435" w:name="_Toc26615"/>
      <w:bookmarkStart w:id="436" w:name="_Toc11379"/>
      <w:bookmarkStart w:id="437" w:name="_Toc17328"/>
      <w:r>
        <w:rPr>
          <w:rFonts w:ascii="Times New Roman" w:hAnsi="Times New Roman"/>
          <w:b/>
          <w:color w:val="000000"/>
          <w:sz w:val="24"/>
        </w:rPr>
        <w:t>5.2.3.</w:t>
      </w:r>
      <w:r>
        <w:rPr>
          <w:rFonts w:hint="eastAsia" w:ascii="Times New Roman" w:hAnsi="Times New Roman"/>
          <w:b/>
          <w:color w:val="000000"/>
          <w:sz w:val="24"/>
        </w:rPr>
        <w:t>12</w:t>
      </w:r>
      <w:r>
        <w:rPr>
          <w:rFonts w:ascii="Times New Roman" w:hAnsi="Times New Roman"/>
          <w:b/>
          <w:color w:val="000000"/>
          <w:sz w:val="24"/>
        </w:rPr>
        <w:t>污染因子</w:t>
      </w:r>
      <w:bookmarkEnd w:id="435"/>
      <w:bookmarkEnd w:id="436"/>
      <w:bookmarkEnd w:id="437"/>
    </w:p>
    <w:p>
      <w:pPr>
        <w:pStyle w:val="50"/>
        <w:spacing w:line="360" w:lineRule="auto"/>
        <w:ind w:firstLine="480"/>
        <w:rPr>
          <w:rFonts w:ascii="Times New Roman" w:hAnsi="Times New Roman"/>
          <w:color w:val="000000"/>
          <w:sz w:val="24"/>
        </w:rPr>
      </w:pPr>
      <w:r>
        <w:rPr>
          <w:rFonts w:ascii="Times New Roman" w:hAnsi="Times New Roman"/>
          <w:color w:val="000000"/>
          <w:sz w:val="24"/>
        </w:rPr>
        <w:t>本次模拟计算根据评价区内地下水的水质现状以及项目污染源的分布及类型，选取本项目特征污染物作为预测因子，</w:t>
      </w:r>
      <w:bookmarkStart w:id="438" w:name="_Hlk509655495"/>
      <w:r>
        <w:rPr>
          <w:rFonts w:ascii="Times New Roman" w:hAnsi="Times New Roman"/>
          <w:color w:val="000000"/>
          <w:sz w:val="24"/>
        </w:rPr>
        <w:t>尾矿压滤废水</w:t>
      </w:r>
      <w:r>
        <w:rPr>
          <w:rFonts w:hint="eastAsia" w:ascii="Times New Roman" w:hAnsi="Times New Roman"/>
          <w:color w:val="000000"/>
          <w:sz w:val="24"/>
        </w:rPr>
        <w:t>中</w:t>
      </w:r>
      <w:r>
        <w:rPr>
          <w:rFonts w:ascii="Times New Roman" w:hAnsi="Times New Roman"/>
          <w:color w:val="000000"/>
          <w:sz w:val="24"/>
        </w:rPr>
        <w:t>污染因子主要为</w:t>
      </w:r>
      <w:bookmarkEnd w:id="438"/>
      <w:r>
        <w:rPr>
          <w:rFonts w:ascii="Times New Roman" w:hAnsi="Times New Roman"/>
          <w:bCs/>
          <w:color w:val="000000"/>
          <w:sz w:val="24"/>
          <w:szCs w:val="24"/>
        </w:rPr>
        <w:t>COD：5</w:t>
      </w:r>
      <w:r>
        <w:rPr>
          <w:rFonts w:hint="eastAsia" w:ascii="Times New Roman" w:hAnsi="Times New Roman"/>
          <w:bCs/>
          <w:color w:val="000000"/>
          <w:sz w:val="24"/>
          <w:szCs w:val="24"/>
        </w:rPr>
        <w:t>0</w:t>
      </w:r>
      <w:r>
        <w:rPr>
          <w:rFonts w:ascii="Times New Roman" w:hAnsi="Times New Roman"/>
          <w:bCs/>
          <w:color w:val="000000"/>
          <w:sz w:val="24"/>
          <w:szCs w:val="24"/>
        </w:rPr>
        <w:t>mg/L，BOD</w:t>
      </w:r>
      <w:r>
        <w:rPr>
          <w:rFonts w:ascii="Times New Roman" w:hAnsi="Times New Roman"/>
          <w:bCs/>
          <w:color w:val="000000"/>
          <w:sz w:val="24"/>
          <w:szCs w:val="24"/>
          <w:vertAlign w:val="subscript"/>
        </w:rPr>
        <w:t>5</w:t>
      </w:r>
      <w:r>
        <w:rPr>
          <w:rFonts w:ascii="Times New Roman" w:hAnsi="Times New Roman"/>
          <w:bCs/>
          <w:color w:val="000000"/>
          <w:sz w:val="24"/>
          <w:szCs w:val="24"/>
        </w:rPr>
        <w:t>：</w:t>
      </w:r>
      <w:r>
        <w:rPr>
          <w:rFonts w:hint="eastAsia" w:ascii="Times New Roman" w:hAnsi="Times New Roman"/>
          <w:bCs/>
          <w:color w:val="000000"/>
          <w:sz w:val="24"/>
          <w:szCs w:val="24"/>
        </w:rPr>
        <w:t>10</w:t>
      </w:r>
      <w:r>
        <w:rPr>
          <w:rFonts w:ascii="Times New Roman" w:hAnsi="Times New Roman"/>
          <w:bCs/>
          <w:color w:val="000000"/>
          <w:sz w:val="24"/>
          <w:szCs w:val="24"/>
        </w:rPr>
        <w:t>mg/L，SS：</w:t>
      </w:r>
      <w:r>
        <w:rPr>
          <w:rFonts w:hint="eastAsia" w:ascii="Times New Roman" w:hAnsi="Times New Roman"/>
          <w:bCs/>
          <w:color w:val="000000"/>
          <w:sz w:val="24"/>
          <w:szCs w:val="24"/>
        </w:rPr>
        <w:t>500</w:t>
      </w:r>
      <w:r>
        <w:rPr>
          <w:rFonts w:ascii="Times New Roman" w:hAnsi="Times New Roman"/>
          <w:bCs/>
          <w:color w:val="000000"/>
          <w:sz w:val="24"/>
          <w:szCs w:val="24"/>
        </w:rPr>
        <w:t>mg/L</w:t>
      </w:r>
      <w:r>
        <w:rPr>
          <w:rFonts w:hint="eastAsia" w:ascii="Times New Roman" w:hAnsi="Times New Roman"/>
          <w:color w:val="000000"/>
          <w:sz w:val="24"/>
        </w:rPr>
        <w:t>；尾矿库汛期淋溶水中</w:t>
      </w:r>
      <w:r>
        <w:rPr>
          <w:rFonts w:ascii="Times New Roman" w:hAnsi="Times New Roman"/>
          <w:color w:val="000000"/>
          <w:sz w:val="24"/>
        </w:rPr>
        <w:t>污染因子主要为</w:t>
      </w:r>
      <w:r>
        <w:rPr>
          <w:rFonts w:ascii="Times New Roman" w:hAnsi="Times New Roman"/>
          <w:color w:val="000000"/>
          <w:sz w:val="24"/>
          <w:szCs w:val="24"/>
        </w:rPr>
        <w:t>COD：</w:t>
      </w:r>
      <w:r>
        <w:rPr>
          <w:rFonts w:hint="eastAsia" w:ascii="Times New Roman" w:hAnsi="Times New Roman"/>
          <w:color w:val="000000"/>
          <w:sz w:val="24"/>
          <w:szCs w:val="24"/>
        </w:rPr>
        <w:t>15</w:t>
      </w:r>
      <w:r>
        <w:rPr>
          <w:rFonts w:ascii="Times New Roman" w:hAnsi="Times New Roman"/>
          <w:color w:val="000000"/>
          <w:sz w:val="24"/>
          <w:szCs w:val="24"/>
        </w:rPr>
        <w:t>mg/L，BOD</w:t>
      </w:r>
      <w:r>
        <w:rPr>
          <w:rFonts w:ascii="Times New Roman" w:hAnsi="Times New Roman"/>
          <w:color w:val="000000"/>
          <w:sz w:val="24"/>
          <w:szCs w:val="24"/>
          <w:vertAlign w:val="subscript"/>
        </w:rPr>
        <w:t>5</w:t>
      </w:r>
      <w:r>
        <w:rPr>
          <w:rFonts w:ascii="Times New Roman" w:hAnsi="Times New Roman"/>
          <w:color w:val="000000"/>
          <w:sz w:val="24"/>
          <w:szCs w:val="24"/>
        </w:rPr>
        <w:t>：</w:t>
      </w:r>
      <w:r>
        <w:rPr>
          <w:rFonts w:hint="eastAsia" w:ascii="Times New Roman" w:hAnsi="Times New Roman"/>
          <w:color w:val="000000"/>
          <w:sz w:val="24"/>
          <w:szCs w:val="24"/>
        </w:rPr>
        <w:t>2</w:t>
      </w:r>
      <w:r>
        <w:rPr>
          <w:rFonts w:ascii="Times New Roman" w:hAnsi="Times New Roman"/>
          <w:color w:val="000000"/>
          <w:sz w:val="24"/>
          <w:szCs w:val="24"/>
        </w:rPr>
        <w:t>mg/L，SS：</w:t>
      </w:r>
      <w:r>
        <w:rPr>
          <w:rFonts w:hint="eastAsia" w:ascii="Times New Roman" w:hAnsi="Times New Roman"/>
          <w:color w:val="000000"/>
          <w:sz w:val="24"/>
          <w:szCs w:val="24"/>
        </w:rPr>
        <w:t>200</w:t>
      </w:r>
      <w:r>
        <w:rPr>
          <w:rFonts w:ascii="Times New Roman" w:hAnsi="Times New Roman"/>
          <w:color w:val="000000"/>
          <w:sz w:val="24"/>
          <w:szCs w:val="24"/>
        </w:rPr>
        <w:t>mg/L</w:t>
      </w:r>
      <w:r>
        <w:rPr>
          <w:rFonts w:ascii="Times New Roman" w:hAnsi="Times New Roman"/>
          <w:color w:val="000000"/>
          <w:sz w:val="24"/>
        </w:rPr>
        <w:t>。</w:t>
      </w:r>
    </w:p>
    <w:p>
      <w:pPr>
        <w:pStyle w:val="50"/>
        <w:spacing w:line="360" w:lineRule="auto"/>
        <w:ind w:firstLine="480"/>
        <w:rPr>
          <w:rFonts w:ascii="Times New Roman" w:hAnsi="Times New Roman"/>
          <w:color w:val="000000"/>
        </w:rPr>
      </w:pPr>
      <w:r>
        <w:rPr>
          <w:rFonts w:ascii="Times New Roman" w:hAnsi="Times New Roman"/>
          <w:color w:val="000000"/>
          <w:sz w:val="24"/>
        </w:rPr>
        <w:t>对以上因子采用标准指数法进行排序，选取标准指数最大的因子作为预测因子。在计算标准指数时，一般选择《地下水质量标准》(GB/T14848-2017)中的Ⅲ类水标准进行计算，对于GB/T14848中没有的预测因子选取《地表水环境质量标准》（GB3838-2002）中的Ⅲ类水标准进行计算。</w:t>
      </w:r>
    </w:p>
    <w:p>
      <w:pPr>
        <w:pStyle w:val="76"/>
        <w:jc w:val="center"/>
        <w:rPr>
          <w:b/>
          <w:color w:val="000000"/>
          <w:sz w:val="24"/>
        </w:rPr>
      </w:pPr>
      <w:r>
        <w:rPr>
          <w:b/>
          <w:color w:val="000000"/>
          <w:sz w:val="24"/>
        </w:rPr>
        <w:t>表</w:t>
      </w:r>
      <w:r>
        <w:rPr>
          <w:rFonts w:hint="eastAsia"/>
          <w:b/>
          <w:color w:val="000000"/>
          <w:sz w:val="24"/>
        </w:rPr>
        <w:t>5-5</w:t>
      </w:r>
      <w:r>
        <w:rPr>
          <w:b/>
          <w:color w:val="000000"/>
          <w:sz w:val="24"/>
        </w:rPr>
        <w:t xml:space="preserve"> 预测因子筛选表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268"/>
        <w:gridCol w:w="1897"/>
        <w:gridCol w:w="2501"/>
        <w:gridCol w:w="15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22" w:type="dxa"/>
            <w:vAlign w:val="center"/>
          </w:tcPr>
          <w:p>
            <w:pPr>
              <w:jc w:val="center"/>
              <w:rPr>
                <w:rFonts w:ascii="Times New Roman" w:hAnsi="Times New Roman"/>
                <w:color w:val="000000"/>
              </w:rPr>
            </w:pPr>
            <w:r>
              <w:rPr>
                <w:rFonts w:ascii="Times New Roman" w:hAnsi="Times New Roman"/>
                <w:color w:val="000000"/>
              </w:rPr>
              <w:t>污染源位置</w:t>
            </w:r>
          </w:p>
        </w:tc>
        <w:tc>
          <w:tcPr>
            <w:tcW w:w="1268" w:type="dxa"/>
            <w:vAlign w:val="center"/>
          </w:tcPr>
          <w:p>
            <w:pPr>
              <w:jc w:val="center"/>
              <w:rPr>
                <w:rFonts w:ascii="Times New Roman" w:hAnsi="Times New Roman"/>
                <w:color w:val="000000"/>
              </w:rPr>
            </w:pPr>
            <w:r>
              <w:rPr>
                <w:rFonts w:ascii="Times New Roman" w:hAnsi="Times New Roman"/>
                <w:color w:val="000000"/>
              </w:rPr>
              <w:t>污染因子</w:t>
            </w:r>
          </w:p>
        </w:tc>
        <w:tc>
          <w:tcPr>
            <w:tcW w:w="1897" w:type="dxa"/>
            <w:vAlign w:val="center"/>
          </w:tcPr>
          <w:p>
            <w:pPr>
              <w:jc w:val="center"/>
              <w:rPr>
                <w:rFonts w:ascii="Times New Roman" w:hAnsi="Times New Roman"/>
                <w:color w:val="000000"/>
              </w:rPr>
            </w:pPr>
            <w:r>
              <w:rPr>
                <w:rFonts w:ascii="Times New Roman" w:hAnsi="Times New Roman"/>
                <w:color w:val="000000"/>
              </w:rPr>
              <w:t>浓度（mg/L）</w:t>
            </w:r>
          </w:p>
        </w:tc>
        <w:tc>
          <w:tcPr>
            <w:tcW w:w="2501" w:type="dxa"/>
            <w:vAlign w:val="center"/>
          </w:tcPr>
          <w:p>
            <w:pPr>
              <w:jc w:val="center"/>
              <w:rPr>
                <w:rFonts w:ascii="Times New Roman" w:hAnsi="Times New Roman"/>
                <w:color w:val="000000"/>
              </w:rPr>
            </w:pPr>
            <w:r>
              <w:rPr>
                <w:rFonts w:ascii="Times New Roman" w:hAnsi="Times New Roman"/>
                <w:color w:val="000000"/>
              </w:rPr>
              <w:t>标准（mg/L）</w:t>
            </w:r>
          </w:p>
        </w:tc>
        <w:tc>
          <w:tcPr>
            <w:tcW w:w="1532" w:type="dxa"/>
            <w:vAlign w:val="center"/>
          </w:tcPr>
          <w:p>
            <w:pPr>
              <w:jc w:val="center"/>
              <w:rPr>
                <w:rFonts w:ascii="Times New Roman" w:hAnsi="Times New Roman"/>
                <w:color w:val="000000"/>
              </w:rPr>
            </w:pPr>
            <w:r>
              <w:rPr>
                <w:rFonts w:ascii="Times New Roman" w:hAnsi="Times New Roman"/>
                <w:color w:val="000000"/>
              </w:rPr>
              <w:t>标准指数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22" w:type="dxa"/>
            <w:vMerge w:val="restart"/>
            <w:vAlign w:val="center"/>
          </w:tcPr>
          <w:p>
            <w:pPr>
              <w:jc w:val="center"/>
              <w:rPr>
                <w:rFonts w:ascii="Times New Roman" w:hAnsi="Times New Roman"/>
                <w:color w:val="000000"/>
              </w:rPr>
            </w:pPr>
            <w:r>
              <w:rPr>
                <w:rFonts w:hint="eastAsia" w:ascii="Times New Roman" w:hAnsi="Times New Roman"/>
                <w:color w:val="000000"/>
              </w:rPr>
              <w:t>压滤间</w:t>
            </w:r>
            <w:r>
              <w:rPr>
                <w:rFonts w:ascii="Times New Roman" w:hAnsi="Times New Roman"/>
                <w:color w:val="000000"/>
              </w:rPr>
              <w:t>沉淀池</w:t>
            </w:r>
          </w:p>
        </w:tc>
        <w:tc>
          <w:tcPr>
            <w:tcW w:w="1268" w:type="dxa"/>
            <w:vAlign w:val="center"/>
          </w:tcPr>
          <w:p>
            <w:pPr>
              <w:jc w:val="center"/>
              <w:rPr>
                <w:rFonts w:ascii="Times New Roman" w:hAnsi="Times New Roman"/>
                <w:color w:val="000000"/>
              </w:rPr>
            </w:pPr>
            <w:r>
              <w:rPr>
                <w:rFonts w:ascii="Times New Roman" w:hAnsi="Times New Roman"/>
                <w:color w:val="000000"/>
              </w:rPr>
              <w:t>COD</w:t>
            </w:r>
          </w:p>
        </w:tc>
        <w:tc>
          <w:tcPr>
            <w:tcW w:w="1897" w:type="dxa"/>
            <w:vAlign w:val="center"/>
          </w:tcPr>
          <w:p>
            <w:pPr>
              <w:jc w:val="center"/>
              <w:rPr>
                <w:rFonts w:ascii="Times New Roman" w:hAnsi="Times New Roman"/>
                <w:color w:val="000000"/>
              </w:rPr>
            </w:pPr>
            <w:r>
              <w:rPr>
                <w:rFonts w:hint="eastAsia" w:ascii="Times New Roman" w:hAnsi="Times New Roman"/>
                <w:color w:val="000000"/>
              </w:rPr>
              <w:t>50</w:t>
            </w:r>
          </w:p>
        </w:tc>
        <w:tc>
          <w:tcPr>
            <w:tcW w:w="2501" w:type="dxa"/>
            <w:vAlign w:val="center"/>
          </w:tcPr>
          <w:p>
            <w:pPr>
              <w:jc w:val="center"/>
              <w:rPr>
                <w:rFonts w:ascii="Times New Roman" w:hAnsi="Times New Roman"/>
                <w:color w:val="000000"/>
              </w:rPr>
            </w:pPr>
            <w:r>
              <w:rPr>
                <w:rFonts w:ascii="Times New Roman" w:hAnsi="Times New Roman"/>
                <w:color w:val="000000"/>
              </w:rPr>
              <w:t>20（GB3838-2002）</w:t>
            </w:r>
          </w:p>
        </w:tc>
        <w:tc>
          <w:tcPr>
            <w:tcW w:w="1532" w:type="dxa"/>
            <w:vAlign w:val="center"/>
          </w:tcPr>
          <w:p>
            <w:pPr>
              <w:jc w:val="center"/>
              <w:rPr>
                <w:rFonts w:ascii="Times New Roman" w:hAnsi="Times New Roman"/>
                <w:color w:val="000000"/>
              </w:rPr>
            </w:pPr>
            <w:r>
              <w:rPr>
                <w:rFonts w:hint="eastAsia" w:ascii="Times New Roman" w:hAnsi="Times New Roman"/>
                <w:color w:val="000000"/>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22" w:type="dxa"/>
            <w:vMerge w:val="continue"/>
            <w:vAlign w:val="center"/>
          </w:tcPr>
          <w:p>
            <w:pPr>
              <w:jc w:val="center"/>
              <w:rPr>
                <w:rFonts w:ascii="Times New Roman" w:hAnsi="Times New Roman"/>
                <w:color w:val="000000"/>
              </w:rPr>
            </w:pPr>
          </w:p>
        </w:tc>
        <w:tc>
          <w:tcPr>
            <w:tcW w:w="1268" w:type="dxa"/>
            <w:vAlign w:val="center"/>
          </w:tcPr>
          <w:p>
            <w:pPr>
              <w:jc w:val="center"/>
              <w:rPr>
                <w:rFonts w:ascii="Times New Roman" w:hAnsi="Times New Roman"/>
                <w:color w:val="000000"/>
              </w:rPr>
            </w:pPr>
            <w:r>
              <w:rPr>
                <w:rFonts w:ascii="Times New Roman" w:hAnsi="Times New Roman"/>
                <w:color w:val="000000"/>
              </w:rPr>
              <w:t>BOD</w:t>
            </w:r>
            <w:r>
              <w:rPr>
                <w:rFonts w:ascii="Times New Roman" w:hAnsi="Times New Roman"/>
                <w:color w:val="000000"/>
                <w:vertAlign w:val="subscript"/>
              </w:rPr>
              <w:t>5</w:t>
            </w:r>
          </w:p>
        </w:tc>
        <w:tc>
          <w:tcPr>
            <w:tcW w:w="1897" w:type="dxa"/>
            <w:vAlign w:val="center"/>
          </w:tcPr>
          <w:p>
            <w:pPr>
              <w:jc w:val="center"/>
              <w:rPr>
                <w:rFonts w:ascii="Times New Roman" w:hAnsi="Times New Roman"/>
                <w:color w:val="000000"/>
              </w:rPr>
            </w:pPr>
            <w:r>
              <w:rPr>
                <w:rFonts w:hint="eastAsia" w:ascii="Times New Roman" w:hAnsi="Times New Roman"/>
                <w:color w:val="000000"/>
              </w:rPr>
              <w:t>10</w:t>
            </w:r>
          </w:p>
        </w:tc>
        <w:tc>
          <w:tcPr>
            <w:tcW w:w="2501" w:type="dxa"/>
            <w:vAlign w:val="center"/>
          </w:tcPr>
          <w:p>
            <w:pPr>
              <w:jc w:val="center"/>
              <w:rPr>
                <w:rFonts w:ascii="Times New Roman" w:hAnsi="Times New Roman"/>
                <w:color w:val="000000"/>
              </w:rPr>
            </w:pPr>
            <w:r>
              <w:rPr>
                <w:rFonts w:ascii="Times New Roman" w:hAnsi="Times New Roman"/>
                <w:color w:val="000000"/>
              </w:rPr>
              <w:t>4（GB3838-2002）</w:t>
            </w:r>
          </w:p>
        </w:tc>
        <w:tc>
          <w:tcPr>
            <w:tcW w:w="1532" w:type="dxa"/>
            <w:vAlign w:val="center"/>
          </w:tcPr>
          <w:p>
            <w:pPr>
              <w:jc w:val="center"/>
              <w:rPr>
                <w:rFonts w:ascii="Times New Roman" w:hAnsi="Times New Roman"/>
                <w:color w:val="000000"/>
              </w:rPr>
            </w:pPr>
            <w:r>
              <w:rPr>
                <w:rFonts w:hint="eastAsia" w:ascii="Times New Roman" w:hAnsi="Times New Roman"/>
                <w:color w:val="000000"/>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22" w:type="dxa"/>
            <w:vMerge w:val="continue"/>
            <w:vAlign w:val="center"/>
          </w:tcPr>
          <w:p>
            <w:pPr>
              <w:jc w:val="center"/>
              <w:rPr>
                <w:rFonts w:ascii="Times New Roman" w:hAnsi="Times New Roman"/>
                <w:color w:val="000000"/>
              </w:rPr>
            </w:pPr>
          </w:p>
        </w:tc>
        <w:tc>
          <w:tcPr>
            <w:tcW w:w="1268" w:type="dxa"/>
            <w:vAlign w:val="center"/>
          </w:tcPr>
          <w:p>
            <w:pPr>
              <w:jc w:val="center"/>
              <w:rPr>
                <w:rFonts w:ascii="Times New Roman" w:hAnsi="Times New Roman"/>
                <w:color w:val="000000"/>
              </w:rPr>
            </w:pPr>
            <w:r>
              <w:rPr>
                <w:rFonts w:ascii="Times New Roman" w:hAnsi="Times New Roman"/>
                <w:color w:val="000000"/>
              </w:rPr>
              <w:t>SS</w:t>
            </w:r>
          </w:p>
        </w:tc>
        <w:tc>
          <w:tcPr>
            <w:tcW w:w="1897" w:type="dxa"/>
            <w:vAlign w:val="center"/>
          </w:tcPr>
          <w:p>
            <w:pPr>
              <w:jc w:val="center"/>
              <w:rPr>
                <w:rFonts w:ascii="Times New Roman" w:hAnsi="Times New Roman"/>
                <w:color w:val="000000"/>
              </w:rPr>
            </w:pPr>
            <w:r>
              <w:rPr>
                <w:rFonts w:hint="eastAsia" w:ascii="Times New Roman" w:hAnsi="Times New Roman"/>
                <w:color w:val="000000"/>
              </w:rPr>
              <w:t>500</w:t>
            </w:r>
          </w:p>
        </w:tc>
        <w:tc>
          <w:tcPr>
            <w:tcW w:w="2501" w:type="dxa"/>
            <w:vAlign w:val="center"/>
          </w:tcPr>
          <w:p>
            <w:pPr>
              <w:jc w:val="center"/>
              <w:rPr>
                <w:rFonts w:ascii="Times New Roman" w:hAnsi="Times New Roman"/>
                <w:color w:val="000000"/>
              </w:rPr>
            </w:pPr>
            <w:r>
              <w:rPr>
                <w:rFonts w:hint="eastAsia" w:ascii="Times New Roman" w:hAnsi="Times New Roman"/>
                <w:color w:val="000000"/>
              </w:rPr>
              <w:t>25</w:t>
            </w:r>
          </w:p>
        </w:tc>
        <w:tc>
          <w:tcPr>
            <w:tcW w:w="1532" w:type="dxa"/>
            <w:vAlign w:val="center"/>
          </w:tcPr>
          <w:p>
            <w:pPr>
              <w:jc w:val="center"/>
              <w:rPr>
                <w:rFonts w:ascii="Times New Roman" w:hAnsi="Times New Roman"/>
                <w:color w:val="000000"/>
              </w:rPr>
            </w:pPr>
            <w:r>
              <w:rPr>
                <w:rFonts w:hint="eastAsia" w:ascii="Times New Roman" w:hAnsi="Times New Roman"/>
                <w:color w:val="000000"/>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22" w:type="dxa"/>
            <w:vMerge w:val="restart"/>
            <w:vAlign w:val="center"/>
          </w:tcPr>
          <w:p>
            <w:pPr>
              <w:jc w:val="center"/>
              <w:rPr>
                <w:rFonts w:ascii="Times New Roman" w:hAnsi="Times New Roman"/>
                <w:color w:val="000000"/>
              </w:rPr>
            </w:pPr>
            <w:r>
              <w:rPr>
                <w:rFonts w:hint="eastAsia" w:ascii="Times New Roman" w:hAnsi="Times New Roman"/>
                <w:color w:val="000000"/>
              </w:rPr>
              <w:t>尾矿库沉淀池</w:t>
            </w:r>
          </w:p>
        </w:tc>
        <w:tc>
          <w:tcPr>
            <w:tcW w:w="1268" w:type="dxa"/>
            <w:vAlign w:val="center"/>
          </w:tcPr>
          <w:p>
            <w:pPr>
              <w:jc w:val="center"/>
              <w:rPr>
                <w:rFonts w:ascii="Times New Roman" w:hAnsi="Times New Roman"/>
                <w:color w:val="000000"/>
              </w:rPr>
            </w:pPr>
            <w:r>
              <w:rPr>
                <w:rFonts w:ascii="Times New Roman" w:hAnsi="Times New Roman"/>
                <w:color w:val="000000"/>
              </w:rPr>
              <w:t>COD</w:t>
            </w:r>
          </w:p>
        </w:tc>
        <w:tc>
          <w:tcPr>
            <w:tcW w:w="1897" w:type="dxa"/>
            <w:vAlign w:val="center"/>
          </w:tcPr>
          <w:p>
            <w:pPr>
              <w:jc w:val="center"/>
              <w:rPr>
                <w:rFonts w:ascii="Times New Roman" w:hAnsi="Times New Roman"/>
                <w:color w:val="000000"/>
              </w:rPr>
            </w:pPr>
            <w:r>
              <w:rPr>
                <w:rFonts w:hint="eastAsia" w:ascii="Times New Roman" w:hAnsi="Times New Roman"/>
                <w:color w:val="000000"/>
              </w:rPr>
              <w:t>15</w:t>
            </w:r>
          </w:p>
        </w:tc>
        <w:tc>
          <w:tcPr>
            <w:tcW w:w="2501" w:type="dxa"/>
            <w:vAlign w:val="center"/>
          </w:tcPr>
          <w:p>
            <w:pPr>
              <w:jc w:val="center"/>
              <w:rPr>
                <w:rFonts w:ascii="Times New Roman" w:hAnsi="Times New Roman"/>
                <w:color w:val="000000"/>
              </w:rPr>
            </w:pPr>
            <w:r>
              <w:rPr>
                <w:rFonts w:ascii="Times New Roman" w:hAnsi="Times New Roman"/>
                <w:color w:val="000000"/>
              </w:rPr>
              <w:t>20（GB3838-2002）</w:t>
            </w:r>
          </w:p>
        </w:tc>
        <w:tc>
          <w:tcPr>
            <w:tcW w:w="1532" w:type="dxa"/>
            <w:vAlign w:val="center"/>
          </w:tcPr>
          <w:p>
            <w:pPr>
              <w:jc w:val="center"/>
              <w:rPr>
                <w:rFonts w:ascii="Times New Roman" w:hAnsi="Times New Roman"/>
                <w:color w:val="000000"/>
              </w:rPr>
            </w:pPr>
            <w:r>
              <w:rPr>
                <w:rFonts w:hint="eastAsia" w:ascii="Times New Roman" w:hAnsi="Times New Roman"/>
                <w:color w:val="000000"/>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22" w:type="dxa"/>
            <w:vMerge w:val="continue"/>
            <w:vAlign w:val="center"/>
          </w:tcPr>
          <w:p>
            <w:pPr>
              <w:jc w:val="center"/>
              <w:rPr>
                <w:rFonts w:ascii="Times New Roman" w:hAnsi="Times New Roman"/>
                <w:color w:val="000000"/>
              </w:rPr>
            </w:pPr>
          </w:p>
        </w:tc>
        <w:tc>
          <w:tcPr>
            <w:tcW w:w="1268" w:type="dxa"/>
            <w:vAlign w:val="center"/>
          </w:tcPr>
          <w:p>
            <w:pPr>
              <w:jc w:val="center"/>
              <w:rPr>
                <w:rFonts w:ascii="Times New Roman" w:hAnsi="Times New Roman"/>
                <w:color w:val="000000"/>
              </w:rPr>
            </w:pPr>
            <w:r>
              <w:rPr>
                <w:rFonts w:ascii="Times New Roman" w:hAnsi="Times New Roman"/>
                <w:color w:val="000000"/>
              </w:rPr>
              <w:t>BOD</w:t>
            </w:r>
            <w:r>
              <w:rPr>
                <w:rFonts w:ascii="Times New Roman" w:hAnsi="Times New Roman"/>
                <w:color w:val="000000"/>
                <w:vertAlign w:val="subscript"/>
              </w:rPr>
              <w:t>5</w:t>
            </w:r>
          </w:p>
        </w:tc>
        <w:tc>
          <w:tcPr>
            <w:tcW w:w="1897" w:type="dxa"/>
            <w:vAlign w:val="center"/>
          </w:tcPr>
          <w:p>
            <w:pPr>
              <w:jc w:val="center"/>
              <w:rPr>
                <w:rFonts w:ascii="Times New Roman" w:hAnsi="Times New Roman"/>
                <w:color w:val="000000"/>
              </w:rPr>
            </w:pPr>
            <w:r>
              <w:rPr>
                <w:rFonts w:hint="eastAsia" w:ascii="Times New Roman" w:hAnsi="Times New Roman"/>
                <w:color w:val="000000"/>
              </w:rPr>
              <w:t>2</w:t>
            </w:r>
          </w:p>
        </w:tc>
        <w:tc>
          <w:tcPr>
            <w:tcW w:w="2501" w:type="dxa"/>
            <w:vAlign w:val="center"/>
          </w:tcPr>
          <w:p>
            <w:pPr>
              <w:jc w:val="center"/>
              <w:rPr>
                <w:rFonts w:ascii="Times New Roman" w:hAnsi="Times New Roman"/>
                <w:color w:val="000000"/>
              </w:rPr>
            </w:pPr>
            <w:r>
              <w:rPr>
                <w:rFonts w:ascii="Times New Roman" w:hAnsi="Times New Roman"/>
                <w:color w:val="000000"/>
              </w:rPr>
              <w:t>4（GB3838-2002）</w:t>
            </w:r>
          </w:p>
        </w:tc>
        <w:tc>
          <w:tcPr>
            <w:tcW w:w="1532" w:type="dxa"/>
            <w:vAlign w:val="center"/>
          </w:tcPr>
          <w:p>
            <w:pPr>
              <w:jc w:val="center"/>
              <w:rPr>
                <w:rFonts w:ascii="Times New Roman" w:hAnsi="Times New Roman"/>
                <w:color w:val="000000"/>
              </w:rPr>
            </w:pPr>
            <w:r>
              <w:rPr>
                <w:rFonts w:hint="eastAsia" w:ascii="Times New Roman" w:hAnsi="Times New Roman"/>
                <w:color w:val="000000"/>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522" w:type="dxa"/>
            <w:vMerge w:val="continue"/>
            <w:vAlign w:val="center"/>
          </w:tcPr>
          <w:p>
            <w:pPr>
              <w:jc w:val="center"/>
              <w:rPr>
                <w:rFonts w:ascii="Times New Roman" w:hAnsi="Times New Roman"/>
                <w:color w:val="000000"/>
              </w:rPr>
            </w:pPr>
          </w:p>
        </w:tc>
        <w:tc>
          <w:tcPr>
            <w:tcW w:w="1268" w:type="dxa"/>
            <w:vAlign w:val="center"/>
          </w:tcPr>
          <w:p>
            <w:pPr>
              <w:jc w:val="center"/>
              <w:rPr>
                <w:rFonts w:ascii="Times New Roman" w:hAnsi="Times New Roman"/>
                <w:color w:val="000000"/>
              </w:rPr>
            </w:pPr>
            <w:r>
              <w:rPr>
                <w:rFonts w:ascii="Times New Roman" w:hAnsi="Times New Roman"/>
                <w:color w:val="000000"/>
              </w:rPr>
              <w:t>SS</w:t>
            </w:r>
          </w:p>
        </w:tc>
        <w:tc>
          <w:tcPr>
            <w:tcW w:w="1897" w:type="dxa"/>
            <w:vAlign w:val="center"/>
          </w:tcPr>
          <w:p>
            <w:pPr>
              <w:jc w:val="center"/>
              <w:rPr>
                <w:rFonts w:ascii="Times New Roman" w:hAnsi="Times New Roman"/>
                <w:color w:val="000000"/>
              </w:rPr>
            </w:pPr>
            <w:r>
              <w:rPr>
                <w:rFonts w:hint="eastAsia" w:ascii="Times New Roman" w:hAnsi="Times New Roman"/>
                <w:color w:val="000000"/>
              </w:rPr>
              <w:t>200</w:t>
            </w:r>
          </w:p>
        </w:tc>
        <w:tc>
          <w:tcPr>
            <w:tcW w:w="2501" w:type="dxa"/>
            <w:vAlign w:val="center"/>
          </w:tcPr>
          <w:p>
            <w:pPr>
              <w:jc w:val="center"/>
              <w:rPr>
                <w:rFonts w:ascii="Times New Roman" w:hAnsi="Times New Roman"/>
                <w:color w:val="000000"/>
              </w:rPr>
            </w:pPr>
            <w:r>
              <w:rPr>
                <w:rFonts w:ascii="Times New Roman" w:hAnsi="Times New Roman"/>
                <w:color w:val="000000"/>
              </w:rPr>
              <w:t>25</w:t>
            </w:r>
          </w:p>
        </w:tc>
        <w:tc>
          <w:tcPr>
            <w:tcW w:w="1532" w:type="dxa"/>
            <w:vAlign w:val="center"/>
          </w:tcPr>
          <w:p>
            <w:pPr>
              <w:jc w:val="center"/>
              <w:rPr>
                <w:rFonts w:ascii="Times New Roman" w:hAnsi="Times New Roman"/>
                <w:color w:val="000000"/>
              </w:rPr>
            </w:pPr>
            <w:r>
              <w:rPr>
                <w:rFonts w:hint="eastAsia" w:ascii="Times New Roman" w:hAnsi="Times New Roman"/>
                <w:color w:val="000000"/>
              </w:rPr>
              <w:t>8</w:t>
            </w:r>
          </w:p>
        </w:tc>
      </w:tr>
    </w:tbl>
    <w:p>
      <w:pPr>
        <w:pStyle w:val="42"/>
        <w:spacing w:line="360" w:lineRule="auto"/>
        <w:ind w:firstLine="480" w:firstLineChars="200"/>
        <w:rPr>
          <w:rFonts w:ascii="Times New Roman" w:hAnsi="Times New Roman"/>
          <w:color w:val="000000"/>
        </w:rPr>
      </w:pPr>
      <w:r>
        <w:rPr>
          <w:rFonts w:ascii="Times New Roman" w:hAnsi="Times New Roman"/>
          <w:color w:val="000000"/>
        </w:rPr>
        <w:t>根据各类污染物的标准指数排序，</w:t>
      </w:r>
      <w:r>
        <w:rPr>
          <w:rFonts w:hint="eastAsia" w:ascii="Times New Roman" w:hAnsi="Times New Roman"/>
          <w:color w:val="000000"/>
        </w:rPr>
        <w:t>压滤间</w:t>
      </w:r>
      <w:r>
        <w:rPr>
          <w:rFonts w:ascii="Times New Roman" w:hAnsi="Times New Roman"/>
          <w:color w:val="000000"/>
        </w:rPr>
        <w:t>沉淀池内</w:t>
      </w:r>
      <w:r>
        <w:rPr>
          <w:rFonts w:hint="eastAsia" w:ascii="Times New Roman" w:hAnsi="Times New Roman"/>
          <w:color w:val="000000"/>
        </w:rPr>
        <w:t>SS</w:t>
      </w:r>
      <w:r>
        <w:rPr>
          <w:rFonts w:ascii="Times New Roman" w:hAnsi="Times New Roman"/>
          <w:color w:val="000000"/>
        </w:rPr>
        <w:t>的标准指数最高，因此选择</w:t>
      </w:r>
      <w:r>
        <w:rPr>
          <w:rFonts w:hint="eastAsia" w:ascii="Times New Roman" w:hAnsi="Times New Roman"/>
          <w:color w:val="000000"/>
        </w:rPr>
        <w:t>SS</w:t>
      </w:r>
      <w:r>
        <w:rPr>
          <w:rFonts w:ascii="Times New Roman" w:hAnsi="Times New Roman"/>
          <w:color w:val="000000"/>
        </w:rPr>
        <w:t>作为预测因子进行污染预测；</w:t>
      </w:r>
      <w:r>
        <w:rPr>
          <w:rFonts w:hint="eastAsia" w:ascii="Times New Roman" w:hAnsi="Times New Roman"/>
          <w:color w:val="000000"/>
        </w:rPr>
        <w:t>尾矿库沉淀池</w:t>
      </w:r>
      <w:r>
        <w:rPr>
          <w:rFonts w:ascii="Times New Roman" w:hAnsi="Times New Roman"/>
          <w:color w:val="000000"/>
        </w:rPr>
        <w:t>内SS标准指数最大，因此，选择SS作为预测因子进行污染预测。</w:t>
      </w:r>
    </w:p>
    <w:p>
      <w:pPr>
        <w:widowControl/>
        <w:adjustRightInd w:val="0"/>
        <w:snapToGrid w:val="0"/>
        <w:spacing w:line="360" w:lineRule="auto"/>
        <w:ind w:firstLine="482" w:firstLineChars="200"/>
        <w:outlineLvl w:val="0"/>
        <w:rPr>
          <w:rFonts w:ascii="Times New Roman" w:hAnsi="Times New Roman"/>
          <w:b/>
          <w:color w:val="000000"/>
          <w:sz w:val="24"/>
        </w:rPr>
      </w:pPr>
      <w:bookmarkStart w:id="439" w:name="_Toc8446"/>
      <w:bookmarkStart w:id="440" w:name="_Toc27134"/>
      <w:bookmarkStart w:id="441" w:name="_Toc23308"/>
      <w:r>
        <w:rPr>
          <w:rFonts w:ascii="Times New Roman" w:hAnsi="Times New Roman"/>
          <w:b/>
          <w:color w:val="000000"/>
          <w:sz w:val="24"/>
        </w:rPr>
        <w:t>5.2.3.1</w:t>
      </w:r>
      <w:r>
        <w:rPr>
          <w:rFonts w:hint="eastAsia" w:ascii="Times New Roman" w:hAnsi="Times New Roman"/>
          <w:b/>
          <w:color w:val="000000"/>
          <w:sz w:val="24"/>
        </w:rPr>
        <w:t>3</w:t>
      </w:r>
      <w:r>
        <w:rPr>
          <w:rFonts w:ascii="Times New Roman" w:hAnsi="Times New Roman"/>
          <w:b/>
          <w:color w:val="000000"/>
          <w:sz w:val="24"/>
        </w:rPr>
        <w:t>预测模型的概化</w:t>
      </w:r>
      <w:bookmarkEnd w:id="439"/>
      <w:bookmarkEnd w:id="440"/>
      <w:bookmarkEnd w:id="441"/>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1、水文地质条件的概化</w:t>
      </w:r>
    </w:p>
    <w:p>
      <w:pPr>
        <w:pStyle w:val="33"/>
        <w:adjustRightInd w:val="0"/>
        <w:rPr>
          <w:rFonts w:ascii="Times New Roman" w:hAnsi="Times New Roman" w:eastAsia="宋体"/>
          <w:color w:val="000000"/>
        </w:rPr>
      </w:pPr>
      <w:r>
        <w:rPr>
          <w:rFonts w:ascii="Times New Roman" w:hAnsi="Times New Roman" w:eastAsia="宋体"/>
          <w:color w:val="000000"/>
        </w:rPr>
        <w:t>在水文地质条件分析的基础上，预测评价范围内的潜水含水层的水文地质条件比较简单，由于厂区潜水含水层存在下伏连续完整、隔水性能良好的隔水层，因此仅预测含水层污染物水平迁移状况，层间垂向迁移忽略。</w:t>
      </w:r>
    </w:p>
    <w:p>
      <w:pPr>
        <w:pStyle w:val="33"/>
        <w:adjustRightInd w:val="0"/>
        <w:rPr>
          <w:rFonts w:ascii="Times New Roman" w:hAnsi="Times New Roman" w:eastAsia="宋体"/>
          <w:color w:val="000000"/>
        </w:rPr>
      </w:pPr>
      <w:r>
        <w:rPr>
          <w:rFonts w:ascii="Times New Roman" w:hAnsi="Times New Roman" w:eastAsia="宋体"/>
          <w:color w:val="000000"/>
        </w:rPr>
        <w:t>并做如下假设：a)含水层等厚，含水介质均质、各向同性，隔水层基本水平；b)地下水流向总体上呈一维稳定流状态。</w:t>
      </w:r>
    </w:p>
    <w:p>
      <w:pPr>
        <w:adjustRightInd w:val="0"/>
        <w:spacing w:line="360" w:lineRule="auto"/>
        <w:ind w:firstLine="480" w:firstLineChars="200"/>
        <w:outlineLvl w:val="0"/>
        <w:rPr>
          <w:rFonts w:ascii="Times New Roman" w:hAnsi="Times New Roman"/>
          <w:color w:val="000000"/>
          <w:sz w:val="24"/>
        </w:rPr>
      </w:pPr>
      <w:r>
        <w:rPr>
          <w:rFonts w:ascii="Times New Roman" w:hAnsi="Times New Roman"/>
          <w:color w:val="000000"/>
          <w:sz w:val="24"/>
        </w:rPr>
        <w:t>2、污染源的概化</w:t>
      </w:r>
    </w:p>
    <w:p>
      <w:pPr>
        <w:spacing w:line="360" w:lineRule="auto"/>
        <w:ind w:firstLine="480" w:firstLineChars="200"/>
        <w:rPr>
          <w:rFonts w:ascii="Times New Roman" w:hAnsi="Times New Roman"/>
          <w:color w:val="000000"/>
          <w:sz w:val="24"/>
        </w:rPr>
      </w:pPr>
      <w:r>
        <w:rPr>
          <w:rFonts w:ascii="Times New Roman" w:hAnsi="Times New Roman"/>
          <w:color w:val="000000"/>
          <w:sz w:val="24"/>
        </w:rPr>
        <w:t>本工程</w:t>
      </w:r>
      <w:r>
        <w:rPr>
          <w:rFonts w:hint="eastAsia" w:ascii="Times New Roman" w:hAnsi="Times New Roman"/>
          <w:color w:val="000000"/>
          <w:sz w:val="24"/>
        </w:rPr>
        <w:t>尾矿库</w:t>
      </w:r>
      <w:r>
        <w:rPr>
          <w:rFonts w:ascii="Times New Roman" w:hAnsi="Times New Roman"/>
          <w:color w:val="000000"/>
          <w:sz w:val="24"/>
        </w:rPr>
        <w:t>面积相对于预测评价范围的面积要小的多，因此排放形式可以简化为点源。非正常状况下，</w:t>
      </w:r>
      <w:r>
        <w:rPr>
          <w:rFonts w:hint="eastAsia" w:ascii="Times New Roman" w:hAnsi="Times New Roman"/>
          <w:color w:val="000000"/>
          <w:sz w:val="24"/>
        </w:rPr>
        <w:t>尾矿库</w:t>
      </w:r>
      <w:r>
        <w:rPr>
          <w:rFonts w:ascii="Times New Roman" w:hAnsi="Times New Roman"/>
          <w:color w:val="000000"/>
          <w:sz w:val="24"/>
        </w:rPr>
        <w:t>废水可以将污染物看作瞬时污染，并且假设泄漏的污染物全部通过包气带进入含水层。显然，这样概化的计算结果更加保守。因此，污染物在潜水含水层中的迁移，可概化为瞬时注入示踪剂（一维无限长多孔介质柱体）的一维稳定流动一维水动力弥散问题。</w:t>
      </w:r>
    </w:p>
    <w:p>
      <w:pPr>
        <w:adjustRightInd w:val="0"/>
        <w:spacing w:line="360" w:lineRule="auto"/>
        <w:ind w:firstLine="480" w:firstLineChars="200"/>
        <w:outlineLvl w:val="0"/>
        <w:rPr>
          <w:rFonts w:ascii="Times New Roman" w:hAnsi="Times New Roman"/>
          <w:color w:val="000000"/>
          <w:sz w:val="24"/>
        </w:rPr>
      </w:pPr>
      <w:r>
        <w:rPr>
          <w:rFonts w:ascii="Times New Roman" w:hAnsi="Times New Roman"/>
          <w:color w:val="000000"/>
          <w:sz w:val="24"/>
        </w:rPr>
        <w:t>3、预测模型和水文地质参数的确定</w:t>
      </w:r>
    </w:p>
    <w:p>
      <w:pPr>
        <w:pStyle w:val="33"/>
        <w:adjustRightInd w:val="0"/>
        <w:rPr>
          <w:rFonts w:ascii="Times New Roman" w:hAnsi="Times New Roman" w:eastAsia="宋体"/>
          <w:color w:val="000000"/>
        </w:rPr>
      </w:pPr>
      <w:r>
        <w:rPr>
          <w:rFonts w:ascii="Times New Roman" w:hAnsi="Times New Roman" w:eastAsia="宋体"/>
          <w:color w:val="000000"/>
        </w:rPr>
        <w:t>本次污染质预测模拟计算，受到资料的限制，模拟过程未考虑污染物在含水层中的吸附、挥发、生物化学反应等，且模型中所赋各项参数予以保守性考虑。这样选择的理由是：①一些污染物在地下水中的运移非常复杂，影响因素除对流、弥散作用以外，还存在物理、化学、微生物等作用，这些作用常常会使污染浓度衰减，目前国际上对这些作用参数的准确获取还存在着困难；② 从保守性角度考虑，假设污染质在运移中不与含水层介质发生反应，可以被认为是保守型污染质，只按保守型污染质来计算，即只考虑运移过程中的对流、弥散作用，这样预测结果更加保守稳健，在国际上有很多用保守型污染质作为模拟因子的环境质量评价的成功实例；③ 保守型考虑符合工程设计的思想。</w:t>
      </w:r>
    </w:p>
    <w:p>
      <w:pPr>
        <w:pStyle w:val="33"/>
        <w:adjustRightInd w:val="0"/>
        <w:rPr>
          <w:rFonts w:ascii="Times New Roman" w:hAnsi="Times New Roman" w:eastAsia="宋体"/>
          <w:color w:val="000000"/>
        </w:rPr>
      </w:pPr>
      <w:r>
        <w:rPr>
          <w:rFonts w:ascii="Times New Roman" w:hAnsi="Times New Roman" w:eastAsia="宋体"/>
          <w:color w:val="000000"/>
        </w:rPr>
        <w:t>本建设项目厂区选址位于</w:t>
      </w:r>
      <w:r>
        <w:rPr>
          <w:rStyle w:val="41"/>
          <w:rFonts w:hint="eastAsia" w:ascii="宋体" w:hAnsi="宋体" w:eastAsia="宋体" w:cs="宋体"/>
          <w:color w:val="000000"/>
        </w:rPr>
        <w:t>安图县两江镇</w:t>
      </w:r>
      <w:r>
        <w:rPr>
          <w:rFonts w:ascii="Times New Roman" w:hAnsi="Times New Roman" w:eastAsia="宋体"/>
          <w:color w:val="000000"/>
        </w:rPr>
        <w:t>，地层较为连续稳定，水文地质条件相对简单，同时本项目所在区域已进行必要的环境水文地质调查，且掌握了相关的水文地质参数。因此采用解析法对地下水环境影响进行预测。</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平行地下水流动的方向为x轴正方向时，污染物浓度分布模型如下：</w:t>
      </w:r>
    </w:p>
    <w:p>
      <w:pPr>
        <w:adjustRightInd w:val="0"/>
        <w:spacing w:line="360" w:lineRule="auto"/>
        <w:ind w:firstLine="480" w:firstLineChars="200"/>
        <w:jc w:val="center"/>
        <w:rPr>
          <w:rFonts w:ascii="Times New Roman" w:hAnsi="Times New Roman"/>
          <w:color w:val="000000"/>
          <w:sz w:val="24"/>
        </w:rPr>
      </w:pPr>
      <w:r>
        <w:rPr>
          <w:rFonts w:ascii="Times New Roman" w:hAnsi="Times New Roman"/>
          <w:color w:val="000000"/>
          <w:sz w:val="24"/>
        </w:rPr>
        <w:drawing>
          <wp:inline distT="0" distB="0" distL="0" distR="0">
            <wp:extent cx="1673225" cy="534670"/>
            <wp:effectExtent l="19050" t="0" r="3175" b="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noChangeArrowheads="1"/>
                    </pic:cNvPicPr>
                  </pic:nvPicPr>
                  <pic:blipFill>
                    <a:blip r:embed="rId24" cstate="print"/>
                    <a:srcRect/>
                    <a:stretch>
                      <a:fillRect/>
                    </a:stretch>
                  </pic:blipFill>
                  <pic:spPr>
                    <a:xfrm>
                      <a:off x="0" y="0"/>
                      <a:ext cx="1673225" cy="534670"/>
                    </a:xfrm>
                    <a:prstGeom prst="rect">
                      <a:avLst/>
                    </a:prstGeom>
                    <a:noFill/>
                    <a:ln w="9525" cmpd="sng">
                      <a:noFill/>
                      <a:miter lim="800000"/>
                      <a:headEnd/>
                      <a:tailEnd/>
                    </a:ln>
                  </pic:spPr>
                </pic:pic>
              </a:graphicData>
            </a:graphic>
          </wp:inline>
        </w:drawing>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式中：</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x —距注入点的距离，m；</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t —时间，d；</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C(x，t)—t时刻x处的示踪剂浓度，g/L；</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m —注入的示踪剂质量，kg；</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w —横截面面积，m</w:t>
      </w:r>
      <w:r>
        <w:rPr>
          <w:rFonts w:ascii="Times New Roman" w:hAnsi="Times New Roman"/>
          <w:color w:val="000000"/>
          <w:sz w:val="24"/>
          <w:vertAlign w:val="superscript"/>
        </w:rPr>
        <w:t>2</w:t>
      </w:r>
      <w:r>
        <w:rPr>
          <w:rFonts w:ascii="Times New Roman" w:hAnsi="Times New Roman"/>
          <w:color w:val="000000"/>
          <w:sz w:val="24"/>
        </w:rPr>
        <w:t>；</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u —水流速度，m/d；</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n—有效孔隙度，无量纲；</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vertAlign w:val="subscript"/>
        </w:rPr>
        <w:t>L</w:t>
      </w:r>
      <w:r>
        <w:rPr>
          <w:rFonts w:ascii="Times New Roman" w:hAnsi="Times New Roman"/>
          <w:color w:val="000000"/>
          <w:sz w:val="24"/>
        </w:rPr>
        <w:t xml:space="preserve"> —纵向弥散系数，m</w:t>
      </w:r>
      <w:r>
        <w:rPr>
          <w:rFonts w:ascii="Times New Roman" w:hAnsi="Times New Roman"/>
          <w:color w:val="000000"/>
          <w:sz w:val="24"/>
          <w:vertAlign w:val="superscript"/>
        </w:rPr>
        <w:t>2</w:t>
      </w:r>
      <w:r>
        <w:rPr>
          <w:rFonts w:ascii="Times New Roman" w:hAnsi="Times New Roman"/>
          <w:color w:val="000000"/>
          <w:sz w:val="24"/>
        </w:rPr>
        <w:t>/d；</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π—圆周率。</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由于模拟预测的时间尺度较大，在模型计算中，将各类状况泄漏的污染物均看作瞬时污染，并且假设泄漏的污染物全部通过包气带进入含水层。显然，这样概化的计算结果更加保守。本项目n、u、D</w:t>
      </w:r>
      <w:r>
        <w:rPr>
          <w:rFonts w:ascii="Times New Roman" w:hAnsi="Times New Roman"/>
          <w:color w:val="000000"/>
          <w:sz w:val="24"/>
          <w:vertAlign w:val="subscript"/>
        </w:rPr>
        <w:t>L</w:t>
      </w:r>
      <w:r>
        <w:rPr>
          <w:rFonts w:ascii="Times New Roman" w:hAnsi="Times New Roman"/>
          <w:color w:val="000000"/>
          <w:sz w:val="24"/>
        </w:rPr>
        <w:t>取值如下，其余各参数详见后文。</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n：取0.3（区域内岩石孔隙度）</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u：渗透系数K=2m/d，地下水水力坡度I为0.02，有效孔隙度n</w:t>
      </w:r>
      <w:r>
        <w:rPr>
          <w:rFonts w:ascii="Times New Roman" w:hAnsi="Times New Roman"/>
          <w:color w:val="000000"/>
          <w:sz w:val="24"/>
          <w:vertAlign w:val="subscript"/>
        </w:rPr>
        <w:t>e</w:t>
      </w:r>
      <w:r>
        <w:rPr>
          <w:rFonts w:ascii="Times New Roman" w:hAnsi="Times New Roman"/>
          <w:color w:val="000000"/>
          <w:sz w:val="24"/>
        </w:rPr>
        <w:t>为0.3，因此根据达西定律实际平均流速为0.13m/d。</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vertAlign w:val="subscript"/>
        </w:rPr>
        <w:t>L</w:t>
      </w:r>
      <w:r>
        <w:rPr>
          <w:rFonts w:ascii="Times New Roman" w:hAnsi="Times New Roman"/>
          <w:color w:val="000000"/>
          <w:sz w:val="24"/>
        </w:rPr>
        <w:t>：1.3m</w:t>
      </w:r>
      <w:r>
        <w:rPr>
          <w:rFonts w:ascii="Times New Roman" w:hAnsi="Times New Roman"/>
          <w:color w:val="000000"/>
          <w:sz w:val="24"/>
          <w:vertAlign w:val="superscript"/>
        </w:rPr>
        <w:t>2</w:t>
      </w:r>
      <w:r>
        <w:rPr>
          <w:rFonts w:ascii="Times New Roman" w:hAnsi="Times New Roman"/>
          <w:color w:val="000000"/>
          <w:sz w:val="24"/>
        </w:rPr>
        <w:t>/d。</w:t>
      </w:r>
    </w:p>
    <w:p>
      <w:pPr>
        <w:pStyle w:val="2"/>
        <w:spacing w:line="360" w:lineRule="auto"/>
        <w:ind w:firstLine="480" w:firstLineChars="200"/>
        <w:rPr>
          <w:rFonts w:ascii="Times New Roman" w:hAnsi="Times New Roman"/>
          <w:color w:val="000000"/>
          <w:sz w:val="24"/>
        </w:rPr>
      </w:pPr>
      <w:r>
        <w:rPr>
          <w:rFonts w:ascii="Times New Roman" w:hAnsi="Times New Roman"/>
          <w:color w:val="000000"/>
          <w:sz w:val="24"/>
        </w:rPr>
        <w:t>据2011年10月16日，环保部环境工程评估中心在北京组织召开了《环境影响评价技术导则——地下水环境》（HJ610-2011）专家研讨会，与会水文地质专家一致认为弥散试验的结果受试验场地的尺度效应影响明显，其结果应用受到很大的局限性。因此，一般不推荐开展弥散试验工作。</w:t>
      </w:r>
    </w:p>
    <w:p>
      <w:pPr>
        <w:pStyle w:val="2"/>
        <w:spacing w:line="360" w:lineRule="auto"/>
        <w:ind w:firstLine="480" w:firstLineChars="200"/>
        <w:rPr>
          <w:rFonts w:ascii="Times New Roman" w:hAnsi="Times New Roman"/>
          <w:color w:val="000000"/>
          <w:sz w:val="24"/>
        </w:rPr>
      </w:pPr>
      <w:r>
        <w:rPr>
          <w:rFonts w:ascii="Times New Roman" w:hAnsi="Times New Roman"/>
          <w:color w:val="000000"/>
          <w:sz w:val="24"/>
        </w:rPr>
        <w:t>将世界范围内所收集到的百余个水质模型中所使用的纵向弥散度α</w:t>
      </w:r>
      <w:r>
        <w:rPr>
          <w:rFonts w:ascii="Times New Roman" w:hAnsi="Times New Roman"/>
          <w:color w:val="000000"/>
          <w:sz w:val="24"/>
          <w:vertAlign w:val="subscript"/>
        </w:rPr>
        <w:t>L</w:t>
      </w:r>
      <w:r>
        <w:rPr>
          <w:rFonts w:ascii="Times New Roman" w:hAnsi="Times New Roman"/>
          <w:color w:val="000000"/>
          <w:sz w:val="24"/>
        </w:rPr>
        <w:t>绘在双对数坐标纸上，从图上可以看出纵向弥散度α</w:t>
      </w:r>
      <w:r>
        <w:rPr>
          <w:rFonts w:ascii="Times New Roman" w:hAnsi="Times New Roman"/>
          <w:color w:val="000000"/>
          <w:sz w:val="24"/>
          <w:vertAlign w:val="subscript"/>
        </w:rPr>
        <w:t>L</w:t>
      </w:r>
      <w:r>
        <w:rPr>
          <w:rFonts w:ascii="Times New Roman" w:hAnsi="Times New Roman"/>
          <w:color w:val="000000"/>
          <w:sz w:val="24"/>
        </w:rPr>
        <w:t>从整体上随着尺度的增加而增大。许多研究者都曾用类似的图说明水动力弥散的尺度效应。根据模型所计算出的孔隙介质的纵向弥散度α</w:t>
      </w:r>
      <w:r>
        <w:rPr>
          <w:rFonts w:ascii="Times New Roman" w:hAnsi="Times New Roman"/>
          <w:color w:val="000000"/>
          <w:sz w:val="24"/>
          <w:vertAlign w:val="subscript"/>
        </w:rPr>
        <w:t>L</w:t>
      </w:r>
      <w:r>
        <w:rPr>
          <w:rFonts w:ascii="Times New Roman" w:hAnsi="Times New Roman"/>
          <w:color w:val="000000"/>
          <w:sz w:val="24"/>
        </w:rPr>
        <w:t>及有关资料与参数做出的lgα</w:t>
      </w:r>
      <w:r>
        <w:rPr>
          <w:rFonts w:ascii="Times New Roman" w:hAnsi="Times New Roman"/>
          <w:color w:val="000000"/>
          <w:sz w:val="24"/>
          <w:vertAlign w:val="subscript"/>
        </w:rPr>
        <w:t>L</w:t>
      </w:r>
      <w:r>
        <w:rPr>
          <w:rFonts w:ascii="Times New Roman" w:hAnsi="Times New Roman"/>
          <w:color w:val="000000"/>
          <w:sz w:val="24"/>
        </w:rPr>
        <w:t>—lgL</w:t>
      </w:r>
      <w:r>
        <w:rPr>
          <w:rFonts w:ascii="Times New Roman" w:hAnsi="Times New Roman"/>
          <w:color w:val="000000"/>
          <w:sz w:val="24"/>
          <w:vertAlign w:val="subscript"/>
        </w:rPr>
        <w:t>s</w:t>
      </w:r>
      <w:r>
        <w:rPr>
          <w:rFonts w:ascii="Times New Roman" w:hAnsi="Times New Roman"/>
          <w:color w:val="000000"/>
          <w:sz w:val="24"/>
        </w:rPr>
        <w:t>图示于图5-1。如前述分析，由于水动力弥散尺度效应的存在，难以通过野外或室内弥散试验获得真实的弥散度。因此，本次工作参考前人的研究成果，此次计算区范围为0～1000m范围，根据图</w:t>
      </w:r>
      <w:r>
        <w:rPr>
          <w:rFonts w:hint="eastAsia" w:ascii="Times New Roman" w:hAnsi="Times New Roman"/>
          <w:color w:val="000000"/>
          <w:sz w:val="24"/>
        </w:rPr>
        <w:t>5-6</w:t>
      </w:r>
      <w:r>
        <w:rPr>
          <w:rFonts w:ascii="Times New Roman" w:hAnsi="Times New Roman"/>
          <w:color w:val="000000"/>
          <w:sz w:val="24"/>
        </w:rPr>
        <w:t>，对应的纵向弥散度应介于1～10之间，从保守角度考虑，本次模拟取纵向弥散度参数为10m。</w:t>
      </w:r>
    </w:p>
    <w:p>
      <w:pPr>
        <w:pStyle w:val="2"/>
        <w:ind w:firstLine="480"/>
        <w:jc w:val="center"/>
        <w:rPr>
          <w:rFonts w:ascii="Times New Roman" w:hAnsi="Times New Roman"/>
          <w:b/>
          <w:color w:val="000000"/>
          <w:sz w:val="24"/>
        </w:rPr>
      </w:pPr>
      <w:r>
        <w:rPr>
          <w:rFonts w:ascii="Times New Roman" w:hAnsi="Times New Roman"/>
          <w:color w:val="000000"/>
          <w:sz w:val="24"/>
        </w:rPr>
        <w:drawing>
          <wp:inline distT="0" distB="0" distL="0" distR="0">
            <wp:extent cx="2846705" cy="2752090"/>
            <wp:effectExtent l="19050" t="0" r="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noChangeArrowheads="1"/>
                    </pic:cNvPicPr>
                  </pic:nvPicPr>
                  <pic:blipFill>
                    <a:blip r:embed="rId25" cstate="print"/>
                    <a:srcRect/>
                    <a:stretch>
                      <a:fillRect/>
                    </a:stretch>
                  </pic:blipFill>
                  <pic:spPr>
                    <a:xfrm>
                      <a:off x="0" y="0"/>
                      <a:ext cx="2846705" cy="2752090"/>
                    </a:xfrm>
                    <a:prstGeom prst="rect">
                      <a:avLst/>
                    </a:prstGeom>
                    <a:noFill/>
                    <a:ln w="9525" cmpd="sng">
                      <a:noFill/>
                      <a:miter lim="800000"/>
                      <a:headEnd/>
                      <a:tailEnd/>
                    </a:ln>
                  </pic:spPr>
                </pic:pic>
              </a:graphicData>
            </a:graphic>
          </wp:inline>
        </w:drawing>
      </w:r>
    </w:p>
    <w:p>
      <w:pPr>
        <w:pStyle w:val="2"/>
        <w:ind w:firstLine="482"/>
        <w:jc w:val="center"/>
        <w:rPr>
          <w:rFonts w:ascii="Times New Roman" w:hAnsi="Times New Roman"/>
          <w:b/>
          <w:color w:val="000000"/>
          <w:sz w:val="24"/>
        </w:rPr>
      </w:pPr>
      <w:r>
        <w:rPr>
          <w:rFonts w:ascii="Times New Roman" w:hAnsi="Times New Roman"/>
          <w:b/>
          <w:color w:val="000000"/>
          <w:sz w:val="24"/>
        </w:rPr>
        <w:t>图5-</w:t>
      </w:r>
      <w:r>
        <w:rPr>
          <w:rFonts w:hint="eastAsia" w:ascii="Times New Roman" w:hAnsi="Times New Roman"/>
          <w:b/>
          <w:color w:val="000000"/>
          <w:sz w:val="24"/>
        </w:rPr>
        <w:t>6</w:t>
      </w:r>
      <w:r>
        <w:rPr>
          <w:rFonts w:ascii="Times New Roman" w:hAnsi="Times New Roman"/>
          <w:b/>
          <w:color w:val="000000"/>
          <w:sz w:val="24"/>
        </w:rPr>
        <w:t xml:space="preserve"> 纵向弥散度与观测尺度间的关系（引自Gellar等（1992））</w:t>
      </w:r>
    </w:p>
    <w:p>
      <w:pPr>
        <w:pStyle w:val="2"/>
        <w:spacing w:line="360" w:lineRule="auto"/>
        <w:ind w:firstLine="480" w:firstLineChars="200"/>
        <w:jc w:val="left"/>
        <w:rPr>
          <w:rFonts w:ascii="Times New Roman" w:hAnsi="Times New Roman"/>
          <w:color w:val="000000"/>
          <w:sz w:val="24"/>
        </w:rPr>
      </w:pPr>
      <w:r>
        <w:rPr>
          <w:rFonts w:ascii="Times New Roman" w:hAnsi="Times New Roman"/>
          <w:color w:val="000000"/>
          <w:sz w:val="24"/>
        </w:rPr>
        <w:t>纵向弥散系数D</w:t>
      </w:r>
      <w:r>
        <w:rPr>
          <w:rFonts w:ascii="Times New Roman" w:hAnsi="Times New Roman"/>
          <w:color w:val="000000"/>
          <w:sz w:val="24"/>
          <w:vertAlign w:val="subscript"/>
        </w:rPr>
        <w:t>L</w:t>
      </w:r>
      <w:r>
        <w:rPr>
          <w:rFonts w:ascii="Times New Roman" w:hAnsi="Times New Roman"/>
          <w:color w:val="000000"/>
          <w:sz w:val="24"/>
        </w:rPr>
        <w:t>=a</w:t>
      </w:r>
      <w:r>
        <w:rPr>
          <w:rFonts w:ascii="Times New Roman" w:hAnsi="Times New Roman"/>
          <w:color w:val="000000"/>
          <w:sz w:val="24"/>
          <w:vertAlign w:val="subscript"/>
        </w:rPr>
        <w:t>L</w:t>
      </w:r>
      <w:r>
        <w:rPr>
          <w:rFonts w:ascii="Times New Roman" w:hAnsi="Times New Roman"/>
          <w:color w:val="000000"/>
          <w:sz w:val="24"/>
        </w:rPr>
        <w:t>×u=1.3 m</w:t>
      </w:r>
      <w:r>
        <w:rPr>
          <w:rFonts w:ascii="Times New Roman" w:hAnsi="Times New Roman"/>
          <w:color w:val="000000"/>
          <w:sz w:val="24"/>
          <w:vertAlign w:val="superscript"/>
        </w:rPr>
        <w:t>2</w:t>
      </w:r>
      <w:r>
        <w:rPr>
          <w:rFonts w:ascii="Times New Roman" w:hAnsi="Times New Roman"/>
          <w:color w:val="000000"/>
          <w:sz w:val="24"/>
        </w:rPr>
        <w:t>/d</w:t>
      </w:r>
    </w:p>
    <w:p>
      <w:pPr>
        <w:pStyle w:val="33"/>
        <w:outlineLvl w:val="0"/>
        <w:rPr>
          <w:rFonts w:ascii="Times New Roman" w:hAnsi="Times New Roman"/>
          <w:color w:val="000000"/>
        </w:rPr>
      </w:pPr>
      <w:r>
        <w:rPr>
          <w:rFonts w:ascii="Times New Roman" w:hAnsi="Times New Roman" w:eastAsia="宋体"/>
          <w:color w:val="000000"/>
        </w:rPr>
        <w:t>4、预测内容</w:t>
      </w:r>
    </w:p>
    <w:p>
      <w:pPr>
        <w:pStyle w:val="33"/>
        <w:rPr>
          <w:rFonts w:ascii="Times New Roman" w:hAnsi="Times New Roman" w:eastAsia="宋体"/>
          <w:color w:val="000000"/>
        </w:rPr>
      </w:pPr>
      <w:r>
        <w:rPr>
          <w:rFonts w:ascii="Times New Roman" w:hAnsi="Times New Roman" w:eastAsia="宋体"/>
          <w:color w:val="000000"/>
        </w:rPr>
        <w:t>在地下水预测中，普遍将《地下水质量标准》（</w:t>
      </w:r>
      <w:r>
        <w:rPr>
          <w:rFonts w:ascii="Times New Roman" w:hAnsi="Times New Roman"/>
          <w:color w:val="000000"/>
        </w:rPr>
        <w:t>GB/T14848-2017</w:t>
      </w:r>
      <w:r>
        <w:rPr>
          <w:rFonts w:ascii="Times New Roman" w:hAnsi="Times New Roman" w:eastAsia="宋体"/>
          <w:color w:val="000000"/>
        </w:rPr>
        <w:t>）Ⅲ类地下水质限值作为界定污染物超标距离的标准，当污染物浓度的预测值大于标准限值时，表示地下水受到污染且超过Ⅲ类水，以此计算超标距离。</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5、预测结果</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压滤间沉淀池废水</w:t>
      </w:r>
    </w:p>
    <w:p>
      <w:pPr>
        <w:pStyle w:val="50"/>
        <w:spacing w:line="360" w:lineRule="auto"/>
        <w:ind w:firstLine="480"/>
        <w:rPr>
          <w:rFonts w:ascii="Times New Roman" w:hAnsi="Times New Roman"/>
          <w:color w:val="000000"/>
          <w:sz w:val="24"/>
        </w:rPr>
      </w:pPr>
      <w:r>
        <w:rPr>
          <w:rFonts w:ascii="Times New Roman" w:hAnsi="Times New Roman"/>
          <w:color w:val="000000"/>
          <w:sz w:val="24"/>
        </w:rPr>
        <w:t>根据项目分析，</w:t>
      </w:r>
      <w:r>
        <w:rPr>
          <w:rFonts w:hint="eastAsia" w:ascii="Times New Roman" w:hAnsi="Times New Roman"/>
          <w:color w:val="000000"/>
          <w:sz w:val="24"/>
        </w:rPr>
        <w:t>选矿废水</w:t>
      </w:r>
      <w:r>
        <w:rPr>
          <w:rFonts w:ascii="Times New Roman" w:hAnsi="Times New Roman"/>
          <w:color w:val="000000"/>
          <w:sz w:val="24"/>
        </w:rPr>
        <w:t>主要污染源设定为厂区内的防渗沉淀池，根据甲方提供的相关资料，沉淀池尺寸为</w:t>
      </w:r>
      <w:r>
        <w:rPr>
          <w:rFonts w:hint="eastAsia" w:ascii="Times New Roman" w:hAnsi="Times New Roman"/>
          <w:color w:val="000000"/>
          <w:sz w:val="24"/>
        </w:rPr>
        <w:t>5m*5m*6m</w:t>
      </w:r>
      <w:r>
        <w:rPr>
          <w:rFonts w:ascii="Times New Roman" w:hAnsi="Times New Roman"/>
          <w:color w:val="000000"/>
          <w:sz w:val="24"/>
        </w:rPr>
        <w:t>。根据相关文献对类似突发情况的统计，考虑防渗层有10%的区域出现破损，并且废污水连续渗漏5天后被发现并进行修缮，本项目沉淀池渗水量为20L/（m</w:t>
      </w:r>
      <w:r>
        <w:rPr>
          <w:rFonts w:ascii="Times New Roman" w:hAnsi="Times New Roman"/>
          <w:color w:val="000000"/>
          <w:sz w:val="24"/>
          <w:vertAlign w:val="superscript"/>
        </w:rPr>
        <w:t>2</w:t>
      </w:r>
      <w:r>
        <w:rPr>
          <w:rFonts w:ascii="Times New Roman" w:hAnsi="Times New Roman"/>
          <w:color w:val="000000"/>
          <w:sz w:val="24"/>
        </w:rPr>
        <w:t>•d）。</w:t>
      </w:r>
    </w:p>
    <w:p>
      <w:pPr>
        <w:pStyle w:val="50"/>
        <w:spacing w:line="360" w:lineRule="auto"/>
        <w:ind w:firstLine="480"/>
        <w:jc w:val="center"/>
        <w:rPr>
          <w:rFonts w:ascii="Times New Roman" w:hAnsi="Times New Roman"/>
          <w:color w:val="000000"/>
          <w:sz w:val="24"/>
        </w:rPr>
      </w:pPr>
      <w:r>
        <w:rPr>
          <w:rFonts w:ascii="Times New Roman" w:hAnsi="Times New Roman"/>
          <w:color w:val="000000"/>
          <w:sz w:val="24"/>
        </w:rPr>
        <w:t>将渗漏废水概化为瞬时注入，因此项目在非正常状况下的渗漏源强见</w:t>
      </w:r>
      <w:r>
        <w:rPr>
          <w:rFonts w:hint="eastAsia" w:ascii="Times New Roman" w:hAnsi="Times New Roman"/>
          <w:color w:val="000000"/>
          <w:sz w:val="24"/>
        </w:rPr>
        <w:t>下表。</w:t>
      </w:r>
    </w:p>
    <w:p>
      <w:pPr>
        <w:pStyle w:val="50"/>
        <w:ind w:firstLine="0" w:firstLineChars="0"/>
        <w:jc w:val="center"/>
        <w:rPr>
          <w:rFonts w:ascii="Times New Roman" w:hAnsi="Times New Roman"/>
          <w:b/>
          <w:color w:val="000000"/>
          <w:sz w:val="24"/>
          <w:szCs w:val="24"/>
        </w:rPr>
      </w:pPr>
      <w:r>
        <w:rPr>
          <w:rFonts w:ascii="Times New Roman" w:hAnsi="Times New Roman"/>
          <w:b/>
          <w:color w:val="000000"/>
          <w:sz w:val="24"/>
          <w:szCs w:val="24"/>
        </w:rPr>
        <w:t>表</w:t>
      </w:r>
      <w:r>
        <w:rPr>
          <w:rFonts w:hint="eastAsia" w:ascii="Times New Roman" w:hAnsi="Times New Roman"/>
          <w:b/>
          <w:color w:val="000000"/>
          <w:sz w:val="24"/>
          <w:szCs w:val="24"/>
        </w:rPr>
        <w:t>5-6</w:t>
      </w:r>
      <w:r>
        <w:rPr>
          <w:rFonts w:ascii="Times New Roman" w:hAnsi="Times New Roman"/>
          <w:b/>
          <w:color w:val="000000"/>
          <w:sz w:val="24"/>
          <w:szCs w:val="24"/>
        </w:rPr>
        <w:t xml:space="preserve"> 污染物泄漏量估算</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9"/>
        <w:gridCol w:w="1131"/>
        <w:gridCol w:w="1066"/>
        <w:gridCol w:w="1262"/>
        <w:gridCol w:w="1228"/>
        <w:gridCol w:w="1595"/>
        <w:gridCol w:w="1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89" w:type="dxa"/>
            <w:vAlign w:val="center"/>
          </w:tcPr>
          <w:p>
            <w:pPr>
              <w:jc w:val="center"/>
              <w:rPr>
                <w:rFonts w:ascii="Times New Roman" w:hAnsi="Times New Roman"/>
                <w:color w:val="000000"/>
                <w:szCs w:val="21"/>
              </w:rPr>
            </w:pPr>
            <w:r>
              <w:rPr>
                <w:rFonts w:ascii="Times New Roman" w:hAnsi="Times New Roman"/>
                <w:color w:val="000000"/>
                <w:szCs w:val="21"/>
              </w:rPr>
              <w:t>状况</w:t>
            </w:r>
          </w:p>
        </w:tc>
        <w:tc>
          <w:tcPr>
            <w:tcW w:w="1131" w:type="dxa"/>
            <w:vAlign w:val="center"/>
          </w:tcPr>
          <w:p>
            <w:pPr>
              <w:jc w:val="center"/>
              <w:rPr>
                <w:rFonts w:ascii="Times New Roman" w:hAnsi="Times New Roman"/>
                <w:color w:val="000000"/>
                <w:szCs w:val="21"/>
              </w:rPr>
            </w:pPr>
            <w:r>
              <w:rPr>
                <w:rFonts w:hint="eastAsia" w:ascii="Times New Roman" w:hAnsi="Times New Roman"/>
                <w:color w:val="000000"/>
                <w:szCs w:val="21"/>
              </w:rPr>
              <w:t>污染源位置</w:t>
            </w:r>
            <w:r>
              <w:rPr>
                <w:rFonts w:ascii="Times New Roman" w:hAnsi="Times New Roman"/>
                <w:color w:val="000000"/>
                <w:szCs w:val="21"/>
              </w:rPr>
              <w:t xml:space="preserve">                 </w:t>
            </w:r>
          </w:p>
        </w:tc>
        <w:tc>
          <w:tcPr>
            <w:tcW w:w="1066" w:type="dxa"/>
            <w:vAlign w:val="center"/>
          </w:tcPr>
          <w:p>
            <w:pPr>
              <w:jc w:val="center"/>
              <w:rPr>
                <w:rFonts w:ascii="Times New Roman" w:hAnsi="Times New Roman"/>
                <w:color w:val="000000"/>
                <w:szCs w:val="21"/>
              </w:rPr>
            </w:pPr>
            <w:r>
              <w:rPr>
                <w:rFonts w:ascii="Times New Roman" w:hAnsi="Times New Roman"/>
                <w:color w:val="000000"/>
                <w:szCs w:val="21"/>
              </w:rPr>
              <w:t>污染物</w:t>
            </w:r>
          </w:p>
          <w:p>
            <w:pPr>
              <w:jc w:val="center"/>
              <w:rPr>
                <w:rFonts w:ascii="Times New Roman" w:hAnsi="Times New Roman"/>
                <w:color w:val="000000"/>
                <w:szCs w:val="21"/>
              </w:rPr>
            </w:pPr>
            <w:r>
              <w:rPr>
                <w:rFonts w:ascii="Times New Roman" w:hAnsi="Times New Roman"/>
                <w:color w:val="000000"/>
                <w:szCs w:val="21"/>
              </w:rPr>
              <w:t>类型</w:t>
            </w:r>
          </w:p>
        </w:tc>
        <w:tc>
          <w:tcPr>
            <w:tcW w:w="1262" w:type="dxa"/>
            <w:vAlign w:val="center"/>
          </w:tcPr>
          <w:p>
            <w:pPr>
              <w:jc w:val="center"/>
              <w:rPr>
                <w:rFonts w:ascii="Times New Roman" w:hAnsi="Times New Roman"/>
                <w:color w:val="000000"/>
                <w:szCs w:val="21"/>
              </w:rPr>
            </w:pPr>
            <w:r>
              <w:rPr>
                <w:rFonts w:ascii="Times New Roman" w:hAnsi="Times New Roman"/>
                <w:color w:val="000000"/>
                <w:szCs w:val="21"/>
              </w:rPr>
              <w:t>泄漏浓度</w:t>
            </w:r>
          </w:p>
          <w:p>
            <w:pPr>
              <w:jc w:val="center"/>
              <w:rPr>
                <w:rFonts w:ascii="Times New Roman" w:hAnsi="Times New Roman"/>
                <w:color w:val="000000"/>
                <w:szCs w:val="21"/>
              </w:rPr>
            </w:pPr>
            <w:r>
              <w:rPr>
                <w:rFonts w:ascii="Times New Roman" w:hAnsi="Times New Roman"/>
                <w:color w:val="000000"/>
                <w:szCs w:val="21"/>
              </w:rPr>
              <w:t>（mg/L）</w:t>
            </w:r>
          </w:p>
        </w:tc>
        <w:tc>
          <w:tcPr>
            <w:tcW w:w="1228" w:type="dxa"/>
            <w:vAlign w:val="center"/>
          </w:tcPr>
          <w:p>
            <w:pPr>
              <w:jc w:val="center"/>
              <w:rPr>
                <w:rFonts w:ascii="Times New Roman" w:hAnsi="Times New Roman"/>
                <w:color w:val="000000"/>
                <w:szCs w:val="21"/>
              </w:rPr>
            </w:pPr>
            <w:r>
              <w:rPr>
                <w:rFonts w:ascii="Times New Roman" w:hAnsi="Times New Roman"/>
                <w:color w:val="000000"/>
                <w:szCs w:val="21"/>
              </w:rPr>
              <w:t>泄漏时间</w:t>
            </w:r>
          </w:p>
          <w:p>
            <w:pPr>
              <w:jc w:val="center"/>
              <w:rPr>
                <w:rFonts w:ascii="Times New Roman" w:hAnsi="Times New Roman"/>
                <w:color w:val="000000"/>
                <w:szCs w:val="21"/>
              </w:rPr>
            </w:pPr>
            <w:r>
              <w:rPr>
                <w:rFonts w:ascii="Times New Roman" w:hAnsi="Times New Roman"/>
                <w:color w:val="000000"/>
                <w:szCs w:val="21"/>
              </w:rPr>
              <w:t>（天）</w:t>
            </w:r>
          </w:p>
        </w:tc>
        <w:tc>
          <w:tcPr>
            <w:tcW w:w="1595" w:type="dxa"/>
            <w:vAlign w:val="center"/>
          </w:tcPr>
          <w:p>
            <w:pPr>
              <w:jc w:val="center"/>
              <w:rPr>
                <w:rFonts w:ascii="Times New Roman" w:hAnsi="Times New Roman"/>
                <w:color w:val="000000"/>
                <w:szCs w:val="21"/>
              </w:rPr>
            </w:pPr>
            <w:r>
              <w:rPr>
                <w:rFonts w:ascii="Times New Roman" w:hAnsi="Times New Roman"/>
                <w:color w:val="000000"/>
                <w:szCs w:val="21"/>
              </w:rPr>
              <w:t>渗漏废水水量（L）</w:t>
            </w:r>
          </w:p>
        </w:tc>
        <w:tc>
          <w:tcPr>
            <w:tcW w:w="1333" w:type="dxa"/>
            <w:vAlign w:val="center"/>
          </w:tcPr>
          <w:p>
            <w:pPr>
              <w:jc w:val="center"/>
              <w:rPr>
                <w:rFonts w:ascii="Times New Roman" w:hAnsi="Times New Roman"/>
                <w:color w:val="000000"/>
                <w:szCs w:val="21"/>
              </w:rPr>
            </w:pPr>
            <w:r>
              <w:rPr>
                <w:rFonts w:ascii="Times New Roman" w:hAnsi="Times New Roman"/>
                <w:color w:val="000000"/>
                <w:szCs w:val="21"/>
              </w:rPr>
              <w:t>污染物质量（kg）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89" w:type="dxa"/>
            <w:vAlign w:val="center"/>
          </w:tcPr>
          <w:p>
            <w:pPr>
              <w:jc w:val="center"/>
              <w:rPr>
                <w:rFonts w:ascii="Times New Roman" w:hAnsi="Times New Roman"/>
                <w:color w:val="000000"/>
                <w:szCs w:val="21"/>
              </w:rPr>
            </w:pPr>
            <w:r>
              <w:rPr>
                <w:rFonts w:ascii="Times New Roman" w:hAnsi="Times New Roman"/>
                <w:color w:val="000000"/>
                <w:szCs w:val="21"/>
              </w:rPr>
              <w:t>非正常</w:t>
            </w:r>
          </w:p>
          <w:p>
            <w:pPr>
              <w:jc w:val="center"/>
              <w:rPr>
                <w:rFonts w:ascii="Times New Roman" w:hAnsi="Times New Roman"/>
                <w:color w:val="000000"/>
                <w:szCs w:val="21"/>
              </w:rPr>
            </w:pPr>
            <w:r>
              <w:rPr>
                <w:rFonts w:ascii="Times New Roman" w:hAnsi="Times New Roman"/>
                <w:color w:val="000000"/>
                <w:szCs w:val="21"/>
              </w:rPr>
              <w:t>状况</w:t>
            </w:r>
          </w:p>
        </w:tc>
        <w:tc>
          <w:tcPr>
            <w:tcW w:w="1131" w:type="dxa"/>
            <w:vAlign w:val="center"/>
          </w:tcPr>
          <w:p>
            <w:pPr>
              <w:jc w:val="center"/>
              <w:rPr>
                <w:rFonts w:ascii="Times New Roman" w:hAnsi="Times New Roman"/>
                <w:color w:val="000000"/>
                <w:szCs w:val="21"/>
              </w:rPr>
            </w:pPr>
            <w:r>
              <w:rPr>
                <w:rFonts w:hint="eastAsia" w:ascii="Times New Roman" w:hAnsi="Times New Roman"/>
                <w:color w:val="000000"/>
                <w:szCs w:val="21"/>
              </w:rPr>
              <w:t>压滤间</w:t>
            </w:r>
            <w:r>
              <w:rPr>
                <w:rFonts w:ascii="Times New Roman" w:hAnsi="Times New Roman"/>
                <w:color w:val="000000"/>
                <w:szCs w:val="21"/>
              </w:rPr>
              <w:t>沉淀池</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SS</w:t>
            </w:r>
          </w:p>
        </w:tc>
        <w:tc>
          <w:tcPr>
            <w:tcW w:w="1262" w:type="dxa"/>
            <w:vAlign w:val="center"/>
          </w:tcPr>
          <w:p>
            <w:pPr>
              <w:jc w:val="center"/>
              <w:rPr>
                <w:rFonts w:ascii="Times New Roman" w:hAnsi="Times New Roman"/>
                <w:color w:val="000000"/>
                <w:szCs w:val="21"/>
              </w:rPr>
            </w:pPr>
            <w:r>
              <w:rPr>
                <w:rFonts w:hint="eastAsia" w:ascii="Times New Roman" w:hAnsi="Times New Roman"/>
                <w:color w:val="000000"/>
                <w:szCs w:val="21"/>
              </w:rPr>
              <w:t>500</w:t>
            </w:r>
          </w:p>
        </w:tc>
        <w:tc>
          <w:tcPr>
            <w:tcW w:w="1228" w:type="dxa"/>
            <w:vAlign w:val="center"/>
          </w:tcPr>
          <w:p>
            <w:pPr>
              <w:jc w:val="center"/>
              <w:rPr>
                <w:rFonts w:ascii="Times New Roman" w:hAnsi="Times New Roman"/>
                <w:color w:val="000000"/>
                <w:szCs w:val="21"/>
              </w:rPr>
            </w:pPr>
            <w:r>
              <w:rPr>
                <w:rFonts w:ascii="Times New Roman" w:hAnsi="Times New Roman"/>
                <w:color w:val="000000"/>
                <w:szCs w:val="21"/>
              </w:rPr>
              <w:t>5</w:t>
            </w:r>
          </w:p>
        </w:tc>
        <w:tc>
          <w:tcPr>
            <w:tcW w:w="1595" w:type="dxa"/>
            <w:vAlign w:val="center"/>
          </w:tcPr>
          <w:p>
            <w:pPr>
              <w:jc w:val="center"/>
              <w:rPr>
                <w:rFonts w:ascii="Times New Roman" w:hAnsi="Times New Roman"/>
                <w:color w:val="000000"/>
              </w:rPr>
            </w:pPr>
            <w:r>
              <w:rPr>
                <w:rFonts w:ascii="Times New Roman" w:hAnsi="Times New Roman"/>
                <w:color w:val="000000"/>
              </w:rPr>
              <w:t>3000</w:t>
            </w:r>
          </w:p>
        </w:tc>
        <w:tc>
          <w:tcPr>
            <w:tcW w:w="1333"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r>
    </w:tbl>
    <w:p>
      <w:pPr>
        <w:pStyle w:val="50"/>
        <w:spacing w:line="360" w:lineRule="auto"/>
        <w:ind w:firstLine="480"/>
        <w:rPr>
          <w:rFonts w:ascii="Times New Roman" w:hAnsi="Times New Roman"/>
          <w:color w:val="000000"/>
          <w:sz w:val="24"/>
        </w:rPr>
      </w:pPr>
      <w:r>
        <w:rPr>
          <w:rFonts w:ascii="Times New Roman" w:hAnsi="Times New Roman"/>
          <w:color w:val="000000"/>
          <w:sz w:val="24"/>
        </w:rPr>
        <w:t>由于模拟预测的时间尺度较大，在模型计算中，将各类状况泄漏的污染物均看作瞬时污染，并且假设泄漏的污染物全部通过包气带进入含水层。显然，这样概化的计算结果更加保守。模型需要的水文地质参数包括：注入的示踪剂质量m；横截面面积w；岩层的有效孔隙度n；实际平均流速u；纵向弥散系数DL，这些参数可以由本次水文地质勘察及类比区域收集成果资料来获得，下面就各参数的选取进行介绍。</w:t>
      </w:r>
    </w:p>
    <w:p>
      <w:pPr>
        <w:pStyle w:val="50"/>
        <w:spacing w:line="360" w:lineRule="auto"/>
        <w:ind w:firstLine="480"/>
        <w:rPr>
          <w:rFonts w:ascii="Times New Roman" w:hAnsi="Times New Roman"/>
          <w:color w:val="000000"/>
          <w:sz w:val="24"/>
        </w:rPr>
      </w:pPr>
      <w:r>
        <w:rPr>
          <w:rFonts w:ascii="Times New Roman" w:hAnsi="Times New Roman"/>
          <w:color w:val="000000"/>
          <w:sz w:val="24"/>
        </w:rPr>
        <w:t>1）参数选取</w:t>
      </w:r>
    </w:p>
    <w:p>
      <w:pPr>
        <w:pStyle w:val="50"/>
        <w:spacing w:line="360" w:lineRule="auto"/>
        <w:ind w:firstLine="480"/>
        <w:rPr>
          <w:rFonts w:ascii="Times New Roman" w:hAnsi="Times New Roman"/>
          <w:color w:val="000000"/>
          <w:sz w:val="24"/>
        </w:rPr>
      </w:pPr>
      <w:r>
        <w:rPr>
          <w:rFonts w:ascii="Times New Roman" w:hAnsi="Times New Roman"/>
          <w:color w:val="000000"/>
          <w:sz w:val="24"/>
        </w:rPr>
        <w:t>m：</w:t>
      </w:r>
      <w:r>
        <w:rPr>
          <w:rFonts w:hint="eastAsia" w:ascii="Times New Roman" w:hAnsi="Times New Roman"/>
          <w:color w:val="000000"/>
          <w:sz w:val="24"/>
        </w:rPr>
        <w:t>1.5</w:t>
      </w:r>
      <w:r>
        <w:rPr>
          <w:rFonts w:ascii="Times New Roman" w:hAnsi="Times New Roman"/>
          <w:color w:val="000000"/>
          <w:sz w:val="24"/>
        </w:rPr>
        <w:t>kg（污染质渗入含水层质量）。</w:t>
      </w:r>
    </w:p>
    <w:p>
      <w:pPr>
        <w:pStyle w:val="50"/>
        <w:spacing w:line="360" w:lineRule="auto"/>
        <w:ind w:firstLine="480"/>
        <w:rPr>
          <w:rFonts w:ascii="Times New Roman" w:hAnsi="Times New Roman"/>
          <w:color w:val="000000"/>
          <w:sz w:val="24"/>
        </w:rPr>
      </w:pPr>
      <w:r>
        <w:rPr>
          <w:rFonts w:ascii="Times New Roman" w:hAnsi="Times New Roman"/>
          <w:color w:val="000000"/>
          <w:sz w:val="24"/>
        </w:rPr>
        <w:t>w：</w:t>
      </w:r>
      <w:r>
        <w:rPr>
          <w:rFonts w:hint="eastAsia" w:ascii="Times New Roman" w:hAnsi="Times New Roman"/>
          <w:color w:val="000000"/>
          <w:sz w:val="24"/>
        </w:rPr>
        <w:t>2.5</w:t>
      </w:r>
      <w:r>
        <w:rPr>
          <w:rFonts w:ascii="Times New Roman" w:hAnsi="Times New Roman"/>
          <w:color w:val="000000"/>
          <w:sz w:val="24"/>
        </w:rPr>
        <w:t>m</w:t>
      </w:r>
      <w:r>
        <w:rPr>
          <w:rFonts w:ascii="Times New Roman" w:hAnsi="Times New Roman"/>
          <w:color w:val="000000"/>
          <w:sz w:val="24"/>
          <w:vertAlign w:val="superscript"/>
        </w:rPr>
        <w:t>2</w:t>
      </w:r>
      <w:r>
        <w:rPr>
          <w:rFonts w:ascii="Times New Roman" w:hAnsi="Times New Roman"/>
          <w:color w:val="000000"/>
          <w:sz w:val="24"/>
        </w:rPr>
        <w:t>（对沉淀池泄漏断面进行估取）。</w:t>
      </w:r>
    </w:p>
    <w:p>
      <w:pPr>
        <w:pStyle w:val="50"/>
        <w:spacing w:line="360" w:lineRule="auto"/>
        <w:ind w:firstLine="480"/>
        <w:rPr>
          <w:rFonts w:ascii="Times New Roman" w:hAnsi="Times New Roman"/>
          <w:color w:val="000000"/>
          <w:sz w:val="24"/>
        </w:rPr>
      </w:pPr>
      <w:r>
        <w:rPr>
          <w:rFonts w:ascii="Times New Roman" w:hAnsi="Times New Roman"/>
          <w:color w:val="000000"/>
          <w:sz w:val="24"/>
        </w:rPr>
        <w:t>2）预测结果</w:t>
      </w:r>
    </w:p>
    <w:p>
      <w:pPr>
        <w:pStyle w:val="50"/>
        <w:spacing w:line="360" w:lineRule="auto"/>
        <w:ind w:firstLine="480"/>
        <w:rPr>
          <w:rFonts w:ascii="Times New Roman" w:hAnsi="Times New Roman"/>
          <w:color w:val="000000"/>
          <w:sz w:val="24"/>
        </w:rPr>
      </w:pPr>
      <w:r>
        <w:rPr>
          <w:rFonts w:ascii="Times New Roman" w:hAnsi="Times New Roman"/>
          <w:color w:val="000000"/>
          <w:sz w:val="24"/>
        </w:rPr>
        <w:t>预测结果见下</w:t>
      </w:r>
      <w:r>
        <w:rPr>
          <w:rFonts w:hint="eastAsia" w:ascii="Times New Roman" w:hAnsi="Times New Roman"/>
          <w:color w:val="000000"/>
          <w:sz w:val="24"/>
        </w:rPr>
        <w:t>表</w:t>
      </w:r>
      <w:r>
        <w:rPr>
          <w:rFonts w:ascii="Times New Roman" w:hAnsi="Times New Roman"/>
          <w:color w:val="000000"/>
          <w:sz w:val="24"/>
        </w:rPr>
        <w:t>。</w:t>
      </w:r>
    </w:p>
    <w:p>
      <w:pPr>
        <w:pStyle w:val="76"/>
        <w:jc w:val="center"/>
        <w:rPr>
          <w:b/>
          <w:color w:val="000000"/>
        </w:rPr>
      </w:pPr>
      <w:r>
        <w:rPr>
          <w:b/>
          <w:color w:val="000000"/>
          <w:sz w:val="24"/>
        </w:rPr>
        <w:t>表</w:t>
      </w:r>
      <w:r>
        <w:rPr>
          <w:rFonts w:hint="eastAsia"/>
          <w:b/>
          <w:color w:val="000000"/>
          <w:sz w:val="24"/>
        </w:rPr>
        <w:t>5-7</w:t>
      </w:r>
      <w:r>
        <w:rPr>
          <w:b/>
          <w:color w:val="000000"/>
          <w:sz w:val="24"/>
        </w:rPr>
        <w:t xml:space="preserve"> 渗透污染预测结果表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307"/>
        <w:gridCol w:w="2609"/>
        <w:gridCol w:w="3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1415" w:type="dxa"/>
            <w:vAlign w:val="center"/>
          </w:tcPr>
          <w:p>
            <w:pPr>
              <w:jc w:val="center"/>
              <w:rPr>
                <w:rFonts w:ascii="Times New Roman" w:hAnsi="Times New Roman"/>
                <w:color w:val="000000"/>
                <w:szCs w:val="21"/>
              </w:rPr>
            </w:pPr>
            <w:r>
              <w:rPr>
                <w:rFonts w:ascii="Times New Roman" w:hAnsi="Times New Roman"/>
                <w:color w:val="000000"/>
                <w:szCs w:val="21"/>
              </w:rPr>
              <w:t>污染源位置</w:t>
            </w:r>
          </w:p>
        </w:tc>
        <w:tc>
          <w:tcPr>
            <w:tcW w:w="1307" w:type="dxa"/>
            <w:vAlign w:val="center"/>
          </w:tcPr>
          <w:p>
            <w:pPr>
              <w:jc w:val="center"/>
              <w:rPr>
                <w:rFonts w:ascii="Times New Roman" w:hAnsi="Times New Roman"/>
                <w:color w:val="000000"/>
                <w:szCs w:val="21"/>
              </w:rPr>
            </w:pPr>
            <w:r>
              <w:rPr>
                <w:rFonts w:ascii="Times New Roman" w:hAnsi="Times New Roman"/>
                <w:color w:val="000000"/>
                <w:szCs w:val="21"/>
              </w:rPr>
              <w:t>预测时间</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最大浓度</w:t>
            </w:r>
          </w:p>
        </w:tc>
        <w:tc>
          <w:tcPr>
            <w:tcW w:w="3389" w:type="dxa"/>
            <w:vAlign w:val="center"/>
          </w:tcPr>
          <w:p>
            <w:pPr>
              <w:jc w:val="center"/>
              <w:rPr>
                <w:rFonts w:ascii="Times New Roman" w:hAnsi="Times New Roman"/>
                <w:color w:val="000000"/>
                <w:szCs w:val="21"/>
              </w:rPr>
            </w:pPr>
            <w:r>
              <w:rPr>
                <w:rFonts w:ascii="Times New Roman" w:hAnsi="Times New Roman"/>
                <w:color w:val="000000"/>
                <w:szCs w:val="21"/>
              </w:rPr>
              <w:t>地下水下游方向最大影响距离（m）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dxa"/>
            <w:vMerge w:val="restart"/>
            <w:vAlign w:val="center"/>
          </w:tcPr>
          <w:p>
            <w:pPr>
              <w:jc w:val="center"/>
              <w:rPr>
                <w:rFonts w:ascii="Times New Roman" w:hAnsi="Times New Roman"/>
                <w:color w:val="000000"/>
                <w:szCs w:val="21"/>
              </w:rPr>
            </w:pPr>
          </w:p>
          <w:p>
            <w:pPr>
              <w:jc w:val="center"/>
              <w:rPr>
                <w:rFonts w:ascii="Times New Roman" w:hAnsi="Times New Roman"/>
                <w:color w:val="000000"/>
                <w:szCs w:val="21"/>
              </w:rPr>
            </w:pPr>
          </w:p>
          <w:p>
            <w:pPr>
              <w:jc w:val="center"/>
              <w:rPr>
                <w:rFonts w:ascii="Times New Roman" w:hAnsi="Times New Roman"/>
                <w:color w:val="000000"/>
                <w:szCs w:val="21"/>
              </w:rPr>
            </w:pPr>
            <w:r>
              <w:rPr>
                <w:rFonts w:ascii="Times New Roman" w:hAnsi="Times New Roman"/>
                <w:color w:val="000000"/>
                <w:szCs w:val="21"/>
              </w:rPr>
              <w:t>沉淀池</w:t>
            </w:r>
          </w:p>
        </w:tc>
        <w:tc>
          <w:tcPr>
            <w:tcW w:w="1307" w:type="dxa"/>
            <w:vAlign w:val="center"/>
          </w:tcPr>
          <w:p>
            <w:pPr>
              <w:jc w:val="center"/>
              <w:rPr>
                <w:rFonts w:ascii="Times New Roman" w:hAnsi="Times New Roman"/>
                <w:color w:val="000000"/>
                <w:szCs w:val="21"/>
              </w:rPr>
            </w:pPr>
            <w:r>
              <w:rPr>
                <w:rFonts w:ascii="Times New Roman" w:hAnsi="Times New Roman"/>
                <w:color w:val="000000"/>
                <w:szCs w:val="21"/>
              </w:rPr>
              <w:t>15d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2.178mg/L（1m）</w:t>
            </w:r>
          </w:p>
        </w:tc>
        <w:tc>
          <w:tcPr>
            <w:tcW w:w="3389"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dxa"/>
            <w:vMerge w:val="continue"/>
            <w:vAlign w:val="center"/>
          </w:tcPr>
          <w:p>
            <w:pPr>
              <w:jc w:val="center"/>
              <w:rPr>
                <w:rFonts w:ascii="Times New Roman" w:hAnsi="Times New Roman"/>
                <w:color w:val="000000"/>
                <w:szCs w:val="21"/>
              </w:rPr>
            </w:pPr>
          </w:p>
        </w:tc>
        <w:tc>
          <w:tcPr>
            <w:tcW w:w="1307" w:type="dxa"/>
            <w:vAlign w:val="center"/>
          </w:tcPr>
          <w:p>
            <w:pPr>
              <w:jc w:val="center"/>
              <w:rPr>
                <w:rFonts w:ascii="Times New Roman" w:hAnsi="Times New Roman"/>
                <w:color w:val="000000"/>
                <w:szCs w:val="21"/>
              </w:rPr>
            </w:pPr>
            <w:r>
              <w:rPr>
                <w:rFonts w:ascii="Times New Roman" w:hAnsi="Times New Roman"/>
                <w:color w:val="000000"/>
                <w:szCs w:val="21"/>
              </w:rPr>
              <w:t>100d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0.489mg/L（13m）</w:t>
            </w:r>
          </w:p>
        </w:tc>
        <w:tc>
          <w:tcPr>
            <w:tcW w:w="3389"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dxa"/>
            <w:vMerge w:val="continue"/>
            <w:vAlign w:val="center"/>
          </w:tcPr>
          <w:p>
            <w:pPr>
              <w:jc w:val="center"/>
              <w:rPr>
                <w:rFonts w:ascii="Times New Roman" w:hAnsi="Times New Roman"/>
                <w:color w:val="000000"/>
                <w:szCs w:val="21"/>
              </w:rPr>
            </w:pPr>
          </w:p>
        </w:tc>
        <w:tc>
          <w:tcPr>
            <w:tcW w:w="1307" w:type="dxa"/>
            <w:vAlign w:val="center"/>
          </w:tcPr>
          <w:p>
            <w:pPr>
              <w:jc w:val="center"/>
              <w:rPr>
                <w:rFonts w:ascii="Times New Roman" w:hAnsi="Times New Roman"/>
                <w:color w:val="000000"/>
                <w:szCs w:val="21"/>
              </w:rPr>
            </w:pPr>
            <w:r>
              <w:rPr>
                <w:rFonts w:ascii="Times New Roman" w:hAnsi="Times New Roman"/>
                <w:color w:val="000000"/>
                <w:szCs w:val="21"/>
              </w:rPr>
              <w:t>365d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0.256mg/L（48m）</w:t>
            </w:r>
          </w:p>
        </w:tc>
        <w:tc>
          <w:tcPr>
            <w:tcW w:w="3389"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dxa"/>
            <w:vMerge w:val="continue"/>
            <w:vAlign w:val="center"/>
          </w:tcPr>
          <w:p>
            <w:pPr>
              <w:jc w:val="center"/>
              <w:rPr>
                <w:rFonts w:ascii="Times New Roman" w:hAnsi="Times New Roman"/>
                <w:color w:val="000000"/>
                <w:szCs w:val="21"/>
              </w:rPr>
            </w:pPr>
          </w:p>
        </w:tc>
        <w:tc>
          <w:tcPr>
            <w:tcW w:w="1307" w:type="dxa"/>
            <w:vAlign w:val="center"/>
          </w:tcPr>
          <w:p>
            <w:pPr>
              <w:jc w:val="center"/>
              <w:rPr>
                <w:rFonts w:ascii="Times New Roman" w:hAnsi="Times New Roman"/>
                <w:color w:val="000000"/>
                <w:szCs w:val="21"/>
              </w:rPr>
            </w:pPr>
            <w:r>
              <w:rPr>
                <w:rFonts w:ascii="Times New Roman" w:hAnsi="Times New Roman"/>
                <w:color w:val="000000"/>
                <w:szCs w:val="21"/>
              </w:rPr>
              <w:t>1000d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0.0489mg/L（130m）</w:t>
            </w:r>
          </w:p>
        </w:tc>
        <w:tc>
          <w:tcPr>
            <w:tcW w:w="3389"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dxa"/>
            <w:vMerge w:val="continue"/>
            <w:vAlign w:val="center"/>
          </w:tcPr>
          <w:p>
            <w:pPr>
              <w:jc w:val="center"/>
              <w:rPr>
                <w:rFonts w:ascii="Times New Roman" w:hAnsi="Times New Roman"/>
                <w:color w:val="000000"/>
                <w:szCs w:val="21"/>
              </w:rPr>
            </w:pPr>
          </w:p>
        </w:tc>
        <w:tc>
          <w:tcPr>
            <w:tcW w:w="1307" w:type="dxa"/>
            <w:vAlign w:val="center"/>
          </w:tcPr>
          <w:p>
            <w:pPr>
              <w:jc w:val="center"/>
              <w:rPr>
                <w:rFonts w:ascii="Times New Roman" w:hAnsi="Times New Roman"/>
                <w:color w:val="000000"/>
                <w:szCs w:val="21"/>
              </w:rPr>
            </w:pPr>
            <w:r>
              <w:rPr>
                <w:rFonts w:ascii="Times New Roman" w:hAnsi="Times New Roman"/>
                <w:color w:val="000000"/>
                <w:szCs w:val="21"/>
              </w:rPr>
              <w:t>2000d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0.109mg/L（260m）</w:t>
            </w:r>
          </w:p>
        </w:tc>
        <w:tc>
          <w:tcPr>
            <w:tcW w:w="3389"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5" w:type="dxa"/>
            <w:vMerge w:val="continue"/>
            <w:vAlign w:val="center"/>
          </w:tcPr>
          <w:p>
            <w:pPr>
              <w:jc w:val="center"/>
              <w:rPr>
                <w:rFonts w:ascii="Times New Roman" w:hAnsi="Times New Roman"/>
                <w:color w:val="000000"/>
                <w:szCs w:val="21"/>
              </w:rPr>
            </w:pPr>
          </w:p>
        </w:tc>
        <w:tc>
          <w:tcPr>
            <w:tcW w:w="1307" w:type="dxa"/>
            <w:vAlign w:val="center"/>
          </w:tcPr>
          <w:p>
            <w:pPr>
              <w:jc w:val="center"/>
              <w:rPr>
                <w:rFonts w:ascii="Times New Roman" w:hAnsi="Times New Roman"/>
                <w:color w:val="000000"/>
                <w:szCs w:val="21"/>
              </w:rPr>
            </w:pPr>
            <w:r>
              <w:rPr>
                <w:rFonts w:ascii="Times New Roman" w:hAnsi="Times New Roman"/>
                <w:color w:val="000000"/>
                <w:szCs w:val="21"/>
              </w:rPr>
              <w:t>3650d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0.0256mg/L（480m）</w:t>
            </w:r>
          </w:p>
        </w:tc>
        <w:tc>
          <w:tcPr>
            <w:tcW w:w="3389" w:type="dxa"/>
            <w:vAlign w:val="center"/>
          </w:tcPr>
          <w:p>
            <w:pPr>
              <w:jc w:val="center"/>
              <w:rPr>
                <w:rFonts w:ascii="Times New Roman" w:hAnsi="Times New Roman"/>
                <w:color w:val="000000"/>
                <w:szCs w:val="21"/>
              </w:rPr>
            </w:pPr>
            <w:r>
              <w:rPr>
                <w:rFonts w:ascii="Times New Roman" w:hAnsi="Times New Roman"/>
                <w:color w:val="000000"/>
                <w:szCs w:val="21"/>
              </w:rPr>
              <w:t>0</w:t>
            </w:r>
          </w:p>
        </w:tc>
      </w:tr>
    </w:tbl>
    <w:p>
      <w:pPr>
        <w:pStyle w:val="50"/>
        <w:ind w:firstLine="480"/>
        <w:rPr>
          <w:rFonts w:ascii="Times New Roman" w:hAnsi="Times New Roman"/>
          <w:color w:val="000000"/>
          <w:sz w:val="24"/>
        </w:rPr>
      </w:pPr>
      <w:r>
        <w:rPr>
          <w:rFonts w:ascii="Times New Roman" w:hAnsi="Times New Roman"/>
          <w:color w:val="000000"/>
          <w:sz w:val="24"/>
        </w:rPr>
        <w:t>从上表可以看出，沉淀池泄漏之后</w:t>
      </w:r>
      <w:r>
        <w:rPr>
          <w:rFonts w:hint="eastAsia" w:ascii="Times New Roman" w:hAnsi="Times New Roman"/>
          <w:color w:val="000000"/>
          <w:sz w:val="24"/>
        </w:rPr>
        <w:t>SS</w:t>
      </w:r>
      <w:r>
        <w:rPr>
          <w:rFonts w:ascii="Times New Roman" w:hAnsi="Times New Roman"/>
          <w:color w:val="000000"/>
          <w:sz w:val="24"/>
        </w:rPr>
        <w:t>对潜水含水层造成了一定的污染，污染物在运移的过程中，伴随着地下水的稀释作用，浓度逐渐降低，从预测结果上看，地下水下游方向无超标点，地下水质量都能达到Ⅲ类质量标准值。到达服务年限时，对周围地下水环境敏感点的影响甚微。</w:t>
      </w:r>
    </w:p>
    <w:p>
      <w:pPr>
        <w:pStyle w:val="50"/>
        <w:ind w:firstLine="480"/>
        <w:outlineLvl w:val="0"/>
        <w:rPr>
          <w:rFonts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尾矿库淋溶废水</w:t>
      </w:r>
    </w:p>
    <w:p>
      <w:pPr>
        <w:pStyle w:val="50"/>
        <w:ind w:firstLine="480"/>
        <w:rPr>
          <w:rFonts w:ascii="Times New Roman" w:hAnsi="Times New Roman"/>
          <w:color w:val="000000"/>
        </w:rPr>
      </w:pPr>
      <w:r>
        <w:rPr>
          <w:rFonts w:ascii="Times New Roman" w:hAnsi="Times New Roman"/>
          <w:color w:val="000000"/>
          <w:sz w:val="24"/>
        </w:rPr>
        <w:t>本项目产生的</w:t>
      </w:r>
      <w:r>
        <w:rPr>
          <w:rFonts w:hint="eastAsia" w:ascii="Times New Roman" w:hAnsi="Times New Roman"/>
          <w:color w:val="000000"/>
          <w:sz w:val="24"/>
        </w:rPr>
        <w:t>尾矿填入尾矿库</w:t>
      </w:r>
      <w:r>
        <w:rPr>
          <w:rFonts w:ascii="Times New Roman" w:hAnsi="Times New Roman"/>
          <w:color w:val="000000"/>
          <w:sz w:val="24"/>
        </w:rPr>
        <w:t>中，当雨季来临时，大气降水会对</w:t>
      </w:r>
      <w:r>
        <w:rPr>
          <w:rFonts w:hint="eastAsia" w:ascii="Times New Roman" w:hAnsi="Times New Roman"/>
          <w:color w:val="000000"/>
          <w:sz w:val="24"/>
        </w:rPr>
        <w:t>尾矿</w:t>
      </w:r>
      <w:r>
        <w:rPr>
          <w:rFonts w:ascii="Times New Roman" w:hAnsi="Times New Roman"/>
          <w:color w:val="000000"/>
          <w:sz w:val="24"/>
        </w:rPr>
        <w:t>进行淋溶且产生的淋溶废水</w:t>
      </w:r>
      <w:r>
        <w:rPr>
          <w:rFonts w:hint="eastAsia" w:ascii="Times New Roman" w:hAnsi="Times New Roman"/>
          <w:color w:val="000000"/>
          <w:sz w:val="24"/>
        </w:rPr>
        <w:t>事故状态下</w:t>
      </w:r>
      <w:r>
        <w:rPr>
          <w:rFonts w:ascii="Times New Roman" w:hAnsi="Times New Roman"/>
          <w:color w:val="000000"/>
          <w:sz w:val="24"/>
        </w:rPr>
        <w:t>会沿着</w:t>
      </w:r>
      <w:r>
        <w:rPr>
          <w:rFonts w:hint="eastAsia" w:ascii="Times New Roman" w:hAnsi="Times New Roman"/>
          <w:color w:val="000000"/>
          <w:sz w:val="24"/>
        </w:rPr>
        <w:t>尾矿库</w:t>
      </w:r>
      <w:r>
        <w:rPr>
          <w:rFonts w:ascii="Times New Roman" w:hAnsi="Times New Roman"/>
          <w:color w:val="000000"/>
          <w:sz w:val="24"/>
        </w:rPr>
        <w:t>下渗进入包气带，进而渗透至潜水层。考虑</w:t>
      </w:r>
      <w:r>
        <w:rPr>
          <w:rFonts w:hint="eastAsia" w:ascii="Times New Roman" w:hAnsi="Times New Roman"/>
          <w:color w:val="000000"/>
          <w:sz w:val="24"/>
        </w:rPr>
        <w:t>尾矿库</w:t>
      </w:r>
      <w:r>
        <w:rPr>
          <w:rFonts w:ascii="Times New Roman" w:hAnsi="Times New Roman"/>
          <w:color w:val="000000"/>
          <w:sz w:val="24"/>
        </w:rPr>
        <w:t>中废水</w:t>
      </w:r>
      <w:r>
        <w:rPr>
          <w:rFonts w:hint="eastAsia" w:ascii="Times New Roman" w:hAnsi="Times New Roman"/>
          <w:color w:val="000000"/>
          <w:sz w:val="24"/>
        </w:rPr>
        <w:t>事故状态下</w:t>
      </w:r>
      <w:r>
        <w:rPr>
          <w:rFonts w:ascii="Times New Roman" w:hAnsi="Times New Roman"/>
          <w:color w:val="000000"/>
          <w:sz w:val="24"/>
        </w:rPr>
        <w:t>直接渗入地下，废水渗漏量按照正常渗漏量</w:t>
      </w:r>
      <w:r>
        <w:rPr>
          <w:rFonts w:hint="eastAsia" w:ascii="Times New Roman" w:hAnsi="Times New Roman"/>
          <w:color w:val="000000"/>
          <w:sz w:val="24"/>
        </w:rPr>
        <w:t>的10</w:t>
      </w:r>
      <w:r>
        <w:rPr>
          <w:rFonts w:ascii="Times New Roman" w:hAnsi="Times New Roman"/>
          <w:color w:val="000000"/>
          <w:sz w:val="24"/>
        </w:rPr>
        <w:t>%计算。</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由于模拟预测的时间尺度较大，在模型计算中，将各类状况泄漏的污染物均看作瞬时污染，并且假设泄漏的污染物全部通过包气带进入含水层。显然，这样概化的计算结果更加保守。</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①参数选取</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m：</w:t>
      </w:r>
      <w:r>
        <w:rPr>
          <w:rFonts w:hint="eastAsia" w:ascii="Times New Roman" w:hAnsi="Times New Roman"/>
          <w:color w:val="000000"/>
          <w:sz w:val="24"/>
          <w:szCs w:val="24"/>
        </w:rPr>
        <w:t>经过前文工程分析，本项目尾矿库淋溶水为雨水渗透量及雨水径流量两部分，这部分淋溶水通过导流管排水管汇至沉淀池（50</w:t>
      </w:r>
      <w:r>
        <w:rPr>
          <w:rFonts w:ascii="Times New Roman" w:hAnsi="Times New Roman"/>
          <w:color w:val="000000"/>
          <w:sz w:val="24"/>
          <w:szCs w:val="24"/>
        </w:rPr>
        <w:t>m</w:t>
      </w:r>
      <w:r>
        <w:rPr>
          <w:rFonts w:ascii="Times New Roman" w:hAnsi="Times New Roman"/>
          <w:color w:val="000000"/>
          <w:sz w:val="24"/>
          <w:szCs w:val="24"/>
          <w:vertAlign w:val="superscript"/>
        </w:rPr>
        <w:t>3</w:t>
      </w:r>
      <w:r>
        <w:rPr>
          <w:rFonts w:hint="eastAsia" w:ascii="Times New Roman" w:hAnsi="Times New Roman"/>
          <w:color w:val="000000"/>
          <w:sz w:val="24"/>
          <w:szCs w:val="24"/>
        </w:rPr>
        <w:t>）内，再用泵抽到压滤间沉淀池内，回用于选矿生产，不外排。</w:t>
      </w:r>
      <w:r>
        <w:rPr>
          <w:rFonts w:ascii="Times New Roman" w:hAnsi="Times New Roman"/>
          <w:color w:val="000000"/>
          <w:sz w:val="24"/>
        </w:rPr>
        <w:t>考虑</w:t>
      </w:r>
      <w:r>
        <w:rPr>
          <w:rFonts w:hint="eastAsia" w:ascii="Times New Roman" w:hAnsi="Times New Roman"/>
          <w:color w:val="000000"/>
          <w:sz w:val="24"/>
        </w:rPr>
        <w:t>沉淀池</w:t>
      </w:r>
      <w:r>
        <w:rPr>
          <w:rFonts w:ascii="Times New Roman" w:hAnsi="Times New Roman"/>
          <w:color w:val="000000"/>
          <w:sz w:val="24"/>
        </w:rPr>
        <w:t>防渗层有10%的区域出现破损，并且废污水连续渗漏5天后被发现并进行修缮，本项目沉淀池渗水量为20L/（m</w:t>
      </w:r>
      <w:r>
        <w:rPr>
          <w:rFonts w:ascii="Times New Roman" w:hAnsi="Times New Roman"/>
          <w:color w:val="000000"/>
          <w:sz w:val="24"/>
          <w:vertAlign w:val="superscript"/>
        </w:rPr>
        <w:t>2</w:t>
      </w:r>
      <w:r>
        <w:rPr>
          <w:rFonts w:ascii="Times New Roman" w:hAnsi="Times New Roman"/>
          <w:color w:val="000000"/>
          <w:sz w:val="24"/>
        </w:rPr>
        <w:t>•d）。</w:t>
      </w:r>
      <w:r>
        <w:rPr>
          <w:rFonts w:hint="eastAsia" w:ascii="Times New Roman" w:hAnsi="Times New Roman"/>
          <w:color w:val="000000"/>
          <w:sz w:val="24"/>
        </w:rPr>
        <w:t>S</w:t>
      </w:r>
      <w:r>
        <w:rPr>
          <w:rFonts w:ascii="Times New Roman" w:hAnsi="Times New Roman"/>
          <w:color w:val="000000"/>
          <w:sz w:val="24"/>
        </w:rPr>
        <w:t>S浓度为200mg/L，因此污染质质量为0.01kg。</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w：5m</w:t>
      </w:r>
      <w:r>
        <w:rPr>
          <w:rFonts w:ascii="Times New Roman" w:hAnsi="Times New Roman"/>
          <w:color w:val="000000"/>
          <w:sz w:val="24"/>
          <w:vertAlign w:val="superscript"/>
        </w:rPr>
        <w:t>2</w:t>
      </w:r>
      <w:r>
        <w:rPr>
          <w:rFonts w:ascii="Times New Roman" w:hAnsi="Times New Roman"/>
          <w:color w:val="000000"/>
          <w:sz w:val="24"/>
        </w:rPr>
        <w:t>（对</w:t>
      </w:r>
      <w:r>
        <w:rPr>
          <w:rFonts w:hint="eastAsia" w:ascii="Times New Roman" w:hAnsi="Times New Roman"/>
          <w:color w:val="000000"/>
          <w:sz w:val="24"/>
        </w:rPr>
        <w:t>沉淀池</w:t>
      </w:r>
      <w:r>
        <w:rPr>
          <w:rFonts w:ascii="Times New Roman" w:hAnsi="Times New Roman"/>
          <w:color w:val="000000"/>
          <w:sz w:val="24"/>
        </w:rPr>
        <w:t>泄漏断面进行估取）。</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②预测结果</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预测结果见下表。</w:t>
      </w:r>
    </w:p>
    <w:p>
      <w:pPr>
        <w:pStyle w:val="59"/>
        <w:adjustRightInd w:val="0"/>
        <w:spacing w:beforeLines="0" w:afterLines="0" w:line="240" w:lineRule="auto"/>
        <w:ind w:firstLine="482" w:firstLineChars="200"/>
        <w:jc w:val="center"/>
        <w:rPr>
          <w:rFonts w:ascii="Times New Roman" w:hAnsi="Times New Roman" w:cs="Times New Roman"/>
          <w:b/>
          <w:color w:val="000000"/>
          <w:szCs w:val="21"/>
        </w:rPr>
      </w:pPr>
      <w:r>
        <w:rPr>
          <w:rFonts w:ascii="Times New Roman" w:hAnsi="Times New Roman" w:cs="Times New Roman"/>
          <w:b/>
          <w:color w:val="000000"/>
          <w:sz w:val="24"/>
          <w:szCs w:val="24"/>
        </w:rPr>
        <w:t>表5-</w:t>
      </w:r>
      <w:r>
        <w:rPr>
          <w:rFonts w:hint="eastAsia" w:ascii="Times New Roman" w:hAnsi="Times New Roman" w:cs="Times New Roman"/>
          <w:b/>
          <w:color w:val="000000"/>
          <w:sz w:val="24"/>
          <w:szCs w:val="24"/>
        </w:rPr>
        <w:t>8</w:t>
      </w:r>
      <w:r>
        <w:rPr>
          <w:rFonts w:ascii="Times New Roman" w:hAnsi="Times New Roman" w:cs="Times New Roman"/>
          <w:b/>
          <w:color w:val="000000"/>
          <w:sz w:val="24"/>
          <w:szCs w:val="24"/>
        </w:rPr>
        <w:t xml:space="preserve">  </w:t>
      </w:r>
      <w:r>
        <w:rPr>
          <w:rFonts w:hint="eastAsia" w:ascii="Times New Roman" w:hAnsi="Times New Roman" w:cs="Times New Roman"/>
          <w:b/>
          <w:color w:val="000000"/>
          <w:sz w:val="24"/>
          <w:szCs w:val="24"/>
        </w:rPr>
        <w:t>S</w:t>
      </w:r>
      <w:r>
        <w:rPr>
          <w:rFonts w:ascii="Times New Roman" w:hAnsi="Times New Roman" w:cs="Times New Roman"/>
          <w:b/>
          <w:color w:val="000000"/>
          <w:sz w:val="24"/>
          <w:szCs w:val="24"/>
        </w:rPr>
        <w:t xml:space="preserve">S渗透污染预测结果表 </w:t>
      </w:r>
      <w:r>
        <w:rPr>
          <w:rFonts w:ascii="Times New Roman" w:hAnsi="Times New Roman" w:cs="Times New Roman"/>
          <w:b/>
          <w:color w:val="000000"/>
          <w:szCs w:val="21"/>
        </w:rPr>
        <w:t xml:space="preserve">  </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301"/>
        <w:gridCol w:w="2609"/>
        <w:gridCol w:w="25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1811" w:type="dxa"/>
            <w:vAlign w:val="center"/>
          </w:tcPr>
          <w:p>
            <w:pPr>
              <w:jc w:val="center"/>
              <w:rPr>
                <w:rFonts w:ascii="Times New Roman" w:hAnsi="Times New Roman"/>
                <w:color w:val="000000"/>
                <w:szCs w:val="21"/>
              </w:rPr>
            </w:pPr>
            <w:r>
              <w:rPr>
                <w:rFonts w:ascii="Times New Roman" w:hAnsi="Times New Roman"/>
                <w:bCs/>
                <w:color w:val="000000"/>
                <w:kern w:val="0"/>
              </w:rPr>
              <w:t>污染源位置</w:t>
            </w:r>
          </w:p>
        </w:tc>
        <w:tc>
          <w:tcPr>
            <w:tcW w:w="1301" w:type="dxa"/>
            <w:vAlign w:val="center"/>
          </w:tcPr>
          <w:p>
            <w:pPr>
              <w:jc w:val="center"/>
              <w:rPr>
                <w:rFonts w:ascii="Times New Roman" w:hAnsi="Times New Roman"/>
                <w:color w:val="000000"/>
                <w:szCs w:val="21"/>
              </w:rPr>
            </w:pPr>
            <w:r>
              <w:rPr>
                <w:rFonts w:ascii="Times New Roman" w:hAnsi="Times New Roman"/>
                <w:color w:val="000000"/>
                <w:szCs w:val="21"/>
              </w:rPr>
              <w:t>预测时间</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最大浓度</w:t>
            </w:r>
          </w:p>
        </w:tc>
        <w:tc>
          <w:tcPr>
            <w:tcW w:w="2585" w:type="dxa"/>
            <w:vAlign w:val="center"/>
          </w:tcPr>
          <w:p>
            <w:pPr>
              <w:jc w:val="center"/>
              <w:rPr>
                <w:rFonts w:ascii="Times New Roman" w:hAnsi="Times New Roman"/>
                <w:color w:val="000000"/>
                <w:szCs w:val="21"/>
              </w:rPr>
            </w:pPr>
            <w:r>
              <w:rPr>
                <w:rFonts w:ascii="Times New Roman" w:hAnsi="Times New Roman"/>
                <w:color w:val="000000"/>
                <w:szCs w:val="21"/>
              </w:rPr>
              <w:t>地下水下游方向最大影响距离（m）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沉淀池</w:t>
            </w:r>
          </w:p>
        </w:tc>
        <w:tc>
          <w:tcPr>
            <w:tcW w:w="1301" w:type="dxa"/>
            <w:vAlign w:val="center"/>
          </w:tcPr>
          <w:p>
            <w:pPr>
              <w:jc w:val="center"/>
              <w:rPr>
                <w:rFonts w:ascii="Times New Roman" w:hAnsi="Times New Roman"/>
                <w:color w:val="000000"/>
                <w:szCs w:val="21"/>
              </w:rPr>
            </w:pPr>
            <w:r>
              <w:rPr>
                <w:rFonts w:ascii="Times New Roman" w:hAnsi="Times New Roman"/>
                <w:color w:val="000000"/>
                <w:szCs w:val="21"/>
              </w:rPr>
              <w:t>5d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0.734mg/L（1m）</w:t>
            </w:r>
          </w:p>
        </w:tc>
        <w:tc>
          <w:tcPr>
            <w:tcW w:w="2585"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vMerge w:val="continue"/>
            <w:vAlign w:val="center"/>
          </w:tcPr>
          <w:p>
            <w:pPr>
              <w:jc w:val="center"/>
              <w:rPr>
                <w:rFonts w:ascii="Times New Roman" w:hAnsi="Times New Roman"/>
                <w:color w:val="000000"/>
                <w:szCs w:val="21"/>
              </w:rPr>
            </w:pPr>
          </w:p>
        </w:tc>
        <w:tc>
          <w:tcPr>
            <w:tcW w:w="1301" w:type="dxa"/>
            <w:vAlign w:val="center"/>
          </w:tcPr>
          <w:p>
            <w:pPr>
              <w:jc w:val="center"/>
              <w:rPr>
                <w:rFonts w:ascii="Times New Roman" w:hAnsi="Times New Roman"/>
                <w:color w:val="000000"/>
                <w:szCs w:val="21"/>
              </w:rPr>
            </w:pPr>
            <w:r>
              <w:rPr>
                <w:rFonts w:ascii="Times New Roman" w:hAnsi="Times New Roman"/>
                <w:color w:val="000000"/>
                <w:szCs w:val="21"/>
              </w:rPr>
              <w:t>100d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0.165mg/L（13m）</w:t>
            </w:r>
          </w:p>
        </w:tc>
        <w:tc>
          <w:tcPr>
            <w:tcW w:w="2585"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vMerge w:val="continue"/>
            <w:vAlign w:val="center"/>
          </w:tcPr>
          <w:p>
            <w:pPr>
              <w:jc w:val="center"/>
              <w:rPr>
                <w:rFonts w:ascii="Times New Roman" w:hAnsi="Times New Roman"/>
                <w:color w:val="000000"/>
                <w:szCs w:val="21"/>
              </w:rPr>
            </w:pPr>
          </w:p>
        </w:tc>
        <w:tc>
          <w:tcPr>
            <w:tcW w:w="1301" w:type="dxa"/>
            <w:vAlign w:val="center"/>
          </w:tcPr>
          <w:p>
            <w:pPr>
              <w:jc w:val="center"/>
              <w:rPr>
                <w:rFonts w:ascii="Times New Roman" w:hAnsi="Times New Roman"/>
                <w:color w:val="000000"/>
                <w:szCs w:val="21"/>
              </w:rPr>
            </w:pPr>
            <w:r>
              <w:rPr>
                <w:rFonts w:ascii="Times New Roman" w:hAnsi="Times New Roman"/>
                <w:color w:val="000000"/>
                <w:szCs w:val="21"/>
              </w:rPr>
              <w:t>365d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2.73×10</w:t>
            </w:r>
            <w:r>
              <w:rPr>
                <w:rFonts w:ascii="Times New Roman" w:hAnsi="Times New Roman"/>
                <w:color w:val="000000"/>
                <w:szCs w:val="21"/>
                <w:vertAlign w:val="superscript"/>
              </w:rPr>
              <w:t>-1</w:t>
            </w:r>
            <w:r>
              <w:rPr>
                <w:rFonts w:ascii="Times New Roman" w:hAnsi="Times New Roman"/>
                <w:color w:val="000000"/>
                <w:szCs w:val="21"/>
              </w:rPr>
              <w:t>mg/L（48m）</w:t>
            </w:r>
          </w:p>
        </w:tc>
        <w:tc>
          <w:tcPr>
            <w:tcW w:w="2585"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vMerge w:val="continue"/>
            <w:vAlign w:val="center"/>
          </w:tcPr>
          <w:p>
            <w:pPr>
              <w:jc w:val="center"/>
              <w:rPr>
                <w:rFonts w:ascii="Times New Roman" w:hAnsi="Times New Roman"/>
                <w:color w:val="000000"/>
                <w:szCs w:val="21"/>
              </w:rPr>
            </w:pPr>
          </w:p>
        </w:tc>
        <w:tc>
          <w:tcPr>
            <w:tcW w:w="1301" w:type="dxa"/>
            <w:vAlign w:val="center"/>
          </w:tcPr>
          <w:p>
            <w:pPr>
              <w:jc w:val="center"/>
              <w:rPr>
                <w:rFonts w:ascii="Times New Roman" w:hAnsi="Times New Roman"/>
                <w:color w:val="000000"/>
                <w:szCs w:val="21"/>
              </w:rPr>
            </w:pPr>
            <w:r>
              <w:rPr>
                <w:rFonts w:ascii="Times New Roman" w:hAnsi="Times New Roman"/>
                <w:color w:val="000000"/>
                <w:szCs w:val="21"/>
              </w:rPr>
              <w:t>1000d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0.0165mg/L（130m）</w:t>
            </w:r>
          </w:p>
        </w:tc>
        <w:tc>
          <w:tcPr>
            <w:tcW w:w="2585"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vMerge w:val="continue"/>
            <w:vAlign w:val="center"/>
          </w:tcPr>
          <w:p>
            <w:pPr>
              <w:jc w:val="center"/>
              <w:rPr>
                <w:rFonts w:ascii="Times New Roman" w:hAnsi="Times New Roman"/>
                <w:color w:val="000000"/>
                <w:szCs w:val="21"/>
              </w:rPr>
            </w:pPr>
          </w:p>
        </w:tc>
        <w:tc>
          <w:tcPr>
            <w:tcW w:w="1301" w:type="dxa"/>
            <w:vAlign w:val="center"/>
          </w:tcPr>
          <w:p>
            <w:pPr>
              <w:jc w:val="center"/>
              <w:rPr>
                <w:rFonts w:ascii="Times New Roman" w:hAnsi="Times New Roman"/>
                <w:color w:val="000000"/>
                <w:szCs w:val="21"/>
              </w:rPr>
            </w:pPr>
            <w:r>
              <w:rPr>
                <w:rFonts w:ascii="Times New Roman" w:hAnsi="Times New Roman"/>
                <w:color w:val="000000"/>
                <w:szCs w:val="21"/>
              </w:rPr>
              <w:t>2000d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3.69×10</w:t>
            </w:r>
            <w:r>
              <w:rPr>
                <w:rFonts w:ascii="Times New Roman" w:hAnsi="Times New Roman"/>
                <w:color w:val="000000"/>
                <w:szCs w:val="21"/>
                <w:vertAlign w:val="superscript"/>
              </w:rPr>
              <w:t>-2</w:t>
            </w:r>
            <w:r>
              <w:rPr>
                <w:rFonts w:ascii="Times New Roman" w:hAnsi="Times New Roman"/>
                <w:color w:val="000000"/>
                <w:szCs w:val="21"/>
              </w:rPr>
              <w:t>mg/L（260m）</w:t>
            </w:r>
          </w:p>
        </w:tc>
        <w:tc>
          <w:tcPr>
            <w:tcW w:w="2585" w:type="dxa"/>
            <w:vAlign w:val="center"/>
          </w:tcPr>
          <w:p>
            <w:pPr>
              <w:jc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vMerge w:val="continue"/>
            <w:vAlign w:val="center"/>
          </w:tcPr>
          <w:p>
            <w:pPr>
              <w:jc w:val="center"/>
              <w:rPr>
                <w:rFonts w:ascii="Times New Roman" w:hAnsi="Times New Roman"/>
                <w:color w:val="000000"/>
                <w:szCs w:val="21"/>
              </w:rPr>
            </w:pPr>
          </w:p>
        </w:tc>
        <w:tc>
          <w:tcPr>
            <w:tcW w:w="1301" w:type="dxa"/>
            <w:vAlign w:val="center"/>
          </w:tcPr>
          <w:p>
            <w:pPr>
              <w:jc w:val="center"/>
              <w:rPr>
                <w:rFonts w:ascii="Times New Roman" w:hAnsi="Times New Roman"/>
                <w:color w:val="000000"/>
                <w:szCs w:val="21"/>
              </w:rPr>
            </w:pPr>
            <w:r>
              <w:rPr>
                <w:rFonts w:ascii="Times New Roman" w:hAnsi="Times New Roman"/>
                <w:color w:val="000000"/>
                <w:szCs w:val="21"/>
              </w:rPr>
              <w:t>3650d</w:t>
            </w:r>
          </w:p>
        </w:tc>
        <w:tc>
          <w:tcPr>
            <w:tcW w:w="2609" w:type="dxa"/>
            <w:vAlign w:val="center"/>
          </w:tcPr>
          <w:p>
            <w:pPr>
              <w:jc w:val="center"/>
              <w:rPr>
                <w:rFonts w:ascii="Times New Roman" w:hAnsi="Times New Roman"/>
                <w:color w:val="000000"/>
                <w:szCs w:val="21"/>
              </w:rPr>
            </w:pPr>
            <w:r>
              <w:rPr>
                <w:rFonts w:ascii="Times New Roman" w:hAnsi="Times New Roman"/>
                <w:color w:val="000000"/>
                <w:szCs w:val="21"/>
              </w:rPr>
              <w:t>2.73×10</w:t>
            </w:r>
            <w:r>
              <w:rPr>
                <w:rFonts w:ascii="Times New Roman" w:hAnsi="Times New Roman"/>
                <w:color w:val="000000"/>
                <w:szCs w:val="21"/>
                <w:vertAlign w:val="superscript"/>
              </w:rPr>
              <w:t>-2</w:t>
            </w:r>
            <w:r>
              <w:rPr>
                <w:rFonts w:ascii="Times New Roman" w:hAnsi="Times New Roman"/>
                <w:color w:val="000000"/>
                <w:szCs w:val="21"/>
              </w:rPr>
              <w:t>mg/L（480m）</w:t>
            </w:r>
          </w:p>
        </w:tc>
        <w:tc>
          <w:tcPr>
            <w:tcW w:w="2585" w:type="dxa"/>
            <w:vAlign w:val="center"/>
          </w:tcPr>
          <w:p>
            <w:pPr>
              <w:jc w:val="center"/>
              <w:rPr>
                <w:rFonts w:ascii="Times New Roman" w:hAnsi="Times New Roman"/>
                <w:color w:val="000000"/>
                <w:szCs w:val="21"/>
              </w:rPr>
            </w:pPr>
            <w:r>
              <w:rPr>
                <w:rFonts w:ascii="Times New Roman" w:hAnsi="Times New Roman"/>
                <w:color w:val="000000"/>
                <w:szCs w:val="21"/>
              </w:rPr>
              <w:t>0</w:t>
            </w:r>
          </w:p>
        </w:tc>
      </w:tr>
    </w:tbl>
    <w:p>
      <w:pPr>
        <w:pStyle w:val="81"/>
        <w:ind w:firstLine="0" w:firstLineChars="0"/>
        <w:rPr>
          <w:rStyle w:val="32"/>
          <w:rFonts w:ascii="Times New Roman" w:hAnsi="Times New Roman" w:eastAsia="宋体" w:cs="Times New Roman"/>
          <w:color w:val="000000"/>
        </w:rPr>
      </w:pPr>
      <w:r>
        <w:rPr>
          <w:rStyle w:val="32"/>
          <w:rFonts w:ascii="Times New Roman" w:hAnsi="Times New Roman" w:eastAsia="宋体" w:cs="Times New Roman"/>
          <w:color w:val="000000"/>
        </w:rPr>
        <w:t xml:space="preserve">    从上表可以看出，</w:t>
      </w:r>
      <w:r>
        <w:rPr>
          <w:rStyle w:val="32"/>
          <w:rFonts w:hint="eastAsia" w:ascii="Times New Roman" w:hAnsi="Times New Roman" w:eastAsia="宋体" w:cs="Times New Roman"/>
          <w:color w:val="000000"/>
        </w:rPr>
        <w:t>当沉淀池破损</w:t>
      </w:r>
      <w:r>
        <w:rPr>
          <w:rStyle w:val="32"/>
          <w:rFonts w:ascii="Times New Roman" w:hAnsi="Times New Roman" w:eastAsia="宋体" w:cs="Times New Roman"/>
          <w:color w:val="000000"/>
        </w:rPr>
        <w:t>，</w:t>
      </w:r>
      <w:r>
        <w:rPr>
          <w:rStyle w:val="32"/>
          <w:rFonts w:hint="eastAsia" w:ascii="Times New Roman" w:hAnsi="Times New Roman" w:eastAsia="宋体" w:cs="Times New Roman"/>
          <w:color w:val="000000"/>
        </w:rPr>
        <w:t>尾矿库</w:t>
      </w:r>
      <w:r>
        <w:rPr>
          <w:rStyle w:val="32"/>
          <w:rFonts w:ascii="Times New Roman" w:hAnsi="Times New Roman" w:eastAsia="宋体" w:cs="Times New Roman"/>
          <w:color w:val="000000"/>
        </w:rPr>
        <w:t>淋溶废水入渗之后</w:t>
      </w:r>
      <w:r>
        <w:rPr>
          <w:rStyle w:val="32"/>
          <w:rFonts w:hint="eastAsia" w:ascii="Times New Roman" w:hAnsi="Times New Roman" w:eastAsia="宋体" w:cs="Times New Roman"/>
          <w:color w:val="000000"/>
        </w:rPr>
        <w:t>S</w:t>
      </w:r>
      <w:r>
        <w:rPr>
          <w:rStyle w:val="32"/>
          <w:rFonts w:ascii="Times New Roman" w:hAnsi="Times New Roman" w:eastAsia="宋体" w:cs="Times New Roman"/>
          <w:color w:val="000000"/>
        </w:rPr>
        <w:t>S</w:t>
      </w:r>
      <w:r>
        <w:rPr>
          <w:rFonts w:ascii="Times New Roman" w:hAnsi="Times New Roman"/>
          <w:color w:val="000000"/>
        </w:rPr>
        <w:t>对潜水含水层造成了一定的污染，污染物在运移的过程中，伴随着地下水的稀释作用，浓度逐渐降低，从预测结果上看，地下水下游方向无超标点，地下水质量都能达到</w:t>
      </w:r>
      <w:r>
        <w:rPr>
          <w:rFonts w:hint="eastAsia" w:ascii="宋体" w:hAnsi="宋体"/>
          <w:color w:val="000000"/>
        </w:rPr>
        <w:t>Ⅲ</w:t>
      </w:r>
      <w:r>
        <w:rPr>
          <w:rFonts w:ascii="Times New Roman" w:hAnsi="Times New Roman"/>
          <w:color w:val="000000"/>
        </w:rPr>
        <w:t>类质量标准值。到达服务年限时，对周围地下水环境敏感点的影响甚微。</w:t>
      </w:r>
    </w:p>
    <w:p>
      <w:pPr>
        <w:adjustRightInd w:val="0"/>
        <w:spacing w:line="360" w:lineRule="auto"/>
        <w:ind w:firstLine="482" w:firstLineChars="200"/>
        <w:outlineLvl w:val="0"/>
        <w:rPr>
          <w:rFonts w:ascii="Times New Roman" w:hAnsi="Times New Roman"/>
          <w:b/>
          <w:color w:val="000000"/>
          <w:kern w:val="0"/>
          <w:sz w:val="24"/>
        </w:rPr>
      </w:pPr>
      <w:r>
        <w:rPr>
          <w:rFonts w:hint="eastAsia" w:ascii="Times New Roman" w:hAnsi="Times New Roman"/>
          <w:b/>
          <w:color w:val="000000"/>
          <w:kern w:val="0"/>
          <w:sz w:val="24"/>
        </w:rPr>
        <w:t>（3）</w:t>
      </w:r>
      <w:r>
        <w:rPr>
          <w:rFonts w:ascii="Times New Roman" w:hAnsi="Times New Roman"/>
          <w:b/>
          <w:color w:val="000000"/>
          <w:kern w:val="0"/>
          <w:sz w:val="24"/>
        </w:rPr>
        <w:t>正常状况对地下水影响评价结论</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在正常状况下，建设项目的工艺设备和地下水保护措施均达到《环境影响评价技术导则地下水环境》（HJ 610-2016）相关要求，污染物从源头到末端均得到有效控制，污染物难以对地下水环境产生影响。因此，正常状况下项目对地下水环境的影响可接受。</w:t>
      </w:r>
    </w:p>
    <w:p>
      <w:pPr>
        <w:adjustRightInd w:val="0"/>
        <w:spacing w:line="360" w:lineRule="auto"/>
        <w:ind w:firstLine="482" w:firstLineChars="200"/>
        <w:outlineLvl w:val="0"/>
        <w:rPr>
          <w:rFonts w:ascii="Times New Roman" w:hAnsi="Times New Roman"/>
          <w:b/>
          <w:color w:val="000000"/>
          <w:kern w:val="0"/>
          <w:sz w:val="24"/>
        </w:rPr>
      </w:pPr>
      <w:r>
        <w:rPr>
          <w:rFonts w:hint="eastAsia" w:ascii="Times New Roman" w:hAnsi="Times New Roman"/>
          <w:b/>
          <w:color w:val="000000"/>
          <w:kern w:val="0"/>
          <w:sz w:val="24"/>
        </w:rPr>
        <w:t>（4）</w:t>
      </w:r>
      <w:r>
        <w:rPr>
          <w:rFonts w:ascii="Times New Roman" w:hAnsi="Times New Roman"/>
          <w:b/>
          <w:color w:val="000000"/>
          <w:kern w:val="0"/>
          <w:sz w:val="24"/>
        </w:rPr>
        <w:t>非正常状况下对地下水影响评价结论</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项目在发生非正常状况情形下，由于项目地下水含水层污染物扩散能力较差，对周边地下水的影响会在一定时间内会持续影响，由预测结果可知：</w:t>
      </w:r>
    </w:p>
    <w:p>
      <w:pPr>
        <w:pStyle w:val="50"/>
        <w:spacing w:line="360" w:lineRule="auto"/>
        <w:ind w:firstLine="480"/>
        <w:rPr>
          <w:rStyle w:val="32"/>
          <w:rFonts w:ascii="Times New Roman" w:hAnsi="Times New Roman" w:eastAsia="宋体"/>
          <w:color w:val="000000"/>
        </w:rPr>
      </w:pPr>
      <w:r>
        <w:rPr>
          <w:rFonts w:hint="eastAsia" w:ascii="Times New Roman" w:hAnsi="Times New Roman"/>
          <w:color w:val="000000"/>
          <w:sz w:val="24"/>
        </w:rPr>
        <w:t>当压滤间</w:t>
      </w:r>
      <w:r>
        <w:rPr>
          <w:rFonts w:ascii="Times New Roman" w:hAnsi="Times New Roman"/>
          <w:color w:val="000000"/>
          <w:sz w:val="24"/>
        </w:rPr>
        <w:t>沉淀池泄漏之后</w:t>
      </w:r>
      <w:r>
        <w:rPr>
          <w:rFonts w:hint="eastAsia" w:ascii="Times New Roman" w:hAnsi="Times New Roman"/>
          <w:color w:val="000000"/>
          <w:sz w:val="24"/>
        </w:rPr>
        <w:t>SS</w:t>
      </w:r>
      <w:r>
        <w:rPr>
          <w:rFonts w:ascii="Times New Roman" w:hAnsi="Times New Roman"/>
          <w:color w:val="000000"/>
          <w:sz w:val="24"/>
        </w:rPr>
        <w:t>对潜水含水层造成了一定的污染，污染物在运移的过程中，伴随着地下水的稀释作用，浓度逐渐降低，从预测结果上看，地下水下游方向无超标点，地下水质量都能达到</w:t>
      </w:r>
      <w:r>
        <w:rPr>
          <w:rFonts w:hint="eastAsia" w:ascii="宋体" w:hAnsi="宋体" w:cs="宋体"/>
          <w:color w:val="000000"/>
          <w:sz w:val="24"/>
        </w:rPr>
        <w:t>Ⅲ</w:t>
      </w:r>
      <w:r>
        <w:rPr>
          <w:rFonts w:ascii="Times New Roman" w:hAnsi="Times New Roman"/>
          <w:color w:val="000000"/>
          <w:sz w:val="24"/>
        </w:rPr>
        <w:t>类质量标准值。到达服务年限时，对周围地下水环境敏感点的影响甚微。</w:t>
      </w:r>
    </w:p>
    <w:p>
      <w:pPr>
        <w:pStyle w:val="50"/>
        <w:spacing w:line="360" w:lineRule="auto"/>
        <w:ind w:firstLine="480"/>
        <w:rPr>
          <w:rStyle w:val="32"/>
          <w:rFonts w:ascii="Times New Roman" w:hAnsi="Times New Roman" w:eastAsia="宋体"/>
          <w:color w:val="000000"/>
        </w:rPr>
      </w:pPr>
      <w:r>
        <w:rPr>
          <w:rStyle w:val="32"/>
          <w:rFonts w:hint="eastAsia" w:ascii="Times New Roman" w:hAnsi="Times New Roman" w:eastAsia="宋体"/>
          <w:color w:val="000000"/>
        </w:rPr>
        <w:t>当沉淀池破损</w:t>
      </w:r>
      <w:r>
        <w:rPr>
          <w:rStyle w:val="32"/>
          <w:rFonts w:ascii="Times New Roman" w:hAnsi="Times New Roman" w:eastAsia="宋体"/>
          <w:color w:val="000000"/>
        </w:rPr>
        <w:t>，</w:t>
      </w:r>
      <w:r>
        <w:rPr>
          <w:rStyle w:val="32"/>
          <w:rFonts w:hint="eastAsia" w:ascii="Times New Roman" w:hAnsi="Times New Roman" w:eastAsia="宋体"/>
          <w:color w:val="000000"/>
        </w:rPr>
        <w:t>尾矿库</w:t>
      </w:r>
      <w:r>
        <w:rPr>
          <w:rStyle w:val="32"/>
          <w:rFonts w:ascii="Times New Roman" w:hAnsi="Times New Roman" w:eastAsia="宋体"/>
          <w:color w:val="000000"/>
        </w:rPr>
        <w:t>淋溶废水入渗之后</w:t>
      </w:r>
      <w:r>
        <w:rPr>
          <w:rStyle w:val="32"/>
          <w:rFonts w:hint="eastAsia" w:ascii="Times New Roman" w:hAnsi="Times New Roman" w:eastAsia="宋体"/>
          <w:color w:val="000000"/>
        </w:rPr>
        <w:t>S</w:t>
      </w:r>
      <w:r>
        <w:rPr>
          <w:rStyle w:val="32"/>
          <w:rFonts w:ascii="Times New Roman" w:hAnsi="Times New Roman" w:eastAsia="宋体"/>
          <w:color w:val="000000"/>
        </w:rPr>
        <w:t>S</w:t>
      </w:r>
      <w:r>
        <w:rPr>
          <w:rFonts w:ascii="Times New Roman" w:hAnsi="Times New Roman"/>
          <w:color w:val="000000"/>
          <w:sz w:val="24"/>
        </w:rPr>
        <w:t>对潜水含水层造成了一定的污染，污染物在运移的过程中，伴随着地下水的稀释作用，浓度逐渐降低，从预测结果上看，地下水下游方向无超标点，地下水质量都能达到</w:t>
      </w:r>
      <w:r>
        <w:rPr>
          <w:rFonts w:hint="eastAsia" w:ascii="宋体" w:hAnsi="宋体" w:cs="宋体"/>
          <w:color w:val="000000"/>
          <w:sz w:val="24"/>
        </w:rPr>
        <w:t>Ⅲ</w:t>
      </w:r>
      <w:r>
        <w:rPr>
          <w:rFonts w:ascii="Times New Roman" w:hAnsi="Times New Roman"/>
          <w:color w:val="000000"/>
          <w:sz w:val="24"/>
        </w:rPr>
        <w:t>类质量标准值。到达服务年限时，对周围地下水环境敏感点的影响甚微。</w:t>
      </w:r>
    </w:p>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非正常状况处理措施</w:t>
      </w:r>
    </w:p>
    <w:p>
      <w:pPr>
        <w:pStyle w:val="33"/>
        <w:rPr>
          <w:rFonts w:ascii="Times New Roman" w:hAnsi="Times New Roman" w:eastAsia="宋体"/>
          <w:color w:val="000000"/>
        </w:rPr>
      </w:pPr>
      <w:r>
        <w:rPr>
          <w:rFonts w:ascii="Times New Roman" w:hAnsi="Times New Roman" w:eastAsia="宋体"/>
          <w:color w:val="000000"/>
        </w:rPr>
        <w:t>要定期对</w:t>
      </w:r>
      <w:r>
        <w:rPr>
          <w:rFonts w:hint="eastAsia" w:ascii="Times New Roman" w:hAnsi="Times New Roman" w:eastAsia="宋体"/>
          <w:color w:val="000000"/>
        </w:rPr>
        <w:t>压滤间</w:t>
      </w:r>
      <w:r>
        <w:rPr>
          <w:rFonts w:ascii="Times New Roman" w:hAnsi="Times New Roman" w:eastAsia="宋体"/>
          <w:color w:val="000000"/>
        </w:rPr>
        <w:t>沉淀池</w:t>
      </w:r>
      <w:r>
        <w:rPr>
          <w:rFonts w:hint="eastAsia" w:ascii="Times New Roman" w:hAnsi="Times New Roman" w:eastAsia="宋体"/>
          <w:color w:val="000000"/>
        </w:rPr>
        <w:t>、</w:t>
      </w:r>
      <w:r>
        <w:rPr>
          <w:rFonts w:ascii="Times New Roman" w:hAnsi="Times New Roman" w:eastAsia="宋体"/>
          <w:color w:val="000000"/>
        </w:rPr>
        <w:t>尾矿库</w:t>
      </w:r>
      <w:r>
        <w:rPr>
          <w:rFonts w:hint="eastAsia" w:ascii="Times New Roman" w:hAnsi="Times New Roman" w:eastAsia="宋体"/>
          <w:color w:val="000000"/>
        </w:rPr>
        <w:t>沉淀池</w:t>
      </w:r>
      <w:r>
        <w:rPr>
          <w:rFonts w:ascii="Times New Roman" w:hAnsi="Times New Roman" w:eastAsia="宋体"/>
          <w:color w:val="000000"/>
        </w:rPr>
        <w:t>进行清理和检查，及时发现腐朽老化现象，杜绝非正常状况的发生。在运营过程中一旦发现非正常状况发生，应在相应生产装置区边界布设地下水应急处理井，阻止污染物扩散到厂界外，及时对废水进行清理以及对地下水环境进行修复治理，在</w:t>
      </w:r>
      <w:r>
        <w:rPr>
          <w:rFonts w:hint="eastAsia" w:ascii="Times New Roman" w:hAnsi="Times New Roman" w:eastAsia="宋体"/>
          <w:color w:val="000000"/>
        </w:rPr>
        <w:t>尾矿库附近</w:t>
      </w:r>
      <w:r>
        <w:rPr>
          <w:rFonts w:ascii="Times New Roman" w:hAnsi="Times New Roman" w:eastAsia="宋体"/>
          <w:color w:val="000000"/>
        </w:rPr>
        <w:t>设置截洪沟，</w:t>
      </w:r>
      <w:r>
        <w:rPr>
          <w:rFonts w:hint="eastAsia" w:ascii="Times New Roman" w:hAnsi="Times New Roman" w:eastAsia="宋体"/>
          <w:color w:val="000000"/>
        </w:rPr>
        <w:t>并</w:t>
      </w:r>
      <w:r>
        <w:rPr>
          <w:rFonts w:ascii="Times New Roman" w:hAnsi="Times New Roman" w:eastAsia="宋体"/>
          <w:color w:val="000000"/>
        </w:rPr>
        <w:t>设置</w:t>
      </w:r>
      <w:r>
        <w:rPr>
          <w:rStyle w:val="32"/>
          <w:rFonts w:ascii="Times New Roman" w:hAnsi="Times New Roman" w:eastAsia="宋体"/>
          <w:bCs/>
          <w:color w:val="000000"/>
        </w:rPr>
        <w:t>一座容积为50m</w:t>
      </w:r>
      <w:r>
        <w:rPr>
          <w:rStyle w:val="32"/>
          <w:rFonts w:ascii="Times New Roman" w:hAnsi="Times New Roman" w:eastAsia="宋体"/>
          <w:bCs/>
          <w:color w:val="000000"/>
          <w:vertAlign w:val="superscript"/>
        </w:rPr>
        <w:t>3</w:t>
      </w:r>
      <w:r>
        <w:rPr>
          <w:rStyle w:val="32"/>
          <w:rFonts w:ascii="Times New Roman" w:hAnsi="Times New Roman" w:eastAsia="宋体"/>
          <w:bCs/>
          <w:color w:val="000000"/>
        </w:rPr>
        <w:t>的</w:t>
      </w:r>
      <w:r>
        <w:rPr>
          <w:rStyle w:val="32"/>
          <w:rFonts w:hint="eastAsia" w:ascii="Times New Roman" w:hAnsi="Times New Roman" w:eastAsia="宋体"/>
          <w:color w:val="000000"/>
        </w:rPr>
        <w:t>沉淀池</w:t>
      </w:r>
      <w:r>
        <w:rPr>
          <w:rStyle w:val="32"/>
          <w:rFonts w:ascii="Times New Roman" w:hAnsi="Times New Roman" w:eastAsia="宋体"/>
          <w:bCs/>
          <w:color w:val="000000"/>
        </w:rPr>
        <w:t>，收集雨季</w:t>
      </w:r>
      <w:r>
        <w:rPr>
          <w:rStyle w:val="32"/>
          <w:rFonts w:hint="eastAsia" w:ascii="Times New Roman" w:hAnsi="Times New Roman" w:eastAsia="宋体"/>
          <w:bCs/>
          <w:color w:val="000000"/>
        </w:rPr>
        <w:t>尾矿库</w:t>
      </w:r>
      <w:r>
        <w:rPr>
          <w:rStyle w:val="32"/>
          <w:rFonts w:ascii="Times New Roman" w:hAnsi="Times New Roman" w:eastAsia="宋体"/>
          <w:bCs/>
          <w:color w:val="000000"/>
        </w:rPr>
        <w:t>的渗滤液。</w:t>
      </w:r>
      <w:r>
        <w:rPr>
          <w:rFonts w:ascii="Times New Roman" w:hAnsi="Times New Roman" w:eastAsia="宋体"/>
          <w:color w:val="000000"/>
        </w:rPr>
        <w:t>防止雨季雨水</w:t>
      </w:r>
      <w:r>
        <w:rPr>
          <w:rFonts w:hint="eastAsia" w:ascii="Times New Roman" w:hAnsi="Times New Roman" w:eastAsia="宋体"/>
          <w:color w:val="000000"/>
        </w:rPr>
        <w:t>事故状态下渗入</w:t>
      </w:r>
      <w:r>
        <w:rPr>
          <w:rFonts w:ascii="Times New Roman" w:hAnsi="Times New Roman" w:eastAsia="宋体"/>
          <w:color w:val="000000"/>
        </w:rPr>
        <w:t>到地下</w:t>
      </w:r>
      <w:r>
        <w:rPr>
          <w:rFonts w:hint="eastAsia" w:ascii="Times New Roman" w:hAnsi="Times New Roman" w:eastAsia="宋体"/>
          <w:color w:val="000000"/>
        </w:rPr>
        <w:t>，</w:t>
      </w:r>
      <w:r>
        <w:rPr>
          <w:rFonts w:ascii="Times New Roman" w:hAnsi="Times New Roman" w:eastAsia="宋体"/>
          <w:color w:val="000000"/>
        </w:rPr>
        <w:t>污染地下水。在项目防渗措施得到充分落实、严格执行地下水水质定期检测并及时采取应急措施的前提下，本项目对地下水环境影响可接受。</w:t>
      </w:r>
    </w:p>
    <w:p>
      <w:pPr>
        <w:widowControl/>
        <w:adjustRightInd w:val="0"/>
        <w:snapToGrid w:val="0"/>
        <w:spacing w:line="360" w:lineRule="auto"/>
        <w:outlineLvl w:val="0"/>
        <w:rPr>
          <w:rFonts w:ascii="Times New Roman" w:hAnsi="Times New Roman"/>
          <w:b/>
          <w:sz w:val="24"/>
        </w:rPr>
      </w:pPr>
      <w:bookmarkStart w:id="442" w:name="_Toc18389"/>
      <w:r>
        <w:rPr>
          <w:rFonts w:ascii="Times New Roman" w:hAnsi="Times New Roman"/>
          <w:b/>
          <w:sz w:val="24"/>
        </w:rPr>
        <w:t>5.2.</w:t>
      </w:r>
      <w:r>
        <w:rPr>
          <w:rFonts w:hint="eastAsia" w:ascii="Times New Roman" w:hAnsi="Times New Roman"/>
          <w:b/>
          <w:sz w:val="24"/>
        </w:rPr>
        <w:t>4声环境影响预测与评价</w:t>
      </w:r>
      <w:bookmarkEnd w:id="442"/>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5.2.4.1设备噪声</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（1）预测内容</w:t>
      </w:r>
    </w:p>
    <w:p>
      <w:pPr>
        <w:spacing w:line="360" w:lineRule="auto"/>
        <w:ind w:firstLine="480" w:firstLineChars="200"/>
        <w:rPr>
          <w:rFonts w:ascii="Times New Roman" w:hAnsi="Times New Roman"/>
          <w:color w:val="000000"/>
          <w:sz w:val="24"/>
          <w:szCs w:val="24"/>
        </w:rPr>
      </w:pPr>
      <w:r>
        <w:rPr>
          <w:rFonts w:ascii="Times New Roman" w:hAnsi="Times New Roman"/>
          <w:bCs/>
          <w:color w:val="000000"/>
          <w:sz w:val="24"/>
          <w:szCs w:val="24"/>
        </w:rPr>
        <w:t>本项目噪声来源主要来自</w:t>
      </w:r>
      <w:r>
        <w:rPr>
          <w:rFonts w:hint="eastAsia" w:ascii="Times New Roman" w:hAnsi="Times New Roman"/>
          <w:bCs/>
          <w:color w:val="000000"/>
          <w:sz w:val="24"/>
          <w:szCs w:val="24"/>
        </w:rPr>
        <w:t>压滤间内压滤机、渣浆泵、空压机、泥浆泵、起重机等设备在运行中产生的噪声及运输车辆噪声，其噪声为85~100</w:t>
      </w:r>
      <w:r>
        <w:rPr>
          <w:rFonts w:ascii="Times New Roman" w:hAnsi="Times New Roman"/>
          <w:bCs/>
          <w:color w:val="000000"/>
          <w:sz w:val="24"/>
          <w:szCs w:val="24"/>
        </w:rPr>
        <w:t>dB(A)之间</w:t>
      </w:r>
      <w:r>
        <w:rPr>
          <w:rFonts w:ascii="Times New Roman" w:hAnsi="Times New Roman"/>
          <w:color w:val="000000"/>
          <w:sz w:val="24"/>
          <w:szCs w:val="24"/>
        </w:rPr>
        <w:t>。</w:t>
      </w:r>
    </w:p>
    <w:p>
      <w:pPr>
        <w:pStyle w:val="2"/>
        <w:spacing w:line="360" w:lineRule="auto"/>
        <w:ind w:firstLine="480" w:firstLineChars="200"/>
        <w:outlineLvl w:val="0"/>
        <w:rPr>
          <w:rFonts w:ascii="Times New Roman" w:hAnsi="Times New Roman"/>
          <w:sz w:val="24"/>
          <w:szCs w:val="24"/>
        </w:rPr>
      </w:pPr>
      <w:r>
        <w:rPr>
          <w:rFonts w:ascii="Times New Roman" w:hAnsi="Times New Roman"/>
          <w:sz w:val="24"/>
          <w:szCs w:val="24"/>
        </w:rPr>
        <w:t>（2）预测源强</w:t>
      </w:r>
    </w:p>
    <w:p>
      <w:pPr>
        <w:pStyle w:val="76"/>
        <w:jc w:val="center"/>
        <w:rPr>
          <w:b/>
          <w:color w:val="000000"/>
          <w:sz w:val="24"/>
        </w:rPr>
      </w:pPr>
      <w:r>
        <w:rPr>
          <w:b/>
          <w:color w:val="000000"/>
          <w:sz w:val="24"/>
        </w:rPr>
        <w:t>表</w:t>
      </w:r>
      <w:r>
        <w:rPr>
          <w:rFonts w:hint="eastAsia"/>
          <w:b/>
          <w:color w:val="000000"/>
          <w:sz w:val="24"/>
        </w:rPr>
        <w:t>5-9 主要</w:t>
      </w:r>
      <w:r>
        <w:rPr>
          <w:b/>
          <w:color w:val="000000"/>
          <w:sz w:val="24"/>
        </w:rPr>
        <w:t>生产设备噪声污染源</w:t>
      </w:r>
      <w:r>
        <w:rPr>
          <w:rFonts w:hint="eastAsia"/>
          <w:b/>
          <w:color w:val="000000"/>
          <w:sz w:val="24"/>
        </w:rPr>
        <w:t>源强</w:t>
      </w:r>
      <w:r>
        <w:rPr>
          <w:b/>
          <w:color w:val="000000"/>
          <w:sz w:val="24"/>
        </w:rPr>
        <w:t xml:space="preserve">统计   </w:t>
      </w:r>
      <w:r>
        <w:rPr>
          <w:rFonts w:hint="eastAsia"/>
          <w:b/>
          <w:color w:val="000000"/>
          <w:sz w:val="24"/>
        </w:rPr>
        <w:t>单位：</w:t>
      </w:r>
      <w:r>
        <w:rPr>
          <w:b/>
          <w:color w:val="000000"/>
          <w:sz w:val="24"/>
        </w:rPr>
        <w:t>dB(A)</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42"/>
        <w:gridCol w:w="1068"/>
        <w:gridCol w:w="1411"/>
        <w:gridCol w:w="2070"/>
        <w:gridCol w:w="21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1842" w:type="dxa"/>
            <w:vAlign w:val="center"/>
          </w:tcPr>
          <w:p>
            <w:pPr>
              <w:pStyle w:val="56"/>
              <w:spacing w:before="100" w:beforeAutospacing="1" w:after="100" w:afterAutospacing="1"/>
              <w:rPr>
                <w:color w:val="000000"/>
              </w:rPr>
            </w:pPr>
            <w:r>
              <w:rPr>
                <w:color w:val="000000"/>
              </w:rPr>
              <w:t>噪声源</w:t>
            </w:r>
          </w:p>
        </w:tc>
        <w:tc>
          <w:tcPr>
            <w:tcW w:w="1068" w:type="dxa"/>
            <w:vAlign w:val="center"/>
          </w:tcPr>
          <w:p>
            <w:pPr>
              <w:pStyle w:val="56"/>
              <w:spacing w:before="100" w:beforeAutospacing="1" w:after="100" w:afterAutospacing="1"/>
              <w:rPr>
                <w:color w:val="000000"/>
              </w:rPr>
            </w:pPr>
            <w:r>
              <w:rPr>
                <w:color w:val="000000"/>
              </w:rPr>
              <w:t>台数</w:t>
            </w:r>
          </w:p>
        </w:tc>
        <w:tc>
          <w:tcPr>
            <w:tcW w:w="1411" w:type="dxa"/>
            <w:vAlign w:val="center"/>
          </w:tcPr>
          <w:p>
            <w:pPr>
              <w:pStyle w:val="56"/>
              <w:spacing w:before="100" w:beforeAutospacing="1" w:after="100" w:afterAutospacing="1"/>
              <w:rPr>
                <w:color w:val="000000"/>
              </w:rPr>
            </w:pPr>
            <w:r>
              <w:rPr>
                <w:color w:val="000000"/>
              </w:rPr>
              <w:t>声级</w:t>
            </w:r>
          </w:p>
        </w:tc>
        <w:tc>
          <w:tcPr>
            <w:tcW w:w="2070" w:type="dxa"/>
            <w:vAlign w:val="center"/>
          </w:tcPr>
          <w:p>
            <w:pPr>
              <w:pStyle w:val="56"/>
              <w:spacing w:before="100" w:beforeAutospacing="1" w:after="100" w:afterAutospacing="1"/>
              <w:rPr>
                <w:color w:val="000000"/>
              </w:rPr>
            </w:pPr>
            <w:r>
              <w:rPr>
                <w:color w:val="000000"/>
              </w:rPr>
              <w:t>排放特征</w:t>
            </w:r>
          </w:p>
        </w:tc>
        <w:tc>
          <w:tcPr>
            <w:tcW w:w="2131" w:type="dxa"/>
            <w:vAlign w:val="center"/>
          </w:tcPr>
          <w:p>
            <w:pPr>
              <w:pStyle w:val="56"/>
              <w:spacing w:before="100" w:beforeAutospacing="1" w:after="100" w:afterAutospacing="1"/>
              <w:rPr>
                <w:color w:val="000000"/>
              </w:rPr>
            </w:pPr>
            <w:r>
              <w:rPr>
                <w:color w:val="000000"/>
              </w:rPr>
              <w:t>位置描述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842" w:type="dxa"/>
            <w:vAlign w:val="center"/>
          </w:tcPr>
          <w:p>
            <w:pPr>
              <w:widowControl/>
              <w:snapToGrid w:val="0"/>
              <w:jc w:val="center"/>
              <w:rPr>
                <w:color w:val="000000"/>
              </w:rPr>
            </w:pPr>
            <w:r>
              <w:rPr>
                <w:rFonts w:ascii="Times New Roman" w:hAnsi="Times New Roman"/>
                <w:color w:val="000000"/>
                <w:szCs w:val="21"/>
              </w:rPr>
              <w:t>压滤机</w:t>
            </w:r>
          </w:p>
        </w:tc>
        <w:tc>
          <w:tcPr>
            <w:tcW w:w="1068" w:type="dxa"/>
            <w:vAlign w:val="center"/>
          </w:tcPr>
          <w:p>
            <w:pPr>
              <w:pStyle w:val="56"/>
              <w:spacing w:before="100" w:beforeAutospacing="1" w:after="100" w:afterAutospacing="1"/>
              <w:rPr>
                <w:color w:val="000000"/>
              </w:rPr>
            </w:pPr>
            <w:r>
              <w:rPr>
                <w:rFonts w:hint="eastAsia"/>
                <w:color w:val="000000"/>
              </w:rPr>
              <w:t>1</w:t>
            </w:r>
          </w:p>
        </w:tc>
        <w:tc>
          <w:tcPr>
            <w:tcW w:w="1411" w:type="dxa"/>
            <w:vAlign w:val="center"/>
          </w:tcPr>
          <w:p>
            <w:pPr>
              <w:pStyle w:val="56"/>
              <w:spacing w:before="100" w:beforeAutospacing="1" w:after="100" w:afterAutospacing="1"/>
              <w:rPr>
                <w:color w:val="000000"/>
              </w:rPr>
            </w:pPr>
            <w:r>
              <w:rPr>
                <w:rFonts w:hint="eastAsia"/>
                <w:color w:val="000000"/>
              </w:rPr>
              <w:t>90</w:t>
            </w:r>
          </w:p>
        </w:tc>
        <w:tc>
          <w:tcPr>
            <w:tcW w:w="2070" w:type="dxa"/>
            <w:vAlign w:val="center"/>
          </w:tcPr>
          <w:p>
            <w:pPr>
              <w:pStyle w:val="56"/>
              <w:spacing w:before="100" w:beforeAutospacing="1" w:after="100" w:afterAutospacing="1"/>
              <w:rPr>
                <w:color w:val="000000"/>
              </w:rPr>
            </w:pPr>
            <w:r>
              <w:rPr>
                <w:rFonts w:hint="eastAsia"/>
                <w:color w:val="000000"/>
              </w:rPr>
              <w:t>中频，连续</w:t>
            </w:r>
          </w:p>
        </w:tc>
        <w:tc>
          <w:tcPr>
            <w:tcW w:w="2131" w:type="dxa"/>
            <w:vAlign w:val="center"/>
          </w:tcPr>
          <w:p>
            <w:pPr>
              <w:pStyle w:val="56"/>
              <w:spacing w:before="100" w:beforeAutospacing="1" w:after="100" w:afterAutospacing="1"/>
              <w:rPr>
                <w:color w:val="000000"/>
              </w:rPr>
            </w:pPr>
            <w:r>
              <w:rPr>
                <w:rFonts w:hint="eastAsia"/>
                <w:color w:val="000000"/>
              </w:rPr>
              <w:t>压滤间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842" w:type="dxa"/>
            <w:vAlign w:val="center"/>
          </w:tcPr>
          <w:p>
            <w:pPr>
              <w:snapToGrid w:val="0"/>
              <w:jc w:val="center"/>
              <w:rPr>
                <w:color w:val="000000"/>
              </w:rPr>
            </w:pPr>
            <w:r>
              <w:rPr>
                <w:rFonts w:ascii="Times New Roman" w:hAnsi="Times New Roman"/>
                <w:color w:val="000000"/>
                <w:szCs w:val="21"/>
              </w:rPr>
              <w:t>渣浆泵</w:t>
            </w:r>
          </w:p>
        </w:tc>
        <w:tc>
          <w:tcPr>
            <w:tcW w:w="1068" w:type="dxa"/>
            <w:vAlign w:val="center"/>
          </w:tcPr>
          <w:p>
            <w:pPr>
              <w:pStyle w:val="56"/>
              <w:spacing w:before="100" w:beforeAutospacing="1" w:after="100" w:afterAutospacing="1"/>
              <w:rPr>
                <w:color w:val="000000"/>
              </w:rPr>
            </w:pPr>
            <w:r>
              <w:rPr>
                <w:color w:val="000000"/>
              </w:rPr>
              <w:t>1</w:t>
            </w:r>
          </w:p>
        </w:tc>
        <w:tc>
          <w:tcPr>
            <w:tcW w:w="1411" w:type="dxa"/>
            <w:vAlign w:val="center"/>
          </w:tcPr>
          <w:p>
            <w:pPr>
              <w:pStyle w:val="56"/>
              <w:spacing w:before="100" w:beforeAutospacing="1" w:after="100" w:afterAutospacing="1"/>
              <w:rPr>
                <w:color w:val="000000"/>
              </w:rPr>
            </w:pPr>
            <w:r>
              <w:rPr>
                <w:color w:val="000000"/>
              </w:rPr>
              <w:t>85</w:t>
            </w:r>
          </w:p>
        </w:tc>
        <w:tc>
          <w:tcPr>
            <w:tcW w:w="2070" w:type="dxa"/>
            <w:vAlign w:val="center"/>
          </w:tcPr>
          <w:p>
            <w:pPr>
              <w:pStyle w:val="56"/>
              <w:spacing w:before="100" w:beforeAutospacing="1" w:after="100" w:afterAutospacing="1"/>
              <w:rPr>
                <w:color w:val="000000"/>
              </w:rPr>
            </w:pPr>
            <w:r>
              <w:rPr>
                <w:color w:val="000000"/>
              </w:rPr>
              <w:t>低频、连续</w:t>
            </w:r>
          </w:p>
        </w:tc>
        <w:tc>
          <w:tcPr>
            <w:tcW w:w="2131" w:type="dxa"/>
            <w:vAlign w:val="center"/>
          </w:tcPr>
          <w:p>
            <w:pPr>
              <w:pStyle w:val="56"/>
              <w:spacing w:before="100" w:beforeAutospacing="1" w:after="100" w:afterAutospacing="1"/>
              <w:rPr>
                <w:color w:val="000000"/>
              </w:rPr>
            </w:pPr>
            <w:r>
              <w:rPr>
                <w:rFonts w:hint="eastAsia"/>
                <w:color w:val="000000"/>
              </w:rPr>
              <w:t>压滤间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842" w:type="dxa"/>
            <w:vAlign w:val="center"/>
          </w:tcPr>
          <w:p>
            <w:pPr>
              <w:snapToGrid w:val="0"/>
              <w:jc w:val="center"/>
              <w:rPr>
                <w:color w:val="000000"/>
              </w:rPr>
            </w:pPr>
            <w:r>
              <w:rPr>
                <w:rFonts w:ascii="Times New Roman" w:hAnsi="Times New Roman"/>
                <w:color w:val="000000"/>
                <w:szCs w:val="21"/>
              </w:rPr>
              <w:t>小空压机</w:t>
            </w:r>
          </w:p>
        </w:tc>
        <w:tc>
          <w:tcPr>
            <w:tcW w:w="1068" w:type="dxa"/>
            <w:vAlign w:val="center"/>
          </w:tcPr>
          <w:p>
            <w:pPr>
              <w:pStyle w:val="56"/>
              <w:spacing w:before="100" w:beforeAutospacing="1" w:after="100" w:afterAutospacing="1"/>
              <w:rPr>
                <w:color w:val="000000"/>
              </w:rPr>
            </w:pPr>
            <w:r>
              <w:rPr>
                <w:color w:val="000000"/>
              </w:rPr>
              <w:t>1</w:t>
            </w:r>
          </w:p>
        </w:tc>
        <w:tc>
          <w:tcPr>
            <w:tcW w:w="1411" w:type="dxa"/>
            <w:vAlign w:val="center"/>
          </w:tcPr>
          <w:p>
            <w:pPr>
              <w:pStyle w:val="56"/>
              <w:spacing w:before="100" w:beforeAutospacing="1" w:after="100" w:afterAutospacing="1"/>
              <w:rPr>
                <w:color w:val="000000"/>
              </w:rPr>
            </w:pPr>
            <w:r>
              <w:rPr>
                <w:color w:val="000000"/>
              </w:rPr>
              <w:t>85～95</w:t>
            </w:r>
          </w:p>
        </w:tc>
        <w:tc>
          <w:tcPr>
            <w:tcW w:w="2070" w:type="dxa"/>
            <w:vAlign w:val="center"/>
          </w:tcPr>
          <w:p>
            <w:pPr>
              <w:pStyle w:val="56"/>
              <w:spacing w:before="100" w:beforeAutospacing="1" w:after="100" w:afterAutospacing="1"/>
              <w:rPr>
                <w:color w:val="000000"/>
              </w:rPr>
            </w:pPr>
            <w:r>
              <w:rPr>
                <w:color w:val="000000"/>
              </w:rPr>
              <w:t>低频、连续</w:t>
            </w:r>
          </w:p>
        </w:tc>
        <w:tc>
          <w:tcPr>
            <w:tcW w:w="2131" w:type="dxa"/>
            <w:vAlign w:val="center"/>
          </w:tcPr>
          <w:p>
            <w:pPr>
              <w:pStyle w:val="56"/>
              <w:spacing w:before="100" w:beforeAutospacing="1" w:after="100" w:afterAutospacing="1"/>
              <w:rPr>
                <w:color w:val="000000"/>
              </w:rPr>
            </w:pPr>
            <w:r>
              <w:rPr>
                <w:rFonts w:hint="eastAsia"/>
                <w:color w:val="000000"/>
              </w:rPr>
              <w:t>压滤间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842" w:type="dxa"/>
            <w:vAlign w:val="center"/>
          </w:tcPr>
          <w:p>
            <w:pPr>
              <w:snapToGrid w:val="0"/>
              <w:jc w:val="center"/>
              <w:rPr>
                <w:color w:val="000000"/>
              </w:rPr>
            </w:pPr>
            <w:r>
              <w:rPr>
                <w:rFonts w:ascii="Times New Roman" w:hAnsi="Times New Roman"/>
                <w:color w:val="000000"/>
                <w:szCs w:val="21"/>
              </w:rPr>
              <w:t>冲洗水泵</w:t>
            </w:r>
          </w:p>
        </w:tc>
        <w:tc>
          <w:tcPr>
            <w:tcW w:w="1068" w:type="dxa"/>
            <w:vAlign w:val="center"/>
          </w:tcPr>
          <w:p>
            <w:pPr>
              <w:pStyle w:val="56"/>
              <w:spacing w:before="100" w:beforeAutospacing="1" w:after="100" w:afterAutospacing="1"/>
              <w:rPr>
                <w:color w:val="000000"/>
              </w:rPr>
            </w:pPr>
            <w:r>
              <w:rPr>
                <w:rFonts w:hint="eastAsia"/>
                <w:color w:val="000000"/>
              </w:rPr>
              <w:t>1</w:t>
            </w:r>
          </w:p>
        </w:tc>
        <w:tc>
          <w:tcPr>
            <w:tcW w:w="1411" w:type="dxa"/>
            <w:vAlign w:val="center"/>
          </w:tcPr>
          <w:p>
            <w:pPr>
              <w:pStyle w:val="56"/>
              <w:spacing w:before="100" w:beforeAutospacing="1" w:after="100" w:afterAutospacing="1"/>
              <w:rPr>
                <w:color w:val="000000"/>
              </w:rPr>
            </w:pPr>
            <w:r>
              <w:rPr>
                <w:rFonts w:hint="eastAsia"/>
                <w:color w:val="000000"/>
              </w:rPr>
              <w:t>90</w:t>
            </w:r>
          </w:p>
        </w:tc>
        <w:tc>
          <w:tcPr>
            <w:tcW w:w="2070" w:type="dxa"/>
            <w:vAlign w:val="center"/>
          </w:tcPr>
          <w:p>
            <w:pPr>
              <w:pStyle w:val="56"/>
              <w:spacing w:before="100" w:beforeAutospacing="1" w:after="100" w:afterAutospacing="1"/>
              <w:rPr>
                <w:color w:val="000000"/>
              </w:rPr>
            </w:pPr>
            <w:r>
              <w:rPr>
                <w:rFonts w:hint="eastAsia"/>
                <w:color w:val="000000"/>
              </w:rPr>
              <w:t>中频、连续</w:t>
            </w:r>
          </w:p>
        </w:tc>
        <w:tc>
          <w:tcPr>
            <w:tcW w:w="2131" w:type="dxa"/>
            <w:vAlign w:val="center"/>
          </w:tcPr>
          <w:p>
            <w:pPr>
              <w:pStyle w:val="56"/>
              <w:spacing w:before="100" w:beforeAutospacing="1" w:after="100" w:afterAutospacing="1"/>
              <w:rPr>
                <w:color w:val="000000"/>
              </w:rPr>
            </w:pPr>
            <w:r>
              <w:rPr>
                <w:rFonts w:hint="eastAsia"/>
                <w:color w:val="000000"/>
              </w:rPr>
              <w:t>压滤间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842" w:type="dxa"/>
            <w:vAlign w:val="center"/>
          </w:tcPr>
          <w:p>
            <w:pPr>
              <w:snapToGrid w:val="0"/>
              <w:jc w:val="center"/>
              <w:rPr>
                <w:color w:val="000000"/>
              </w:rPr>
            </w:pPr>
            <w:r>
              <w:rPr>
                <w:rFonts w:ascii="Times New Roman" w:hAnsi="Times New Roman"/>
                <w:color w:val="000000"/>
                <w:szCs w:val="21"/>
              </w:rPr>
              <w:t>液下泥浆泵</w:t>
            </w:r>
          </w:p>
        </w:tc>
        <w:tc>
          <w:tcPr>
            <w:tcW w:w="1068" w:type="dxa"/>
            <w:vAlign w:val="center"/>
          </w:tcPr>
          <w:p>
            <w:pPr>
              <w:pStyle w:val="56"/>
              <w:spacing w:before="100" w:beforeAutospacing="1" w:after="100" w:afterAutospacing="1"/>
              <w:rPr>
                <w:color w:val="000000"/>
              </w:rPr>
            </w:pPr>
            <w:r>
              <w:rPr>
                <w:rFonts w:hint="eastAsia"/>
                <w:color w:val="000000"/>
              </w:rPr>
              <w:t>1</w:t>
            </w:r>
          </w:p>
        </w:tc>
        <w:tc>
          <w:tcPr>
            <w:tcW w:w="1411" w:type="dxa"/>
            <w:vAlign w:val="center"/>
          </w:tcPr>
          <w:p>
            <w:pPr>
              <w:pStyle w:val="56"/>
              <w:spacing w:before="100" w:beforeAutospacing="1" w:after="100" w:afterAutospacing="1"/>
              <w:rPr>
                <w:color w:val="000000"/>
              </w:rPr>
            </w:pPr>
            <w:r>
              <w:rPr>
                <w:rFonts w:hint="eastAsia"/>
                <w:color w:val="000000"/>
              </w:rPr>
              <w:t>100</w:t>
            </w:r>
          </w:p>
        </w:tc>
        <w:tc>
          <w:tcPr>
            <w:tcW w:w="2070" w:type="dxa"/>
            <w:vAlign w:val="center"/>
          </w:tcPr>
          <w:p>
            <w:pPr>
              <w:pStyle w:val="56"/>
              <w:spacing w:before="100" w:beforeAutospacing="1" w:after="100" w:afterAutospacing="1"/>
              <w:rPr>
                <w:color w:val="000000"/>
              </w:rPr>
            </w:pPr>
            <w:r>
              <w:rPr>
                <w:rFonts w:hint="eastAsia"/>
                <w:color w:val="000000"/>
              </w:rPr>
              <w:t>高频，连续</w:t>
            </w:r>
          </w:p>
        </w:tc>
        <w:tc>
          <w:tcPr>
            <w:tcW w:w="2131" w:type="dxa"/>
            <w:vAlign w:val="center"/>
          </w:tcPr>
          <w:p>
            <w:pPr>
              <w:pStyle w:val="56"/>
              <w:spacing w:before="100" w:beforeAutospacing="1" w:after="100" w:afterAutospacing="1"/>
              <w:rPr>
                <w:color w:val="000000"/>
              </w:rPr>
            </w:pPr>
            <w:r>
              <w:rPr>
                <w:rFonts w:hint="eastAsia"/>
                <w:color w:val="000000"/>
              </w:rPr>
              <w:t>厂区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842" w:type="dxa"/>
            <w:vAlign w:val="center"/>
          </w:tcPr>
          <w:p>
            <w:pPr>
              <w:snapToGrid w:val="0"/>
              <w:jc w:val="center"/>
              <w:rPr>
                <w:color w:val="000000"/>
              </w:rPr>
            </w:pPr>
            <w:r>
              <w:rPr>
                <w:rFonts w:ascii="Times New Roman" w:hAnsi="Times New Roman"/>
                <w:color w:val="000000"/>
                <w:szCs w:val="21"/>
              </w:rPr>
              <w:t>单梁桥式起重机</w:t>
            </w:r>
          </w:p>
        </w:tc>
        <w:tc>
          <w:tcPr>
            <w:tcW w:w="1068" w:type="dxa"/>
            <w:vAlign w:val="center"/>
          </w:tcPr>
          <w:p>
            <w:pPr>
              <w:pStyle w:val="56"/>
              <w:spacing w:before="100" w:beforeAutospacing="1" w:after="100" w:afterAutospacing="1"/>
              <w:rPr>
                <w:color w:val="000000"/>
              </w:rPr>
            </w:pPr>
            <w:r>
              <w:rPr>
                <w:rFonts w:hint="eastAsia"/>
                <w:color w:val="000000"/>
              </w:rPr>
              <w:t>1</w:t>
            </w:r>
          </w:p>
        </w:tc>
        <w:tc>
          <w:tcPr>
            <w:tcW w:w="1411" w:type="dxa"/>
            <w:vAlign w:val="center"/>
          </w:tcPr>
          <w:p>
            <w:pPr>
              <w:pStyle w:val="56"/>
              <w:spacing w:before="100" w:beforeAutospacing="1" w:after="100" w:afterAutospacing="1"/>
              <w:rPr>
                <w:color w:val="000000"/>
              </w:rPr>
            </w:pPr>
            <w:r>
              <w:rPr>
                <w:rFonts w:hint="eastAsia"/>
                <w:color w:val="000000"/>
              </w:rPr>
              <w:t>100</w:t>
            </w:r>
          </w:p>
        </w:tc>
        <w:tc>
          <w:tcPr>
            <w:tcW w:w="2070" w:type="dxa"/>
            <w:vAlign w:val="center"/>
          </w:tcPr>
          <w:p>
            <w:pPr>
              <w:pStyle w:val="56"/>
              <w:spacing w:before="100" w:beforeAutospacing="1" w:after="100" w:afterAutospacing="1"/>
              <w:rPr>
                <w:color w:val="000000"/>
              </w:rPr>
            </w:pPr>
            <w:r>
              <w:rPr>
                <w:rFonts w:hint="eastAsia"/>
                <w:color w:val="000000"/>
              </w:rPr>
              <w:t>高频，连续</w:t>
            </w:r>
          </w:p>
        </w:tc>
        <w:tc>
          <w:tcPr>
            <w:tcW w:w="2131" w:type="dxa"/>
            <w:vAlign w:val="center"/>
          </w:tcPr>
          <w:p>
            <w:pPr>
              <w:pStyle w:val="56"/>
              <w:spacing w:before="100" w:beforeAutospacing="1" w:after="100" w:afterAutospacing="1"/>
              <w:rPr>
                <w:color w:val="000000"/>
              </w:rPr>
            </w:pPr>
            <w:r>
              <w:rPr>
                <w:rFonts w:hint="eastAsia"/>
                <w:color w:val="000000"/>
              </w:rPr>
              <w:t>厂区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842" w:type="dxa"/>
            <w:vAlign w:val="center"/>
          </w:tcPr>
          <w:p>
            <w:pPr>
              <w:pStyle w:val="56"/>
              <w:spacing w:before="100" w:beforeAutospacing="1" w:after="100" w:afterAutospacing="1"/>
              <w:rPr>
                <w:color w:val="000000"/>
              </w:rPr>
            </w:pPr>
            <w:r>
              <w:rPr>
                <w:color w:val="000000"/>
              </w:rPr>
              <w:t>运输车辆</w:t>
            </w:r>
          </w:p>
        </w:tc>
        <w:tc>
          <w:tcPr>
            <w:tcW w:w="1068" w:type="dxa"/>
            <w:vAlign w:val="center"/>
          </w:tcPr>
          <w:p>
            <w:pPr>
              <w:pStyle w:val="56"/>
              <w:spacing w:before="100" w:beforeAutospacing="1" w:after="100" w:afterAutospacing="1"/>
              <w:rPr>
                <w:color w:val="000000"/>
              </w:rPr>
            </w:pPr>
            <w:r>
              <w:rPr>
                <w:color w:val="000000"/>
              </w:rPr>
              <w:t>1</w:t>
            </w:r>
          </w:p>
        </w:tc>
        <w:tc>
          <w:tcPr>
            <w:tcW w:w="1411" w:type="dxa"/>
            <w:vAlign w:val="center"/>
          </w:tcPr>
          <w:p>
            <w:pPr>
              <w:pStyle w:val="56"/>
              <w:spacing w:before="100" w:beforeAutospacing="1" w:after="100" w:afterAutospacing="1"/>
              <w:rPr>
                <w:color w:val="000000"/>
              </w:rPr>
            </w:pPr>
            <w:r>
              <w:rPr>
                <w:color w:val="000000"/>
              </w:rPr>
              <w:t>85</w:t>
            </w:r>
          </w:p>
        </w:tc>
        <w:tc>
          <w:tcPr>
            <w:tcW w:w="2070" w:type="dxa"/>
            <w:vAlign w:val="center"/>
          </w:tcPr>
          <w:p>
            <w:pPr>
              <w:pStyle w:val="56"/>
              <w:spacing w:before="100" w:beforeAutospacing="1" w:after="100" w:afterAutospacing="1"/>
              <w:rPr>
                <w:color w:val="000000"/>
              </w:rPr>
            </w:pPr>
            <w:r>
              <w:rPr>
                <w:color w:val="000000"/>
              </w:rPr>
              <w:t>低频、非连续</w:t>
            </w:r>
          </w:p>
        </w:tc>
        <w:tc>
          <w:tcPr>
            <w:tcW w:w="2131" w:type="dxa"/>
            <w:vAlign w:val="center"/>
          </w:tcPr>
          <w:p>
            <w:pPr>
              <w:pStyle w:val="56"/>
              <w:spacing w:before="100" w:beforeAutospacing="1" w:after="100" w:afterAutospacing="1"/>
              <w:rPr>
                <w:color w:val="000000"/>
              </w:rPr>
            </w:pPr>
            <w:r>
              <w:rPr>
                <w:color w:val="000000"/>
              </w:rPr>
              <w:t>道路</w:t>
            </w:r>
          </w:p>
        </w:tc>
      </w:tr>
    </w:tbl>
    <w:p>
      <w:pPr>
        <w:adjustRightInd w:val="0"/>
        <w:snapToGrid w:val="0"/>
        <w:spacing w:beforeLines="50" w:line="360" w:lineRule="auto"/>
        <w:ind w:firstLine="482"/>
        <w:rPr>
          <w:rFonts w:ascii="Times New Roman" w:hAnsi="Times New Roman"/>
          <w:sz w:val="24"/>
          <w:szCs w:val="21"/>
        </w:rPr>
      </w:pPr>
      <w:r>
        <w:rPr>
          <w:rFonts w:ascii="Times New Roman" w:hAnsi="Times New Roman"/>
          <w:sz w:val="24"/>
          <w:szCs w:val="21"/>
        </w:rPr>
        <w:t>（</w:t>
      </w:r>
      <w:r>
        <w:rPr>
          <w:rFonts w:hint="eastAsia" w:ascii="Times New Roman" w:hAnsi="Times New Roman"/>
          <w:sz w:val="24"/>
          <w:szCs w:val="21"/>
        </w:rPr>
        <w:t>3</w:t>
      </w:r>
      <w:r>
        <w:rPr>
          <w:rFonts w:ascii="Times New Roman" w:hAnsi="Times New Roman"/>
          <w:sz w:val="24"/>
          <w:szCs w:val="21"/>
        </w:rPr>
        <w:t>）评价量</w:t>
      </w:r>
    </w:p>
    <w:p>
      <w:pPr>
        <w:adjustRightInd w:val="0"/>
        <w:snapToGrid w:val="0"/>
        <w:spacing w:line="360" w:lineRule="auto"/>
        <w:ind w:firstLine="480"/>
        <w:rPr>
          <w:rFonts w:ascii="Times New Roman" w:hAnsi="Times New Roman"/>
          <w:sz w:val="24"/>
          <w:szCs w:val="21"/>
        </w:rPr>
      </w:pPr>
      <w:r>
        <w:rPr>
          <w:rFonts w:ascii="Times New Roman" w:hAnsi="Times New Roman"/>
          <w:sz w:val="24"/>
          <w:szCs w:val="21"/>
        </w:rPr>
        <w:t>根据HJ2.4-2009《环境影响评价技术导则 声环境》的规定，</w:t>
      </w:r>
      <w:r>
        <w:rPr>
          <w:rFonts w:hint="eastAsia" w:ascii="Times New Roman" w:hAnsi="Times New Roman"/>
          <w:sz w:val="24"/>
          <w:szCs w:val="21"/>
        </w:rPr>
        <w:t>改扩建</w:t>
      </w:r>
      <w:r>
        <w:rPr>
          <w:rFonts w:ascii="Times New Roman" w:hAnsi="Times New Roman"/>
          <w:sz w:val="24"/>
          <w:szCs w:val="21"/>
        </w:rPr>
        <w:t>项目以</w:t>
      </w:r>
      <w:r>
        <w:rPr>
          <w:rFonts w:hint="eastAsia" w:ascii="Times New Roman" w:hAnsi="Times New Roman"/>
          <w:sz w:val="24"/>
          <w:szCs w:val="21"/>
        </w:rPr>
        <w:t>工程噪声贡献值与受到现有工程影响的边界噪声值叠加后的预测值</w:t>
      </w:r>
      <w:r>
        <w:rPr>
          <w:rFonts w:ascii="Times New Roman" w:hAnsi="Times New Roman"/>
          <w:sz w:val="24"/>
          <w:szCs w:val="21"/>
        </w:rPr>
        <w:t>作为评价量。</w:t>
      </w:r>
    </w:p>
    <w:p>
      <w:pPr>
        <w:spacing w:line="360" w:lineRule="auto"/>
        <w:ind w:firstLine="480" w:firstLineChars="200"/>
        <w:rPr>
          <w:rFonts w:ascii="Times New Roman" w:hAnsi="Times New Roman"/>
          <w:sz w:val="24"/>
          <w:szCs w:val="21"/>
        </w:rPr>
      </w:pPr>
      <w:r>
        <w:rPr>
          <w:rFonts w:ascii="Times New Roman" w:hAnsi="Times New Roman"/>
          <w:sz w:val="24"/>
          <w:szCs w:val="21"/>
        </w:rPr>
        <w:t>（</w:t>
      </w:r>
      <w:r>
        <w:rPr>
          <w:rFonts w:hint="eastAsia" w:ascii="Times New Roman" w:hAnsi="Times New Roman"/>
          <w:sz w:val="24"/>
          <w:szCs w:val="21"/>
        </w:rPr>
        <w:t>4</w:t>
      </w:r>
      <w:r>
        <w:rPr>
          <w:rFonts w:ascii="Times New Roman" w:hAnsi="Times New Roman"/>
          <w:sz w:val="24"/>
          <w:szCs w:val="21"/>
        </w:rPr>
        <w:t>）预测模式</w:t>
      </w:r>
    </w:p>
    <w:p>
      <w:pPr>
        <w:spacing w:line="360" w:lineRule="auto"/>
        <w:ind w:firstLine="480" w:firstLineChars="200"/>
        <w:rPr>
          <w:rFonts w:ascii="Times New Roman" w:hAnsi="Times New Roman"/>
        </w:rPr>
      </w:pPr>
      <w:r>
        <w:rPr>
          <w:rFonts w:ascii="Times New Roman" w:hAnsi="Times New Roman"/>
          <w:sz w:val="24"/>
          <w:szCs w:val="21"/>
        </w:rPr>
        <w:t>项目噪声根据以下公式进行预测：</w:t>
      </w:r>
    </w:p>
    <w:p>
      <w:pPr>
        <w:spacing w:line="360" w:lineRule="auto"/>
        <w:ind w:firstLine="480" w:firstLineChars="200"/>
        <w:rPr>
          <w:rFonts w:ascii="Times New Roman" w:hAnsi="Times New Roman"/>
          <w:sz w:val="24"/>
          <w:szCs w:val="21"/>
        </w:rPr>
      </w:pPr>
      <w:r>
        <w:rPr>
          <w:rFonts w:ascii="Times New Roman" w:hAnsi="Times New Roman"/>
          <w:sz w:val="24"/>
          <w:szCs w:val="21"/>
        </w:rPr>
        <w:t>①N个噪声源叠加公式：</w:t>
      </w:r>
    </w:p>
    <w:p>
      <w:pPr>
        <w:spacing w:line="360" w:lineRule="auto"/>
        <w:rPr>
          <w:rFonts w:ascii="Times New Roman" w:hAnsi="Times New Roman"/>
        </w:rPr>
      </w:pPr>
      <w:r>
        <w:rPr>
          <w:rFonts w:ascii="Times New Roman" w:hAnsi="Times New Roman"/>
        </w:rPr>
        <w:pict>
          <v:shape id="对象 98" o:spid="_x0000_s1374" o:spt="75" type="#_x0000_t75" style="position:absolute;left:0pt;margin-left:117.1pt;margin-top:1.55pt;height:28.85pt;width:173.15pt;z-index:251707392;mso-width-relative:page;mso-height-relative:page;" o:ole="t" filled="f" o:preferrelative="t" stroked="f" coordsize="21600,21600">
            <v:path/>
            <v:fill on="f" focussize="0,0"/>
            <v:stroke on="f" joinstyle="miter"/>
            <v:imagedata r:id="rId27" o:title=""/>
            <o:lock v:ext="edit" aspectratio="t"/>
          </v:shape>
          <o:OLEObject Type="Embed" ProgID="Equation.3" ShapeID="对象 98" DrawAspect="Content" ObjectID="_1468075731" r:id="rId26">
            <o:LockedField>false</o:LockedField>
          </o:OLEObject>
        </w:pict>
      </w:r>
    </w:p>
    <w:p>
      <w:pPr>
        <w:spacing w:beforeLines="50" w:line="360" w:lineRule="auto"/>
        <w:ind w:firstLine="480" w:firstLineChars="200"/>
        <w:rPr>
          <w:rFonts w:ascii="Times New Roman" w:hAnsi="Times New Roman"/>
          <w:sz w:val="24"/>
        </w:rPr>
      </w:pPr>
      <w:r>
        <w:rPr>
          <w:rFonts w:ascii="Times New Roman" w:hAnsi="Times New Roman"/>
          <w:sz w:val="24"/>
        </w:rPr>
        <w:t>式中：L—总等效声级，dB(A)；</w:t>
      </w:r>
    </w:p>
    <w:p>
      <w:pPr>
        <w:spacing w:line="360" w:lineRule="auto"/>
        <w:ind w:firstLine="480" w:firstLineChars="200"/>
        <w:rPr>
          <w:rFonts w:ascii="Times New Roman" w:hAnsi="Times New Roman"/>
          <w:sz w:val="24"/>
        </w:rPr>
      </w:pPr>
      <w:r>
        <w:rPr>
          <w:rFonts w:ascii="Times New Roman" w:hAnsi="Times New Roman"/>
          <w:sz w:val="24"/>
        </w:rPr>
        <w:t xml:space="preserve">      L</w:t>
      </w:r>
      <w:r>
        <w:rPr>
          <w:rFonts w:ascii="Times New Roman" w:hAnsi="Times New Roman"/>
          <w:sz w:val="24"/>
          <w:vertAlign w:val="subscript"/>
        </w:rPr>
        <w:t>1</w:t>
      </w:r>
      <w:r>
        <w:rPr>
          <w:rFonts w:ascii="Times New Roman" w:hAnsi="Times New Roman"/>
          <w:sz w:val="24"/>
        </w:rPr>
        <w:t>、L</w:t>
      </w:r>
      <w:r>
        <w:rPr>
          <w:rFonts w:ascii="Times New Roman" w:hAnsi="Times New Roman"/>
          <w:sz w:val="24"/>
          <w:vertAlign w:val="subscript"/>
        </w:rPr>
        <w:t>2</w:t>
      </w:r>
      <w:r>
        <w:rPr>
          <w:rFonts w:ascii="Times New Roman" w:hAnsi="Times New Roman"/>
          <w:sz w:val="24"/>
        </w:rPr>
        <w:t>、……L</w:t>
      </w:r>
      <w:r>
        <w:rPr>
          <w:rFonts w:ascii="Times New Roman" w:hAnsi="Times New Roman"/>
          <w:sz w:val="24"/>
          <w:vertAlign w:val="subscript"/>
        </w:rPr>
        <w:t>n</w:t>
      </w:r>
      <w:r>
        <w:rPr>
          <w:rFonts w:ascii="Times New Roman" w:hAnsi="Times New Roman"/>
          <w:sz w:val="24"/>
        </w:rPr>
        <w:t>—分别是N个噪声源的等效声级，dB(A)。</w:t>
      </w:r>
    </w:p>
    <w:p>
      <w:pPr>
        <w:spacing w:line="360" w:lineRule="auto"/>
        <w:ind w:firstLine="480" w:firstLineChars="200"/>
        <w:rPr>
          <w:rFonts w:ascii="Times New Roman" w:hAnsi="Times New Roman"/>
          <w:sz w:val="24"/>
        </w:rPr>
      </w:pPr>
      <w:r>
        <w:rPr>
          <w:rFonts w:ascii="Times New Roman" w:hAnsi="Times New Roman"/>
          <w:sz w:val="24"/>
        </w:rPr>
        <w:t>②噪声随距离增加引起的衰减公式：</w:t>
      </w:r>
    </w:p>
    <w:p>
      <w:pPr>
        <w:spacing w:line="360" w:lineRule="auto"/>
        <w:jc w:val="center"/>
        <w:outlineLvl w:val="0"/>
        <w:rPr>
          <w:rFonts w:ascii="Times New Roman" w:hAnsi="Times New Roman"/>
          <w:sz w:val="24"/>
        </w:rPr>
      </w:pPr>
      <w:r>
        <w:rPr>
          <w:rFonts w:ascii="Times New Roman" w:hAnsi="Times New Roman"/>
          <w:sz w:val="24"/>
        </w:rPr>
        <w:t>L</w:t>
      </w:r>
      <w:r>
        <w:rPr>
          <w:rFonts w:ascii="Times New Roman" w:hAnsi="Times New Roman"/>
          <w:sz w:val="24"/>
          <w:vertAlign w:val="subscript"/>
        </w:rPr>
        <w:t>A</w:t>
      </w:r>
      <w:r>
        <w:rPr>
          <w:rFonts w:ascii="Times New Roman" w:hAnsi="Times New Roman"/>
          <w:sz w:val="24"/>
        </w:rPr>
        <w:t>(r)=L</w:t>
      </w:r>
      <w:r>
        <w:rPr>
          <w:rFonts w:ascii="Times New Roman" w:hAnsi="Times New Roman"/>
          <w:sz w:val="24"/>
          <w:vertAlign w:val="subscript"/>
        </w:rPr>
        <w:t>wa</w:t>
      </w:r>
      <w:r>
        <w:rPr>
          <w:rFonts w:ascii="Times New Roman" w:hAnsi="Times New Roman"/>
          <w:sz w:val="24"/>
        </w:rPr>
        <w:t>-20lg(r)-8</w:t>
      </w:r>
    </w:p>
    <w:p>
      <w:pPr>
        <w:spacing w:line="360" w:lineRule="auto"/>
        <w:ind w:firstLine="480" w:firstLineChars="200"/>
        <w:rPr>
          <w:rFonts w:ascii="Times New Roman" w:hAnsi="Times New Roman"/>
          <w:sz w:val="24"/>
        </w:rPr>
      </w:pPr>
      <w:r>
        <w:rPr>
          <w:rFonts w:ascii="Times New Roman" w:hAnsi="Times New Roman"/>
          <w:sz w:val="24"/>
        </w:rPr>
        <w:t>式中：L</w:t>
      </w:r>
      <w:r>
        <w:rPr>
          <w:rFonts w:ascii="Times New Roman" w:hAnsi="Times New Roman"/>
          <w:sz w:val="24"/>
          <w:vertAlign w:val="subscript"/>
        </w:rPr>
        <w:t>A</w:t>
      </w:r>
      <w:r>
        <w:rPr>
          <w:rFonts w:ascii="Times New Roman" w:hAnsi="Times New Roman"/>
          <w:sz w:val="24"/>
        </w:rPr>
        <w:t>(r)—距点源r处噪声值，dB(A)；</w:t>
      </w:r>
    </w:p>
    <w:p>
      <w:pPr>
        <w:spacing w:line="360" w:lineRule="auto"/>
        <w:ind w:firstLine="1200" w:firstLineChars="500"/>
        <w:rPr>
          <w:rFonts w:ascii="Times New Roman" w:hAnsi="Times New Roman"/>
          <w:sz w:val="24"/>
        </w:rPr>
      </w:pPr>
      <w:r>
        <w:rPr>
          <w:rFonts w:ascii="Times New Roman" w:hAnsi="Times New Roman"/>
          <w:sz w:val="24"/>
        </w:rPr>
        <w:t>r—是距噪声源的距离，米，</w:t>
      </w:r>
    </w:p>
    <w:p>
      <w:pPr>
        <w:spacing w:line="360" w:lineRule="auto"/>
        <w:ind w:firstLine="1200" w:firstLineChars="500"/>
        <w:rPr>
          <w:rFonts w:ascii="Times New Roman" w:hAnsi="Times New Roman"/>
          <w:sz w:val="24"/>
        </w:rPr>
      </w:pPr>
      <w:r>
        <w:rPr>
          <w:rFonts w:ascii="Times New Roman" w:hAnsi="Times New Roman"/>
          <w:sz w:val="24"/>
        </w:rPr>
        <w:t>L</w:t>
      </w:r>
      <w:r>
        <w:rPr>
          <w:rFonts w:ascii="Times New Roman" w:hAnsi="Times New Roman"/>
          <w:sz w:val="24"/>
          <w:vertAlign w:val="subscript"/>
        </w:rPr>
        <w:t>wa</w:t>
      </w:r>
      <w:r>
        <w:rPr>
          <w:rFonts w:ascii="Times New Roman" w:hAnsi="Times New Roman"/>
          <w:sz w:val="24"/>
        </w:rPr>
        <w:t>—是点声源的声压级，dB(A)。</w:t>
      </w:r>
    </w:p>
    <w:p>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6</w:t>
      </w:r>
      <w:r>
        <w:rPr>
          <w:rFonts w:ascii="Times New Roman" w:hAnsi="Times New Roman"/>
          <w:sz w:val="24"/>
        </w:rPr>
        <w:t>）预测结果与分析评价</w:t>
      </w:r>
    </w:p>
    <w:p>
      <w:pPr>
        <w:pStyle w:val="2"/>
        <w:kinsoku w:val="0"/>
        <w:overflowPunct w:val="0"/>
        <w:spacing w:line="360" w:lineRule="auto"/>
        <w:ind w:firstLine="480" w:firstLineChars="200"/>
        <w:rPr>
          <w:rFonts w:ascii="Times New Roman" w:hAnsi="Times New Roman"/>
          <w:sz w:val="24"/>
        </w:rPr>
      </w:pPr>
      <w:r>
        <w:rPr>
          <w:rFonts w:ascii="Times New Roman" w:hAnsi="Times New Roman"/>
          <w:sz w:val="24"/>
        </w:rPr>
        <w:t>经计算后的</w:t>
      </w:r>
      <w:r>
        <w:rPr>
          <w:rFonts w:hint="eastAsia" w:ascii="Times New Roman" w:hAnsi="Times New Roman"/>
          <w:sz w:val="24"/>
        </w:rPr>
        <w:t>本项目厂界</w:t>
      </w:r>
      <w:r>
        <w:rPr>
          <w:rFonts w:ascii="Times New Roman" w:hAnsi="Times New Roman"/>
          <w:sz w:val="24"/>
        </w:rPr>
        <w:t>噪声贡献值情况见</w:t>
      </w:r>
      <w:r>
        <w:rPr>
          <w:rFonts w:hint="eastAsia" w:ascii="Times New Roman" w:hAnsi="Times New Roman"/>
          <w:sz w:val="24"/>
        </w:rPr>
        <w:t>下表</w:t>
      </w:r>
      <w:r>
        <w:rPr>
          <w:rFonts w:ascii="Times New Roman" w:hAnsi="Times New Roman"/>
          <w:sz w:val="24"/>
        </w:rPr>
        <w:t>。</w:t>
      </w:r>
    </w:p>
    <w:p>
      <w:pPr>
        <w:jc w:val="center"/>
        <w:rPr>
          <w:rFonts w:ascii="Times New Roman" w:hAnsi="Times New Roman"/>
          <w:b/>
          <w:color w:val="000000"/>
          <w:sz w:val="24"/>
        </w:rPr>
      </w:pPr>
      <w:r>
        <w:rPr>
          <w:rFonts w:ascii="Times New Roman" w:hAnsi="Times New Roman"/>
          <w:b/>
          <w:color w:val="000000"/>
          <w:sz w:val="24"/>
        </w:rPr>
        <w:t>表5-</w:t>
      </w:r>
      <w:r>
        <w:rPr>
          <w:rFonts w:hint="eastAsia" w:ascii="Times New Roman" w:hAnsi="Times New Roman"/>
          <w:b/>
          <w:color w:val="000000"/>
          <w:sz w:val="24"/>
        </w:rPr>
        <w:t>10本项目厂界</w:t>
      </w:r>
      <w:r>
        <w:rPr>
          <w:rFonts w:ascii="Times New Roman" w:hAnsi="Times New Roman"/>
          <w:b/>
          <w:color w:val="000000"/>
          <w:sz w:val="24"/>
        </w:rPr>
        <w:t>噪声预测结果一览表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079"/>
        <w:gridCol w:w="1137"/>
        <w:gridCol w:w="1151"/>
        <w:gridCol w:w="1035"/>
        <w:gridCol w:w="1108"/>
        <w:gridCol w:w="1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889" w:type="dxa"/>
            <w:vMerge w:val="restart"/>
            <w:tcBorders>
              <w:top w:val="single" w:color="auto" w:sz="12" w:space="0"/>
              <w:left w:val="nil"/>
              <w:right w:val="single" w:color="auto" w:sz="4" w:space="0"/>
            </w:tcBorders>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预测点号</w:t>
            </w:r>
          </w:p>
        </w:tc>
        <w:tc>
          <w:tcPr>
            <w:tcW w:w="3367" w:type="dxa"/>
            <w:gridSpan w:val="3"/>
            <w:tcBorders>
              <w:top w:val="single" w:color="auto" w:sz="12" w:space="0"/>
              <w:left w:val="single" w:color="auto" w:sz="4" w:space="0"/>
              <w:bottom w:val="single" w:color="auto" w:sz="8" w:space="0"/>
              <w:right w:val="single" w:color="auto" w:sz="4" w:space="0"/>
            </w:tcBorders>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昼间</w:t>
            </w:r>
          </w:p>
        </w:tc>
        <w:tc>
          <w:tcPr>
            <w:tcW w:w="3424" w:type="dxa"/>
            <w:gridSpan w:val="3"/>
            <w:tcBorders>
              <w:top w:val="single" w:color="auto" w:sz="12" w:space="0"/>
              <w:left w:val="single" w:color="auto" w:sz="8" w:space="0"/>
              <w:bottom w:val="single" w:color="auto" w:sz="8" w:space="0"/>
            </w:tcBorders>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1889" w:type="dxa"/>
            <w:vMerge w:val="continue"/>
            <w:tcBorders>
              <w:left w:val="nil"/>
              <w:bottom w:val="single" w:color="auto" w:sz="4" w:space="0"/>
              <w:right w:val="single" w:color="auto" w:sz="4" w:space="0"/>
            </w:tcBorders>
            <w:vAlign w:val="center"/>
          </w:tcPr>
          <w:p>
            <w:pPr>
              <w:adjustRightInd w:val="0"/>
              <w:snapToGrid w:val="0"/>
              <w:jc w:val="center"/>
              <w:rPr>
                <w:rFonts w:ascii="Times New Roman" w:hAnsi="Times New Roman"/>
                <w:color w:val="000000"/>
                <w:szCs w:val="21"/>
              </w:rPr>
            </w:pPr>
          </w:p>
        </w:tc>
        <w:tc>
          <w:tcPr>
            <w:tcW w:w="1079" w:type="dxa"/>
            <w:tcBorders>
              <w:top w:val="single" w:color="auto" w:sz="8" w:space="0"/>
              <w:left w:val="single" w:color="auto" w:sz="4" w:space="0"/>
              <w:right w:val="single" w:color="auto" w:sz="4" w:space="0"/>
            </w:tcBorders>
            <w:vAlign w:val="center"/>
          </w:tcPr>
          <w:p>
            <w:pPr>
              <w:widowControl/>
              <w:adjustRightInd w:val="0"/>
              <w:snapToGrid w:val="0"/>
              <w:jc w:val="center"/>
              <w:rPr>
                <w:rFonts w:ascii="Times New Roman" w:hAnsi="Times New Roman"/>
                <w:color w:val="000000"/>
                <w:szCs w:val="21"/>
              </w:rPr>
            </w:pPr>
            <w:r>
              <w:rPr>
                <w:rFonts w:ascii="Times New Roman" w:hAnsi="Times New Roman"/>
                <w:color w:val="000000"/>
                <w:kern w:val="0"/>
                <w:szCs w:val="21"/>
              </w:rPr>
              <w:t>现状值</w:t>
            </w:r>
          </w:p>
        </w:tc>
        <w:tc>
          <w:tcPr>
            <w:tcW w:w="1137" w:type="dxa"/>
            <w:tcBorders>
              <w:top w:val="single" w:color="auto" w:sz="8" w:space="0"/>
              <w:left w:val="single" w:color="auto" w:sz="4" w:space="0"/>
              <w:right w:val="single" w:color="auto" w:sz="8" w:space="0"/>
            </w:tcBorders>
            <w:vAlign w:val="center"/>
          </w:tcPr>
          <w:p>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贡献值</w:t>
            </w:r>
          </w:p>
        </w:tc>
        <w:tc>
          <w:tcPr>
            <w:tcW w:w="1151" w:type="dxa"/>
            <w:tcBorders>
              <w:top w:val="single" w:color="auto" w:sz="8" w:space="0"/>
              <w:left w:val="single" w:color="auto" w:sz="8" w:space="0"/>
              <w:right w:val="single" w:color="auto" w:sz="4" w:space="0"/>
            </w:tcBorders>
            <w:vAlign w:val="center"/>
          </w:tcPr>
          <w:p>
            <w:pPr>
              <w:widowControl/>
              <w:adjustRightInd w:val="0"/>
              <w:snapToGrid w:val="0"/>
              <w:jc w:val="center"/>
              <w:rPr>
                <w:rFonts w:ascii="Times New Roman" w:hAnsi="Times New Roman"/>
                <w:color w:val="000000"/>
                <w:szCs w:val="21"/>
              </w:rPr>
            </w:pPr>
            <w:r>
              <w:rPr>
                <w:rFonts w:ascii="Times New Roman" w:hAnsi="Times New Roman"/>
                <w:color w:val="000000"/>
                <w:kern w:val="0"/>
                <w:szCs w:val="21"/>
              </w:rPr>
              <w:t>预测值</w:t>
            </w:r>
          </w:p>
        </w:tc>
        <w:tc>
          <w:tcPr>
            <w:tcW w:w="1035" w:type="dxa"/>
            <w:tcBorders>
              <w:top w:val="single" w:color="auto" w:sz="8" w:space="0"/>
              <w:left w:val="single" w:color="auto" w:sz="8"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szCs w:val="21"/>
              </w:rPr>
            </w:pPr>
            <w:r>
              <w:rPr>
                <w:rFonts w:ascii="Times New Roman" w:hAnsi="Times New Roman"/>
                <w:color w:val="000000"/>
                <w:kern w:val="0"/>
                <w:szCs w:val="21"/>
              </w:rPr>
              <w:t>现状值</w:t>
            </w:r>
          </w:p>
        </w:tc>
        <w:tc>
          <w:tcPr>
            <w:tcW w:w="1108" w:type="dxa"/>
            <w:tcBorders>
              <w:top w:val="single" w:color="auto" w:sz="8" w:space="0"/>
              <w:left w:val="single" w:color="auto" w:sz="4" w:space="0"/>
              <w:bottom w:val="single" w:color="auto" w:sz="4" w:space="0"/>
              <w:right w:val="single" w:color="auto" w:sz="8" w:space="0"/>
            </w:tcBorders>
            <w:vAlign w:val="center"/>
          </w:tcPr>
          <w:p>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贡献值</w:t>
            </w:r>
          </w:p>
        </w:tc>
        <w:tc>
          <w:tcPr>
            <w:tcW w:w="1281" w:type="dxa"/>
            <w:tcBorders>
              <w:top w:val="single" w:color="auto" w:sz="8" w:space="0"/>
              <w:left w:val="single" w:color="auto" w:sz="8" w:space="0"/>
              <w:bottom w:val="single" w:color="auto" w:sz="4" w:space="0"/>
            </w:tcBorders>
            <w:vAlign w:val="center"/>
          </w:tcPr>
          <w:p>
            <w:pPr>
              <w:widowControl/>
              <w:adjustRightInd w:val="0"/>
              <w:snapToGrid w:val="0"/>
              <w:jc w:val="center"/>
              <w:rPr>
                <w:rFonts w:ascii="Times New Roman" w:hAnsi="Times New Roman"/>
                <w:color w:val="000000"/>
                <w:szCs w:val="21"/>
              </w:rPr>
            </w:pPr>
            <w:r>
              <w:rPr>
                <w:rFonts w:ascii="Times New Roman" w:hAnsi="Times New Roman"/>
                <w:color w:val="000000"/>
                <w:kern w:val="0"/>
                <w:szCs w:val="21"/>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88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color w:val="000000"/>
              </w:rPr>
            </w:pPr>
            <w:r>
              <w:rPr>
                <w:rFonts w:hint="eastAsia"/>
                <w:color w:val="000000"/>
                <w:szCs w:val="21"/>
              </w:rPr>
              <w:t>厂区东侧1m处</w:t>
            </w:r>
          </w:p>
        </w:tc>
        <w:tc>
          <w:tcPr>
            <w:tcW w:w="1079" w:type="dxa"/>
            <w:tcBorders>
              <w:top w:val="single" w:color="auto" w:sz="4" w:space="0"/>
              <w:left w:val="single" w:color="auto" w:sz="4"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50.6</w:t>
            </w:r>
          </w:p>
        </w:tc>
        <w:tc>
          <w:tcPr>
            <w:tcW w:w="1137" w:type="dxa"/>
            <w:tcBorders>
              <w:top w:val="single" w:color="auto" w:sz="4" w:space="0"/>
              <w:left w:val="single" w:color="auto" w:sz="4" w:space="0"/>
              <w:bottom w:val="single" w:color="auto" w:sz="4" w:space="0"/>
              <w:right w:val="single" w:color="auto" w:sz="8" w:space="0"/>
            </w:tcBorders>
            <w:vAlign w:val="center"/>
          </w:tcPr>
          <w:p>
            <w:pPr>
              <w:ind w:right="210"/>
              <w:jc w:val="center"/>
              <w:rPr>
                <w:rFonts w:ascii="Times New Roman" w:hAnsi="Times New Roman"/>
                <w:color w:val="000000"/>
                <w:szCs w:val="21"/>
              </w:rPr>
            </w:pPr>
            <w:r>
              <w:rPr>
                <w:rFonts w:hint="eastAsia" w:ascii="Times New Roman" w:hAnsi="Times New Roman"/>
                <w:color w:val="000000"/>
                <w:szCs w:val="21"/>
              </w:rPr>
              <w:t>34.4</w:t>
            </w:r>
          </w:p>
        </w:tc>
        <w:tc>
          <w:tcPr>
            <w:tcW w:w="1151" w:type="dxa"/>
            <w:tcBorders>
              <w:top w:val="single" w:color="auto" w:sz="4" w:space="0"/>
              <w:left w:val="single" w:color="auto" w:sz="8"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50.7</w:t>
            </w:r>
          </w:p>
        </w:tc>
        <w:tc>
          <w:tcPr>
            <w:tcW w:w="1035" w:type="dxa"/>
            <w:tcBorders>
              <w:top w:val="single" w:color="auto" w:sz="4" w:space="0"/>
              <w:left w:val="single" w:color="auto" w:sz="8"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42.3</w:t>
            </w:r>
          </w:p>
        </w:tc>
        <w:tc>
          <w:tcPr>
            <w:tcW w:w="1108" w:type="dxa"/>
            <w:tcBorders>
              <w:top w:val="single" w:color="auto" w:sz="4" w:space="0"/>
              <w:left w:val="single" w:color="auto" w:sz="4" w:space="0"/>
              <w:bottom w:val="single" w:color="auto" w:sz="4" w:space="0"/>
              <w:right w:val="single" w:color="auto" w:sz="4" w:space="0"/>
            </w:tcBorders>
            <w:vAlign w:val="center"/>
          </w:tcPr>
          <w:p>
            <w:pPr>
              <w:ind w:right="210"/>
              <w:jc w:val="center"/>
              <w:rPr>
                <w:rFonts w:ascii="Times New Roman" w:hAnsi="Times New Roman"/>
                <w:color w:val="000000"/>
                <w:szCs w:val="21"/>
              </w:rPr>
            </w:pPr>
            <w:r>
              <w:rPr>
                <w:rFonts w:hint="eastAsia" w:ascii="Times New Roman" w:hAnsi="Times New Roman"/>
                <w:color w:val="000000"/>
                <w:szCs w:val="21"/>
              </w:rPr>
              <w:t>24.2</w:t>
            </w:r>
          </w:p>
        </w:tc>
        <w:tc>
          <w:tcPr>
            <w:tcW w:w="1281" w:type="dxa"/>
            <w:tcBorders>
              <w:top w:val="single" w:color="auto" w:sz="4" w:space="0"/>
              <w:left w:val="single" w:color="auto" w:sz="8" w:space="0"/>
              <w:bottom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42.33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88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color w:val="000000"/>
              </w:rPr>
            </w:pPr>
            <w:r>
              <w:rPr>
                <w:rFonts w:hint="eastAsia"/>
                <w:color w:val="000000"/>
                <w:szCs w:val="21"/>
              </w:rPr>
              <w:t>厂区南侧1m处</w:t>
            </w:r>
          </w:p>
        </w:tc>
        <w:tc>
          <w:tcPr>
            <w:tcW w:w="1079" w:type="dxa"/>
            <w:tcBorders>
              <w:top w:val="single" w:color="auto" w:sz="4" w:space="0"/>
              <w:left w:val="single" w:color="auto" w:sz="4"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51.6</w:t>
            </w:r>
          </w:p>
        </w:tc>
        <w:tc>
          <w:tcPr>
            <w:tcW w:w="1137" w:type="dxa"/>
            <w:tcBorders>
              <w:top w:val="single" w:color="auto" w:sz="4" w:space="0"/>
              <w:left w:val="single" w:color="auto" w:sz="4" w:space="0"/>
              <w:bottom w:val="single" w:color="auto" w:sz="4" w:space="0"/>
              <w:right w:val="single" w:color="auto" w:sz="8" w:space="0"/>
            </w:tcBorders>
            <w:vAlign w:val="center"/>
          </w:tcPr>
          <w:p>
            <w:pPr>
              <w:ind w:right="210"/>
              <w:jc w:val="center"/>
              <w:rPr>
                <w:rFonts w:ascii="Times New Roman" w:hAnsi="Times New Roman"/>
                <w:color w:val="000000"/>
                <w:szCs w:val="21"/>
              </w:rPr>
            </w:pPr>
            <w:r>
              <w:rPr>
                <w:rFonts w:hint="eastAsia" w:ascii="Times New Roman" w:hAnsi="Times New Roman"/>
                <w:color w:val="000000"/>
                <w:szCs w:val="21"/>
              </w:rPr>
              <w:t>34.1</w:t>
            </w:r>
          </w:p>
        </w:tc>
        <w:tc>
          <w:tcPr>
            <w:tcW w:w="1151" w:type="dxa"/>
            <w:tcBorders>
              <w:top w:val="single" w:color="auto" w:sz="4" w:space="0"/>
              <w:left w:val="single" w:color="auto" w:sz="8"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51.7</w:t>
            </w:r>
          </w:p>
        </w:tc>
        <w:tc>
          <w:tcPr>
            <w:tcW w:w="1035" w:type="dxa"/>
            <w:tcBorders>
              <w:top w:val="single" w:color="auto" w:sz="4" w:space="0"/>
              <w:left w:val="single" w:color="auto" w:sz="8"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41.8</w:t>
            </w:r>
          </w:p>
        </w:tc>
        <w:tc>
          <w:tcPr>
            <w:tcW w:w="1108" w:type="dxa"/>
            <w:tcBorders>
              <w:top w:val="single" w:color="auto" w:sz="4" w:space="0"/>
              <w:left w:val="single" w:color="auto" w:sz="4" w:space="0"/>
              <w:bottom w:val="single" w:color="auto" w:sz="4" w:space="0"/>
              <w:right w:val="single" w:color="auto" w:sz="4" w:space="0"/>
            </w:tcBorders>
            <w:vAlign w:val="center"/>
          </w:tcPr>
          <w:p>
            <w:pPr>
              <w:ind w:right="210"/>
              <w:jc w:val="center"/>
              <w:rPr>
                <w:rFonts w:ascii="Times New Roman" w:hAnsi="Times New Roman"/>
                <w:color w:val="000000"/>
                <w:szCs w:val="21"/>
              </w:rPr>
            </w:pPr>
            <w:r>
              <w:rPr>
                <w:rFonts w:hint="eastAsia" w:ascii="Times New Roman" w:hAnsi="Times New Roman"/>
                <w:color w:val="000000"/>
                <w:szCs w:val="21"/>
              </w:rPr>
              <w:t>24.1</w:t>
            </w:r>
          </w:p>
        </w:tc>
        <w:tc>
          <w:tcPr>
            <w:tcW w:w="1281" w:type="dxa"/>
            <w:tcBorders>
              <w:top w:val="single" w:color="auto" w:sz="4" w:space="0"/>
              <w:left w:val="single" w:color="auto" w:sz="8" w:space="0"/>
              <w:bottom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41.82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88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color w:val="000000"/>
              </w:rPr>
            </w:pPr>
            <w:r>
              <w:rPr>
                <w:rFonts w:hint="eastAsia"/>
                <w:color w:val="000000"/>
                <w:szCs w:val="21"/>
              </w:rPr>
              <w:t>厂区西侧1m处</w:t>
            </w:r>
          </w:p>
        </w:tc>
        <w:tc>
          <w:tcPr>
            <w:tcW w:w="1079" w:type="dxa"/>
            <w:tcBorders>
              <w:top w:val="single" w:color="auto" w:sz="4" w:space="0"/>
              <w:left w:val="single" w:color="auto" w:sz="4"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52.9</w:t>
            </w:r>
          </w:p>
        </w:tc>
        <w:tc>
          <w:tcPr>
            <w:tcW w:w="1137" w:type="dxa"/>
            <w:tcBorders>
              <w:top w:val="single" w:color="auto" w:sz="4" w:space="0"/>
              <w:left w:val="single" w:color="auto" w:sz="4" w:space="0"/>
              <w:bottom w:val="single" w:color="auto" w:sz="4" w:space="0"/>
              <w:right w:val="single" w:color="auto" w:sz="8" w:space="0"/>
            </w:tcBorders>
            <w:vAlign w:val="center"/>
          </w:tcPr>
          <w:p>
            <w:pPr>
              <w:ind w:right="210"/>
              <w:jc w:val="center"/>
              <w:rPr>
                <w:rFonts w:ascii="Times New Roman" w:hAnsi="Times New Roman"/>
                <w:color w:val="000000"/>
                <w:szCs w:val="21"/>
              </w:rPr>
            </w:pPr>
            <w:r>
              <w:rPr>
                <w:rFonts w:hint="eastAsia" w:ascii="Times New Roman" w:hAnsi="Times New Roman"/>
                <w:color w:val="000000"/>
                <w:szCs w:val="21"/>
              </w:rPr>
              <w:t>35.5</w:t>
            </w:r>
          </w:p>
        </w:tc>
        <w:tc>
          <w:tcPr>
            <w:tcW w:w="1151" w:type="dxa"/>
            <w:tcBorders>
              <w:top w:val="single" w:color="auto" w:sz="4" w:space="0"/>
              <w:left w:val="single" w:color="auto" w:sz="8"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52.98</w:t>
            </w:r>
          </w:p>
        </w:tc>
        <w:tc>
          <w:tcPr>
            <w:tcW w:w="1035" w:type="dxa"/>
            <w:tcBorders>
              <w:top w:val="single" w:color="auto" w:sz="4" w:space="0"/>
              <w:left w:val="single" w:color="auto" w:sz="8"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42.3</w:t>
            </w:r>
          </w:p>
        </w:tc>
        <w:tc>
          <w:tcPr>
            <w:tcW w:w="1108" w:type="dxa"/>
            <w:tcBorders>
              <w:top w:val="single" w:color="auto" w:sz="4" w:space="0"/>
              <w:left w:val="single" w:color="auto" w:sz="4" w:space="0"/>
              <w:bottom w:val="single" w:color="auto" w:sz="4" w:space="0"/>
              <w:right w:val="single" w:color="auto" w:sz="4" w:space="0"/>
            </w:tcBorders>
            <w:vAlign w:val="center"/>
          </w:tcPr>
          <w:p>
            <w:pPr>
              <w:ind w:right="210"/>
              <w:jc w:val="center"/>
              <w:rPr>
                <w:rFonts w:ascii="Times New Roman" w:hAnsi="Times New Roman"/>
                <w:color w:val="000000"/>
                <w:szCs w:val="21"/>
              </w:rPr>
            </w:pPr>
            <w:r>
              <w:rPr>
                <w:rFonts w:hint="eastAsia" w:ascii="Times New Roman" w:hAnsi="Times New Roman"/>
                <w:color w:val="000000"/>
                <w:szCs w:val="21"/>
              </w:rPr>
              <w:t>25.4</w:t>
            </w:r>
          </w:p>
        </w:tc>
        <w:tc>
          <w:tcPr>
            <w:tcW w:w="1281" w:type="dxa"/>
            <w:tcBorders>
              <w:top w:val="single" w:color="auto" w:sz="4" w:space="0"/>
              <w:left w:val="single" w:color="auto" w:sz="8" w:space="0"/>
              <w:bottom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42.36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88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100" w:afterAutospacing="1" w:line="280" w:lineRule="exact"/>
              <w:ind w:left="-31" w:leftChars="-15" w:right="-31" w:rightChars="-15"/>
              <w:jc w:val="center"/>
              <w:rPr>
                <w:rFonts w:ascii="Times New Roman" w:hAnsi="Times New Roman"/>
                <w:color w:val="000000"/>
              </w:rPr>
            </w:pPr>
            <w:r>
              <w:rPr>
                <w:rFonts w:hint="eastAsia"/>
                <w:color w:val="000000"/>
                <w:szCs w:val="21"/>
              </w:rPr>
              <w:t>厂区北侧1m处</w:t>
            </w:r>
          </w:p>
        </w:tc>
        <w:tc>
          <w:tcPr>
            <w:tcW w:w="1079" w:type="dxa"/>
            <w:tcBorders>
              <w:top w:val="single" w:color="auto" w:sz="4" w:space="0"/>
              <w:left w:val="single" w:color="auto" w:sz="4"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52.1</w:t>
            </w:r>
          </w:p>
        </w:tc>
        <w:tc>
          <w:tcPr>
            <w:tcW w:w="1137" w:type="dxa"/>
            <w:tcBorders>
              <w:top w:val="single" w:color="auto" w:sz="4" w:space="0"/>
              <w:left w:val="single" w:color="auto" w:sz="4" w:space="0"/>
              <w:bottom w:val="single" w:color="auto" w:sz="4" w:space="0"/>
              <w:right w:val="single" w:color="auto" w:sz="8" w:space="0"/>
            </w:tcBorders>
            <w:vAlign w:val="center"/>
          </w:tcPr>
          <w:p>
            <w:pPr>
              <w:ind w:right="210"/>
              <w:jc w:val="center"/>
              <w:rPr>
                <w:rFonts w:ascii="Times New Roman" w:hAnsi="Times New Roman"/>
                <w:color w:val="000000"/>
                <w:szCs w:val="21"/>
              </w:rPr>
            </w:pPr>
            <w:r>
              <w:rPr>
                <w:rFonts w:hint="eastAsia" w:ascii="Times New Roman" w:hAnsi="Times New Roman"/>
                <w:color w:val="000000"/>
                <w:szCs w:val="21"/>
              </w:rPr>
              <w:t>35.2</w:t>
            </w:r>
          </w:p>
        </w:tc>
        <w:tc>
          <w:tcPr>
            <w:tcW w:w="1151" w:type="dxa"/>
            <w:tcBorders>
              <w:top w:val="single" w:color="auto" w:sz="4" w:space="0"/>
              <w:left w:val="single" w:color="auto" w:sz="8"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52.2</w:t>
            </w:r>
          </w:p>
        </w:tc>
        <w:tc>
          <w:tcPr>
            <w:tcW w:w="1035" w:type="dxa"/>
            <w:tcBorders>
              <w:top w:val="single" w:color="auto" w:sz="4" w:space="0"/>
              <w:left w:val="single" w:color="auto" w:sz="8" w:space="0"/>
              <w:bottom w:val="single" w:color="auto" w:sz="4" w:space="0"/>
              <w:right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41.7</w:t>
            </w:r>
          </w:p>
        </w:tc>
        <w:tc>
          <w:tcPr>
            <w:tcW w:w="1108" w:type="dxa"/>
            <w:tcBorders>
              <w:top w:val="single" w:color="auto" w:sz="4" w:space="0"/>
              <w:left w:val="single" w:color="auto" w:sz="4" w:space="0"/>
              <w:bottom w:val="single" w:color="auto" w:sz="4" w:space="0"/>
              <w:right w:val="single" w:color="auto" w:sz="4" w:space="0"/>
            </w:tcBorders>
            <w:vAlign w:val="center"/>
          </w:tcPr>
          <w:p>
            <w:pPr>
              <w:ind w:right="210"/>
              <w:jc w:val="center"/>
              <w:rPr>
                <w:rFonts w:ascii="Times New Roman" w:hAnsi="Times New Roman"/>
                <w:color w:val="000000"/>
                <w:szCs w:val="21"/>
              </w:rPr>
            </w:pPr>
            <w:r>
              <w:rPr>
                <w:rFonts w:hint="eastAsia" w:ascii="Times New Roman" w:hAnsi="Times New Roman"/>
                <w:color w:val="000000"/>
                <w:szCs w:val="21"/>
              </w:rPr>
              <w:t>25.1</w:t>
            </w:r>
          </w:p>
        </w:tc>
        <w:tc>
          <w:tcPr>
            <w:tcW w:w="1281" w:type="dxa"/>
            <w:tcBorders>
              <w:top w:val="single" w:color="auto" w:sz="4" w:space="0"/>
              <w:left w:val="single" w:color="auto" w:sz="8" w:space="0"/>
              <w:bottom w:val="single" w:color="auto" w:sz="4" w:space="0"/>
            </w:tcBorders>
            <w:vAlign w:val="center"/>
          </w:tcPr>
          <w:p>
            <w:pPr>
              <w:pStyle w:val="80"/>
              <w:rPr>
                <w:rFonts w:ascii="Times New Roman" w:hAnsi="Times New Roman"/>
                <w:color w:val="000000"/>
                <w:szCs w:val="21"/>
              </w:rPr>
            </w:pPr>
            <w:r>
              <w:rPr>
                <w:rFonts w:hint="eastAsia" w:ascii="Times New Roman" w:hAnsi="Times New Roman"/>
                <w:szCs w:val="21"/>
              </w:rPr>
              <w:t>41.75</w:t>
            </w:r>
          </w:p>
        </w:tc>
      </w:tr>
    </w:tbl>
    <w:p>
      <w:pPr>
        <w:adjustRightInd w:val="0"/>
        <w:snapToGrid w:val="0"/>
        <w:spacing w:beforeLines="50" w:line="360" w:lineRule="auto"/>
        <w:ind w:firstLine="480" w:firstLineChars="200"/>
        <w:rPr>
          <w:rFonts w:ascii="Times New Roman" w:hAnsi="Times New Roman"/>
          <w:sz w:val="24"/>
        </w:rPr>
      </w:pPr>
      <w:r>
        <w:rPr>
          <w:rFonts w:ascii="Times New Roman" w:hAnsi="Times New Roman"/>
          <w:sz w:val="24"/>
        </w:rPr>
        <w:t>由上表可知，本项目设备产生的噪声经过安装消声器、隔声罩、基础减振，经过距离衰减以及树林阻隔后，对环境噪声贡献值很小。尾矿库及选矿厂厂界均能满足《工业企业厂界环境噪声排放标准》（GB12348-2008）3类标准要求。本项目噪声影响范围内无居民区等声环境敏感点，选矿过程中不会造成噪声扰民问题。</w:t>
      </w:r>
    </w:p>
    <w:p>
      <w:pPr>
        <w:adjustRightInd w:val="0"/>
        <w:snapToGrid w:val="0"/>
        <w:spacing w:line="360" w:lineRule="auto"/>
        <w:ind w:firstLine="480" w:firstLineChars="200"/>
        <w:outlineLvl w:val="0"/>
        <w:rPr>
          <w:color w:val="000000"/>
          <w:sz w:val="24"/>
          <w:szCs w:val="24"/>
        </w:rPr>
      </w:pPr>
      <w:r>
        <w:rPr>
          <w:rFonts w:hint="eastAsia"/>
          <w:color w:val="000000"/>
          <w:sz w:val="24"/>
          <w:szCs w:val="24"/>
        </w:rPr>
        <w:t>5.2.4.2运输车辆噪声</w:t>
      </w:r>
    </w:p>
    <w:p>
      <w:pPr>
        <w:adjustRightInd w:val="0"/>
        <w:snapToGrid w:val="0"/>
        <w:spacing w:line="360" w:lineRule="auto"/>
        <w:ind w:firstLine="480" w:firstLineChars="200"/>
        <w:rPr>
          <w:rFonts w:ascii="Times New Roman" w:hAnsi="Times New Roman"/>
          <w:color w:val="000000"/>
          <w:sz w:val="24"/>
        </w:rPr>
      </w:pPr>
      <w:r>
        <w:rPr>
          <w:rFonts w:hint="eastAsia" w:ascii="Times New Roman" w:hAnsi="Times New Roman"/>
          <w:color w:val="000000"/>
          <w:sz w:val="24"/>
        </w:rPr>
        <w:t>由于本项目尾渣需要外运，采用</w:t>
      </w:r>
      <w:r>
        <w:rPr>
          <w:rFonts w:ascii="Times New Roman" w:hAnsi="Times New Roman"/>
          <w:color w:val="000000"/>
          <w:sz w:val="24"/>
        </w:rPr>
        <w:t>避开居民休息时间实施运输等方法，运输车辆夜间经过村屯时，限制行车速递，严禁鸣笛等，减少夜间行车速度等，降低运输过程对周围声环境的影响。</w:t>
      </w:r>
    </w:p>
    <w:p>
      <w:pPr>
        <w:widowControl/>
        <w:adjustRightInd w:val="0"/>
        <w:snapToGrid w:val="0"/>
        <w:spacing w:line="360" w:lineRule="auto"/>
        <w:outlineLvl w:val="0"/>
        <w:rPr>
          <w:rFonts w:ascii="Times New Roman" w:hAnsi="Times New Roman"/>
          <w:b/>
          <w:sz w:val="24"/>
        </w:rPr>
      </w:pPr>
      <w:bookmarkStart w:id="443" w:name="_Toc20090"/>
      <w:bookmarkStart w:id="444" w:name="_Toc13078"/>
      <w:bookmarkStart w:id="445" w:name="_Toc19374"/>
      <w:r>
        <w:rPr>
          <w:rFonts w:ascii="Times New Roman" w:hAnsi="Times New Roman"/>
          <w:b/>
          <w:sz w:val="24"/>
        </w:rPr>
        <w:t>5.2.</w:t>
      </w:r>
      <w:r>
        <w:rPr>
          <w:rFonts w:hint="eastAsia" w:ascii="Times New Roman" w:hAnsi="Times New Roman"/>
          <w:b/>
          <w:sz w:val="24"/>
        </w:rPr>
        <w:t>5</w:t>
      </w:r>
      <w:r>
        <w:rPr>
          <w:rFonts w:ascii="Times New Roman" w:hAnsi="Times New Roman"/>
          <w:b/>
          <w:sz w:val="24"/>
        </w:rPr>
        <w:t>固体废物环境影响分析</w:t>
      </w:r>
      <w:bookmarkEnd w:id="443"/>
      <w:bookmarkEnd w:id="444"/>
      <w:bookmarkEnd w:id="445"/>
    </w:p>
    <w:p>
      <w:pPr>
        <w:spacing w:line="360" w:lineRule="auto"/>
        <w:ind w:firstLine="480" w:firstLineChars="200"/>
        <w:jc w:val="left"/>
        <w:rPr>
          <w:rFonts w:ascii="Times New Roman" w:hAnsi="Times New Roman"/>
          <w:snapToGrid w:val="0"/>
          <w:kern w:val="0"/>
          <w:sz w:val="24"/>
        </w:rPr>
      </w:pPr>
      <w:r>
        <w:rPr>
          <w:rFonts w:hint="eastAsia"/>
          <w:bCs/>
          <w:color w:val="000000"/>
          <w:sz w:val="24"/>
          <w:szCs w:val="24"/>
        </w:rPr>
        <w:t>本项目固体废物主要为选矿废石、尾矿（膏体形式）、废机油及废抹布、布袋除尘器收集的粉尘。</w:t>
      </w:r>
      <w:r>
        <w:rPr>
          <w:rFonts w:ascii="Times New Roman" w:hAnsi="Times New Roman"/>
          <w:snapToGrid w:val="0"/>
          <w:kern w:val="0"/>
          <w:sz w:val="24"/>
        </w:rPr>
        <w:t>固体废物产生情况见</w:t>
      </w:r>
      <w:r>
        <w:rPr>
          <w:rFonts w:hint="eastAsia" w:ascii="Times New Roman" w:hAnsi="Times New Roman"/>
          <w:snapToGrid w:val="0"/>
          <w:kern w:val="0"/>
          <w:sz w:val="24"/>
        </w:rPr>
        <w:t>下表</w:t>
      </w:r>
      <w:r>
        <w:rPr>
          <w:rFonts w:ascii="Times New Roman" w:hAnsi="Times New Roman"/>
          <w:snapToGrid w:val="0"/>
          <w:kern w:val="0"/>
          <w:sz w:val="24"/>
        </w:rPr>
        <w:t>。</w:t>
      </w:r>
    </w:p>
    <w:p>
      <w:pPr>
        <w:adjustRightInd w:val="0"/>
        <w:snapToGrid w:val="0"/>
        <w:jc w:val="center"/>
        <w:rPr>
          <w:rFonts w:ascii="Times New Roman" w:hAnsi="Times New Roman"/>
          <w:b/>
          <w:bCs/>
          <w:snapToGrid w:val="0"/>
          <w:kern w:val="0"/>
          <w:sz w:val="24"/>
        </w:rPr>
      </w:pPr>
      <w:r>
        <w:rPr>
          <w:rFonts w:ascii="Times New Roman" w:hAnsi="Times New Roman"/>
          <w:b/>
          <w:bCs/>
          <w:snapToGrid w:val="0"/>
          <w:kern w:val="0"/>
          <w:sz w:val="24"/>
        </w:rPr>
        <w:t>表5-1</w:t>
      </w:r>
      <w:r>
        <w:rPr>
          <w:rFonts w:hint="eastAsia" w:ascii="Times New Roman" w:hAnsi="Times New Roman"/>
          <w:b/>
          <w:bCs/>
          <w:snapToGrid w:val="0"/>
          <w:kern w:val="0"/>
          <w:sz w:val="24"/>
        </w:rPr>
        <w:t>1</w:t>
      </w:r>
      <w:r>
        <w:rPr>
          <w:rFonts w:ascii="Times New Roman" w:hAnsi="Times New Roman"/>
          <w:b/>
          <w:bCs/>
          <w:snapToGrid w:val="0"/>
          <w:kern w:val="0"/>
          <w:sz w:val="24"/>
        </w:rPr>
        <w:t xml:space="preserve"> </w:t>
      </w:r>
      <w:r>
        <w:rPr>
          <w:rFonts w:hint="eastAsia" w:ascii="Times New Roman" w:hAnsi="Times New Roman"/>
          <w:b/>
          <w:bCs/>
          <w:snapToGrid w:val="0"/>
          <w:kern w:val="0"/>
          <w:sz w:val="24"/>
        </w:rPr>
        <w:t>本项目</w:t>
      </w:r>
      <w:r>
        <w:rPr>
          <w:rFonts w:ascii="Times New Roman" w:hAnsi="Times New Roman"/>
          <w:b/>
          <w:bCs/>
          <w:snapToGrid w:val="0"/>
          <w:kern w:val="0"/>
          <w:sz w:val="24"/>
        </w:rPr>
        <w:t>固体废物产生情况一览表</w:t>
      </w:r>
    </w:p>
    <w:tbl>
      <w:tblPr>
        <w:tblStyle w:val="24"/>
        <w:tblW w:w="0" w:type="auto"/>
        <w:jc w:val="center"/>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230"/>
        <w:gridCol w:w="1560"/>
        <w:gridCol w:w="4930"/>
      </w:tblGrid>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2230" w:type="dxa"/>
            <w:vAlign w:val="center"/>
          </w:tcPr>
          <w:p>
            <w:pPr>
              <w:adjustRightInd w:val="0"/>
              <w:snapToGrid w:val="0"/>
              <w:jc w:val="center"/>
              <w:textAlignment w:val="baseline"/>
              <w:rPr>
                <w:rFonts w:ascii="Times New Roman" w:hAnsi="Times New Roman"/>
                <w:spacing w:val="6"/>
                <w:kern w:val="0"/>
                <w:szCs w:val="21"/>
              </w:rPr>
            </w:pPr>
            <w:r>
              <w:rPr>
                <w:rFonts w:ascii="Times New Roman" w:hAnsi="Times New Roman"/>
                <w:snapToGrid w:val="0"/>
                <w:kern w:val="0"/>
                <w:szCs w:val="21"/>
              </w:rPr>
              <w:t>内容</w:t>
            </w:r>
          </w:p>
        </w:tc>
        <w:tc>
          <w:tcPr>
            <w:tcW w:w="1560" w:type="dxa"/>
            <w:vAlign w:val="center"/>
          </w:tcPr>
          <w:p>
            <w:pPr>
              <w:adjustRightInd w:val="0"/>
              <w:snapToGrid w:val="0"/>
              <w:jc w:val="center"/>
              <w:textAlignment w:val="baseline"/>
              <w:rPr>
                <w:rFonts w:ascii="Times New Roman" w:hAnsi="Times New Roman"/>
                <w:spacing w:val="6"/>
                <w:kern w:val="0"/>
                <w:szCs w:val="21"/>
              </w:rPr>
            </w:pPr>
            <w:r>
              <w:rPr>
                <w:rFonts w:ascii="Times New Roman" w:hAnsi="Times New Roman"/>
                <w:snapToGrid w:val="0"/>
                <w:kern w:val="0"/>
                <w:szCs w:val="21"/>
              </w:rPr>
              <w:t>产生量（t/a）</w:t>
            </w:r>
          </w:p>
        </w:tc>
        <w:tc>
          <w:tcPr>
            <w:tcW w:w="4930" w:type="dxa"/>
            <w:vAlign w:val="center"/>
          </w:tcPr>
          <w:p>
            <w:pPr>
              <w:jc w:val="center"/>
              <w:rPr>
                <w:rFonts w:ascii="Times New Roman" w:hAnsi="Times New Roman"/>
                <w:spacing w:val="6"/>
                <w:kern w:val="0"/>
                <w:szCs w:val="21"/>
              </w:rPr>
            </w:pPr>
            <w:r>
              <w:rPr>
                <w:rFonts w:ascii="Times New Roman" w:hAnsi="Times New Roman"/>
                <w:snapToGrid w:val="0"/>
                <w:kern w:val="0"/>
                <w:szCs w:val="21"/>
              </w:rPr>
              <w:t>排放去向</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0" w:type="dxa"/>
            <w:vMerge w:val="restart"/>
            <w:vAlign w:val="center"/>
          </w:tcPr>
          <w:p>
            <w:pPr>
              <w:adjustRightInd w:val="0"/>
              <w:snapToGrid w:val="0"/>
              <w:jc w:val="center"/>
              <w:textAlignment w:val="baseline"/>
              <w:rPr>
                <w:rFonts w:ascii="Times New Roman" w:hAnsi="Times New Roman"/>
                <w:spacing w:val="6"/>
                <w:kern w:val="0"/>
                <w:szCs w:val="21"/>
              </w:rPr>
            </w:pPr>
            <w:r>
              <w:rPr>
                <w:rFonts w:ascii="Times New Roman" w:hAnsi="Times New Roman"/>
                <w:color w:val="000000"/>
                <w:spacing w:val="6"/>
                <w:kern w:val="0"/>
                <w:szCs w:val="21"/>
              </w:rPr>
              <w:t>尾矿泥饼</w:t>
            </w:r>
          </w:p>
        </w:tc>
        <w:tc>
          <w:tcPr>
            <w:tcW w:w="1560" w:type="dxa"/>
            <w:vAlign w:val="center"/>
          </w:tcPr>
          <w:p>
            <w:pPr>
              <w:adjustRightInd w:val="0"/>
              <w:snapToGrid w:val="0"/>
              <w:jc w:val="center"/>
              <w:textAlignment w:val="baseline"/>
              <w:rPr>
                <w:rFonts w:ascii="Times New Roman" w:hAnsi="Times New Roman"/>
                <w:spacing w:val="6"/>
                <w:kern w:val="0"/>
                <w:szCs w:val="21"/>
              </w:rPr>
            </w:pPr>
            <w:r>
              <w:rPr>
                <w:rFonts w:ascii="Times New Roman" w:hAnsi="Times New Roman"/>
                <w:spacing w:val="6"/>
                <w:kern w:val="0"/>
                <w:szCs w:val="21"/>
              </w:rPr>
              <w:t>2×10</w:t>
            </w:r>
            <w:r>
              <w:rPr>
                <w:rFonts w:ascii="Times New Roman" w:hAnsi="Times New Roman"/>
                <w:spacing w:val="6"/>
                <w:kern w:val="0"/>
                <w:szCs w:val="21"/>
                <w:vertAlign w:val="superscript"/>
              </w:rPr>
              <w:t>4</w:t>
            </w:r>
          </w:p>
        </w:tc>
        <w:tc>
          <w:tcPr>
            <w:tcW w:w="4930" w:type="dxa"/>
            <w:vAlign w:val="center"/>
          </w:tcPr>
          <w:p>
            <w:pPr>
              <w:adjustRightInd w:val="0"/>
              <w:snapToGrid w:val="0"/>
              <w:jc w:val="center"/>
              <w:rPr>
                <w:rFonts w:ascii="Times New Roman" w:hAnsi="Times New Roman"/>
                <w:spacing w:val="6"/>
                <w:kern w:val="0"/>
                <w:szCs w:val="21"/>
              </w:rPr>
            </w:pPr>
            <w:r>
              <w:rPr>
                <w:rFonts w:ascii="Times New Roman" w:hAnsi="Times New Roman"/>
                <w:color w:val="000000"/>
                <w:spacing w:val="6"/>
                <w:kern w:val="0"/>
                <w:szCs w:val="21"/>
              </w:rPr>
              <w:t>堆放至尾矿库内</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0" w:type="dxa"/>
            <w:vMerge w:val="continue"/>
            <w:vAlign w:val="center"/>
          </w:tcPr>
          <w:p>
            <w:pPr>
              <w:adjustRightInd w:val="0"/>
              <w:snapToGrid w:val="0"/>
              <w:jc w:val="center"/>
              <w:textAlignment w:val="baseline"/>
              <w:rPr>
                <w:rFonts w:ascii="Times New Roman" w:hAnsi="Times New Roman"/>
                <w:spacing w:val="6"/>
                <w:kern w:val="0"/>
                <w:szCs w:val="21"/>
              </w:rPr>
            </w:pPr>
          </w:p>
        </w:tc>
        <w:tc>
          <w:tcPr>
            <w:tcW w:w="1560" w:type="dxa"/>
            <w:vAlign w:val="center"/>
          </w:tcPr>
          <w:p>
            <w:pPr>
              <w:adjustRightInd w:val="0"/>
              <w:snapToGrid w:val="0"/>
              <w:jc w:val="center"/>
              <w:textAlignment w:val="baseline"/>
              <w:rPr>
                <w:rFonts w:ascii="Times New Roman" w:hAnsi="Times New Roman"/>
                <w:spacing w:val="6"/>
                <w:kern w:val="0"/>
                <w:szCs w:val="21"/>
              </w:rPr>
            </w:pPr>
            <w:r>
              <w:rPr>
                <w:rFonts w:ascii="Times New Roman" w:hAnsi="Times New Roman"/>
                <w:spacing w:val="6"/>
                <w:kern w:val="0"/>
                <w:szCs w:val="21"/>
              </w:rPr>
              <w:t>13×10</w:t>
            </w:r>
            <w:r>
              <w:rPr>
                <w:rFonts w:ascii="Times New Roman" w:hAnsi="Times New Roman"/>
                <w:spacing w:val="6"/>
                <w:kern w:val="0"/>
                <w:szCs w:val="21"/>
                <w:vertAlign w:val="superscript"/>
              </w:rPr>
              <w:t>4</w:t>
            </w:r>
          </w:p>
        </w:tc>
        <w:tc>
          <w:tcPr>
            <w:tcW w:w="4930" w:type="dxa"/>
            <w:vAlign w:val="center"/>
          </w:tcPr>
          <w:p>
            <w:pPr>
              <w:adjustRightInd w:val="0"/>
              <w:snapToGrid w:val="0"/>
              <w:jc w:val="center"/>
              <w:rPr>
                <w:rFonts w:ascii="Times New Roman" w:hAnsi="Times New Roman"/>
                <w:spacing w:val="6"/>
                <w:kern w:val="0"/>
                <w:szCs w:val="21"/>
              </w:rPr>
            </w:pPr>
            <w:r>
              <w:rPr>
                <w:rFonts w:ascii="Times New Roman" w:hAnsi="Times New Roman"/>
                <w:color w:val="000000"/>
                <w:spacing w:val="6"/>
                <w:kern w:val="0"/>
                <w:szCs w:val="21"/>
              </w:rPr>
              <w:t>外卖吉林市智德利商贸有限公司</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0" w:type="dxa"/>
            <w:vAlign w:val="center"/>
          </w:tcPr>
          <w:p>
            <w:pPr>
              <w:adjustRightInd w:val="0"/>
              <w:snapToGrid w:val="0"/>
              <w:jc w:val="center"/>
              <w:textAlignment w:val="baseline"/>
              <w:rPr>
                <w:rFonts w:ascii="Times New Roman" w:hAnsi="Times New Roman"/>
                <w:spacing w:val="6"/>
                <w:kern w:val="0"/>
                <w:szCs w:val="21"/>
              </w:rPr>
            </w:pPr>
            <w:r>
              <w:rPr>
                <w:rFonts w:hint="eastAsia" w:ascii="Times New Roman" w:hAnsi="Times New Roman"/>
                <w:color w:val="000000"/>
                <w:spacing w:val="6"/>
                <w:kern w:val="0"/>
                <w:szCs w:val="21"/>
              </w:rPr>
              <w:t>压滤间</w:t>
            </w:r>
            <w:r>
              <w:rPr>
                <w:rFonts w:ascii="Times New Roman" w:hAnsi="Times New Roman"/>
                <w:color w:val="000000"/>
                <w:spacing w:val="6"/>
                <w:kern w:val="0"/>
                <w:szCs w:val="21"/>
              </w:rPr>
              <w:t>沉淀池污泥</w:t>
            </w:r>
          </w:p>
        </w:tc>
        <w:tc>
          <w:tcPr>
            <w:tcW w:w="1560" w:type="dxa"/>
            <w:vAlign w:val="center"/>
          </w:tcPr>
          <w:p>
            <w:pPr>
              <w:adjustRightInd w:val="0"/>
              <w:snapToGrid w:val="0"/>
              <w:jc w:val="center"/>
              <w:textAlignment w:val="baseline"/>
              <w:rPr>
                <w:rFonts w:ascii="Times New Roman" w:hAnsi="Times New Roman"/>
                <w:spacing w:val="6"/>
                <w:kern w:val="0"/>
                <w:szCs w:val="21"/>
              </w:rPr>
            </w:pPr>
            <w:r>
              <w:rPr>
                <w:rFonts w:hint="eastAsia" w:ascii="Times New Roman" w:hAnsi="Times New Roman"/>
                <w:color w:val="000000"/>
                <w:spacing w:val="6"/>
                <w:kern w:val="0"/>
                <w:szCs w:val="21"/>
              </w:rPr>
              <w:t>5</w:t>
            </w:r>
          </w:p>
        </w:tc>
        <w:tc>
          <w:tcPr>
            <w:tcW w:w="4930" w:type="dxa"/>
            <w:vAlign w:val="center"/>
          </w:tcPr>
          <w:p>
            <w:pPr>
              <w:adjustRightInd w:val="0"/>
              <w:snapToGrid w:val="0"/>
              <w:jc w:val="center"/>
              <w:rPr>
                <w:rFonts w:ascii="Times New Roman" w:hAnsi="Times New Roman"/>
                <w:spacing w:val="6"/>
                <w:kern w:val="0"/>
                <w:szCs w:val="21"/>
              </w:rPr>
            </w:pPr>
            <w:r>
              <w:rPr>
                <w:rFonts w:hint="eastAsia" w:ascii="Times New Roman" w:hAnsi="Times New Roman"/>
                <w:color w:val="000000"/>
                <w:spacing w:val="6"/>
                <w:kern w:val="0"/>
                <w:szCs w:val="21"/>
              </w:rPr>
              <w:t>堆放至尾矿库内</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0" w:type="dxa"/>
            <w:vAlign w:val="center"/>
          </w:tcPr>
          <w:p>
            <w:pPr>
              <w:adjustRightInd w:val="0"/>
              <w:snapToGrid w:val="0"/>
              <w:jc w:val="center"/>
              <w:textAlignment w:val="baseline"/>
              <w:rPr>
                <w:rFonts w:ascii="Times New Roman" w:hAnsi="Times New Roman"/>
                <w:spacing w:val="6"/>
                <w:kern w:val="0"/>
                <w:szCs w:val="21"/>
              </w:rPr>
            </w:pPr>
            <w:r>
              <w:rPr>
                <w:rFonts w:hint="eastAsia" w:ascii="Times New Roman" w:hAnsi="Times New Roman"/>
                <w:color w:val="000000"/>
                <w:spacing w:val="6"/>
                <w:kern w:val="0"/>
                <w:szCs w:val="21"/>
              </w:rPr>
              <w:t>尾矿库</w:t>
            </w:r>
            <w:r>
              <w:rPr>
                <w:rFonts w:ascii="Times New Roman" w:hAnsi="Times New Roman"/>
                <w:color w:val="000000"/>
                <w:spacing w:val="6"/>
                <w:kern w:val="0"/>
                <w:szCs w:val="21"/>
              </w:rPr>
              <w:t>沉淀池污泥</w:t>
            </w:r>
          </w:p>
        </w:tc>
        <w:tc>
          <w:tcPr>
            <w:tcW w:w="1560" w:type="dxa"/>
            <w:vAlign w:val="center"/>
          </w:tcPr>
          <w:p>
            <w:pPr>
              <w:adjustRightInd w:val="0"/>
              <w:snapToGrid w:val="0"/>
              <w:jc w:val="center"/>
              <w:textAlignment w:val="baseline"/>
              <w:rPr>
                <w:rFonts w:ascii="Times New Roman" w:hAnsi="Times New Roman"/>
                <w:spacing w:val="6"/>
                <w:kern w:val="0"/>
                <w:szCs w:val="21"/>
              </w:rPr>
            </w:pPr>
            <w:r>
              <w:rPr>
                <w:rFonts w:hint="eastAsia" w:ascii="Times New Roman" w:hAnsi="Times New Roman"/>
                <w:color w:val="000000"/>
                <w:spacing w:val="6"/>
                <w:kern w:val="0"/>
                <w:szCs w:val="21"/>
              </w:rPr>
              <w:t>2</w:t>
            </w:r>
          </w:p>
        </w:tc>
        <w:tc>
          <w:tcPr>
            <w:tcW w:w="4930" w:type="dxa"/>
            <w:vAlign w:val="center"/>
          </w:tcPr>
          <w:p>
            <w:pPr>
              <w:adjustRightInd w:val="0"/>
              <w:snapToGrid w:val="0"/>
              <w:jc w:val="center"/>
              <w:rPr>
                <w:rFonts w:ascii="Times New Roman" w:hAnsi="Times New Roman"/>
                <w:spacing w:val="6"/>
                <w:kern w:val="0"/>
                <w:szCs w:val="21"/>
              </w:rPr>
            </w:pPr>
            <w:r>
              <w:rPr>
                <w:rFonts w:hint="eastAsia" w:ascii="Times New Roman" w:hAnsi="Times New Roman"/>
                <w:color w:val="000000"/>
                <w:spacing w:val="6"/>
                <w:kern w:val="0"/>
                <w:szCs w:val="21"/>
              </w:rPr>
              <w:t>堆放至尾矿库内</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230" w:type="dxa"/>
            <w:vAlign w:val="center"/>
          </w:tcPr>
          <w:p>
            <w:pPr>
              <w:adjustRightInd w:val="0"/>
              <w:snapToGrid w:val="0"/>
              <w:jc w:val="center"/>
              <w:textAlignment w:val="baseline"/>
              <w:rPr>
                <w:rFonts w:ascii="Times New Roman" w:hAnsi="Times New Roman"/>
                <w:spacing w:val="6"/>
                <w:kern w:val="0"/>
                <w:szCs w:val="21"/>
              </w:rPr>
            </w:pPr>
            <w:r>
              <w:rPr>
                <w:rFonts w:ascii="Times New Roman" w:hAnsi="Times New Roman"/>
                <w:color w:val="000000"/>
                <w:spacing w:val="6"/>
                <w:kern w:val="0"/>
                <w:szCs w:val="21"/>
              </w:rPr>
              <w:t>废机油</w:t>
            </w:r>
          </w:p>
        </w:tc>
        <w:tc>
          <w:tcPr>
            <w:tcW w:w="1560" w:type="dxa"/>
            <w:vAlign w:val="center"/>
          </w:tcPr>
          <w:p>
            <w:pPr>
              <w:adjustRightInd w:val="0"/>
              <w:snapToGrid w:val="0"/>
              <w:jc w:val="center"/>
              <w:textAlignment w:val="baseline"/>
              <w:rPr>
                <w:rFonts w:ascii="Times New Roman" w:hAnsi="Times New Roman"/>
                <w:spacing w:val="6"/>
                <w:kern w:val="0"/>
                <w:szCs w:val="21"/>
              </w:rPr>
            </w:pPr>
            <w:r>
              <w:rPr>
                <w:rFonts w:hint="eastAsia" w:ascii="Times New Roman" w:hAnsi="Times New Roman"/>
                <w:color w:val="000000"/>
                <w:spacing w:val="6"/>
                <w:kern w:val="0"/>
                <w:szCs w:val="21"/>
              </w:rPr>
              <w:t>0.05</w:t>
            </w:r>
          </w:p>
        </w:tc>
        <w:tc>
          <w:tcPr>
            <w:tcW w:w="4930" w:type="dxa"/>
            <w:vAlign w:val="center"/>
          </w:tcPr>
          <w:p>
            <w:pPr>
              <w:adjustRightInd w:val="0"/>
              <w:snapToGrid w:val="0"/>
              <w:jc w:val="center"/>
              <w:rPr>
                <w:rFonts w:ascii="Times New Roman" w:hAnsi="Times New Roman"/>
                <w:spacing w:val="6"/>
                <w:kern w:val="0"/>
                <w:szCs w:val="21"/>
              </w:rPr>
            </w:pPr>
            <w:r>
              <w:rPr>
                <w:rFonts w:hint="eastAsia" w:ascii="Times New Roman" w:hAnsi="Times New Roman"/>
                <w:color w:val="000000"/>
                <w:spacing w:val="6"/>
                <w:kern w:val="0"/>
                <w:szCs w:val="21"/>
              </w:rPr>
              <w:t>统一交由有资质部门集中处理处置。</w:t>
            </w:r>
          </w:p>
        </w:tc>
      </w:tr>
    </w:tbl>
    <w:p>
      <w:pPr>
        <w:adjustRightInd w:val="0"/>
        <w:snapToGrid w:val="0"/>
        <w:spacing w:line="360" w:lineRule="auto"/>
        <w:ind w:firstLine="480" w:firstLineChars="200"/>
        <w:jc w:val="left"/>
        <w:rPr>
          <w:rFonts w:ascii="Times New Roman" w:hAnsi="Times New Roman"/>
          <w:kern w:val="0"/>
          <w:sz w:val="24"/>
          <w:szCs w:val="21"/>
        </w:rPr>
      </w:pPr>
    </w:p>
    <w:p>
      <w:pPr>
        <w:pStyle w:val="2"/>
      </w:pPr>
    </w:p>
    <w:p>
      <w:pPr>
        <w:pStyle w:val="2"/>
      </w:pPr>
    </w:p>
    <w:p>
      <w:pPr>
        <w:pStyle w:val="2"/>
      </w:pPr>
    </w:p>
    <w:p>
      <w:pPr>
        <w:pStyle w:val="2"/>
      </w:pPr>
    </w:p>
    <w:p>
      <w:pPr>
        <w:pStyle w:val="3"/>
        <w:spacing w:beforeLines="150" w:beforeAutospacing="0" w:afterLines="150" w:afterAutospacing="0" w:line="360" w:lineRule="auto"/>
      </w:pPr>
      <w:bookmarkStart w:id="446" w:name="_Toc11224"/>
      <w:bookmarkStart w:id="447" w:name="_Toc23527"/>
      <w:bookmarkStart w:id="448" w:name="_Toc21329"/>
      <w:r>
        <w:rPr>
          <w:rFonts w:hint="eastAsia"/>
        </w:rPr>
        <w:t>第六章 生态环境影响分析</w:t>
      </w:r>
      <w:bookmarkEnd w:id="446"/>
      <w:bookmarkEnd w:id="447"/>
      <w:bookmarkEnd w:id="448"/>
    </w:p>
    <w:p>
      <w:pPr>
        <w:spacing w:line="360" w:lineRule="auto"/>
        <w:ind w:firstLine="480" w:firstLineChars="200"/>
        <w:rPr>
          <w:rFonts w:ascii="Times New Roman" w:hAnsi="Times New Roman"/>
          <w:sz w:val="24"/>
        </w:rPr>
      </w:pPr>
      <w:r>
        <w:rPr>
          <w:rFonts w:ascii="Times New Roman" w:hAnsi="Times New Roman"/>
          <w:sz w:val="24"/>
        </w:rPr>
        <w:t>根据原国家环境保护总局2005【109】号文《矿山生态环境保护与污染防治技术政策》的要求，实现矿产资源开发与生态保护协调发展，提高矿产资源开发利用效率，避免和减少矿区生态环境破坏和污染。矿产资源的开发应贯彻“污染防治与生态环境保护并重，生态环境保护与生态环境建设并举；以及预防为主、防治结合、过程控制、综合治理” 的指导方针，推行循环经济的“污染物减量、资源再利用和循环利用”的技术原则。</w:t>
      </w:r>
    </w:p>
    <w:p>
      <w:pPr>
        <w:pStyle w:val="4"/>
        <w:spacing w:before="0" w:after="0"/>
        <w:rPr>
          <w:rFonts w:ascii="Times New Roman" w:hAnsi="Times New Roman"/>
        </w:rPr>
      </w:pPr>
      <w:bookmarkStart w:id="449" w:name="_Toc484616307"/>
      <w:bookmarkStart w:id="450" w:name="_Toc486350011"/>
      <w:bookmarkStart w:id="451" w:name="_Toc21546"/>
      <w:bookmarkStart w:id="452" w:name="_Toc18348"/>
      <w:bookmarkStart w:id="453" w:name="_Toc743"/>
      <w:bookmarkStart w:id="454" w:name="_Toc1564"/>
      <w:r>
        <w:rPr>
          <w:rFonts w:ascii="Times New Roman" w:hAnsi="Times New Roman"/>
        </w:rPr>
        <w:t>6.1</w:t>
      </w:r>
      <w:bookmarkEnd w:id="449"/>
      <w:bookmarkEnd w:id="450"/>
      <w:bookmarkEnd w:id="451"/>
      <w:r>
        <w:rPr>
          <w:rFonts w:ascii="Times New Roman" w:hAnsi="Times New Roman"/>
        </w:rPr>
        <w:t>生态环境影响评价</w:t>
      </w:r>
      <w:bookmarkEnd w:id="452"/>
      <w:bookmarkEnd w:id="453"/>
      <w:bookmarkEnd w:id="454"/>
    </w:p>
    <w:p>
      <w:pPr>
        <w:pStyle w:val="5"/>
        <w:spacing w:before="0" w:after="0" w:line="360" w:lineRule="auto"/>
        <w:rPr>
          <w:sz w:val="24"/>
          <w:szCs w:val="24"/>
        </w:rPr>
      </w:pPr>
      <w:bookmarkStart w:id="455" w:name="_Toc5579"/>
      <w:bookmarkStart w:id="456" w:name="_Toc28104"/>
      <w:bookmarkStart w:id="457" w:name="_Toc5179"/>
      <w:r>
        <w:rPr>
          <w:sz w:val="24"/>
          <w:szCs w:val="24"/>
        </w:rPr>
        <w:t>6.1.1 生态影响因子识别</w:t>
      </w:r>
      <w:bookmarkEnd w:id="455"/>
      <w:bookmarkEnd w:id="456"/>
      <w:bookmarkEnd w:id="457"/>
    </w:p>
    <w:p>
      <w:pPr>
        <w:spacing w:line="360" w:lineRule="auto"/>
        <w:ind w:firstLine="480" w:firstLineChars="200"/>
        <w:rPr>
          <w:rFonts w:ascii="Times New Roman" w:hAnsi="Times New Roman"/>
          <w:sz w:val="24"/>
        </w:rPr>
      </w:pPr>
      <w:r>
        <w:rPr>
          <w:rFonts w:hint="eastAsia" w:ascii="Times New Roman" w:hAnsi="Times New Roman"/>
          <w:sz w:val="24"/>
        </w:rPr>
        <w:t>根据本项目建设内容、生产工艺特点及地区生态现状和环境特点，对生态影响因子进行识别与筛选，</w:t>
      </w:r>
      <w:r>
        <w:rPr>
          <w:rFonts w:ascii="Times New Roman" w:hAnsi="Times New Roman"/>
          <w:sz w:val="24"/>
        </w:rPr>
        <w:t>见</w:t>
      </w:r>
      <w:r>
        <w:rPr>
          <w:rFonts w:hint="eastAsia" w:ascii="Times New Roman" w:hAnsi="Times New Roman"/>
          <w:sz w:val="24"/>
        </w:rPr>
        <w:t>下表</w:t>
      </w:r>
      <w:r>
        <w:rPr>
          <w:rFonts w:ascii="Times New Roman" w:hAnsi="Times New Roman"/>
          <w:sz w:val="24"/>
        </w:rPr>
        <w:t>。</w:t>
      </w:r>
    </w:p>
    <w:p>
      <w:pPr>
        <w:jc w:val="center"/>
        <w:rPr>
          <w:rFonts w:ascii="Times New Roman" w:hAnsi="Times New Roman"/>
          <w:b/>
          <w:bCs/>
          <w:sz w:val="24"/>
          <w:szCs w:val="24"/>
        </w:rPr>
      </w:pPr>
      <w:r>
        <w:rPr>
          <w:rFonts w:ascii="Times New Roman" w:hAnsi="Times New Roman"/>
          <w:b/>
          <w:bCs/>
          <w:sz w:val="24"/>
          <w:szCs w:val="24"/>
        </w:rPr>
        <w:t>表6-1 环境生态影响识别与因子筛选矩阵</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01"/>
        <w:gridCol w:w="1265"/>
        <w:gridCol w:w="2312"/>
        <w:gridCol w:w="1030"/>
        <w:gridCol w:w="1299"/>
        <w:gridCol w:w="1189"/>
        <w:gridCol w:w="12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3" w:hRule="exact"/>
          <w:jc w:val="center"/>
        </w:trPr>
        <w:tc>
          <w:tcPr>
            <w:tcW w:w="701" w:type="dxa"/>
          </w:tcPr>
          <w:p>
            <w:pPr>
              <w:pStyle w:val="69"/>
              <w:kinsoku w:val="0"/>
              <w:overflowPunct w:val="0"/>
              <w:snapToGrid w:val="0"/>
              <w:rPr>
                <w:sz w:val="21"/>
                <w:szCs w:val="21"/>
              </w:rPr>
            </w:pPr>
            <w:r>
              <w:rPr>
                <w:rFonts w:hint="eastAsia" w:ascii="宋体" w:hAnsi="宋体"/>
                <w:sz w:val="21"/>
                <w:szCs w:val="21"/>
              </w:rPr>
              <w:t>序号</w:t>
            </w:r>
          </w:p>
        </w:tc>
        <w:tc>
          <w:tcPr>
            <w:tcW w:w="1265" w:type="dxa"/>
          </w:tcPr>
          <w:p>
            <w:pPr>
              <w:pStyle w:val="69"/>
              <w:kinsoku w:val="0"/>
              <w:overflowPunct w:val="0"/>
              <w:snapToGrid w:val="0"/>
              <w:jc w:val="center"/>
              <w:rPr>
                <w:sz w:val="21"/>
                <w:szCs w:val="21"/>
              </w:rPr>
            </w:pPr>
            <w:r>
              <w:rPr>
                <w:rFonts w:hint="eastAsia" w:ascii="宋体" w:hAnsi="宋体"/>
                <w:sz w:val="21"/>
                <w:szCs w:val="21"/>
              </w:rPr>
              <w:t>影响因子</w:t>
            </w:r>
          </w:p>
        </w:tc>
        <w:tc>
          <w:tcPr>
            <w:tcW w:w="2312" w:type="dxa"/>
          </w:tcPr>
          <w:p>
            <w:pPr>
              <w:pStyle w:val="69"/>
              <w:kinsoku w:val="0"/>
              <w:overflowPunct w:val="0"/>
              <w:snapToGrid w:val="0"/>
              <w:jc w:val="center"/>
              <w:rPr>
                <w:sz w:val="21"/>
                <w:szCs w:val="21"/>
              </w:rPr>
            </w:pPr>
            <w:r>
              <w:rPr>
                <w:rFonts w:hint="eastAsia" w:ascii="宋体" w:hAnsi="宋体"/>
                <w:sz w:val="21"/>
                <w:szCs w:val="21"/>
              </w:rPr>
              <w:t>影响方式</w:t>
            </w:r>
          </w:p>
        </w:tc>
        <w:tc>
          <w:tcPr>
            <w:tcW w:w="1030" w:type="dxa"/>
          </w:tcPr>
          <w:p>
            <w:pPr>
              <w:pStyle w:val="69"/>
              <w:kinsoku w:val="0"/>
              <w:overflowPunct w:val="0"/>
              <w:snapToGrid w:val="0"/>
              <w:rPr>
                <w:rFonts w:ascii="宋体" w:hAnsi="宋体"/>
                <w:sz w:val="21"/>
                <w:szCs w:val="21"/>
              </w:rPr>
            </w:pPr>
            <w:r>
              <w:rPr>
                <w:rFonts w:hint="eastAsia" w:ascii="宋体" w:hAnsi="宋体"/>
                <w:sz w:val="21"/>
                <w:szCs w:val="21"/>
              </w:rPr>
              <w:t>影响阶段</w:t>
            </w:r>
          </w:p>
        </w:tc>
        <w:tc>
          <w:tcPr>
            <w:tcW w:w="1299" w:type="dxa"/>
          </w:tcPr>
          <w:p>
            <w:pPr>
              <w:pStyle w:val="69"/>
              <w:kinsoku w:val="0"/>
              <w:overflowPunct w:val="0"/>
              <w:snapToGrid w:val="0"/>
              <w:ind w:firstLine="210" w:firstLineChars="100"/>
              <w:rPr>
                <w:sz w:val="21"/>
                <w:szCs w:val="21"/>
              </w:rPr>
            </w:pPr>
            <w:r>
              <w:rPr>
                <w:rFonts w:hint="eastAsia" w:ascii="宋体" w:hAnsi="宋体"/>
                <w:sz w:val="21"/>
                <w:szCs w:val="21"/>
              </w:rPr>
              <w:t>影响时间</w:t>
            </w:r>
          </w:p>
        </w:tc>
        <w:tc>
          <w:tcPr>
            <w:tcW w:w="1189" w:type="dxa"/>
          </w:tcPr>
          <w:p>
            <w:pPr>
              <w:pStyle w:val="69"/>
              <w:kinsoku w:val="0"/>
              <w:overflowPunct w:val="0"/>
              <w:snapToGrid w:val="0"/>
              <w:jc w:val="center"/>
              <w:rPr>
                <w:sz w:val="21"/>
                <w:szCs w:val="21"/>
              </w:rPr>
            </w:pPr>
            <w:r>
              <w:rPr>
                <w:rFonts w:hint="eastAsia" w:ascii="宋体" w:hAnsi="宋体"/>
                <w:sz w:val="21"/>
                <w:szCs w:val="21"/>
              </w:rPr>
              <w:t>影响方式</w:t>
            </w:r>
          </w:p>
        </w:tc>
        <w:tc>
          <w:tcPr>
            <w:tcW w:w="1284" w:type="dxa"/>
          </w:tcPr>
          <w:p>
            <w:pPr>
              <w:pStyle w:val="69"/>
              <w:kinsoku w:val="0"/>
              <w:overflowPunct w:val="0"/>
              <w:snapToGrid w:val="0"/>
              <w:jc w:val="center"/>
              <w:rPr>
                <w:sz w:val="21"/>
                <w:szCs w:val="21"/>
              </w:rPr>
            </w:pPr>
            <w:r>
              <w:rPr>
                <w:rFonts w:hint="eastAsia" w:ascii="宋体" w:hAnsi="宋体"/>
                <w:sz w:val="21"/>
                <w:szCs w:val="21"/>
              </w:rPr>
              <w:t>影响程度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exact"/>
          <w:jc w:val="center"/>
        </w:trPr>
        <w:tc>
          <w:tcPr>
            <w:tcW w:w="701" w:type="dxa"/>
          </w:tcPr>
          <w:p>
            <w:pPr>
              <w:pStyle w:val="69"/>
              <w:kinsoku w:val="0"/>
              <w:overflowPunct w:val="0"/>
              <w:snapToGrid w:val="0"/>
              <w:jc w:val="center"/>
              <w:rPr>
                <w:sz w:val="21"/>
                <w:szCs w:val="21"/>
              </w:rPr>
            </w:pPr>
            <w:r>
              <w:rPr>
                <w:rFonts w:ascii="Times New Roman" w:hAnsi="Times New Roman" w:eastAsia="Times New Roman"/>
                <w:sz w:val="21"/>
                <w:szCs w:val="21"/>
              </w:rPr>
              <w:t>1</w:t>
            </w:r>
          </w:p>
        </w:tc>
        <w:tc>
          <w:tcPr>
            <w:tcW w:w="1265" w:type="dxa"/>
          </w:tcPr>
          <w:p>
            <w:pPr>
              <w:pStyle w:val="69"/>
              <w:kinsoku w:val="0"/>
              <w:overflowPunct w:val="0"/>
              <w:snapToGrid w:val="0"/>
              <w:jc w:val="center"/>
              <w:rPr>
                <w:sz w:val="21"/>
                <w:szCs w:val="21"/>
              </w:rPr>
            </w:pPr>
            <w:r>
              <w:rPr>
                <w:rFonts w:hint="eastAsia" w:ascii="宋体" w:hAnsi="宋体"/>
                <w:sz w:val="21"/>
                <w:szCs w:val="21"/>
              </w:rPr>
              <w:t>占用土地</w:t>
            </w:r>
          </w:p>
        </w:tc>
        <w:tc>
          <w:tcPr>
            <w:tcW w:w="2312" w:type="dxa"/>
          </w:tcPr>
          <w:p>
            <w:pPr>
              <w:pStyle w:val="69"/>
              <w:kinsoku w:val="0"/>
              <w:overflowPunct w:val="0"/>
              <w:snapToGrid w:val="0"/>
              <w:jc w:val="center"/>
              <w:rPr>
                <w:sz w:val="21"/>
                <w:szCs w:val="21"/>
              </w:rPr>
            </w:pPr>
            <w:r>
              <w:rPr>
                <w:rFonts w:hint="eastAsia" w:ascii="宋体" w:hAnsi="宋体"/>
                <w:sz w:val="21"/>
                <w:szCs w:val="21"/>
              </w:rPr>
              <w:t>选矿厂等建构筑物建设</w:t>
            </w:r>
          </w:p>
        </w:tc>
        <w:tc>
          <w:tcPr>
            <w:tcW w:w="1030" w:type="dxa"/>
          </w:tcPr>
          <w:p>
            <w:pPr>
              <w:pStyle w:val="69"/>
              <w:kinsoku w:val="0"/>
              <w:overflowPunct w:val="0"/>
              <w:snapToGrid w:val="0"/>
              <w:jc w:val="center"/>
              <w:rPr>
                <w:rFonts w:ascii="宋体" w:hAnsi="宋体"/>
                <w:sz w:val="21"/>
                <w:szCs w:val="21"/>
              </w:rPr>
            </w:pPr>
            <w:r>
              <w:rPr>
                <w:rFonts w:hint="eastAsia" w:ascii="宋体" w:hAnsi="宋体"/>
                <w:sz w:val="21"/>
                <w:szCs w:val="21"/>
              </w:rPr>
              <w:t>施工期</w:t>
            </w:r>
          </w:p>
        </w:tc>
        <w:tc>
          <w:tcPr>
            <w:tcW w:w="1299" w:type="dxa"/>
          </w:tcPr>
          <w:p>
            <w:pPr>
              <w:pStyle w:val="69"/>
              <w:kinsoku w:val="0"/>
              <w:overflowPunct w:val="0"/>
              <w:snapToGrid w:val="0"/>
              <w:jc w:val="center"/>
              <w:rPr>
                <w:sz w:val="21"/>
                <w:szCs w:val="21"/>
              </w:rPr>
            </w:pPr>
            <w:r>
              <w:rPr>
                <w:rFonts w:hint="eastAsia" w:ascii="宋体" w:hAnsi="宋体"/>
                <w:sz w:val="21"/>
                <w:szCs w:val="21"/>
              </w:rPr>
              <w:t>长期</w:t>
            </w:r>
          </w:p>
        </w:tc>
        <w:tc>
          <w:tcPr>
            <w:tcW w:w="1189" w:type="dxa"/>
          </w:tcPr>
          <w:p>
            <w:pPr>
              <w:pStyle w:val="69"/>
              <w:kinsoku w:val="0"/>
              <w:overflowPunct w:val="0"/>
              <w:snapToGrid w:val="0"/>
              <w:jc w:val="center"/>
              <w:rPr>
                <w:sz w:val="21"/>
                <w:szCs w:val="21"/>
              </w:rPr>
            </w:pPr>
            <w:r>
              <w:rPr>
                <w:rFonts w:hint="eastAsia" w:ascii="宋体" w:hAnsi="宋体"/>
                <w:sz w:val="21"/>
                <w:szCs w:val="21"/>
              </w:rPr>
              <w:t>地上</w:t>
            </w:r>
          </w:p>
        </w:tc>
        <w:tc>
          <w:tcPr>
            <w:tcW w:w="1284" w:type="dxa"/>
          </w:tcPr>
          <w:p>
            <w:pPr>
              <w:pStyle w:val="69"/>
              <w:kinsoku w:val="0"/>
              <w:overflowPunct w:val="0"/>
              <w:snapToGrid w:val="0"/>
              <w:jc w:val="center"/>
              <w:rPr>
                <w:sz w:val="21"/>
                <w:szCs w:val="21"/>
              </w:rPr>
            </w:pPr>
            <w:r>
              <w:rPr>
                <w:rFonts w:hint="eastAsia"/>
                <w:sz w:val="21"/>
                <w:szCs w:val="21"/>
              </w:rPr>
              <w:t>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exact"/>
          <w:jc w:val="center"/>
        </w:trPr>
        <w:tc>
          <w:tcPr>
            <w:tcW w:w="701" w:type="dxa"/>
          </w:tcPr>
          <w:p>
            <w:pPr>
              <w:pStyle w:val="69"/>
              <w:kinsoku w:val="0"/>
              <w:overflowPunct w:val="0"/>
              <w:snapToGrid w:val="0"/>
              <w:jc w:val="center"/>
              <w:rPr>
                <w:sz w:val="21"/>
                <w:szCs w:val="21"/>
              </w:rPr>
            </w:pPr>
            <w:r>
              <w:rPr>
                <w:rFonts w:ascii="Times New Roman" w:hAnsi="Times New Roman" w:eastAsia="Times New Roman"/>
                <w:sz w:val="21"/>
                <w:szCs w:val="21"/>
              </w:rPr>
              <w:t>2</w:t>
            </w:r>
          </w:p>
        </w:tc>
        <w:tc>
          <w:tcPr>
            <w:tcW w:w="1265" w:type="dxa"/>
          </w:tcPr>
          <w:p>
            <w:pPr>
              <w:pStyle w:val="69"/>
              <w:kinsoku w:val="0"/>
              <w:overflowPunct w:val="0"/>
              <w:snapToGrid w:val="0"/>
              <w:jc w:val="center"/>
              <w:rPr>
                <w:sz w:val="21"/>
                <w:szCs w:val="21"/>
              </w:rPr>
            </w:pPr>
            <w:r>
              <w:rPr>
                <w:rFonts w:hint="eastAsia" w:ascii="宋体" w:hAnsi="宋体"/>
                <w:sz w:val="21"/>
                <w:szCs w:val="21"/>
              </w:rPr>
              <w:t>地貌变化</w:t>
            </w:r>
          </w:p>
        </w:tc>
        <w:tc>
          <w:tcPr>
            <w:tcW w:w="2312" w:type="dxa"/>
          </w:tcPr>
          <w:p>
            <w:pPr>
              <w:pStyle w:val="69"/>
              <w:kinsoku w:val="0"/>
              <w:overflowPunct w:val="0"/>
              <w:snapToGrid w:val="0"/>
              <w:jc w:val="center"/>
              <w:rPr>
                <w:sz w:val="21"/>
                <w:szCs w:val="21"/>
              </w:rPr>
            </w:pPr>
            <w:r>
              <w:rPr>
                <w:rFonts w:hint="eastAsia" w:ascii="宋体" w:hAnsi="宋体"/>
                <w:sz w:val="21"/>
                <w:szCs w:val="21"/>
              </w:rPr>
              <w:t>平整土地</w:t>
            </w:r>
          </w:p>
        </w:tc>
        <w:tc>
          <w:tcPr>
            <w:tcW w:w="1030" w:type="dxa"/>
          </w:tcPr>
          <w:p>
            <w:pPr>
              <w:pStyle w:val="69"/>
              <w:kinsoku w:val="0"/>
              <w:overflowPunct w:val="0"/>
              <w:snapToGrid w:val="0"/>
              <w:jc w:val="center"/>
              <w:rPr>
                <w:rFonts w:ascii="宋体" w:hAnsi="宋体"/>
                <w:sz w:val="21"/>
                <w:szCs w:val="21"/>
              </w:rPr>
            </w:pPr>
            <w:r>
              <w:rPr>
                <w:rFonts w:hint="eastAsia" w:ascii="宋体" w:hAnsi="宋体"/>
                <w:sz w:val="21"/>
                <w:szCs w:val="21"/>
              </w:rPr>
              <w:t>施工期</w:t>
            </w:r>
          </w:p>
        </w:tc>
        <w:tc>
          <w:tcPr>
            <w:tcW w:w="1299" w:type="dxa"/>
          </w:tcPr>
          <w:p>
            <w:pPr>
              <w:pStyle w:val="69"/>
              <w:kinsoku w:val="0"/>
              <w:overflowPunct w:val="0"/>
              <w:snapToGrid w:val="0"/>
              <w:jc w:val="center"/>
              <w:rPr>
                <w:sz w:val="21"/>
                <w:szCs w:val="21"/>
              </w:rPr>
            </w:pPr>
            <w:r>
              <w:rPr>
                <w:rFonts w:hint="eastAsia" w:ascii="宋体" w:hAnsi="宋体"/>
                <w:sz w:val="21"/>
                <w:szCs w:val="21"/>
              </w:rPr>
              <w:t>长期</w:t>
            </w:r>
          </w:p>
        </w:tc>
        <w:tc>
          <w:tcPr>
            <w:tcW w:w="1189" w:type="dxa"/>
          </w:tcPr>
          <w:p>
            <w:pPr>
              <w:pStyle w:val="69"/>
              <w:kinsoku w:val="0"/>
              <w:overflowPunct w:val="0"/>
              <w:snapToGrid w:val="0"/>
              <w:jc w:val="center"/>
              <w:rPr>
                <w:sz w:val="21"/>
                <w:szCs w:val="21"/>
              </w:rPr>
            </w:pPr>
            <w:r>
              <w:rPr>
                <w:rFonts w:hint="eastAsia" w:ascii="宋体" w:hAnsi="宋体"/>
                <w:sz w:val="21"/>
                <w:szCs w:val="21"/>
              </w:rPr>
              <w:t>地上</w:t>
            </w:r>
          </w:p>
        </w:tc>
        <w:tc>
          <w:tcPr>
            <w:tcW w:w="1284" w:type="dxa"/>
          </w:tcPr>
          <w:p>
            <w:pPr>
              <w:pStyle w:val="69"/>
              <w:kinsoku w:val="0"/>
              <w:overflowPunct w:val="0"/>
              <w:snapToGrid w:val="0"/>
              <w:jc w:val="center"/>
              <w:rPr>
                <w:sz w:val="21"/>
                <w:szCs w:val="21"/>
              </w:rPr>
            </w:pPr>
            <w:r>
              <w:rPr>
                <w:rFonts w:hint="eastAsia" w:ascii="宋体" w:hAnsi="宋体"/>
                <w:sz w:val="21"/>
                <w:szCs w:val="21"/>
              </w:rPr>
              <w:t>较大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exact"/>
          <w:jc w:val="center"/>
        </w:trPr>
        <w:tc>
          <w:tcPr>
            <w:tcW w:w="701" w:type="dxa"/>
          </w:tcPr>
          <w:p>
            <w:pPr>
              <w:pStyle w:val="69"/>
              <w:kinsoku w:val="0"/>
              <w:overflowPunct w:val="0"/>
              <w:snapToGrid w:val="0"/>
              <w:jc w:val="center"/>
              <w:rPr>
                <w:rFonts w:ascii="Times New Roman" w:hAnsi="Times New Roman"/>
                <w:sz w:val="21"/>
                <w:szCs w:val="21"/>
              </w:rPr>
            </w:pPr>
            <w:r>
              <w:rPr>
                <w:rFonts w:hint="eastAsia" w:ascii="Times New Roman" w:hAnsi="Times New Roman"/>
                <w:sz w:val="21"/>
                <w:szCs w:val="21"/>
              </w:rPr>
              <w:t>3</w:t>
            </w:r>
          </w:p>
        </w:tc>
        <w:tc>
          <w:tcPr>
            <w:tcW w:w="1265" w:type="dxa"/>
          </w:tcPr>
          <w:p>
            <w:pPr>
              <w:pStyle w:val="69"/>
              <w:kinsoku w:val="0"/>
              <w:overflowPunct w:val="0"/>
              <w:snapToGrid w:val="0"/>
              <w:jc w:val="center"/>
              <w:rPr>
                <w:rFonts w:ascii="宋体" w:hAnsi="宋体"/>
                <w:sz w:val="21"/>
                <w:szCs w:val="21"/>
              </w:rPr>
            </w:pPr>
            <w:r>
              <w:rPr>
                <w:rFonts w:hint="eastAsia" w:ascii="宋体" w:hAnsi="宋体"/>
                <w:sz w:val="21"/>
                <w:szCs w:val="21"/>
              </w:rPr>
              <w:t>森林植被</w:t>
            </w:r>
          </w:p>
        </w:tc>
        <w:tc>
          <w:tcPr>
            <w:tcW w:w="2312" w:type="dxa"/>
          </w:tcPr>
          <w:p>
            <w:pPr>
              <w:pStyle w:val="69"/>
              <w:kinsoku w:val="0"/>
              <w:overflowPunct w:val="0"/>
              <w:snapToGrid w:val="0"/>
              <w:jc w:val="center"/>
              <w:rPr>
                <w:rFonts w:ascii="宋体" w:hAnsi="宋体"/>
                <w:sz w:val="21"/>
                <w:szCs w:val="21"/>
              </w:rPr>
            </w:pPr>
            <w:r>
              <w:rPr>
                <w:rFonts w:hint="eastAsia" w:ascii="宋体" w:hAnsi="宋体"/>
                <w:sz w:val="21"/>
                <w:szCs w:val="21"/>
              </w:rPr>
              <w:t>施工扬尘</w:t>
            </w:r>
          </w:p>
        </w:tc>
        <w:tc>
          <w:tcPr>
            <w:tcW w:w="1030" w:type="dxa"/>
          </w:tcPr>
          <w:p>
            <w:pPr>
              <w:pStyle w:val="69"/>
              <w:kinsoku w:val="0"/>
              <w:overflowPunct w:val="0"/>
              <w:snapToGrid w:val="0"/>
              <w:jc w:val="center"/>
              <w:rPr>
                <w:rFonts w:ascii="宋体" w:hAnsi="宋体"/>
                <w:sz w:val="21"/>
                <w:szCs w:val="21"/>
              </w:rPr>
            </w:pPr>
            <w:r>
              <w:rPr>
                <w:rFonts w:hint="eastAsia" w:ascii="宋体" w:hAnsi="宋体"/>
                <w:sz w:val="21"/>
                <w:szCs w:val="21"/>
              </w:rPr>
              <w:t>施工期</w:t>
            </w:r>
          </w:p>
        </w:tc>
        <w:tc>
          <w:tcPr>
            <w:tcW w:w="1299" w:type="dxa"/>
          </w:tcPr>
          <w:p>
            <w:pPr>
              <w:pStyle w:val="69"/>
              <w:kinsoku w:val="0"/>
              <w:overflowPunct w:val="0"/>
              <w:snapToGrid w:val="0"/>
              <w:jc w:val="center"/>
              <w:rPr>
                <w:rFonts w:ascii="宋体" w:hAnsi="宋体"/>
                <w:sz w:val="21"/>
                <w:szCs w:val="21"/>
              </w:rPr>
            </w:pPr>
            <w:r>
              <w:rPr>
                <w:rFonts w:hint="eastAsia" w:ascii="宋体" w:hAnsi="宋体"/>
                <w:sz w:val="21"/>
                <w:szCs w:val="21"/>
              </w:rPr>
              <w:t>长期</w:t>
            </w:r>
          </w:p>
        </w:tc>
        <w:tc>
          <w:tcPr>
            <w:tcW w:w="1189" w:type="dxa"/>
          </w:tcPr>
          <w:p>
            <w:pPr>
              <w:pStyle w:val="69"/>
              <w:kinsoku w:val="0"/>
              <w:overflowPunct w:val="0"/>
              <w:snapToGrid w:val="0"/>
              <w:jc w:val="center"/>
              <w:rPr>
                <w:rFonts w:ascii="宋体" w:hAnsi="宋体"/>
                <w:sz w:val="21"/>
                <w:szCs w:val="21"/>
              </w:rPr>
            </w:pPr>
            <w:r>
              <w:rPr>
                <w:rFonts w:hint="eastAsia" w:ascii="宋体" w:hAnsi="宋体"/>
                <w:sz w:val="21"/>
                <w:szCs w:val="21"/>
              </w:rPr>
              <w:t>地上</w:t>
            </w:r>
          </w:p>
        </w:tc>
        <w:tc>
          <w:tcPr>
            <w:tcW w:w="1284" w:type="dxa"/>
          </w:tcPr>
          <w:p>
            <w:pPr>
              <w:pStyle w:val="69"/>
              <w:kinsoku w:val="0"/>
              <w:overflowPunct w:val="0"/>
              <w:snapToGrid w:val="0"/>
              <w:jc w:val="center"/>
              <w:rPr>
                <w:rFonts w:ascii="宋体" w:hAnsi="宋体"/>
                <w:sz w:val="21"/>
                <w:szCs w:val="21"/>
              </w:rPr>
            </w:pPr>
            <w:r>
              <w:rPr>
                <w:rFonts w:hint="eastAsia" w:ascii="宋体" w:hAnsi="宋体"/>
                <w:sz w:val="21"/>
                <w:szCs w:val="21"/>
              </w:rPr>
              <w:t>较大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exact"/>
          <w:jc w:val="center"/>
        </w:trPr>
        <w:tc>
          <w:tcPr>
            <w:tcW w:w="701" w:type="dxa"/>
          </w:tcPr>
          <w:p>
            <w:pPr>
              <w:pStyle w:val="69"/>
              <w:kinsoku w:val="0"/>
              <w:overflowPunct w:val="0"/>
              <w:snapToGrid w:val="0"/>
              <w:jc w:val="center"/>
              <w:rPr>
                <w:rFonts w:ascii="Times New Roman" w:hAnsi="Times New Roman"/>
                <w:sz w:val="21"/>
                <w:szCs w:val="21"/>
              </w:rPr>
            </w:pPr>
            <w:r>
              <w:rPr>
                <w:rFonts w:hint="eastAsia" w:ascii="Times New Roman" w:hAnsi="Times New Roman"/>
                <w:sz w:val="21"/>
                <w:szCs w:val="21"/>
              </w:rPr>
              <w:t>4</w:t>
            </w:r>
          </w:p>
        </w:tc>
        <w:tc>
          <w:tcPr>
            <w:tcW w:w="1265" w:type="dxa"/>
          </w:tcPr>
          <w:p>
            <w:pPr>
              <w:pStyle w:val="69"/>
              <w:kinsoku w:val="0"/>
              <w:overflowPunct w:val="0"/>
              <w:snapToGrid w:val="0"/>
              <w:jc w:val="center"/>
              <w:rPr>
                <w:rFonts w:ascii="宋体" w:hAnsi="宋体"/>
                <w:sz w:val="21"/>
                <w:szCs w:val="21"/>
              </w:rPr>
            </w:pPr>
            <w:r>
              <w:rPr>
                <w:rFonts w:hint="eastAsia" w:ascii="宋体" w:hAnsi="宋体"/>
                <w:sz w:val="21"/>
                <w:szCs w:val="21"/>
              </w:rPr>
              <w:t>地下水涵养</w:t>
            </w:r>
          </w:p>
        </w:tc>
        <w:tc>
          <w:tcPr>
            <w:tcW w:w="2312" w:type="dxa"/>
          </w:tcPr>
          <w:p>
            <w:pPr>
              <w:pStyle w:val="69"/>
              <w:kinsoku w:val="0"/>
              <w:overflowPunct w:val="0"/>
              <w:snapToGrid w:val="0"/>
              <w:jc w:val="center"/>
              <w:rPr>
                <w:rFonts w:ascii="宋体" w:hAnsi="宋体"/>
                <w:sz w:val="21"/>
                <w:szCs w:val="21"/>
              </w:rPr>
            </w:pPr>
            <w:r>
              <w:rPr>
                <w:rFonts w:hint="eastAsia" w:ascii="宋体" w:hAnsi="宋体"/>
                <w:sz w:val="21"/>
                <w:szCs w:val="21"/>
              </w:rPr>
              <w:t>不透水地面增加</w:t>
            </w:r>
          </w:p>
        </w:tc>
        <w:tc>
          <w:tcPr>
            <w:tcW w:w="1030" w:type="dxa"/>
          </w:tcPr>
          <w:p>
            <w:pPr>
              <w:pStyle w:val="69"/>
              <w:kinsoku w:val="0"/>
              <w:overflowPunct w:val="0"/>
              <w:snapToGrid w:val="0"/>
              <w:jc w:val="center"/>
              <w:rPr>
                <w:rFonts w:ascii="宋体" w:hAnsi="宋体"/>
                <w:sz w:val="21"/>
                <w:szCs w:val="21"/>
              </w:rPr>
            </w:pPr>
            <w:r>
              <w:rPr>
                <w:rFonts w:hint="eastAsia" w:ascii="宋体" w:hAnsi="宋体"/>
                <w:sz w:val="21"/>
                <w:szCs w:val="21"/>
              </w:rPr>
              <w:t>施工期</w:t>
            </w:r>
          </w:p>
        </w:tc>
        <w:tc>
          <w:tcPr>
            <w:tcW w:w="1299" w:type="dxa"/>
          </w:tcPr>
          <w:p>
            <w:pPr>
              <w:pStyle w:val="69"/>
              <w:kinsoku w:val="0"/>
              <w:overflowPunct w:val="0"/>
              <w:snapToGrid w:val="0"/>
              <w:jc w:val="center"/>
              <w:rPr>
                <w:rFonts w:ascii="宋体" w:hAnsi="宋体"/>
                <w:sz w:val="21"/>
                <w:szCs w:val="21"/>
              </w:rPr>
            </w:pPr>
            <w:r>
              <w:rPr>
                <w:rFonts w:hint="eastAsia" w:ascii="宋体" w:hAnsi="宋体"/>
                <w:sz w:val="21"/>
                <w:szCs w:val="21"/>
              </w:rPr>
              <w:t>长期</w:t>
            </w:r>
          </w:p>
        </w:tc>
        <w:tc>
          <w:tcPr>
            <w:tcW w:w="1189" w:type="dxa"/>
          </w:tcPr>
          <w:p>
            <w:pPr>
              <w:pStyle w:val="69"/>
              <w:kinsoku w:val="0"/>
              <w:overflowPunct w:val="0"/>
              <w:snapToGrid w:val="0"/>
              <w:jc w:val="center"/>
              <w:rPr>
                <w:rFonts w:ascii="宋体" w:hAnsi="宋体"/>
                <w:sz w:val="21"/>
                <w:szCs w:val="21"/>
              </w:rPr>
            </w:pPr>
            <w:r>
              <w:rPr>
                <w:rFonts w:hint="eastAsia" w:ascii="宋体" w:hAnsi="宋体"/>
                <w:sz w:val="21"/>
                <w:szCs w:val="21"/>
              </w:rPr>
              <w:t>地下</w:t>
            </w:r>
          </w:p>
        </w:tc>
        <w:tc>
          <w:tcPr>
            <w:tcW w:w="1284" w:type="dxa"/>
          </w:tcPr>
          <w:p>
            <w:pPr>
              <w:pStyle w:val="69"/>
              <w:kinsoku w:val="0"/>
              <w:overflowPunct w:val="0"/>
              <w:snapToGrid w:val="0"/>
              <w:jc w:val="center"/>
              <w:rPr>
                <w:rFonts w:ascii="宋体" w:hAnsi="宋体"/>
                <w:sz w:val="21"/>
                <w:szCs w:val="21"/>
              </w:rPr>
            </w:pPr>
            <w:r>
              <w:rPr>
                <w:rFonts w:hint="eastAsia" w:ascii="宋体" w:hAnsi="宋体"/>
                <w:sz w:val="21"/>
                <w:szCs w:val="21"/>
              </w:rPr>
              <w:t>较大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exact"/>
          <w:jc w:val="center"/>
        </w:trPr>
        <w:tc>
          <w:tcPr>
            <w:tcW w:w="701" w:type="dxa"/>
          </w:tcPr>
          <w:p>
            <w:pPr>
              <w:pStyle w:val="69"/>
              <w:kinsoku w:val="0"/>
              <w:overflowPunct w:val="0"/>
              <w:snapToGrid w:val="0"/>
              <w:jc w:val="center"/>
              <w:rPr>
                <w:rFonts w:ascii="Times New Roman" w:hAnsi="Times New Roman"/>
                <w:sz w:val="21"/>
                <w:szCs w:val="21"/>
              </w:rPr>
            </w:pPr>
            <w:r>
              <w:rPr>
                <w:rFonts w:hint="eastAsia" w:ascii="Times New Roman" w:hAnsi="Times New Roman"/>
                <w:sz w:val="21"/>
                <w:szCs w:val="21"/>
              </w:rPr>
              <w:t>5</w:t>
            </w:r>
          </w:p>
        </w:tc>
        <w:tc>
          <w:tcPr>
            <w:tcW w:w="1265" w:type="dxa"/>
          </w:tcPr>
          <w:p>
            <w:pPr>
              <w:pStyle w:val="69"/>
              <w:kinsoku w:val="0"/>
              <w:overflowPunct w:val="0"/>
              <w:snapToGrid w:val="0"/>
              <w:jc w:val="center"/>
              <w:rPr>
                <w:rFonts w:ascii="宋体" w:hAnsi="宋体"/>
                <w:sz w:val="21"/>
                <w:szCs w:val="21"/>
              </w:rPr>
            </w:pPr>
            <w:r>
              <w:rPr>
                <w:rFonts w:hint="eastAsia" w:ascii="宋体" w:hAnsi="宋体"/>
                <w:sz w:val="21"/>
                <w:szCs w:val="21"/>
              </w:rPr>
              <w:t>水土流失</w:t>
            </w:r>
          </w:p>
        </w:tc>
        <w:tc>
          <w:tcPr>
            <w:tcW w:w="2312" w:type="dxa"/>
          </w:tcPr>
          <w:p>
            <w:pPr>
              <w:pStyle w:val="69"/>
              <w:kinsoku w:val="0"/>
              <w:overflowPunct w:val="0"/>
              <w:snapToGrid w:val="0"/>
              <w:jc w:val="center"/>
              <w:rPr>
                <w:rFonts w:ascii="宋体" w:hAnsi="宋体"/>
                <w:sz w:val="21"/>
                <w:szCs w:val="21"/>
              </w:rPr>
            </w:pPr>
            <w:r>
              <w:rPr>
                <w:rFonts w:hint="eastAsia" w:ascii="宋体" w:hAnsi="宋体"/>
                <w:sz w:val="21"/>
                <w:szCs w:val="21"/>
              </w:rPr>
              <w:t>地貌变化，植被覆盖变化</w:t>
            </w:r>
          </w:p>
        </w:tc>
        <w:tc>
          <w:tcPr>
            <w:tcW w:w="1030" w:type="dxa"/>
          </w:tcPr>
          <w:p>
            <w:pPr>
              <w:pStyle w:val="69"/>
              <w:kinsoku w:val="0"/>
              <w:overflowPunct w:val="0"/>
              <w:snapToGrid w:val="0"/>
              <w:jc w:val="center"/>
              <w:rPr>
                <w:rFonts w:ascii="宋体" w:hAnsi="宋体"/>
                <w:sz w:val="21"/>
                <w:szCs w:val="21"/>
              </w:rPr>
            </w:pPr>
            <w:r>
              <w:rPr>
                <w:rFonts w:hint="eastAsia" w:ascii="宋体" w:hAnsi="宋体"/>
                <w:sz w:val="21"/>
                <w:szCs w:val="21"/>
              </w:rPr>
              <w:t>施工期</w:t>
            </w:r>
          </w:p>
        </w:tc>
        <w:tc>
          <w:tcPr>
            <w:tcW w:w="1299" w:type="dxa"/>
          </w:tcPr>
          <w:p>
            <w:pPr>
              <w:pStyle w:val="69"/>
              <w:kinsoku w:val="0"/>
              <w:overflowPunct w:val="0"/>
              <w:snapToGrid w:val="0"/>
              <w:rPr>
                <w:rFonts w:ascii="宋体" w:hAnsi="宋体"/>
                <w:sz w:val="21"/>
                <w:szCs w:val="21"/>
              </w:rPr>
            </w:pPr>
            <w:r>
              <w:rPr>
                <w:rFonts w:hint="eastAsia" w:ascii="宋体" w:hAnsi="宋体"/>
                <w:sz w:val="21"/>
                <w:szCs w:val="21"/>
              </w:rPr>
              <w:t>短期、长期</w:t>
            </w:r>
          </w:p>
        </w:tc>
        <w:tc>
          <w:tcPr>
            <w:tcW w:w="1189" w:type="dxa"/>
          </w:tcPr>
          <w:p>
            <w:pPr>
              <w:pStyle w:val="69"/>
              <w:kinsoku w:val="0"/>
              <w:overflowPunct w:val="0"/>
              <w:snapToGrid w:val="0"/>
              <w:jc w:val="center"/>
              <w:rPr>
                <w:rFonts w:ascii="宋体" w:hAnsi="宋体"/>
                <w:sz w:val="21"/>
                <w:szCs w:val="21"/>
              </w:rPr>
            </w:pPr>
            <w:r>
              <w:rPr>
                <w:rFonts w:hint="eastAsia" w:ascii="宋体" w:hAnsi="宋体"/>
                <w:sz w:val="21"/>
                <w:szCs w:val="21"/>
              </w:rPr>
              <w:t>地上</w:t>
            </w:r>
          </w:p>
        </w:tc>
        <w:tc>
          <w:tcPr>
            <w:tcW w:w="1284" w:type="dxa"/>
          </w:tcPr>
          <w:p>
            <w:pPr>
              <w:pStyle w:val="69"/>
              <w:kinsoku w:val="0"/>
              <w:overflowPunct w:val="0"/>
              <w:snapToGrid w:val="0"/>
              <w:jc w:val="center"/>
              <w:rPr>
                <w:rFonts w:ascii="宋体" w:hAnsi="宋体"/>
                <w:sz w:val="21"/>
                <w:szCs w:val="21"/>
              </w:rPr>
            </w:pPr>
            <w:r>
              <w:rPr>
                <w:rFonts w:hint="eastAsia" w:ascii="宋体" w:hAnsi="宋体"/>
                <w:sz w:val="21"/>
                <w:szCs w:val="21"/>
              </w:rPr>
              <w:t>较大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9" w:hRule="exact"/>
          <w:jc w:val="center"/>
        </w:trPr>
        <w:tc>
          <w:tcPr>
            <w:tcW w:w="701" w:type="dxa"/>
          </w:tcPr>
          <w:p>
            <w:pPr>
              <w:pStyle w:val="69"/>
              <w:kinsoku w:val="0"/>
              <w:overflowPunct w:val="0"/>
              <w:snapToGrid w:val="0"/>
              <w:jc w:val="center"/>
              <w:rPr>
                <w:sz w:val="21"/>
                <w:szCs w:val="21"/>
              </w:rPr>
            </w:pPr>
            <w:r>
              <w:rPr>
                <w:rFonts w:hint="eastAsia"/>
                <w:sz w:val="21"/>
                <w:szCs w:val="21"/>
              </w:rPr>
              <w:t>6</w:t>
            </w:r>
          </w:p>
        </w:tc>
        <w:tc>
          <w:tcPr>
            <w:tcW w:w="1265" w:type="dxa"/>
          </w:tcPr>
          <w:p>
            <w:pPr>
              <w:pStyle w:val="69"/>
              <w:kinsoku w:val="0"/>
              <w:overflowPunct w:val="0"/>
              <w:snapToGrid w:val="0"/>
              <w:jc w:val="center"/>
              <w:rPr>
                <w:sz w:val="21"/>
                <w:szCs w:val="21"/>
              </w:rPr>
            </w:pPr>
            <w:r>
              <w:rPr>
                <w:rFonts w:hint="eastAsia" w:ascii="宋体" w:hAnsi="宋体"/>
                <w:sz w:val="21"/>
                <w:szCs w:val="21"/>
              </w:rPr>
              <w:t>森林植被</w:t>
            </w:r>
          </w:p>
        </w:tc>
        <w:tc>
          <w:tcPr>
            <w:tcW w:w="2312" w:type="dxa"/>
          </w:tcPr>
          <w:p>
            <w:pPr>
              <w:pStyle w:val="69"/>
              <w:kinsoku w:val="0"/>
              <w:overflowPunct w:val="0"/>
              <w:snapToGrid w:val="0"/>
              <w:jc w:val="center"/>
              <w:rPr>
                <w:sz w:val="21"/>
                <w:szCs w:val="21"/>
              </w:rPr>
            </w:pPr>
            <w:r>
              <w:rPr>
                <w:rFonts w:hint="eastAsia"/>
                <w:sz w:val="21"/>
                <w:szCs w:val="21"/>
              </w:rPr>
              <w:t>尾矿库扬尘</w:t>
            </w:r>
          </w:p>
        </w:tc>
        <w:tc>
          <w:tcPr>
            <w:tcW w:w="1030" w:type="dxa"/>
          </w:tcPr>
          <w:p>
            <w:pPr>
              <w:pStyle w:val="69"/>
              <w:kinsoku w:val="0"/>
              <w:overflowPunct w:val="0"/>
              <w:snapToGrid w:val="0"/>
              <w:jc w:val="center"/>
              <w:rPr>
                <w:sz w:val="21"/>
                <w:szCs w:val="21"/>
              </w:rPr>
            </w:pPr>
            <w:r>
              <w:rPr>
                <w:rFonts w:hint="eastAsia"/>
                <w:sz w:val="21"/>
                <w:szCs w:val="21"/>
              </w:rPr>
              <w:t>运营期</w:t>
            </w:r>
          </w:p>
        </w:tc>
        <w:tc>
          <w:tcPr>
            <w:tcW w:w="1299" w:type="dxa"/>
          </w:tcPr>
          <w:p>
            <w:pPr>
              <w:pStyle w:val="69"/>
              <w:kinsoku w:val="0"/>
              <w:overflowPunct w:val="0"/>
              <w:snapToGrid w:val="0"/>
              <w:jc w:val="center"/>
              <w:rPr>
                <w:sz w:val="21"/>
                <w:szCs w:val="21"/>
              </w:rPr>
            </w:pPr>
            <w:r>
              <w:rPr>
                <w:rFonts w:hint="eastAsia"/>
                <w:sz w:val="21"/>
                <w:szCs w:val="21"/>
              </w:rPr>
              <w:t>长期</w:t>
            </w:r>
          </w:p>
        </w:tc>
        <w:tc>
          <w:tcPr>
            <w:tcW w:w="1189" w:type="dxa"/>
          </w:tcPr>
          <w:p>
            <w:pPr>
              <w:pStyle w:val="69"/>
              <w:kinsoku w:val="0"/>
              <w:overflowPunct w:val="0"/>
              <w:snapToGrid w:val="0"/>
              <w:jc w:val="center"/>
              <w:rPr>
                <w:sz w:val="21"/>
                <w:szCs w:val="21"/>
              </w:rPr>
            </w:pPr>
            <w:r>
              <w:rPr>
                <w:rFonts w:hint="eastAsia"/>
                <w:sz w:val="21"/>
                <w:szCs w:val="21"/>
              </w:rPr>
              <w:t>地上</w:t>
            </w:r>
          </w:p>
        </w:tc>
        <w:tc>
          <w:tcPr>
            <w:tcW w:w="1284" w:type="dxa"/>
          </w:tcPr>
          <w:p>
            <w:pPr>
              <w:pStyle w:val="69"/>
              <w:kinsoku w:val="0"/>
              <w:overflowPunct w:val="0"/>
              <w:snapToGrid w:val="0"/>
              <w:jc w:val="center"/>
              <w:rPr>
                <w:sz w:val="21"/>
                <w:szCs w:val="21"/>
              </w:rPr>
            </w:pPr>
            <w:r>
              <w:rPr>
                <w:rFonts w:hint="eastAsia"/>
                <w:sz w:val="21"/>
                <w:szCs w:val="21"/>
              </w:rPr>
              <w:t>较大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exact"/>
          <w:jc w:val="center"/>
        </w:trPr>
        <w:tc>
          <w:tcPr>
            <w:tcW w:w="701" w:type="dxa"/>
          </w:tcPr>
          <w:p>
            <w:pPr>
              <w:pStyle w:val="69"/>
              <w:kinsoku w:val="0"/>
              <w:overflowPunct w:val="0"/>
              <w:snapToGrid w:val="0"/>
              <w:jc w:val="center"/>
              <w:rPr>
                <w:sz w:val="21"/>
                <w:szCs w:val="21"/>
              </w:rPr>
            </w:pPr>
            <w:r>
              <w:rPr>
                <w:rFonts w:hint="eastAsia"/>
                <w:sz w:val="21"/>
                <w:szCs w:val="21"/>
              </w:rPr>
              <w:t>7</w:t>
            </w:r>
          </w:p>
        </w:tc>
        <w:tc>
          <w:tcPr>
            <w:tcW w:w="1265" w:type="dxa"/>
          </w:tcPr>
          <w:p>
            <w:pPr>
              <w:pStyle w:val="69"/>
              <w:kinsoku w:val="0"/>
              <w:overflowPunct w:val="0"/>
              <w:snapToGrid w:val="0"/>
              <w:jc w:val="center"/>
              <w:rPr>
                <w:sz w:val="21"/>
                <w:szCs w:val="21"/>
              </w:rPr>
            </w:pPr>
            <w:r>
              <w:rPr>
                <w:rFonts w:hint="eastAsia" w:ascii="宋体" w:hAnsi="宋体"/>
                <w:sz w:val="21"/>
                <w:szCs w:val="21"/>
              </w:rPr>
              <w:t>动物栖息</w:t>
            </w:r>
          </w:p>
        </w:tc>
        <w:tc>
          <w:tcPr>
            <w:tcW w:w="2312" w:type="dxa"/>
          </w:tcPr>
          <w:p>
            <w:pPr>
              <w:pStyle w:val="69"/>
              <w:kinsoku w:val="0"/>
              <w:overflowPunct w:val="0"/>
              <w:snapToGrid w:val="0"/>
              <w:jc w:val="center"/>
              <w:rPr>
                <w:sz w:val="21"/>
                <w:szCs w:val="21"/>
              </w:rPr>
            </w:pPr>
            <w:r>
              <w:rPr>
                <w:rFonts w:hint="eastAsia" w:ascii="宋体" w:hAnsi="宋体"/>
                <w:sz w:val="21"/>
                <w:szCs w:val="21"/>
              </w:rPr>
              <w:t>人类活动等</w:t>
            </w:r>
          </w:p>
        </w:tc>
        <w:tc>
          <w:tcPr>
            <w:tcW w:w="1030" w:type="dxa"/>
          </w:tcPr>
          <w:p>
            <w:pPr>
              <w:pStyle w:val="69"/>
              <w:kinsoku w:val="0"/>
              <w:overflowPunct w:val="0"/>
              <w:snapToGrid w:val="0"/>
              <w:jc w:val="center"/>
              <w:rPr>
                <w:rFonts w:ascii="宋体" w:hAnsi="宋体"/>
                <w:sz w:val="21"/>
                <w:szCs w:val="21"/>
              </w:rPr>
            </w:pPr>
            <w:r>
              <w:rPr>
                <w:rFonts w:hint="eastAsia" w:ascii="宋体" w:hAnsi="宋体"/>
                <w:sz w:val="21"/>
                <w:szCs w:val="21"/>
              </w:rPr>
              <w:t>运营期</w:t>
            </w:r>
          </w:p>
        </w:tc>
        <w:tc>
          <w:tcPr>
            <w:tcW w:w="1299" w:type="dxa"/>
          </w:tcPr>
          <w:p>
            <w:pPr>
              <w:pStyle w:val="69"/>
              <w:kinsoku w:val="0"/>
              <w:overflowPunct w:val="0"/>
              <w:snapToGrid w:val="0"/>
              <w:jc w:val="center"/>
              <w:rPr>
                <w:sz w:val="21"/>
                <w:szCs w:val="21"/>
              </w:rPr>
            </w:pPr>
            <w:r>
              <w:rPr>
                <w:rFonts w:hint="eastAsia" w:ascii="宋体" w:hAnsi="宋体"/>
                <w:sz w:val="21"/>
                <w:szCs w:val="21"/>
              </w:rPr>
              <w:t>长期</w:t>
            </w:r>
          </w:p>
        </w:tc>
        <w:tc>
          <w:tcPr>
            <w:tcW w:w="1189" w:type="dxa"/>
          </w:tcPr>
          <w:p>
            <w:pPr>
              <w:pStyle w:val="69"/>
              <w:kinsoku w:val="0"/>
              <w:overflowPunct w:val="0"/>
              <w:snapToGrid w:val="0"/>
              <w:jc w:val="center"/>
              <w:rPr>
                <w:sz w:val="21"/>
                <w:szCs w:val="21"/>
              </w:rPr>
            </w:pPr>
            <w:r>
              <w:rPr>
                <w:rFonts w:hint="eastAsia" w:ascii="宋体" w:hAnsi="宋体"/>
                <w:sz w:val="21"/>
                <w:szCs w:val="21"/>
              </w:rPr>
              <w:t>地上</w:t>
            </w:r>
          </w:p>
        </w:tc>
        <w:tc>
          <w:tcPr>
            <w:tcW w:w="1284" w:type="dxa"/>
          </w:tcPr>
          <w:p>
            <w:pPr>
              <w:pStyle w:val="69"/>
              <w:kinsoku w:val="0"/>
              <w:overflowPunct w:val="0"/>
              <w:snapToGrid w:val="0"/>
              <w:jc w:val="center"/>
              <w:rPr>
                <w:sz w:val="21"/>
                <w:szCs w:val="21"/>
              </w:rPr>
            </w:pPr>
            <w:r>
              <w:rPr>
                <w:rFonts w:hint="eastAsia" w:ascii="宋体" w:hAnsi="宋体"/>
                <w:sz w:val="21"/>
                <w:szCs w:val="21"/>
              </w:rPr>
              <w:t>较小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exact"/>
          <w:jc w:val="center"/>
        </w:trPr>
        <w:tc>
          <w:tcPr>
            <w:tcW w:w="701" w:type="dxa"/>
          </w:tcPr>
          <w:p>
            <w:pPr>
              <w:pStyle w:val="69"/>
              <w:kinsoku w:val="0"/>
              <w:overflowPunct w:val="0"/>
              <w:snapToGrid w:val="0"/>
              <w:jc w:val="center"/>
              <w:rPr>
                <w:sz w:val="21"/>
                <w:szCs w:val="21"/>
              </w:rPr>
            </w:pPr>
            <w:r>
              <w:rPr>
                <w:rFonts w:hint="eastAsia"/>
                <w:sz w:val="21"/>
                <w:szCs w:val="21"/>
              </w:rPr>
              <w:t>8</w:t>
            </w:r>
          </w:p>
        </w:tc>
        <w:tc>
          <w:tcPr>
            <w:tcW w:w="1265" w:type="dxa"/>
          </w:tcPr>
          <w:p>
            <w:pPr>
              <w:pStyle w:val="69"/>
              <w:kinsoku w:val="0"/>
              <w:overflowPunct w:val="0"/>
              <w:snapToGrid w:val="0"/>
              <w:jc w:val="center"/>
              <w:rPr>
                <w:sz w:val="21"/>
                <w:szCs w:val="21"/>
              </w:rPr>
            </w:pPr>
            <w:r>
              <w:rPr>
                <w:rFonts w:hint="eastAsia" w:ascii="宋体" w:hAnsi="宋体"/>
                <w:sz w:val="21"/>
                <w:szCs w:val="21"/>
              </w:rPr>
              <w:t>景观</w:t>
            </w:r>
          </w:p>
        </w:tc>
        <w:tc>
          <w:tcPr>
            <w:tcW w:w="2312" w:type="dxa"/>
          </w:tcPr>
          <w:p>
            <w:pPr>
              <w:pStyle w:val="69"/>
              <w:kinsoku w:val="0"/>
              <w:overflowPunct w:val="0"/>
              <w:snapToGrid w:val="0"/>
              <w:jc w:val="center"/>
              <w:rPr>
                <w:sz w:val="21"/>
                <w:szCs w:val="21"/>
              </w:rPr>
            </w:pPr>
            <w:r>
              <w:rPr>
                <w:rFonts w:hint="eastAsia" w:ascii="宋体" w:hAnsi="宋体"/>
                <w:sz w:val="21"/>
                <w:szCs w:val="21"/>
              </w:rPr>
              <w:t>建筑物，构筑物</w:t>
            </w:r>
          </w:p>
        </w:tc>
        <w:tc>
          <w:tcPr>
            <w:tcW w:w="1030" w:type="dxa"/>
          </w:tcPr>
          <w:p>
            <w:pPr>
              <w:pStyle w:val="69"/>
              <w:kinsoku w:val="0"/>
              <w:overflowPunct w:val="0"/>
              <w:snapToGrid w:val="0"/>
              <w:jc w:val="center"/>
              <w:rPr>
                <w:rFonts w:ascii="宋体" w:hAnsi="宋体"/>
                <w:sz w:val="21"/>
                <w:szCs w:val="21"/>
              </w:rPr>
            </w:pPr>
            <w:r>
              <w:rPr>
                <w:rFonts w:hint="eastAsia" w:ascii="宋体" w:hAnsi="宋体"/>
                <w:sz w:val="21"/>
                <w:szCs w:val="21"/>
              </w:rPr>
              <w:t>运营期</w:t>
            </w:r>
          </w:p>
        </w:tc>
        <w:tc>
          <w:tcPr>
            <w:tcW w:w="1299" w:type="dxa"/>
          </w:tcPr>
          <w:p>
            <w:pPr>
              <w:pStyle w:val="69"/>
              <w:kinsoku w:val="0"/>
              <w:overflowPunct w:val="0"/>
              <w:snapToGrid w:val="0"/>
              <w:jc w:val="center"/>
              <w:rPr>
                <w:sz w:val="21"/>
                <w:szCs w:val="21"/>
              </w:rPr>
            </w:pPr>
            <w:r>
              <w:rPr>
                <w:rFonts w:hint="eastAsia" w:ascii="宋体" w:hAnsi="宋体"/>
                <w:sz w:val="21"/>
                <w:szCs w:val="21"/>
              </w:rPr>
              <w:t>长期</w:t>
            </w:r>
          </w:p>
        </w:tc>
        <w:tc>
          <w:tcPr>
            <w:tcW w:w="1189" w:type="dxa"/>
          </w:tcPr>
          <w:p>
            <w:pPr>
              <w:pStyle w:val="69"/>
              <w:kinsoku w:val="0"/>
              <w:overflowPunct w:val="0"/>
              <w:snapToGrid w:val="0"/>
              <w:jc w:val="center"/>
              <w:rPr>
                <w:sz w:val="21"/>
                <w:szCs w:val="21"/>
              </w:rPr>
            </w:pPr>
            <w:r>
              <w:rPr>
                <w:rFonts w:hint="eastAsia" w:ascii="宋体" w:hAnsi="宋体"/>
                <w:sz w:val="21"/>
                <w:szCs w:val="21"/>
              </w:rPr>
              <w:t>地上</w:t>
            </w:r>
          </w:p>
        </w:tc>
        <w:tc>
          <w:tcPr>
            <w:tcW w:w="1284" w:type="dxa"/>
          </w:tcPr>
          <w:p>
            <w:pPr>
              <w:pStyle w:val="69"/>
              <w:kinsoku w:val="0"/>
              <w:overflowPunct w:val="0"/>
              <w:snapToGrid w:val="0"/>
              <w:jc w:val="center"/>
              <w:rPr>
                <w:sz w:val="21"/>
                <w:szCs w:val="21"/>
              </w:rPr>
            </w:pPr>
            <w:r>
              <w:rPr>
                <w:rFonts w:hint="eastAsia" w:ascii="宋体" w:hAnsi="宋体"/>
                <w:sz w:val="21"/>
                <w:szCs w:val="21"/>
              </w:rPr>
              <w:t>较大</w:t>
            </w:r>
          </w:p>
        </w:tc>
      </w:tr>
    </w:tbl>
    <w:p>
      <w:pPr>
        <w:pStyle w:val="5"/>
        <w:spacing w:beforeLines="50" w:after="0" w:line="360" w:lineRule="auto"/>
        <w:rPr>
          <w:sz w:val="24"/>
          <w:szCs w:val="24"/>
        </w:rPr>
      </w:pPr>
      <w:bookmarkStart w:id="458" w:name="_Toc12703"/>
      <w:bookmarkStart w:id="459" w:name="_Toc25190"/>
      <w:bookmarkStart w:id="460" w:name="_Toc11148"/>
      <w:r>
        <w:rPr>
          <w:rFonts w:hint="eastAsia"/>
          <w:sz w:val="24"/>
          <w:szCs w:val="24"/>
        </w:rPr>
        <w:t>6.1.2 评价内容、评价范围与评价等级</w:t>
      </w:r>
      <w:bookmarkEnd w:id="458"/>
      <w:bookmarkEnd w:id="459"/>
      <w:bookmarkEnd w:id="460"/>
    </w:p>
    <w:p>
      <w:pPr>
        <w:pStyle w:val="2"/>
        <w:kinsoku w:val="0"/>
        <w:overflowPunct w:val="0"/>
        <w:spacing w:after="0" w:line="360" w:lineRule="auto"/>
        <w:ind w:right="253" w:firstLine="480" w:firstLineChars="200"/>
        <w:rPr>
          <w:rFonts w:ascii="Times New Roman" w:hAnsi="Times New Roman"/>
          <w:color w:val="000000"/>
          <w:sz w:val="24"/>
        </w:rPr>
      </w:pPr>
      <w:r>
        <w:rPr>
          <w:rFonts w:ascii="Times New Roman" w:hAnsi="Times New Roman"/>
          <w:color w:val="000000"/>
          <w:sz w:val="24"/>
        </w:rPr>
        <w:t>（</w:t>
      </w:r>
      <w:r>
        <w:rPr>
          <w:rFonts w:ascii="Times New Roman" w:hAnsi="Times New Roman" w:eastAsia="Times New Roman"/>
          <w:color w:val="000000"/>
          <w:sz w:val="24"/>
        </w:rPr>
        <w:t>1</w:t>
      </w:r>
      <w:r>
        <w:rPr>
          <w:rFonts w:ascii="Times New Roman" w:hAnsi="Times New Roman"/>
          <w:color w:val="000000"/>
          <w:sz w:val="24"/>
        </w:rPr>
        <w:t>）评价内容：本项目建设对生态环境的影响情况，结合项目所在区域的生态环境特征，以及</w:t>
      </w:r>
      <w:r>
        <w:rPr>
          <w:rFonts w:ascii="Times New Roman" w:hAnsi="Times New Roman"/>
          <w:color w:val="000000"/>
          <w:spacing w:val="-2"/>
          <w:sz w:val="24"/>
        </w:rPr>
        <w:t>影响识别和评价因子的筛选结果，确定评价工作内容主要为占用土地、地貌变化、森林植被、地下水涵养、景观</w:t>
      </w:r>
      <w:r>
        <w:rPr>
          <w:rFonts w:ascii="Times New Roman" w:hAnsi="Times New Roman"/>
          <w:color w:val="000000"/>
          <w:spacing w:val="-95"/>
          <w:sz w:val="24"/>
        </w:rPr>
        <w:t xml:space="preserve"> </w:t>
      </w:r>
      <w:r>
        <w:rPr>
          <w:rFonts w:ascii="Times New Roman" w:hAnsi="Times New Roman"/>
          <w:color w:val="000000"/>
          <w:sz w:val="24"/>
        </w:rPr>
        <w:t>结构及水土流失等。</w:t>
      </w:r>
    </w:p>
    <w:p>
      <w:pPr>
        <w:pStyle w:val="2"/>
        <w:kinsoku w:val="0"/>
        <w:overflowPunct w:val="0"/>
        <w:spacing w:before="54" w:after="0" w:line="360" w:lineRule="auto"/>
        <w:ind w:right="78" w:firstLine="480" w:firstLineChars="200"/>
        <w:rPr>
          <w:rFonts w:ascii="Times New Roman" w:hAnsi="Times New Roman"/>
          <w:color w:val="000000"/>
          <w:sz w:val="24"/>
        </w:rPr>
      </w:pPr>
      <w:r>
        <w:rPr>
          <w:rFonts w:ascii="Times New Roman" w:hAnsi="Times New Roman"/>
          <w:color w:val="000000"/>
          <w:sz w:val="24"/>
        </w:rPr>
        <w:t>（</w:t>
      </w:r>
      <w:r>
        <w:rPr>
          <w:rFonts w:ascii="Times New Roman" w:hAnsi="Times New Roman" w:eastAsia="Times New Roman"/>
          <w:color w:val="000000"/>
          <w:sz w:val="24"/>
        </w:rPr>
        <w:t>2</w:t>
      </w:r>
      <w:r>
        <w:rPr>
          <w:rFonts w:ascii="Times New Roman" w:hAnsi="Times New Roman"/>
          <w:color w:val="000000"/>
          <w:sz w:val="24"/>
        </w:rPr>
        <w:t>）评价范围：</w:t>
      </w:r>
      <w:r>
        <w:rPr>
          <w:rFonts w:ascii="Times New Roman" w:hAnsi="Times New Roman"/>
          <w:color w:val="000000"/>
          <w:spacing w:val="-4"/>
          <w:sz w:val="24"/>
        </w:rPr>
        <w:t>本次</w:t>
      </w:r>
      <w:r>
        <w:rPr>
          <w:rFonts w:ascii="Times New Roman" w:hAnsi="Times New Roman"/>
          <w:color w:val="000000"/>
          <w:sz w:val="24"/>
          <w:szCs w:val="24"/>
        </w:rPr>
        <w:t>生态环境评价范围确定为本项目所在区域外延</w:t>
      </w:r>
      <w:r>
        <w:rPr>
          <w:rFonts w:hint="eastAsia" w:ascii="Times New Roman" w:hAnsi="Times New Roman"/>
          <w:color w:val="000000"/>
          <w:sz w:val="24"/>
          <w:szCs w:val="24"/>
        </w:rPr>
        <w:t>500m</w:t>
      </w:r>
      <w:r>
        <w:rPr>
          <w:rFonts w:ascii="Times New Roman" w:hAnsi="Times New Roman"/>
          <w:color w:val="000000"/>
          <w:sz w:val="24"/>
          <w:szCs w:val="24"/>
        </w:rPr>
        <w:t>区域的范围，评价范围面积约为</w:t>
      </w:r>
      <w:r>
        <w:rPr>
          <w:rFonts w:hint="eastAsia" w:ascii="Times New Roman" w:hAnsi="Times New Roman"/>
          <w:color w:val="000000"/>
          <w:sz w:val="24"/>
          <w:szCs w:val="24"/>
        </w:rPr>
        <w:t>1.81</w:t>
      </w:r>
      <w:r>
        <w:rPr>
          <w:rFonts w:ascii="Times New Roman" w:hAnsi="Times New Roman"/>
          <w:color w:val="000000"/>
          <w:sz w:val="24"/>
        </w:rPr>
        <w:t>km</w:t>
      </w:r>
      <w:r>
        <w:rPr>
          <w:rFonts w:ascii="Times New Roman" w:hAnsi="Times New Roman"/>
          <w:color w:val="000000"/>
          <w:sz w:val="24"/>
          <w:vertAlign w:val="superscript"/>
        </w:rPr>
        <w:t>2</w:t>
      </w:r>
      <w:r>
        <w:rPr>
          <w:rFonts w:ascii="Times New Roman" w:hAnsi="Times New Roman"/>
          <w:color w:val="000000"/>
          <w:sz w:val="24"/>
          <w:szCs w:val="24"/>
        </w:rPr>
        <w:t>，</w:t>
      </w:r>
      <w:r>
        <w:rPr>
          <w:rFonts w:ascii="Times New Roman" w:hAnsi="Times New Roman"/>
          <w:color w:val="000000"/>
          <w:sz w:val="24"/>
        </w:rPr>
        <w:t>详见附图</w:t>
      </w:r>
      <w:r>
        <w:rPr>
          <w:rFonts w:hint="eastAsia" w:ascii="Times New Roman" w:hAnsi="Times New Roman"/>
          <w:color w:val="000000"/>
          <w:sz w:val="24"/>
        </w:rPr>
        <w:t>2</w:t>
      </w:r>
      <w:r>
        <w:rPr>
          <w:rFonts w:ascii="Times New Roman" w:hAnsi="Times New Roman"/>
          <w:color w:val="000000"/>
          <w:sz w:val="24"/>
        </w:rPr>
        <w:t>。对涉及自然生态环境和农业生态环境众多组成要素，</w:t>
      </w:r>
      <w:r>
        <w:rPr>
          <w:rFonts w:ascii="Times New Roman" w:hAnsi="Times New Roman"/>
          <w:color w:val="000000"/>
          <w:spacing w:val="-2"/>
          <w:sz w:val="24"/>
        </w:rPr>
        <w:t>采用理论引证分析与类比方法，力求全面、客观、准确地阐述该项目运营对生态环境可</w:t>
      </w:r>
      <w:r>
        <w:rPr>
          <w:rFonts w:ascii="Times New Roman" w:hAnsi="Times New Roman"/>
          <w:color w:val="000000"/>
          <w:spacing w:val="-95"/>
          <w:sz w:val="24"/>
        </w:rPr>
        <w:t xml:space="preserve"> </w:t>
      </w:r>
      <w:r>
        <w:rPr>
          <w:rFonts w:ascii="Times New Roman" w:hAnsi="Times New Roman"/>
          <w:color w:val="000000"/>
          <w:sz w:val="24"/>
        </w:rPr>
        <w:t>能产生的影响。</w:t>
      </w:r>
    </w:p>
    <w:p>
      <w:pPr>
        <w:pStyle w:val="2"/>
        <w:kinsoku w:val="0"/>
        <w:overflowPunct w:val="0"/>
        <w:spacing w:before="54" w:after="0" w:line="360" w:lineRule="auto"/>
        <w:ind w:right="78" w:firstLine="480" w:firstLineChars="200"/>
        <w:rPr>
          <w:rFonts w:ascii="Times New Roman" w:hAnsi="Times New Roman"/>
          <w:color w:val="000000"/>
          <w:sz w:val="24"/>
        </w:rPr>
      </w:pPr>
      <w:r>
        <w:rPr>
          <w:rFonts w:ascii="Times New Roman" w:hAnsi="Times New Roman"/>
          <w:color w:val="000000"/>
          <w:sz w:val="24"/>
        </w:rPr>
        <w:t>（</w:t>
      </w:r>
      <w:r>
        <w:rPr>
          <w:rFonts w:ascii="Times New Roman" w:hAnsi="Times New Roman" w:eastAsia="Times New Roman"/>
          <w:color w:val="000000"/>
          <w:sz w:val="24"/>
        </w:rPr>
        <w:t>3</w:t>
      </w:r>
      <w:r>
        <w:rPr>
          <w:rFonts w:ascii="Times New Roman" w:hAnsi="Times New Roman"/>
          <w:color w:val="000000"/>
          <w:sz w:val="24"/>
        </w:rPr>
        <w:t>）评价等级：本项目新增占地</w:t>
      </w:r>
      <w:r>
        <w:rPr>
          <w:rFonts w:hint="eastAsia" w:ascii="Times New Roman" w:hAnsi="Times New Roman"/>
          <w:color w:val="000000"/>
          <w:sz w:val="24"/>
        </w:rPr>
        <w:t>4000m</w:t>
      </w:r>
      <w:r>
        <w:rPr>
          <w:rFonts w:hint="eastAsia" w:ascii="Times New Roman" w:hAnsi="Times New Roman"/>
          <w:color w:val="000000"/>
          <w:sz w:val="24"/>
          <w:vertAlign w:val="superscript"/>
        </w:rPr>
        <w:t>2</w:t>
      </w:r>
      <w:r>
        <w:rPr>
          <w:rFonts w:ascii="Times New Roman" w:hAnsi="Times New Roman"/>
          <w:color w:val="000000"/>
          <w:spacing w:val="-2"/>
          <w:sz w:val="24"/>
        </w:rPr>
        <w:t>，</w:t>
      </w:r>
      <w:r>
        <w:rPr>
          <w:rFonts w:hint="eastAsia" w:ascii="Times New Roman" w:hAnsi="Times New Roman"/>
          <w:color w:val="000000"/>
          <w:spacing w:val="-2"/>
          <w:sz w:val="24"/>
        </w:rPr>
        <w:t>占地类型为林地，目前企业正在办理相关林业手续（见附件）。</w:t>
      </w:r>
      <w:r>
        <w:rPr>
          <w:rFonts w:ascii="Times New Roman" w:hAnsi="Times New Roman"/>
          <w:color w:val="000000"/>
          <w:spacing w:val="-2"/>
          <w:sz w:val="24"/>
        </w:rPr>
        <w:t>评价区内无重点保护文物和自然保护</w:t>
      </w:r>
      <w:r>
        <w:rPr>
          <w:rFonts w:ascii="Times New Roman" w:hAnsi="Times New Roman"/>
          <w:color w:val="000000"/>
          <w:spacing w:val="-3"/>
          <w:sz w:val="24"/>
        </w:rPr>
        <w:t>区，动植物种类均为当地常见、广布种，无珍稀濒危保护动植物，生态环境敏感程度一</w:t>
      </w:r>
      <w:r>
        <w:rPr>
          <w:rFonts w:ascii="Times New Roman" w:hAnsi="Times New Roman"/>
          <w:color w:val="000000"/>
          <w:spacing w:val="-92"/>
          <w:sz w:val="24"/>
        </w:rPr>
        <w:t xml:space="preserve"> </w:t>
      </w:r>
      <w:r>
        <w:rPr>
          <w:rFonts w:ascii="Times New Roman" w:hAnsi="Times New Roman"/>
          <w:color w:val="000000"/>
          <w:spacing w:val="-2"/>
          <w:sz w:val="24"/>
        </w:rPr>
        <w:t>般，</w:t>
      </w:r>
      <w:r>
        <w:rPr>
          <w:rFonts w:ascii="Times New Roman" w:hAnsi="Times New Roman"/>
          <w:sz w:val="24"/>
        </w:rPr>
        <w:t>但根据《环境影响评价技术导则-生态影响》（HJ19-2011）中4.2.3在矿山开采可能导致矿区土地利用类型明显改变，或栏河闸坝建设可能明显改变水文情势等情况下，评价工作等级上调一级，本次扩建项目尾矿库新增占地面积较大，矿山开采过程中会对土地利用类型发生改变，因此确定本项目生态环境影响评价等级确定为二级</w:t>
      </w:r>
      <w:r>
        <w:rPr>
          <w:rFonts w:ascii="Times New Roman" w:hAnsi="Times New Roman"/>
          <w:color w:val="000000"/>
          <w:sz w:val="24"/>
        </w:rPr>
        <w:t>。</w:t>
      </w:r>
    </w:p>
    <w:p>
      <w:pPr>
        <w:spacing w:line="360" w:lineRule="auto"/>
        <w:ind w:firstLine="482" w:firstLineChars="200"/>
        <w:jc w:val="center"/>
        <w:rPr>
          <w:rFonts w:ascii="Times New Roman" w:hAnsi="Times New Roman"/>
          <w:b/>
          <w:bCs/>
          <w:sz w:val="24"/>
        </w:rPr>
      </w:pPr>
      <w:r>
        <w:rPr>
          <w:rFonts w:hint="eastAsia" w:ascii="Times New Roman" w:hAnsi="Times New Roman"/>
          <w:b/>
          <w:bCs/>
          <w:sz w:val="24"/>
        </w:rPr>
        <w:t>表6-2 生态影响评价工作等级划分表</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108" w:type="dxa"/>
          <w:bottom w:w="0" w:type="dxa"/>
          <w:right w:w="108" w:type="dxa"/>
        </w:tblCellMar>
      </w:tblPr>
      <w:tblGrid>
        <w:gridCol w:w="2240"/>
        <w:gridCol w:w="2240"/>
        <w:gridCol w:w="2240"/>
        <w:gridCol w:w="224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7" w:hRule="exact"/>
          <w:jc w:val="center"/>
        </w:trPr>
        <w:tc>
          <w:tcPr>
            <w:tcW w:w="2240" w:type="dxa"/>
            <w:vMerge w:val="restart"/>
          </w:tcPr>
          <w:p>
            <w:pPr>
              <w:pStyle w:val="69"/>
              <w:kinsoku w:val="0"/>
              <w:overflowPunct w:val="0"/>
              <w:rPr>
                <w:rFonts w:ascii="宋体" w:hAnsi="宋体"/>
                <w:sz w:val="21"/>
              </w:rPr>
            </w:pPr>
          </w:p>
          <w:p>
            <w:pPr>
              <w:pStyle w:val="69"/>
              <w:kinsoku w:val="0"/>
              <w:overflowPunct w:val="0"/>
            </w:pPr>
            <w:r>
              <w:rPr>
                <w:rFonts w:hint="eastAsia" w:ascii="宋体" w:hAnsi="宋体"/>
                <w:sz w:val="21"/>
              </w:rPr>
              <w:t>影响区域生态敏感性</w:t>
            </w:r>
          </w:p>
        </w:tc>
        <w:tc>
          <w:tcPr>
            <w:tcW w:w="6720" w:type="dxa"/>
            <w:gridSpan w:val="3"/>
          </w:tcPr>
          <w:p>
            <w:pPr>
              <w:pStyle w:val="69"/>
              <w:kinsoku w:val="0"/>
              <w:overflowPunct w:val="0"/>
              <w:spacing w:line="266" w:lineRule="exact"/>
              <w:ind w:left="8"/>
              <w:jc w:val="center"/>
            </w:pPr>
            <w:r>
              <w:rPr>
                <w:rFonts w:hint="eastAsia" w:ascii="宋体" w:hAnsi="宋体"/>
                <w:sz w:val="21"/>
              </w:rPr>
              <w:t>工程占地（水域）范围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600" w:hRule="exact"/>
          <w:jc w:val="center"/>
        </w:trPr>
        <w:tc>
          <w:tcPr>
            <w:tcW w:w="2240" w:type="dxa"/>
            <w:vMerge w:val="continue"/>
          </w:tcPr>
          <w:p>
            <w:pPr>
              <w:pStyle w:val="69"/>
              <w:kinsoku w:val="0"/>
              <w:overflowPunct w:val="0"/>
              <w:spacing w:line="266" w:lineRule="exact"/>
              <w:ind w:left="8"/>
              <w:jc w:val="center"/>
            </w:pPr>
          </w:p>
        </w:tc>
        <w:tc>
          <w:tcPr>
            <w:tcW w:w="2240" w:type="dxa"/>
          </w:tcPr>
          <w:p>
            <w:pPr>
              <w:pStyle w:val="69"/>
              <w:kinsoku w:val="0"/>
              <w:overflowPunct w:val="0"/>
              <w:spacing w:before="12" w:line="272" w:lineRule="exact"/>
              <w:ind w:right="487"/>
              <w:jc w:val="center"/>
            </w:pPr>
            <w:r>
              <w:rPr>
                <w:rFonts w:hint="eastAsia" w:ascii="宋体" w:hAnsi="宋体"/>
                <w:sz w:val="21"/>
              </w:rPr>
              <w:t>面积</w:t>
            </w:r>
            <w:r>
              <w:rPr>
                <w:rFonts w:hint="eastAsia" w:ascii="Times New Roman" w:hAnsi="Times New Roman"/>
                <w:sz w:val="21"/>
              </w:rPr>
              <w:t>≥</w:t>
            </w:r>
            <w:r>
              <w:rPr>
                <w:rFonts w:ascii="Times New Roman" w:hAnsi="Times New Roman" w:eastAsia="Times New Roman"/>
                <w:sz w:val="21"/>
              </w:rPr>
              <w:t>20km</w:t>
            </w:r>
            <w:r>
              <w:rPr>
                <w:rFonts w:ascii="Times New Roman" w:hAnsi="Times New Roman" w:eastAsia="Times New Roman"/>
                <w:position w:val="10"/>
                <w:sz w:val="14"/>
              </w:rPr>
              <w:t>2</w:t>
            </w:r>
            <w:r>
              <w:rPr>
                <w:rFonts w:hint="eastAsia" w:ascii="宋体" w:hAnsi="宋体"/>
                <w:sz w:val="21"/>
              </w:rPr>
              <w:t>或长度</w:t>
            </w:r>
            <w:r>
              <w:rPr>
                <w:rFonts w:hint="eastAsia" w:ascii="Times New Roman" w:hAnsi="Times New Roman"/>
                <w:sz w:val="21"/>
              </w:rPr>
              <w:t>≥</w:t>
            </w:r>
            <w:r>
              <w:rPr>
                <w:rFonts w:ascii="Times New Roman" w:hAnsi="Times New Roman" w:eastAsia="Times New Roman"/>
                <w:sz w:val="21"/>
              </w:rPr>
              <w:t>100km</w:t>
            </w:r>
          </w:p>
        </w:tc>
        <w:tc>
          <w:tcPr>
            <w:tcW w:w="2240" w:type="dxa"/>
          </w:tcPr>
          <w:p>
            <w:pPr>
              <w:pStyle w:val="69"/>
              <w:kinsoku w:val="0"/>
              <w:overflowPunct w:val="0"/>
              <w:spacing w:line="267" w:lineRule="exact"/>
              <w:ind w:right="1"/>
              <w:jc w:val="center"/>
              <w:rPr>
                <w:rFonts w:ascii="Times New Roman" w:hAnsi="Times New Roman" w:eastAsia="Times New Roman"/>
                <w:sz w:val="14"/>
              </w:rPr>
            </w:pPr>
            <w:r>
              <w:rPr>
                <w:rFonts w:hint="eastAsia" w:ascii="宋体" w:hAnsi="宋体"/>
                <w:sz w:val="21"/>
              </w:rPr>
              <w:t>面积</w:t>
            </w:r>
            <w:r>
              <w:rPr>
                <w:rFonts w:hint="eastAsia" w:ascii="宋体" w:hAnsi="宋体"/>
                <w:spacing w:val="-60"/>
                <w:sz w:val="21"/>
              </w:rPr>
              <w:t xml:space="preserve"> </w:t>
            </w:r>
            <w:r>
              <w:rPr>
                <w:rFonts w:ascii="Times New Roman" w:hAnsi="Times New Roman" w:eastAsia="Times New Roman"/>
                <w:sz w:val="21"/>
              </w:rPr>
              <w:t>2km</w:t>
            </w:r>
            <w:r>
              <w:rPr>
                <w:rFonts w:ascii="Times New Roman" w:hAnsi="Times New Roman" w:eastAsia="Times New Roman"/>
                <w:position w:val="10"/>
                <w:sz w:val="14"/>
              </w:rPr>
              <w:t>2</w:t>
            </w:r>
            <w:r>
              <w:rPr>
                <w:rFonts w:ascii="Times New Roman" w:hAnsi="Times New Roman" w:eastAsia="Times New Roman"/>
                <w:sz w:val="21"/>
              </w:rPr>
              <w:t>~20km</w:t>
            </w:r>
            <w:r>
              <w:rPr>
                <w:rFonts w:ascii="Times New Roman" w:hAnsi="Times New Roman" w:eastAsia="Times New Roman"/>
                <w:position w:val="10"/>
                <w:sz w:val="14"/>
              </w:rPr>
              <w:t>2</w:t>
            </w:r>
          </w:p>
          <w:p>
            <w:pPr>
              <w:pStyle w:val="69"/>
              <w:kinsoku w:val="0"/>
              <w:overflowPunct w:val="0"/>
              <w:spacing w:line="282" w:lineRule="exact"/>
              <w:ind w:left="3"/>
              <w:jc w:val="center"/>
            </w:pPr>
            <w:r>
              <w:rPr>
                <w:rFonts w:hint="eastAsia" w:ascii="宋体" w:hAnsi="宋体"/>
                <w:sz w:val="21"/>
              </w:rPr>
              <w:t>或长度</w:t>
            </w:r>
            <w:r>
              <w:rPr>
                <w:rFonts w:hint="eastAsia" w:ascii="宋体" w:hAnsi="宋体"/>
                <w:spacing w:val="-58"/>
                <w:sz w:val="21"/>
              </w:rPr>
              <w:t xml:space="preserve"> </w:t>
            </w:r>
            <w:r>
              <w:rPr>
                <w:rFonts w:ascii="Times New Roman" w:hAnsi="Times New Roman" w:eastAsia="Times New Roman"/>
                <w:sz w:val="21"/>
              </w:rPr>
              <w:t>50km~100km</w:t>
            </w:r>
          </w:p>
        </w:tc>
        <w:tc>
          <w:tcPr>
            <w:tcW w:w="2240" w:type="dxa"/>
          </w:tcPr>
          <w:p>
            <w:pPr>
              <w:pStyle w:val="69"/>
              <w:kinsoku w:val="0"/>
              <w:overflowPunct w:val="0"/>
              <w:spacing w:before="12" w:line="272" w:lineRule="exact"/>
              <w:ind w:right="531"/>
              <w:jc w:val="center"/>
            </w:pPr>
            <w:r>
              <w:rPr>
                <w:rFonts w:hint="eastAsia" w:ascii="宋体" w:hAnsi="宋体"/>
                <w:sz w:val="21"/>
              </w:rPr>
              <w:t>面积</w:t>
            </w:r>
            <w:r>
              <w:rPr>
                <w:rFonts w:ascii="Times New Roman" w:hAnsi="Times New Roman" w:eastAsia="Times New Roman"/>
                <w:sz w:val="21"/>
              </w:rPr>
              <w:t>≤2km</w:t>
            </w:r>
            <w:r>
              <w:rPr>
                <w:rFonts w:ascii="Times New Roman" w:hAnsi="Times New Roman" w:eastAsia="Times New Roman"/>
                <w:position w:val="10"/>
                <w:sz w:val="14"/>
              </w:rPr>
              <w:t xml:space="preserve">2 </w:t>
            </w:r>
            <w:r>
              <w:rPr>
                <w:rFonts w:hint="eastAsia" w:ascii="宋体" w:hAnsi="宋体"/>
                <w:sz w:val="21"/>
              </w:rPr>
              <w:t>或长度</w:t>
            </w:r>
            <w:r>
              <w:rPr>
                <w:rFonts w:ascii="Times New Roman" w:hAnsi="Times New Roman" w:eastAsia="Times New Roman"/>
                <w:sz w:val="21"/>
              </w:rPr>
              <w:t>≤50km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26" w:hRule="exact"/>
          <w:jc w:val="center"/>
        </w:trPr>
        <w:tc>
          <w:tcPr>
            <w:tcW w:w="2240" w:type="dxa"/>
          </w:tcPr>
          <w:p>
            <w:pPr>
              <w:pStyle w:val="69"/>
              <w:kinsoku w:val="0"/>
              <w:overflowPunct w:val="0"/>
              <w:spacing w:line="260" w:lineRule="exact"/>
              <w:ind w:left="410"/>
            </w:pPr>
            <w:r>
              <w:rPr>
                <w:rFonts w:hint="eastAsia" w:ascii="宋体" w:hAnsi="宋体"/>
                <w:sz w:val="21"/>
              </w:rPr>
              <w:t>特殊生态敏感区</w:t>
            </w:r>
          </w:p>
        </w:tc>
        <w:tc>
          <w:tcPr>
            <w:tcW w:w="2240" w:type="dxa"/>
          </w:tcPr>
          <w:p>
            <w:pPr>
              <w:pStyle w:val="69"/>
              <w:kinsoku w:val="0"/>
              <w:overflowPunct w:val="0"/>
              <w:spacing w:line="260" w:lineRule="exact"/>
              <w:jc w:val="center"/>
            </w:pPr>
            <w:r>
              <w:rPr>
                <w:rFonts w:hint="eastAsia" w:ascii="宋体" w:hAnsi="宋体"/>
                <w:sz w:val="21"/>
              </w:rPr>
              <w:t>一级</w:t>
            </w:r>
          </w:p>
        </w:tc>
        <w:tc>
          <w:tcPr>
            <w:tcW w:w="2240" w:type="dxa"/>
          </w:tcPr>
          <w:p>
            <w:pPr>
              <w:pStyle w:val="69"/>
              <w:kinsoku w:val="0"/>
              <w:overflowPunct w:val="0"/>
              <w:spacing w:line="260" w:lineRule="exact"/>
              <w:ind w:right="1"/>
              <w:jc w:val="center"/>
            </w:pPr>
            <w:r>
              <w:rPr>
                <w:rFonts w:hint="eastAsia" w:ascii="宋体" w:hAnsi="宋体"/>
                <w:sz w:val="21"/>
              </w:rPr>
              <w:t>一级</w:t>
            </w:r>
          </w:p>
        </w:tc>
        <w:tc>
          <w:tcPr>
            <w:tcW w:w="2240" w:type="dxa"/>
          </w:tcPr>
          <w:p>
            <w:pPr>
              <w:pStyle w:val="69"/>
              <w:kinsoku w:val="0"/>
              <w:overflowPunct w:val="0"/>
              <w:spacing w:line="260" w:lineRule="exact"/>
              <w:ind w:left="6"/>
              <w:jc w:val="center"/>
            </w:pPr>
            <w:r>
              <w:rPr>
                <w:rFonts w:hint="eastAsia" w:ascii="宋体" w:hAnsi="宋体"/>
                <w:sz w:val="21"/>
              </w:rPr>
              <w:t>一级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28" w:hRule="exact"/>
          <w:jc w:val="center"/>
        </w:trPr>
        <w:tc>
          <w:tcPr>
            <w:tcW w:w="2240" w:type="dxa"/>
          </w:tcPr>
          <w:p>
            <w:pPr>
              <w:pStyle w:val="69"/>
              <w:kinsoku w:val="0"/>
              <w:overflowPunct w:val="0"/>
              <w:spacing w:line="260" w:lineRule="exact"/>
              <w:ind w:left="410"/>
            </w:pPr>
            <w:r>
              <w:rPr>
                <w:rFonts w:hint="eastAsia" w:ascii="宋体" w:hAnsi="宋体"/>
                <w:sz w:val="21"/>
              </w:rPr>
              <w:t>重要生态敏感区</w:t>
            </w:r>
          </w:p>
        </w:tc>
        <w:tc>
          <w:tcPr>
            <w:tcW w:w="2240" w:type="dxa"/>
          </w:tcPr>
          <w:p>
            <w:pPr>
              <w:pStyle w:val="69"/>
              <w:kinsoku w:val="0"/>
              <w:overflowPunct w:val="0"/>
              <w:spacing w:line="260" w:lineRule="exact"/>
              <w:jc w:val="center"/>
            </w:pPr>
            <w:r>
              <w:rPr>
                <w:rFonts w:hint="eastAsia" w:ascii="宋体" w:hAnsi="宋体"/>
                <w:sz w:val="21"/>
              </w:rPr>
              <w:t>一级</w:t>
            </w:r>
          </w:p>
        </w:tc>
        <w:tc>
          <w:tcPr>
            <w:tcW w:w="2240" w:type="dxa"/>
          </w:tcPr>
          <w:p>
            <w:pPr>
              <w:pStyle w:val="69"/>
              <w:kinsoku w:val="0"/>
              <w:overflowPunct w:val="0"/>
              <w:spacing w:line="260" w:lineRule="exact"/>
              <w:ind w:right="1"/>
              <w:jc w:val="center"/>
            </w:pPr>
            <w:r>
              <w:rPr>
                <w:rFonts w:hint="eastAsia" w:ascii="宋体" w:hAnsi="宋体"/>
                <w:sz w:val="21"/>
              </w:rPr>
              <w:t>二级</w:t>
            </w:r>
          </w:p>
        </w:tc>
        <w:tc>
          <w:tcPr>
            <w:tcW w:w="2240" w:type="dxa"/>
          </w:tcPr>
          <w:p>
            <w:pPr>
              <w:pStyle w:val="69"/>
              <w:kinsoku w:val="0"/>
              <w:overflowPunct w:val="0"/>
              <w:spacing w:line="260" w:lineRule="exact"/>
              <w:ind w:left="6"/>
              <w:jc w:val="center"/>
            </w:pPr>
            <w:r>
              <w:rPr>
                <w:rFonts w:hint="eastAsia" w:ascii="宋体" w:hAnsi="宋体"/>
                <w:sz w:val="21"/>
              </w:rPr>
              <w:t>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35" w:hRule="exact"/>
          <w:jc w:val="center"/>
        </w:trPr>
        <w:tc>
          <w:tcPr>
            <w:tcW w:w="2240" w:type="dxa"/>
          </w:tcPr>
          <w:p>
            <w:pPr>
              <w:pStyle w:val="69"/>
              <w:kinsoku w:val="0"/>
              <w:overflowPunct w:val="0"/>
              <w:spacing w:line="260" w:lineRule="exact"/>
              <w:ind w:left="726"/>
            </w:pPr>
            <w:r>
              <w:rPr>
                <w:rFonts w:hint="eastAsia" w:ascii="宋体" w:hAnsi="宋体"/>
                <w:sz w:val="21"/>
              </w:rPr>
              <w:t>一般区域</w:t>
            </w:r>
          </w:p>
        </w:tc>
        <w:tc>
          <w:tcPr>
            <w:tcW w:w="2240" w:type="dxa"/>
          </w:tcPr>
          <w:p>
            <w:pPr>
              <w:pStyle w:val="69"/>
              <w:kinsoku w:val="0"/>
              <w:overflowPunct w:val="0"/>
              <w:spacing w:line="260" w:lineRule="exact"/>
              <w:jc w:val="center"/>
            </w:pPr>
            <w:r>
              <w:rPr>
                <w:rFonts w:hint="eastAsia" w:ascii="宋体" w:hAnsi="宋体"/>
                <w:sz w:val="21"/>
              </w:rPr>
              <w:t>二级</w:t>
            </w:r>
          </w:p>
        </w:tc>
        <w:tc>
          <w:tcPr>
            <w:tcW w:w="2240" w:type="dxa"/>
          </w:tcPr>
          <w:p>
            <w:pPr>
              <w:pStyle w:val="69"/>
              <w:kinsoku w:val="0"/>
              <w:overflowPunct w:val="0"/>
              <w:spacing w:line="260" w:lineRule="exact"/>
              <w:ind w:right="1"/>
              <w:jc w:val="center"/>
            </w:pPr>
            <w:r>
              <w:rPr>
                <w:rFonts w:hint="eastAsia" w:ascii="宋体" w:hAnsi="宋体"/>
                <w:sz w:val="21"/>
              </w:rPr>
              <w:t>三级</w:t>
            </w:r>
          </w:p>
        </w:tc>
        <w:tc>
          <w:tcPr>
            <w:tcW w:w="2240" w:type="dxa"/>
          </w:tcPr>
          <w:p>
            <w:pPr>
              <w:pStyle w:val="69"/>
              <w:kinsoku w:val="0"/>
              <w:overflowPunct w:val="0"/>
              <w:spacing w:line="260" w:lineRule="exact"/>
              <w:ind w:left="6"/>
              <w:jc w:val="center"/>
            </w:pPr>
            <w:r>
              <w:rPr>
                <w:rFonts w:hint="eastAsia" w:ascii="宋体" w:hAnsi="宋体"/>
                <w:sz w:val="21"/>
              </w:rPr>
              <w:t>三级</w:t>
            </w:r>
          </w:p>
        </w:tc>
      </w:tr>
    </w:tbl>
    <w:p>
      <w:pPr>
        <w:pStyle w:val="5"/>
        <w:spacing w:beforeLines="50" w:after="0" w:line="360" w:lineRule="auto"/>
        <w:rPr>
          <w:sz w:val="24"/>
          <w:szCs w:val="24"/>
        </w:rPr>
      </w:pPr>
      <w:bookmarkStart w:id="461" w:name="_Toc17544"/>
      <w:bookmarkStart w:id="462" w:name="_Toc5950"/>
      <w:bookmarkStart w:id="463" w:name="_Toc21997"/>
      <w:r>
        <w:rPr>
          <w:rFonts w:hint="eastAsia"/>
          <w:sz w:val="24"/>
          <w:szCs w:val="24"/>
        </w:rPr>
        <w:t>6.1.3 生态环境现状调查</w:t>
      </w:r>
      <w:bookmarkEnd w:id="461"/>
      <w:bookmarkEnd w:id="462"/>
      <w:bookmarkEnd w:id="463"/>
    </w:p>
    <w:p>
      <w:pPr>
        <w:pStyle w:val="2"/>
        <w:kinsoku w:val="0"/>
        <w:overflowPunct w:val="0"/>
        <w:spacing w:before="54" w:after="0" w:line="360" w:lineRule="auto"/>
        <w:ind w:right="78" w:firstLine="480" w:firstLineChars="200"/>
        <w:rPr>
          <w:rFonts w:ascii="Times New Roman" w:hAnsi="Times New Roman"/>
          <w:color w:val="000000"/>
          <w:sz w:val="24"/>
        </w:rPr>
      </w:pPr>
      <w:r>
        <w:rPr>
          <w:rFonts w:ascii="Times New Roman" w:hAnsi="Times New Roman"/>
          <w:color w:val="000000"/>
          <w:sz w:val="24"/>
        </w:rPr>
        <w:t>生态环境现状调查内容详见4.2.6中所述。</w:t>
      </w:r>
    </w:p>
    <w:p>
      <w:pPr>
        <w:pStyle w:val="5"/>
        <w:spacing w:beforeLines="50" w:after="0" w:line="360" w:lineRule="auto"/>
        <w:rPr>
          <w:color w:val="000000"/>
          <w:sz w:val="24"/>
          <w:szCs w:val="24"/>
        </w:rPr>
      </w:pPr>
      <w:bookmarkStart w:id="464" w:name="_Toc6949"/>
      <w:bookmarkStart w:id="465" w:name="_Toc29636"/>
      <w:bookmarkStart w:id="466" w:name="_Toc11700"/>
      <w:r>
        <w:rPr>
          <w:rFonts w:hint="eastAsia"/>
          <w:color w:val="000000"/>
          <w:sz w:val="24"/>
          <w:szCs w:val="24"/>
        </w:rPr>
        <w:t>6.1.4 生态环境影响预测与评价</w:t>
      </w:r>
      <w:bookmarkEnd w:id="464"/>
      <w:bookmarkEnd w:id="465"/>
      <w:bookmarkEnd w:id="466"/>
    </w:p>
    <w:p>
      <w:pPr>
        <w:pStyle w:val="2"/>
        <w:kinsoku w:val="0"/>
        <w:overflowPunct w:val="0"/>
        <w:spacing w:before="167" w:line="360" w:lineRule="auto"/>
        <w:ind w:right="187" w:firstLine="482"/>
        <w:rPr>
          <w:rFonts w:ascii="Times New Roman" w:hAnsi="Times New Roman" w:eastAsia="新宋体"/>
          <w:color w:val="000000"/>
          <w:spacing w:val="-2"/>
          <w:sz w:val="24"/>
        </w:rPr>
      </w:pPr>
      <w:r>
        <w:rPr>
          <w:rFonts w:ascii="Times New Roman" w:hAnsi="Times New Roman"/>
          <w:color w:val="000000"/>
          <w:sz w:val="24"/>
          <w:szCs w:val="24"/>
        </w:rPr>
        <w:t>本项目周边的生态系统较为简单，为森林生态系统，评价范围内主要是林地。</w:t>
      </w:r>
      <w:r>
        <w:rPr>
          <w:rFonts w:ascii="Times New Roman" w:hAnsi="Times New Roman" w:eastAsia="新宋体"/>
          <w:color w:val="000000"/>
          <w:sz w:val="24"/>
        </w:rPr>
        <w:t>根据生态学的观点，系统结构是否合理决定了系统功能状况的优劣。就本区而言，</w:t>
      </w:r>
      <w:r>
        <w:rPr>
          <w:rFonts w:ascii="Times New Roman" w:hAnsi="Times New Roman" w:eastAsia="新宋体"/>
          <w:color w:val="000000"/>
          <w:spacing w:val="-2"/>
          <w:sz w:val="24"/>
        </w:rPr>
        <w:t>从内因上可以说对生态系统起决定作用的是水分和植物，而其中最为关键的是水分；从</w:t>
      </w:r>
      <w:r>
        <w:rPr>
          <w:rFonts w:ascii="Times New Roman" w:hAnsi="Times New Roman" w:eastAsia="新宋体"/>
          <w:color w:val="000000"/>
          <w:spacing w:val="-96"/>
          <w:sz w:val="24"/>
        </w:rPr>
        <w:t xml:space="preserve"> </w:t>
      </w:r>
      <w:r>
        <w:rPr>
          <w:rFonts w:ascii="Times New Roman" w:hAnsi="Times New Roman" w:eastAsia="新宋体"/>
          <w:color w:val="000000"/>
          <w:spacing w:val="-2"/>
          <w:sz w:val="24"/>
        </w:rPr>
        <w:t>外因上说其决定作用的是人类活动。</w:t>
      </w:r>
      <w:r>
        <w:rPr>
          <w:rFonts w:hint="eastAsia" w:ascii="Times New Roman" w:hAnsi="Times New Roman" w:eastAsia="新宋体"/>
          <w:color w:val="000000"/>
          <w:spacing w:val="-2"/>
          <w:sz w:val="24"/>
        </w:rPr>
        <w:t>新增林地4000m</w:t>
      </w:r>
      <w:r>
        <w:rPr>
          <w:rFonts w:hint="eastAsia" w:ascii="Times New Roman" w:hAnsi="Times New Roman" w:eastAsia="新宋体"/>
          <w:color w:val="000000"/>
          <w:spacing w:val="-2"/>
          <w:sz w:val="24"/>
          <w:vertAlign w:val="superscript"/>
        </w:rPr>
        <w:t>2</w:t>
      </w:r>
      <w:r>
        <w:rPr>
          <w:rFonts w:hint="eastAsia" w:ascii="Times New Roman" w:hAnsi="Times New Roman" w:eastAsia="新宋体"/>
          <w:color w:val="000000"/>
          <w:spacing w:val="-2"/>
          <w:sz w:val="24"/>
        </w:rPr>
        <w:t>，目前企业正在办理林业相关手续（见附件）</w:t>
      </w:r>
      <w:r>
        <w:rPr>
          <w:rFonts w:ascii="Times New Roman" w:hAnsi="Times New Roman" w:eastAsia="新宋体"/>
          <w:color w:val="000000"/>
          <w:spacing w:val="-2"/>
          <w:sz w:val="24"/>
        </w:rPr>
        <w:t>，用地性质为</w:t>
      </w:r>
      <w:r>
        <w:rPr>
          <w:rFonts w:hint="eastAsia" w:ascii="Times New Roman" w:hAnsi="Times New Roman" w:eastAsia="新宋体"/>
          <w:color w:val="000000"/>
          <w:spacing w:val="-2"/>
          <w:sz w:val="24"/>
        </w:rPr>
        <w:t>建设</w:t>
      </w:r>
      <w:r>
        <w:rPr>
          <w:rFonts w:ascii="Times New Roman" w:hAnsi="Times New Roman" w:eastAsia="新宋体"/>
          <w:color w:val="000000"/>
          <w:spacing w:val="-2"/>
          <w:sz w:val="24"/>
        </w:rPr>
        <w:t>用地。目前</w:t>
      </w:r>
      <w:r>
        <w:rPr>
          <w:rFonts w:hint="eastAsia" w:ascii="Times New Roman" w:hAnsi="Times New Roman" w:eastAsia="新宋体"/>
          <w:color w:val="000000"/>
          <w:spacing w:val="-2"/>
          <w:sz w:val="24"/>
        </w:rPr>
        <w:t>先建压滤间利用厂区内现有空地，不新增占地</w:t>
      </w:r>
      <w:r>
        <w:rPr>
          <w:rFonts w:ascii="Times New Roman" w:hAnsi="Times New Roman" w:eastAsia="新宋体"/>
          <w:color w:val="000000"/>
          <w:spacing w:val="-2"/>
          <w:sz w:val="24"/>
        </w:rPr>
        <w:t>。</w:t>
      </w:r>
    </w:p>
    <w:p>
      <w:pPr>
        <w:pStyle w:val="2"/>
        <w:spacing w:after="0" w:line="360" w:lineRule="auto"/>
        <w:outlineLvl w:val="0"/>
        <w:rPr>
          <w:rFonts w:ascii="Times New Roman" w:hAnsi="Times New Roman"/>
          <w:b/>
          <w:bCs/>
          <w:color w:val="000000"/>
          <w:sz w:val="24"/>
          <w:szCs w:val="24"/>
        </w:rPr>
      </w:pPr>
      <w:r>
        <w:rPr>
          <w:rFonts w:ascii="Times New Roman" w:hAnsi="Times New Roman"/>
          <w:b/>
          <w:bCs/>
          <w:color w:val="000000"/>
          <w:sz w:val="24"/>
          <w:szCs w:val="24"/>
        </w:rPr>
        <w:t>6.1.4.1施工期生态环境影响评价</w:t>
      </w:r>
    </w:p>
    <w:p>
      <w:pPr>
        <w:pStyle w:val="2"/>
        <w:kinsoku w:val="0"/>
        <w:overflowPunct w:val="0"/>
        <w:spacing w:before="44" w:after="0" w:line="360" w:lineRule="auto"/>
        <w:ind w:right="234" w:firstLine="480" w:firstLineChars="200"/>
        <w:rPr>
          <w:color w:val="000000"/>
          <w:sz w:val="24"/>
          <w:szCs w:val="24"/>
        </w:rPr>
      </w:pPr>
      <w:r>
        <w:rPr>
          <w:rFonts w:hint="eastAsia" w:ascii="宋体" w:hAnsi="宋体" w:cs="宋体"/>
          <w:color w:val="000000"/>
          <w:sz w:val="24"/>
          <w:szCs w:val="24"/>
        </w:rPr>
        <w:t>（1）</w:t>
      </w:r>
      <w:r>
        <w:rPr>
          <w:rFonts w:hint="eastAsia"/>
          <w:color w:val="000000"/>
          <w:sz w:val="24"/>
          <w:szCs w:val="24"/>
        </w:rPr>
        <w:t>施工期对植被的影响分析</w:t>
      </w:r>
    </w:p>
    <w:p>
      <w:pPr>
        <w:spacing w:line="360" w:lineRule="auto"/>
        <w:ind w:firstLine="480" w:firstLineChars="200"/>
        <w:rPr>
          <w:color w:val="000000"/>
          <w:sz w:val="24"/>
          <w:szCs w:val="24"/>
        </w:rPr>
      </w:pPr>
      <w:r>
        <w:rPr>
          <w:rFonts w:hint="eastAsia"/>
          <w:color w:val="000000"/>
          <w:sz w:val="24"/>
          <w:szCs w:val="24"/>
        </w:rPr>
        <w:t>本项目尾矿库扩建过程中新</w:t>
      </w:r>
      <w:r>
        <w:rPr>
          <w:rFonts w:ascii="Times New Roman" w:hAnsi="Times New Roman"/>
          <w:color w:val="000000"/>
          <w:sz w:val="24"/>
          <w:szCs w:val="24"/>
        </w:rPr>
        <w:t>增占地4000m</w:t>
      </w:r>
      <w:r>
        <w:rPr>
          <w:rFonts w:ascii="Times New Roman" w:hAnsi="Times New Roman"/>
          <w:color w:val="000000"/>
          <w:sz w:val="24"/>
          <w:szCs w:val="24"/>
          <w:vertAlign w:val="superscript"/>
        </w:rPr>
        <w:t>2</w:t>
      </w:r>
      <w:r>
        <w:rPr>
          <w:rFonts w:ascii="Times New Roman" w:hAnsi="Times New Roman"/>
          <w:color w:val="000000"/>
          <w:sz w:val="24"/>
          <w:szCs w:val="24"/>
        </w:rPr>
        <w:t>，砍伐林木约200株，树种主要为阔叶柞树、杂树等</w:t>
      </w:r>
      <w:r>
        <w:rPr>
          <w:rFonts w:hint="eastAsia"/>
          <w:color w:val="000000"/>
          <w:sz w:val="24"/>
          <w:szCs w:val="24"/>
        </w:rPr>
        <w:t>。本项目周围均为山林环境，无国家重点保护的珍稀濒危植物。</w:t>
      </w:r>
    </w:p>
    <w:p>
      <w:pPr>
        <w:spacing w:line="360" w:lineRule="auto"/>
        <w:ind w:firstLine="480" w:firstLineChars="200"/>
        <w:rPr>
          <w:rFonts w:ascii="Times New Roman" w:hAnsi="Times New Roman"/>
          <w:bCs/>
          <w:sz w:val="24"/>
        </w:rPr>
      </w:pPr>
      <w:r>
        <w:rPr>
          <w:rFonts w:ascii="Times New Roman" w:hAnsi="Times New Roman"/>
          <w:bCs/>
          <w:sz w:val="24"/>
        </w:rPr>
        <w:t>施工期间在以下几个施工阶段产生的扬尘较大，对植被的影响程度也较大：</w:t>
      </w:r>
    </w:p>
    <w:p>
      <w:pPr>
        <w:spacing w:line="360" w:lineRule="auto"/>
        <w:ind w:firstLine="480" w:firstLineChars="200"/>
        <w:rPr>
          <w:rFonts w:ascii="Times New Roman" w:hAnsi="Times New Roman"/>
          <w:bCs/>
          <w:sz w:val="24"/>
        </w:rPr>
      </w:pPr>
      <w:r>
        <w:rPr>
          <w:rFonts w:ascii="Times New Roman" w:hAnsi="Times New Roman"/>
          <w:bCs/>
          <w:sz w:val="24"/>
        </w:rPr>
        <w:t>①土地平整等施工过程，如遇大风天气，将造成扬尘污染；</w:t>
      </w:r>
    </w:p>
    <w:p>
      <w:pPr>
        <w:spacing w:line="360" w:lineRule="auto"/>
        <w:ind w:firstLine="480" w:firstLineChars="200"/>
        <w:rPr>
          <w:rFonts w:ascii="Times New Roman" w:hAnsi="Times New Roman"/>
          <w:bCs/>
          <w:sz w:val="24"/>
        </w:rPr>
      </w:pPr>
      <w:r>
        <w:rPr>
          <w:rFonts w:ascii="Times New Roman" w:hAnsi="Times New Roman"/>
          <w:bCs/>
          <w:sz w:val="24"/>
        </w:rPr>
        <w:t>②水泥、砂石、混凝土等建筑材料的运输、装卸、储存如果方式不当，造成散逸亦会产生扬尘污染；</w:t>
      </w:r>
    </w:p>
    <w:p>
      <w:pPr>
        <w:spacing w:line="360" w:lineRule="auto"/>
        <w:ind w:firstLine="480" w:firstLineChars="200"/>
        <w:outlineLvl w:val="0"/>
        <w:rPr>
          <w:rFonts w:ascii="Times New Roman" w:hAnsi="Times New Roman"/>
          <w:bCs/>
          <w:sz w:val="24"/>
        </w:rPr>
      </w:pPr>
      <w:r>
        <w:rPr>
          <w:rFonts w:hint="eastAsia" w:ascii="Times New Roman" w:hAnsi="Times New Roman"/>
          <w:bCs/>
          <w:sz w:val="24"/>
        </w:rPr>
        <w:t>③</w:t>
      </w:r>
      <w:r>
        <w:rPr>
          <w:rFonts w:ascii="Times New Roman" w:hAnsi="Times New Roman"/>
          <w:bCs/>
          <w:sz w:val="24"/>
        </w:rPr>
        <w:t>运输车辆，在施工便道及施工场地行驶过程中，也将产生大量汽车尾气。</w:t>
      </w:r>
    </w:p>
    <w:p>
      <w:pPr>
        <w:spacing w:line="360" w:lineRule="auto"/>
        <w:ind w:firstLine="480" w:firstLineChars="200"/>
        <w:rPr>
          <w:rFonts w:ascii="Times New Roman" w:hAnsi="Times New Roman"/>
          <w:bCs/>
          <w:sz w:val="24"/>
        </w:rPr>
      </w:pPr>
      <w:r>
        <w:rPr>
          <w:rFonts w:hint="eastAsia"/>
          <w:color w:val="000000"/>
          <w:sz w:val="24"/>
          <w:szCs w:val="24"/>
        </w:rPr>
        <w:t>以上施工过程中会产生扬尘，随风飞扬，容易散落至周围树叶上，从而影响植物光合作用，进而影响树木生长。</w:t>
      </w:r>
      <w:r>
        <w:rPr>
          <w:rFonts w:ascii="Times New Roman" w:hAnsi="Times New Roman"/>
          <w:bCs/>
          <w:sz w:val="24"/>
        </w:rPr>
        <w:t>如果在施工阶段不能经常采取洒水降尘的措施，施工产生的扬尘将会对施工场地附近植被造成较大的影响。由类比资料可知，在不采取洒水降尘措施的情况下，在下风向50m的空气中，TSP浓度可达1.15mg/m</w:t>
      </w:r>
      <w:r>
        <w:rPr>
          <w:rFonts w:ascii="Times New Roman" w:hAnsi="Times New Roman"/>
          <w:bCs/>
          <w:sz w:val="24"/>
          <w:vertAlign w:val="superscript"/>
        </w:rPr>
        <w:t>3</w:t>
      </w:r>
      <w:r>
        <w:rPr>
          <w:rFonts w:ascii="Times New Roman" w:hAnsi="Times New Roman"/>
          <w:bCs/>
          <w:sz w:val="24"/>
        </w:rPr>
        <w:t>，超二类标准2.8倍，100m时仍超标近2倍。</w:t>
      </w:r>
    </w:p>
    <w:p>
      <w:pPr>
        <w:pStyle w:val="2"/>
        <w:kinsoku w:val="0"/>
        <w:overflowPunct w:val="0"/>
        <w:spacing w:after="0" w:line="360" w:lineRule="auto"/>
        <w:ind w:right="26" w:firstLine="480" w:firstLineChars="200"/>
        <w:rPr>
          <w:rFonts w:ascii="Times New Roman" w:hAnsi="Times New Roman" w:eastAsia="新宋体"/>
          <w:color w:val="000000"/>
          <w:sz w:val="24"/>
        </w:rPr>
      </w:pPr>
      <w:r>
        <w:rPr>
          <w:rFonts w:hint="eastAsia"/>
          <w:color w:val="000000"/>
          <w:sz w:val="24"/>
          <w:szCs w:val="24"/>
        </w:rPr>
        <w:t>为了减轻对周围森林植被的影响，建议将</w:t>
      </w:r>
      <w:r>
        <w:rPr>
          <w:rFonts w:ascii="Times New Roman" w:hAnsi="Times New Roman" w:eastAsia="新宋体"/>
          <w:color w:val="000000"/>
          <w:spacing w:val="-2"/>
          <w:sz w:val="24"/>
        </w:rPr>
        <w:t>施工场地设置在选矿厂占地范围之内，利用</w:t>
      </w:r>
      <w:r>
        <w:rPr>
          <w:rFonts w:hint="eastAsia" w:ascii="Times New Roman" w:hAnsi="Times New Roman" w:eastAsia="新宋体"/>
          <w:color w:val="000000"/>
          <w:spacing w:val="-2"/>
          <w:sz w:val="24"/>
        </w:rPr>
        <w:t>现有</w:t>
      </w:r>
      <w:r>
        <w:rPr>
          <w:rFonts w:ascii="Times New Roman" w:hAnsi="Times New Roman" w:eastAsia="新宋体"/>
          <w:color w:val="000000"/>
          <w:spacing w:val="-2"/>
          <w:sz w:val="24"/>
        </w:rPr>
        <w:t>道路</w:t>
      </w:r>
      <w:r>
        <w:rPr>
          <w:rFonts w:ascii="Times New Roman" w:hAnsi="Times New Roman" w:eastAsia="新宋体"/>
          <w:color w:val="000000"/>
          <w:sz w:val="24"/>
        </w:rPr>
        <w:t>，不破坏周围植被</w:t>
      </w:r>
      <w:r>
        <w:rPr>
          <w:rFonts w:hint="eastAsia" w:ascii="Times New Roman" w:hAnsi="Times New Roman" w:eastAsia="新宋体"/>
          <w:color w:val="000000"/>
          <w:sz w:val="24"/>
        </w:rPr>
        <w:t>，施工动土作业应安排在晴朗无风天气下，尽量避免大风天，施工过程中适当地采取洒水降尘措施。采取上述措施后，本项目施工期对周围植被的影响较小，对区域内种类和植被类型基本无影响。</w:t>
      </w:r>
    </w:p>
    <w:p>
      <w:pPr>
        <w:pStyle w:val="2"/>
        <w:kinsoku w:val="0"/>
        <w:overflowPunct w:val="0"/>
        <w:spacing w:after="0" w:line="360" w:lineRule="auto"/>
        <w:ind w:right="26" w:firstLine="480" w:firstLineChars="200"/>
        <w:outlineLvl w:val="0"/>
        <w:rPr>
          <w:color w:val="000000"/>
          <w:sz w:val="24"/>
          <w:szCs w:val="24"/>
        </w:rPr>
      </w:pPr>
      <w:r>
        <w:rPr>
          <w:rFonts w:hint="eastAsia"/>
          <w:color w:val="000000"/>
          <w:sz w:val="24"/>
          <w:szCs w:val="24"/>
        </w:rPr>
        <w:t>（2）施工期对动物的影响分析</w:t>
      </w:r>
    </w:p>
    <w:p>
      <w:pPr>
        <w:pStyle w:val="2"/>
        <w:kinsoku w:val="0"/>
        <w:overflowPunct w:val="0"/>
        <w:spacing w:before="44" w:line="360" w:lineRule="auto"/>
        <w:ind w:firstLine="480" w:firstLineChars="200"/>
        <w:rPr>
          <w:rFonts w:ascii="Times New Roman" w:hAnsi="Times New Roman"/>
          <w:bCs/>
          <w:sz w:val="24"/>
        </w:rPr>
      </w:pPr>
      <w:r>
        <w:rPr>
          <w:rFonts w:ascii="Times New Roman" w:hAnsi="Times New Roman"/>
          <w:bCs/>
          <w:sz w:val="24"/>
        </w:rPr>
        <w:t>经过多年的开发利用，区域内野生动物种类和数量比较少。</w:t>
      </w:r>
      <w:r>
        <w:rPr>
          <w:rFonts w:hint="eastAsia" w:ascii="新宋体" w:hAnsi="新宋体" w:eastAsia="新宋体"/>
          <w:color w:val="000000"/>
          <w:sz w:val="24"/>
        </w:rPr>
        <w:t>施工期对陆生动物的直接影响是施工人员集中活动和工程施工过程，机械噪声、人员喧闹声对动物的惊扰；</w:t>
      </w:r>
      <w:r>
        <w:rPr>
          <w:rFonts w:hint="eastAsia" w:ascii="新宋体" w:hAnsi="新宋体" w:eastAsia="新宋体"/>
          <w:color w:val="000000"/>
          <w:spacing w:val="-2"/>
          <w:sz w:val="24"/>
        </w:rPr>
        <w:t>间接影响主要是建筑物建设扰动土壤，造成部分陆生动物栖息地的丧失。施工区</w:t>
      </w:r>
      <w:r>
        <w:rPr>
          <w:rFonts w:hint="eastAsia" w:ascii="新宋体" w:hAnsi="新宋体" w:eastAsia="新宋体"/>
          <w:color w:val="000000"/>
          <w:spacing w:val="-96"/>
          <w:sz w:val="24"/>
        </w:rPr>
        <w:t xml:space="preserve"> </w:t>
      </w:r>
      <w:r>
        <w:rPr>
          <w:rFonts w:hint="eastAsia" w:ascii="新宋体" w:hAnsi="新宋体" w:eastAsia="新宋体"/>
          <w:color w:val="000000"/>
          <w:spacing w:val="-3"/>
          <w:sz w:val="24"/>
        </w:rPr>
        <w:t>的主要动物是小型兽类、小型常见鸟类和蛙类、常见的蜥蜴类，且数量不多，具有较强</w:t>
      </w:r>
      <w:r>
        <w:rPr>
          <w:rFonts w:hint="eastAsia" w:ascii="新宋体" w:hAnsi="新宋体" w:eastAsia="新宋体"/>
          <w:color w:val="000000"/>
          <w:spacing w:val="-92"/>
          <w:sz w:val="24"/>
        </w:rPr>
        <w:t xml:space="preserve"> </w:t>
      </w:r>
      <w:r>
        <w:rPr>
          <w:rFonts w:hint="eastAsia" w:ascii="新宋体" w:hAnsi="新宋体" w:eastAsia="新宋体"/>
          <w:color w:val="000000"/>
          <w:sz w:val="24"/>
        </w:rPr>
        <w:t>的迁移能力，因此，施工期对这些动物的生存影响较小。</w:t>
      </w:r>
      <w:r>
        <w:rPr>
          <w:rFonts w:ascii="Times New Roman" w:hAnsi="Times New Roman"/>
          <w:bCs/>
          <w:sz w:val="24"/>
        </w:rPr>
        <w:t>项目建成后，随着机械、人员的撤离，上述威胁将逐步减少。</w:t>
      </w:r>
    </w:p>
    <w:p>
      <w:pPr>
        <w:spacing w:line="360" w:lineRule="auto"/>
        <w:ind w:firstLine="480" w:firstLineChars="200"/>
        <w:rPr>
          <w:rFonts w:ascii="Times New Roman" w:hAnsi="Times New Roman"/>
          <w:bCs/>
          <w:sz w:val="24"/>
        </w:rPr>
      </w:pPr>
      <w:r>
        <w:rPr>
          <w:rFonts w:ascii="Times New Roman" w:hAnsi="Times New Roman"/>
          <w:bCs/>
          <w:sz w:val="24"/>
        </w:rPr>
        <w:t>项目建设从整体生态环境角度看，不会对建设区域内的动物种类、数量产生明显影响。同时项目区域及影响范围内无重点保护动物，因此项目建设不会对重点保护动物造成影响。</w:t>
      </w:r>
    </w:p>
    <w:p>
      <w:pPr>
        <w:pStyle w:val="2"/>
        <w:kinsoku w:val="0"/>
        <w:overflowPunct w:val="0"/>
        <w:spacing w:after="0" w:line="360" w:lineRule="auto"/>
        <w:ind w:right="26" w:firstLine="480" w:firstLineChars="200"/>
        <w:outlineLvl w:val="0"/>
        <w:rPr>
          <w:color w:val="000000"/>
          <w:sz w:val="24"/>
          <w:szCs w:val="24"/>
        </w:rPr>
      </w:pPr>
      <w:r>
        <w:rPr>
          <w:rFonts w:hint="eastAsia"/>
          <w:color w:val="000000"/>
          <w:sz w:val="24"/>
          <w:szCs w:val="24"/>
        </w:rPr>
        <w:t>（3）施工期对其他生态环境的影响分析</w:t>
      </w:r>
    </w:p>
    <w:p>
      <w:pPr>
        <w:pStyle w:val="2"/>
        <w:kinsoku w:val="0"/>
        <w:overflowPunct w:val="0"/>
        <w:spacing w:before="44" w:line="360" w:lineRule="auto"/>
        <w:ind w:firstLine="472" w:firstLineChars="200"/>
        <w:rPr>
          <w:rFonts w:ascii="Times New Roman" w:hAnsi="Times New Roman" w:eastAsia="新宋体"/>
          <w:color w:val="000000"/>
          <w:spacing w:val="-5"/>
          <w:sz w:val="24"/>
        </w:rPr>
      </w:pPr>
      <w:r>
        <w:rPr>
          <w:rFonts w:hint="eastAsia" w:ascii="新宋体" w:hAnsi="新宋体" w:eastAsia="新宋体"/>
          <w:spacing w:val="-2"/>
          <w:sz w:val="24"/>
        </w:rPr>
        <w:t>在施工场地平整以及建设过程中会产生水土流失。施工用的砂土若随意堆放</w:t>
      </w:r>
      <w:r>
        <w:rPr>
          <w:rFonts w:hint="eastAsia" w:ascii="新宋体" w:hAnsi="新宋体" w:eastAsia="新宋体"/>
          <w:sz w:val="24"/>
        </w:rPr>
        <w:t>，在大风天气将产生风蚀，造成环境空气污染，雨季又会产生水蚀， 加重地表水体污染。因此必须采取相应的措施。如：施工砂土在室内堆放或搭建顶棚， 大风天气设置围档。场地平整后尽快夯实、硬化，大风天气适量洒水等。</w:t>
      </w:r>
      <w:r>
        <w:rPr>
          <w:rFonts w:ascii="Times New Roman" w:hAnsi="Times New Roman" w:eastAsia="新宋体"/>
          <w:color w:val="000000"/>
          <w:spacing w:val="-2"/>
          <w:sz w:val="24"/>
        </w:rPr>
        <w:t>施工前应在施工场</w:t>
      </w:r>
      <w:r>
        <w:rPr>
          <w:rFonts w:ascii="Times New Roman" w:hAnsi="Times New Roman" w:eastAsia="新宋体"/>
          <w:color w:val="000000"/>
          <w:sz w:val="24"/>
        </w:rPr>
        <w:t>地内布设临时简易排水沟，以便于施工期能及时导出地面径流</w:t>
      </w:r>
      <w:r>
        <w:rPr>
          <w:rFonts w:hint="eastAsia" w:ascii="Times New Roman" w:hAnsi="Times New Roman" w:eastAsia="新宋体"/>
          <w:color w:val="000000"/>
          <w:sz w:val="24"/>
        </w:rPr>
        <w:t>。</w:t>
      </w:r>
      <w:r>
        <w:rPr>
          <w:rFonts w:ascii="Times New Roman" w:hAnsi="Times New Roman" w:eastAsia="新宋体"/>
          <w:color w:val="000000"/>
          <w:spacing w:val="-2"/>
          <w:sz w:val="24"/>
        </w:rPr>
        <w:t>采取临时防护和排水措施，以纤维布覆盖并在堆土两侧修筑临时排水沟，以防降雨侵蚀或</w:t>
      </w:r>
      <w:r>
        <w:rPr>
          <w:rFonts w:ascii="Times New Roman" w:hAnsi="Times New Roman" w:eastAsia="新宋体"/>
          <w:color w:val="000000"/>
          <w:spacing w:val="-96"/>
          <w:sz w:val="24"/>
        </w:rPr>
        <w:t xml:space="preserve"> </w:t>
      </w:r>
      <w:r>
        <w:rPr>
          <w:rFonts w:ascii="Times New Roman" w:hAnsi="Times New Roman" w:eastAsia="新宋体"/>
          <w:color w:val="000000"/>
          <w:sz w:val="24"/>
        </w:rPr>
        <w:t>风蚀的发生；对各项动土工程，在分项工程结束后，及时进入下一道工序或建立防护措施，减</w:t>
      </w:r>
      <w:r>
        <w:rPr>
          <w:rFonts w:ascii="Times New Roman" w:hAnsi="Times New Roman" w:eastAsia="新宋体"/>
          <w:color w:val="000000"/>
          <w:spacing w:val="-5"/>
          <w:sz w:val="24"/>
        </w:rPr>
        <w:t>少土壤侵蚀源暴露时间，有效控制水土流失。</w:t>
      </w:r>
    </w:p>
    <w:p>
      <w:pPr>
        <w:pStyle w:val="2"/>
        <w:spacing w:line="360" w:lineRule="auto"/>
        <w:ind w:firstLine="480" w:firstLineChars="200"/>
        <w:rPr>
          <w:color w:val="000000"/>
          <w:sz w:val="24"/>
          <w:szCs w:val="24"/>
        </w:rPr>
      </w:pPr>
      <w:r>
        <w:rPr>
          <w:rFonts w:hint="eastAsia"/>
          <w:color w:val="000000"/>
          <w:sz w:val="24"/>
          <w:szCs w:val="24"/>
        </w:rPr>
        <w:t>由于施工扬尘的飞扬会间接地影响植被的生长，采取合理的生态减缓措施下，其生态影响较小，并且随着施工期的结束其影响也随之结束。</w:t>
      </w:r>
    </w:p>
    <w:p>
      <w:pPr>
        <w:pStyle w:val="2"/>
        <w:spacing w:line="360" w:lineRule="auto"/>
        <w:outlineLvl w:val="0"/>
        <w:rPr>
          <w:rFonts w:ascii="Times New Roman" w:hAnsi="Times New Roman"/>
          <w:b/>
          <w:bCs/>
          <w:color w:val="000000"/>
          <w:sz w:val="24"/>
          <w:szCs w:val="24"/>
        </w:rPr>
      </w:pPr>
      <w:r>
        <w:rPr>
          <w:rFonts w:ascii="Times New Roman" w:hAnsi="Times New Roman"/>
          <w:b/>
          <w:bCs/>
          <w:color w:val="000000"/>
          <w:sz w:val="24"/>
          <w:szCs w:val="24"/>
        </w:rPr>
        <w:t>6.1.4.2运营期生态环境影响分析</w:t>
      </w:r>
    </w:p>
    <w:p>
      <w:pPr>
        <w:pStyle w:val="2"/>
        <w:numPr>
          <w:ilvl w:val="0"/>
          <w:numId w:val="9"/>
        </w:numPr>
        <w:spacing w:after="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对地形地貌的影响分析</w:t>
      </w:r>
    </w:p>
    <w:p>
      <w:pPr>
        <w:pStyle w:val="2"/>
        <w:spacing w:after="0" w:line="360" w:lineRule="auto"/>
        <w:ind w:firstLine="580"/>
        <w:rPr>
          <w:rFonts w:ascii="Times New Roman" w:hAnsi="Times New Roman"/>
          <w:color w:val="000000"/>
          <w:sz w:val="24"/>
          <w:szCs w:val="24"/>
        </w:rPr>
      </w:pPr>
      <w:r>
        <w:rPr>
          <w:rFonts w:ascii="Times New Roman" w:hAnsi="Times New Roman"/>
          <w:color w:val="000000"/>
          <w:sz w:val="24"/>
          <w:szCs w:val="24"/>
        </w:rPr>
        <w:t>本项目建设内容包括尾矿库扩建及压滤间建设，周围无各类自然保护区、人文景观、风景旅游区、无主要交通干线通过矿区。随着基建及生产的进行，运营期对原生的地形地貌影响和破坏较为严重。</w:t>
      </w:r>
    </w:p>
    <w:p>
      <w:pPr>
        <w:pStyle w:val="2"/>
        <w:spacing w:after="0" w:line="360" w:lineRule="auto"/>
        <w:ind w:firstLine="480" w:firstLineChars="200"/>
        <w:outlineLvl w:val="0"/>
        <w:rPr>
          <w:rFonts w:ascii="Times New Roman" w:hAnsi="Times New Roman"/>
          <w:color w:val="000000"/>
          <w:sz w:val="24"/>
          <w:szCs w:val="24"/>
        </w:rPr>
      </w:pPr>
      <w:r>
        <w:rPr>
          <w:rFonts w:ascii="Times New Roman" w:hAnsi="Times New Roman"/>
          <w:color w:val="000000"/>
          <w:sz w:val="24"/>
          <w:szCs w:val="24"/>
        </w:rPr>
        <w:t>（2）对植物的影响</w:t>
      </w:r>
    </w:p>
    <w:p>
      <w:pPr>
        <w:pStyle w:val="2"/>
        <w:spacing w:after="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本项目新增占地4000m</w:t>
      </w:r>
      <w:r>
        <w:rPr>
          <w:rFonts w:ascii="Times New Roman" w:hAnsi="Times New Roman"/>
          <w:color w:val="000000"/>
          <w:sz w:val="24"/>
          <w:szCs w:val="24"/>
          <w:vertAlign w:val="superscript"/>
        </w:rPr>
        <w:t>2</w:t>
      </w:r>
      <w:r>
        <w:rPr>
          <w:rFonts w:ascii="Times New Roman" w:hAnsi="Times New Roman"/>
          <w:color w:val="000000"/>
          <w:sz w:val="24"/>
          <w:szCs w:val="24"/>
        </w:rPr>
        <w:t>，占地性质为林地。但是尾矿库扩建均会产生扬尘，随风飞扬，容易散落至周围树叶上，从而影响植物光合作用，进而影响树木生长。为了减轻对周围森林植被的影响，建议对于尾矿库适当地采取洒水降尘及时外运出售。因此运营期对植被的影响较小。</w:t>
      </w:r>
    </w:p>
    <w:p>
      <w:pPr>
        <w:pStyle w:val="2"/>
        <w:spacing w:after="0" w:line="360" w:lineRule="auto"/>
        <w:ind w:firstLine="480" w:firstLineChars="200"/>
        <w:outlineLvl w:val="0"/>
        <w:rPr>
          <w:color w:val="000000"/>
          <w:sz w:val="24"/>
          <w:szCs w:val="24"/>
        </w:rPr>
      </w:pPr>
      <w:r>
        <w:rPr>
          <w:rFonts w:hint="eastAsia"/>
          <w:color w:val="000000"/>
          <w:sz w:val="24"/>
          <w:szCs w:val="24"/>
        </w:rPr>
        <w:t>（3）对动物的影响</w:t>
      </w:r>
    </w:p>
    <w:p>
      <w:pPr>
        <w:spacing w:line="360" w:lineRule="auto"/>
        <w:ind w:firstLine="480" w:firstLineChars="200"/>
        <w:outlineLvl w:val="0"/>
        <w:rPr>
          <w:rFonts w:ascii="Times New Roman" w:hAnsi="Times New Roman"/>
          <w:bCs/>
          <w:sz w:val="24"/>
        </w:rPr>
      </w:pPr>
      <w:r>
        <w:rPr>
          <w:rFonts w:hint="eastAsia" w:ascii="宋体" w:hAnsi="宋体" w:cs="宋体"/>
          <w:bCs/>
          <w:sz w:val="24"/>
        </w:rPr>
        <w:t>①</w:t>
      </w:r>
      <w:r>
        <w:rPr>
          <w:rFonts w:ascii="Times New Roman" w:hAnsi="Times New Roman"/>
          <w:bCs/>
          <w:sz w:val="24"/>
        </w:rPr>
        <w:t>地表设备噪声影响</w:t>
      </w:r>
    </w:p>
    <w:p>
      <w:pPr>
        <w:spacing w:line="360" w:lineRule="auto"/>
        <w:ind w:firstLine="480" w:firstLineChars="200"/>
        <w:rPr>
          <w:rFonts w:ascii="Times New Roman" w:hAnsi="Times New Roman"/>
          <w:bCs/>
          <w:sz w:val="24"/>
        </w:rPr>
      </w:pPr>
      <w:r>
        <w:rPr>
          <w:rFonts w:ascii="Times New Roman" w:hAnsi="Times New Roman"/>
          <w:bCs/>
          <w:sz w:val="24"/>
        </w:rPr>
        <w:t>项目所在的区域，野生种类较少，项目的运营不可避免地破坏栖息和生活在附近的动物生境，运营期的设备产生的噪声将影响动物的栖息，使野生动物赖以生存的生态领域减小，车辆的增加使动物的安全性下降，致使本地区野生动物包括鸟类迁移至森林深处，因此，企业在项目建设过程中严格控制矿区用地，采矿生产过程中，尽量将高噪声设备放置在单独的隔声间内，避免和减少机械设备噪声对野生动物的影响。</w:t>
      </w:r>
    </w:p>
    <w:p>
      <w:pPr>
        <w:spacing w:line="360" w:lineRule="auto"/>
        <w:ind w:firstLine="480" w:firstLineChars="200"/>
        <w:outlineLvl w:val="0"/>
        <w:rPr>
          <w:rFonts w:ascii="Times New Roman" w:hAnsi="Times New Roman"/>
          <w:bCs/>
          <w:sz w:val="24"/>
        </w:rPr>
      </w:pPr>
      <w:r>
        <w:rPr>
          <w:rFonts w:hint="eastAsia" w:ascii="宋体" w:hAnsi="宋体" w:cs="宋体"/>
          <w:bCs/>
          <w:sz w:val="24"/>
        </w:rPr>
        <w:t>②尾渣</w:t>
      </w:r>
      <w:r>
        <w:rPr>
          <w:rFonts w:ascii="Times New Roman" w:hAnsi="Times New Roman"/>
          <w:bCs/>
          <w:sz w:val="24"/>
        </w:rPr>
        <w:t>运输</w:t>
      </w:r>
      <w:r>
        <w:rPr>
          <w:rFonts w:hint="eastAsia" w:ascii="Times New Roman" w:hAnsi="Times New Roman"/>
          <w:bCs/>
          <w:sz w:val="24"/>
        </w:rPr>
        <w:t>车机械</w:t>
      </w:r>
      <w:r>
        <w:rPr>
          <w:rFonts w:ascii="Times New Roman" w:hAnsi="Times New Roman"/>
          <w:bCs/>
          <w:sz w:val="24"/>
        </w:rPr>
        <w:t>噪声及粉尘影响</w:t>
      </w:r>
    </w:p>
    <w:p>
      <w:pPr>
        <w:spacing w:line="360" w:lineRule="auto"/>
        <w:ind w:firstLine="480" w:firstLineChars="200"/>
        <w:rPr>
          <w:rFonts w:ascii="Times New Roman" w:hAnsi="Times New Roman"/>
          <w:bCs/>
          <w:sz w:val="24"/>
        </w:rPr>
      </w:pPr>
      <w:r>
        <w:rPr>
          <w:rFonts w:ascii="Times New Roman" w:hAnsi="Times New Roman"/>
          <w:bCs/>
          <w:sz w:val="24"/>
        </w:rPr>
        <w:t>由于</w:t>
      </w:r>
      <w:r>
        <w:rPr>
          <w:rFonts w:hint="eastAsia" w:ascii="Times New Roman" w:hAnsi="Times New Roman"/>
          <w:bCs/>
          <w:sz w:val="24"/>
        </w:rPr>
        <w:t>项目尾渣需要及时外卖，</w:t>
      </w:r>
      <w:r>
        <w:rPr>
          <w:rFonts w:ascii="Times New Roman" w:hAnsi="Times New Roman"/>
          <w:bCs/>
          <w:sz w:val="24"/>
        </w:rPr>
        <w:t>需采用运输车辆运输，其产生的扬尘将对野生动物的生境产生影响，即破坏绿色植物的生长，影响野生动物觅食，因此，企业对矿区道路进行定期洒水降尘或加设围挡，降低扬尘产生量，减少本项目运营过程中对野生动物及其生境的影响。评价区内</w:t>
      </w:r>
      <w:r>
        <w:rPr>
          <w:rFonts w:hint="eastAsia" w:ascii="Times New Roman" w:hAnsi="Times New Roman"/>
          <w:bCs/>
          <w:sz w:val="24"/>
        </w:rPr>
        <w:t>无村屯</w:t>
      </w:r>
      <w:r>
        <w:rPr>
          <w:rFonts w:ascii="Times New Roman" w:hAnsi="Times New Roman"/>
          <w:bCs/>
          <w:sz w:val="24"/>
        </w:rPr>
        <w:t>，人类活动的频率和强度</w:t>
      </w:r>
      <w:r>
        <w:rPr>
          <w:rFonts w:hint="eastAsia" w:ascii="Times New Roman" w:hAnsi="Times New Roman"/>
          <w:bCs/>
          <w:sz w:val="24"/>
        </w:rPr>
        <w:t>较低</w:t>
      </w:r>
      <w:r>
        <w:rPr>
          <w:rFonts w:ascii="Times New Roman" w:hAnsi="Times New Roman"/>
          <w:bCs/>
          <w:sz w:val="24"/>
        </w:rPr>
        <w:t>，人类的生产和生活等活动对当地的野生动物干扰</w:t>
      </w:r>
      <w:r>
        <w:rPr>
          <w:rFonts w:hint="eastAsia" w:ascii="Times New Roman" w:hAnsi="Times New Roman"/>
          <w:bCs/>
          <w:sz w:val="24"/>
        </w:rPr>
        <w:t>较小</w:t>
      </w:r>
      <w:r>
        <w:rPr>
          <w:rFonts w:ascii="Times New Roman" w:hAnsi="Times New Roman"/>
          <w:bCs/>
          <w:sz w:val="24"/>
        </w:rPr>
        <w:t>；区内多为阔叶混交林，野生动物缺少合适的栖息环境，因此区内野生动物的种类和数量都较少，特别是大型兽类较难见到。</w:t>
      </w:r>
    </w:p>
    <w:p>
      <w:pPr>
        <w:spacing w:line="360" w:lineRule="auto"/>
        <w:ind w:firstLine="480" w:firstLineChars="200"/>
        <w:rPr>
          <w:rFonts w:ascii="Times New Roman" w:hAnsi="Times New Roman"/>
          <w:bCs/>
          <w:sz w:val="24"/>
          <w:u w:val="single"/>
        </w:rPr>
      </w:pPr>
      <w:r>
        <w:rPr>
          <w:rFonts w:ascii="Times New Roman" w:hAnsi="Times New Roman"/>
          <w:bCs/>
          <w:sz w:val="24"/>
        </w:rPr>
        <w:t>据调查，区内小型野生动物如松鼠、大林姬鼠、鼬类等常可见到；林栖鸟类大山雀、山斑鸠、啄木鸟等分布较广泛；两栖类中国林蛙在山谷溪流旁较多，但多为人工养殖，野生数量极少；在居民点附近主要为村栖型鸟类喜鹊、乌鸦、麻雀、家燕等。</w:t>
      </w:r>
    </w:p>
    <w:p>
      <w:pPr>
        <w:spacing w:line="360" w:lineRule="auto"/>
        <w:ind w:firstLine="480" w:firstLineChars="200"/>
        <w:rPr>
          <w:rFonts w:ascii="Times New Roman" w:hAnsi="Times New Roman"/>
        </w:rPr>
      </w:pPr>
      <w:r>
        <w:rPr>
          <w:rFonts w:ascii="Times New Roman" w:hAnsi="Times New Roman"/>
          <w:bCs/>
          <w:sz w:val="24"/>
        </w:rPr>
        <w:t>综上所述，项目建设对区内野生动物有一定影响，但其影响程度影响在可接受范围内。</w:t>
      </w:r>
    </w:p>
    <w:p>
      <w:pPr>
        <w:pStyle w:val="2"/>
        <w:spacing w:after="0" w:line="360" w:lineRule="auto"/>
        <w:ind w:left="442"/>
        <w:outlineLvl w:val="0"/>
        <w:rPr>
          <w:rFonts w:ascii="Times New Roman" w:hAnsi="Times New Roman"/>
          <w:color w:val="000000"/>
          <w:sz w:val="24"/>
          <w:szCs w:val="24"/>
        </w:rPr>
      </w:pPr>
      <w:r>
        <w:rPr>
          <w:rFonts w:ascii="Times New Roman" w:hAnsi="Times New Roman"/>
          <w:color w:val="000000"/>
          <w:sz w:val="24"/>
          <w:szCs w:val="24"/>
        </w:rPr>
        <w:t>（4）对生物多样性的影响分析</w:t>
      </w:r>
    </w:p>
    <w:p>
      <w:pPr>
        <w:pStyle w:val="2"/>
        <w:spacing w:after="0" w:line="360" w:lineRule="auto"/>
        <w:ind w:firstLine="480" w:firstLineChars="200"/>
        <w:rPr>
          <w:rFonts w:ascii="Times New Roman" w:hAnsi="Times New Roman"/>
          <w:bCs/>
          <w:sz w:val="24"/>
        </w:rPr>
      </w:pPr>
      <w:r>
        <w:rPr>
          <w:rFonts w:ascii="Times New Roman" w:hAnsi="Times New Roman"/>
          <w:bCs/>
          <w:sz w:val="24"/>
        </w:rPr>
        <w:t>生物多样性，是指所有有来源的活的生物体中的变异性。生物物种构成了生物多样性的基本单元，是生物多样性物种水平上的表现形式，是指一定区域内物种的总和，即群落多样性。由于物种的形成和灭绝都是自然选择的过程，它体现了种群遗传成分与环境不断相适应的过程。当环境与之不相适应时，一个种群就要不断发展的与之相适应或者迁移到更有利的环境中，否则必将逐渐灭绝，因此，突发的环境变化是引起物种灭绝的主要原因之一。</w:t>
      </w:r>
    </w:p>
    <w:p>
      <w:pPr>
        <w:spacing w:line="360" w:lineRule="auto"/>
        <w:ind w:firstLine="480" w:firstLineChars="200"/>
        <w:rPr>
          <w:rFonts w:ascii="Times New Roman" w:hAnsi="Times New Roman"/>
          <w:bCs/>
          <w:sz w:val="24"/>
        </w:rPr>
      </w:pPr>
      <w:r>
        <w:rPr>
          <w:rFonts w:hint="eastAsia" w:ascii="Times New Roman" w:hAnsi="Times New Roman"/>
          <w:bCs/>
          <w:sz w:val="24"/>
        </w:rPr>
        <w:t>本项目新占用林地4000m</w:t>
      </w:r>
      <w:r>
        <w:rPr>
          <w:rFonts w:hint="eastAsia" w:ascii="Times New Roman" w:hAnsi="Times New Roman"/>
          <w:bCs/>
          <w:sz w:val="24"/>
          <w:vertAlign w:val="superscript"/>
        </w:rPr>
        <w:t>2</w:t>
      </w:r>
      <w:r>
        <w:rPr>
          <w:rFonts w:hint="eastAsia" w:ascii="Times New Roman" w:hAnsi="Times New Roman"/>
          <w:bCs/>
          <w:sz w:val="24"/>
        </w:rPr>
        <w:t>。因此不会影响物种生存环境，不会破坏生物多样性。但是在生产过程中，因为噪声及人为活动的影响等均会对物种生境带来间接的影响，可能</w:t>
      </w:r>
      <w:r>
        <w:rPr>
          <w:rFonts w:ascii="Times New Roman" w:hAnsi="Times New Roman"/>
          <w:bCs/>
          <w:sz w:val="24"/>
        </w:rPr>
        <w:t>迫使导致部分动物的栖息环境发生改变，影响</w:t>
      </w:r>
      <w:r>
        <w:rPr>
          <w:rFonts w:hint="eastAsia" w:ascii="Times New Roman" w:hAnsi="Times New Roman"/>
          <w:bCs/>
          <w:sz w:val="24"/>
        </w:rPr>
        <w:t>项目区域</w:t>
      </w:r>
      <w:r>
        <w:rPr>
          <w:rFonts w:ascii="Times New Roman" w:hAnsi="Times New Roman"/>
          <w:bCs/>
          <w:sz w:val="24"/>
        </w:rPr>
        <w:t>的生物多样性，在</w:t>
      </w:r>
      <w:r>
        <w:rPr>
          <w:rFonts w:hint="eastAsia" w:ascii="Times New Roman" w:hAnsi="Times New Roman"/>
          <w:bCs/>
          <w:sz w:val="24"/>
        </w:rPr>
        <w:t>本项目</w:t>
      </w:r>
      <w:r>
        <w:rPr>
          <w:rFonts w:ascii="Times New Roman" w:hAnsi="Times New Roman"/>
          <w:bCs/>
          <w:sz w:val="24"/>
        </w:rPr>
        <w:t>近距离内动物资源将明显减少，但在大区域环境上，不会发生明显改变。</w:t>
      </w:r>
    </w:p>
    <w:p>
      <w:pPr>
        <w:pStyle w:val="2"/>
        <w:spacing w:after="0" w:line="360" w:lineRule="auto"/>
        <w:ind w:firstLine="480" w:firstLineChars="200"/>
        <w:outlineLvl w:val="0"/>
        <w:rPr>
          <w:color w:val="000000"/>
          <w:sz w:val="24"/>
          <w:szCs w:val="24"/>
        </w:rPr>
      </w:pPr>
      <w:r>
        <w:rPr>
          <w:rFonts w:hint="eastAsia"/>
          <w:color w:val="000000"/>
          <w:sz w:val="24"/>
          <w:szCs w:val="24"/>
        </w:rPr>
        <w:t>（5）对土壤的影响分析</w:t>
      </w:r>
    </w:p>
    <w:p>
      <w:pPr>
        <w:spacing w:line="360" w:lineRule="auto"/>
        <w:ind w:firstLine="480" w:firstLineChars="200"/>
        <w:rPr>
          <w:rFonts w:ascii="Times New Roman" w:hAnsi="Times New Roman"/>
          <w:bCs/>
          <w:sz w:val="24"/>
        </w:rPr>
      </w:pPr>
      <w:r>
        <w:rPr>
          <w:rFonts w:ascii="Times New Roman" w:hAnsi="Times New Roman"/>
          <w:sz w:val="24"/>
        </w:rPr>
        <w:t>本项目</w:t>
      </w:r>
      <w:r>
        <w:rPr>
          <w:rFonts w:hint="eastAsia" w:ascii="Times New Roman" w:hAnsi="Times New Roman"/>
          <w:sz w:val="24"/>
        </w:rPr>
        <w:t>尾矿库</w:t>
      </w:r>
      <w:r>
        <w:rPr>
          <w:rFonts w:ascii="Times New Roman" w:hAnsi="Times New Roman"/>
          <w:sz w:val="24"/>
        </w:rPr>
        <w:t>最终通过自降和降水淋溶等途径进入土壤环境，不会对周围环境空气产生不利影响。而上述粉尘进入土壤将从物理、化学和物理化学等方面影响周围土壤的孔隙度、团粒结构、酸碱度、土壤肥力及微量元素含量等，具体分析如下：</w:t>
      </w:r>
    </w:p>
    <w:p>
      <w:pPr>
        <w:spacing w:line="360" w:lineRule="auto"/>
        <w:ind w:firstLine="480" w:firstLineChars="200"/>
        <w:rPr>
          <w:rFonts w:ascii="Times New Roman" w:hAnsi="Times New Roman"/>
          <w:bCs/>
          <w:sz w:val="24"/>
        </w:rPr>
      </w:pPr>
      <w:r>
        <w:rPr>
          <w:rFonts w:ascii="Times New Roman" w:hAnsi="Times New Roman"/>
          <w:sz w:val="24"/>
        </w:rPr>
        <w:t>a、粉尘量很少，不会改变附近土壤酸碱度；</w:t>
      </w:r>
    </w:p>
    <w:p>
      <w:pPr>
        <w:spacing w:line="360" w:lineRule="auto"/>
        <w:ind w:firstLine="480" w:firstLineChars="200"/>
        <w:rPr>
          <w:rFonts w:ascii="Times New Roman" w:hAnsi="Times New Roman"/>
          <w:sz w:val="24"/>
        </w:rPr>
      </w:pPr>
      <w:r>
        <w:rPr>
          <w:rFonts w:hint="eastAsia" w:ascii="Times New Roman" w:hAnsi="Times New Roman"/>
          <w:sz w:val="24"/>
        </w:rPr>
        <w:t>b</w:t>
      </w:r>
      <w:r>
        <w:rPr>
          <w:rFonts w:ascii="Times New Roman" w:hAnsi="Times New Roman"/>
          <w:sz w:val="24"/>
        </w:rPr>
        <w:t>、从静态分析，粉尘在土壤中累积会增强土壤粘结性，造成土壤板结，并且降低了土壤孔隙度，使土壤表层严重结壳，阻碍土壤与大气的气体交换，从而抑制土壤微生物活动，影响土壤地力正常发挥，降低了土壤肥力。据安徽农学院研究，粉尘对土壤影响的实验结果，粉尘量达到每年每千克土壤接纳2克粉尘条件下，经过20年的积累，方对土壤产生明显影响，本矿区的开采排尘强度远远低于该数值，所以不会对土壤理化性质产生明显影响。</w:t>
      </w:r>
    </w:p>
    <w:p>
      <w:pPr>
        <w:spacing w:line="360" w:lineRule="auto"/>
        <w:ind w:firstLine="480" w:firstLineChars="200"/>
        <w:outlineLvl w:val="0"/>
        <w:rPr>
          <w:color w:val="000000"/>
          <w:sz w:val="24"/>
          <w:szCs w:val="24"/>
        </w:rPr>
      </w:pPr>
      <w:r>
        <w:rPr>
          <w:rFonts w:hint="eastAsia"/>
          <w:color w:val="000000"/>
          <w:sz w:val="24"/>
          <w:szCs w:val="24"/>
        </w:rPr>
        <w:t>（6）对生态效能的影响分析</w:t>
      </w:r>
    </w:p>
    <w:p>
      <w:pPr>
        <w:pStyle w:val="2"/>
        <w:spacing w:after="0" w:line="360" w:lineRule="auto"/>
        <w:ind w:firstLine="480" w:firstLineChars="200"/>
        <w:rPr>
          <w:rFonts w:ascii="Times New Roman" w:hAnsi="Times New Roman"/>
          <w:bCs/>
          <w:sz w:val="24"/>
        </w:rPr>
      </w:pPr>
      <w:r>
        <w:rPr>
          <w:rFonts w:ascii="Times New Roman" w:hAnsi="Times New Roman"/>
          <w:bCs/>
          <w:sz w:val="24"/>
        </w:rPr>
        <w:t>森林在生态系统中具有主导地位。森林生态系统的独特物种结构、时空组织结构、动态变化规律等使之具有其它生态系统无法比拟的功能，如涵养水源、保持水土、庇护农田、抵御自然灾害、调解气候、改善环境，防风固沙等。</w:t>
      </w:r>
    </w:p>
    <w:p>
      <w:pPr>
        <w:pStyle w:val="2"/>
        <w:spacing w:after="0" w:line="360" w:lineRule="auto"/>
        <w:ind w:firstLine="480" w:firstLineChars="200"/>
        <w:rPr>
          <w:rFonts w:ascii="Times New Roman" w:hAnsi="Times New Roman"/>
          <w:bCs/>
          <w:sz w:val="24"/>
        </w:rPr>
      </w:pPr>
      <w:r>
        <w:rPr>
          <w:rFonts w:hint="eastAsia" w:ascii="Times New Roman" w:hAnsi="Times New Roman"/>
          <w:bCs/>
          <w:sz w:val="24"/>
        </w:rPr>
        <w:t>该工程占用少量林地，对该区域生态效能产生影响较小。</w:t>
      </w:r>
    </w:p>
    <w:p>
      <w:pPr>
        <w:pStyle w:val="2"/>
        <w:numPr>
          <w:ilvl w:val="0"/>
          <w:numId w:val="10"/>
        </w:numPr>
        <w:spacing w:after="0" w:line="360" w:lineRule="auto"/>
        <w:ind w:firstLine="519"/>
        <w:rPr>
          <w:rFonts w:ascii="Times New Roman" w:hAnsi="Times New Roman"/>
          <w:bCs/>
          <w:sz w:val="24"/>
        </w:rPr>
      </w:pPr>
      <w:r>
        <w:rPr>
          <w:rFonts w:hint="eastAsia" w:ascii="Times New Roman" w:hAnsi="Times New Roman"/>
          <w:bCs/>
          <w:sz w:val="24"/>
        </w:rPr>
        <w:t>对景观的影响分析</w:t>
      </w:r>
    </w:p>
    <w:p>
      <w:pPr>
        <w:spacing w:line="360" w:lineRule="auto"/>
        <w:ind w:firstLine="480" w:firstLineChars="200"/>
        <w:rPr>
          <w:rFonts w:ascii="Times New Roman" w:hAnsi="Times New Roman"/>
          <w:bCs/>
          <w:sz w:val="24"/>
        </w:rPr>
      </w:pPr>
      <w:r>
        <w:rPr>
          <w:rFonts w:hint="eastAsia" w:ascii="Times New Roman" w:hAnsi="Times New Roman"/>
          <w:bCs/>
          <w:sz w:val="24"/>
        </w:rPr>
        <w:t>本项目建设新占用林地，从而对当地自然景观产生一定的负面影响，增加了景观的异质性，</w:t>
      </w:r>
      <w:r>
        <w:rPr>
          <w:rFonts w:ascii="Times New Roman" w:hAnsi="Times New Roman"/>
          <w:bCs/>
          <w:sz w:val="24"/>
        </w:rPr>
        <w:t>使区域景观呈现破碎化趋势。</w:t>
      </w:r>
    </w:p>
    <w:p>
      <w:pPr>
        <w:pStyle w:val="2"/>
        <w:spacing w:after="0" w:line="360" w:lineRule="auto"/>
        <w:ind w:firstLine="519"/>
        <w:rPr>
          <w:rFonts w:ascii="Times New Roman" w:hAnsi="Times New Roman"/>
          <w:bCs/>
          <w:sz w:val="24"/>
        </w:rPr>
      </w:pPr>
      <w:r>
        <w:rPr>
          <w:rFonts w:hint="eastAsia" w:ascii="Times New Roman" w:hAnsi="Times New Roman"/>
          <w:bCs/>
          <w:sz w:val="24"/>
        </w:rPr>
        <w:t>该项目周围景观为森林，本项目建成后人工景观的比例将增加，运营后将</w:t>
      </w:r>
      <w:r>
        <w:rPr>
          <w:rFonts w:ascii="Times New Roman" w:hAnsi="Times New Roman"/>
          <w:bCs/>
          <w:sz w:val="24"/>
        </w:rPr>
        <w:t>呈现人文景观与自然景观相交融的现象。</w:t>
      </w:r>
      <w:r>
        <w:rPr>
          <w:rFonts w:hint="eastAsia" w:ascii="Times New Roman" w:hAnsi="Times New Roman"/>
          <w:bCs/>
          <w:sz w:val="24"/>
        </w:rPr>
        <w:t>本项目将导致区域景观结构与功能的整体改变，对景观的影响主要是工程活动清除地表杂草、尾矿库扩建</w:t>
      </w:r>
      <w:r>
        <w:rPr>
          <w:rFonts w:ascii="Times New Roman" w:hAnsi="Times New Roman"/>
          <w:bCs/>
          <w:sz w:val="24"/>
        </w:rPr>
        <w:t>挖毁原地貌、废弃物堆置改变了矿区的地形、地貌，降低了原有自然景观美学价值。</w:t>
      </w:r>
    </w:p>
    <w:p>
      <w:pPr>
        <w:spacing w:line="360" w:lineRule="auto"/>
        <w:ind w:firstLine="480" w:firstLineChars="200"/>
        <w:rPr>
          <w:rFonts w:ascii="Times New Roman" w:hAnsi="Times New Roman"/>
          <w:bCs/>
          <w:sz w:val="24"/>
        </w:rPr>
      </w:pPr>
      <w:r>
        <w:rPr>
          <w:rFonts w:ascii="Times New Roman" w:hAnsi="Times New Roman"/>
          <w:bCs/>
          <w:sz w:val="24"/>
        </w:rPr>
        <w:t>破坏生态系统完整性，影响生态功能，破坏自然性和影响景观实体的形象、色彩、空间格局和组合关系等，都会造成严重的景观美学影响或损害重要的景观美学资源。闭矿后，在</w:t>
      </w:r>
      <w:r>
        <w:rPr>
          <w:rFonts w:hint="eastAsia" w:ascii="Times New Roman" w:hAnsi="Times New Roman"/>
          <w:bCs/>
          <w:sz w:val="24"/>
        </w:rPr>
        <w:t>尾矿库</w:t>
      </w:r>
      <w:r>
        <w:rPr>
          <w:rFonts w:ascii="Times New Roman" w:hAnsi="Times New Roman"/>
          <w:bCs/>
          <w:sz w:val="24"/>
        </w:rPr>
        <w:t>占地内采取必要的生态恢复措施，将彻底恢复自然景观。</w:t>
      </w:r>
    </w:p>
    <w:p>
      <w:pPr>
        <w:pStyle w:val="2"/>
        <w:spacing w:after="0" w:line="360" w:lineRule="auto"/>
        <w:ind w:firstLine="519"/>
        <w:rPr>
          <w:rFonts w:ascii="Times New Roman" w:hAnsi="Times New Roman"/>
          <w:bCs/>
          <w:sz w:val="24"/>
        </w:rPr>
      </w:pPr>
      <w:r>
        <w:rPr>
          <w:rFonts w:hint="eastAsia" w:ascii="Times New Roman" w:hAnsi="Times New Roman"/>
          <w:bCs/>
          <w:sz w:val="24"/>
        </w:rPr>
        <w:t>（8）对水域环境的影响分析</w:t>
      </w:r>
    </w:p>
    <w:p>
      <w:pPr>
        <w:spacing w:line="360" w:lineRule="auto"/>
        <w:ind w:firstLine="480" w:firstLineChars="200"/>
        <w:jc w:val="left"/>
        <w:rPr>
          <w:rFonts w:ascii="Times New Roman" w:hAnsi="Times New Roman"/>
          <w:sz w:val="24"/>
          <w:szCs w:val="24"/>
        </w:rPr>
      </w:pPr>
      <w:r>
        <w:rPr>
          <w:rFonts w:hint="eastAsia"/>
          <w:bCs/>
          <w:color w:val="000000"/>
          <w:sz w:val="24"/>
          <w:szCs w:val="24"/>
        </w:rPr>
        <w:t>本项目废水主要为压滤废水。尾矿排水完全可作为选矿用水回用，选矿排水可实现零排放，</w:t>
      </w:r>
      <w:r>
        <w:rPr>
          <w:rFonts w:hint="eastAsia" w:ascii="Times New Roman" w:hAnsi="Times New Roman"/>
          <w:sz w:val="24"/>
          <w:szCs w:val="24"/>
        </w:rPr>
        <w:t>符合标准中的有关要求。因此，本项目运营期对水域生态影响不大。</w:t>
      </w:r>
    </w:p>
    <w:p>
      <w:pPr>
        <w:pStyle w:val="2"/>
        <w:spacing w:after="0" w:line="360" w:lineRule="auto"/>
        <w:ind w:firstLine="519"/>
        <w:rPr>
          <w:rFonts w:ascii="Times New Roman" w:hAnsi="Times New Roman"/>
          <w:bCs/>
          <w:sz w:val="24"/>
        </w:rPr>
      </w:pPr>
      <w:r>
        <w:rPr>
          <w:rFonts w:hint="eastAsia" w:ascii="Times New Roman" w:hAnsi="Times New Roman"/>
          <w:bCs/>
          <w:sz w:val="24"/>
        </w:rPr>
        <w:t>（9）对生态完整性的影响分析</w:t>
      </w:r>
    </w:p>
    <w:p>
      <w:pPr>
        <w:spacing w:line="360" w:lineRule="auto"/>
        <w:ind w:firstLine="480" w:firstLineChars="200"/>
        <w:rPr>
          <w:rFonts w:ascii="Times New Roman" w:hAnsi="Times New Roman"/>
          <w:bCs/>
          <w:sz w:val="24"/>
        </w:rPr>
      </w:pPr>
      <w:r>
        <w:rPr>
          <w:rFonts w:ascii="Times New Roman" w:hAnsi="Times New Roman"/>
          <w:sz w:val="24"/>
        </w:rPr>
        <w:t>生态系统是一个有层次的结构整体。生态系统中，个体以上生物系统可以划分为个体、种群、群落和生态系统四个层次。层次的升高，不断赋予生态系统新的内涵，但各层次始终相互联系着，低层次是构成高层次的基础。</w:t>
      </w:r>
    </w:p>
    <w:p>
      <w:pPr>
        <w:spacing w:line="360" w:lineRule="auto"/>
        <w:ind w:firstLine="480" w:firstLineChars="200"/>
        <w:rPr>
          <w:rFonts w:ascii="Times New Roman" w:hAnsi="Times New Roman"/>
          <w:bCs/>
          <w:sz w:val="24"/>
        </w:rPr>
      </w:pPr>
      <w:r>
        <w:rPr>
          <w:rFonts w:ascii="Times New Roman" w:hAnsi="Times New Roman"/>
          <w:sz w:val="24"/>
        </w:rPr>
        <w:t>本项目所处区域主要为森林生态系统，森林植被主要为人工林，林木种类主要为</w:t>
      </w:r>
      <w:r>
        <w:rPr>
          <w:rFonts w:ascii="Times New Roman" w:hAnsi="Times New Roman"/>
          <w:sz w:val="24"/>
          <w:shd w:val="clear" w:color="auto" w:fill="FFFFFF"/>
        </w:rPr>
        <w:t>落叶、柞树及红阔叶柞树、杂树等</w:t>
      </w:r>
      <w:r>
        <w:rPr>
          <w:rFonts w:ascii="Times New Roman" w:hAnsi="Times New Roman"/>
          <w:sz w:val="24"/>
        </w:rPr>
        <w:t>。</w:t>
      </w:r>
    </w:p>
    <w:p>
      <w:pPr>
        <w:pStyle w:val="2"/>
        <w:spacing w:after="0" w:line="360" w:lineRule="auto"/>
        <w:ind w:firstLine="519"/>
        <w:rPr>
          <w:rFonts w:ascii="Times New Roman" w:hAnsi="Times New Roman"/>
          <w:bCs/>
          <w:sz w:val="24"/>
        </w:rPr>
      </w:pPr>
      <w:r>
        <w:rPr>
          <w:rFonts w:hint="eastAsia" w:ascii="Times New Roman" w:hAnsi="Times New Roman"/>
          <w:bCs/>
          <w:sz w:val="24"/>
        </w:rPr>
        <w:t>本项目运营期间尾矿库及胶带运输过程中均会产生扬尘，对周围森林植物造成一定的影响，但是没有直接砍伐林木，因此不会破坏森林生态系统的完整性。同时本项目区域动物分布较少，对其生存环境造成影响较小。</w:t>
      </w:r>
    </w:p>
    <w:p>
      <w:pPr>
        <w:pStyle w:val="2"/>
        <w:spacing w:line="360" w:lineRule="auto"/>
        <w:outlineLvl w:val="0"/>
        <w:rPr>
          <w:rFonts w:ascii="Times New Roman" w:hAnsi="Times New Roman"/>
          <w:b/>
          <w:bCs/>
          <w:color w:val="000000"/>
          <w:sz w:val="24"/>
          <w:szCs w:val="24"/>
        </w:rPr>
      </w:pPr>
      <w:r>
        <w:rPr>
          <w:rFonts w:ascii="Times New Roman" w:hAnsi="Times New Roman"/>
          <w:b/>
          <w:bCs/>
          <w:color w:val="000000"/>
          <w:sz w:val="24"/>
          <w:szCs w:val="24"/>
        </w:rPr>
        <w:t>6.1.4.3服务期满后的生态环境影响分析</w:t>
      </w:r>
    </w:p>
    <w:p>
      <w:pPr>
        <w:spacing w:line="360" w:lineRule="auto"/>
        <w:ind w:firstLine="480" w:firstLineChars="200"/>
        <w:rPr>
          <w:rFonts w:ascii="Times New Roman" w:hAnsi="Times New Roman"/>
          <w:sz w:val="24"/>
          <w:szCs w:val="24"/>
        </w:rPr>
      </w:pPr>
      <w:r>
        <w:rPr>
          <w:rFonts w:ascii="Times New Roman" w:hAnsi="Times New Roman"/>
          <w:sz w:val="24"/>
          <w:szCs w:val="24"/>
        </w:rPr>
        <w:t>闭矿期的生态修复主要是对尾矿库采取系统、全面的工程技术措施和植被恢复措施。</w:t>
      </w:r>
    </w:p>
    <w:p>
      <w:pPr>
        <w:spacing w:line="360" w:lineRule="auto"/>
        <w:ind w:firstLine="480" w:firstLineChars="200"/>
        <w:rPr>
          <w:rFonts w:ascii="Times New Roman" w:hAnsi="Times New Roman"/>
          <w:sz w:val="24"/>
          <w:szCs w:val="24"/>
        </w:rPr>
      </w:pPr>
      <w:r>
        <w:rPr>
          <w:rFonts w:ascii="Times New Roman" w:hAnsi="Times New Roman"/>
          <w:sz w:val="24"/>
          <w:szCs w:val="24"/>
        </w:rPr>
        <w:t>1、首先要制定一个切实可行的生态修复的规划。规划中应包括土地适宜性的分析，即对不同的复垦土地原有功能的分析，以及复垦后土地使用新功能的分析，以确定复垦对象是否具有较好的土地利用的适宜性。</w:t>
      </w:r>
    </w:p>
    <w:p>
      <w:pPr>
        <w:spacing w:line="360" w:lineRule="auto"/>
        <w:ind w:firstLine="480" w:firstLineChars="200"/>
        <w:rPr>
          <w:rFonts w:ascii="Times New Roman" w:hAnsi="Times New Roman"/>
          <w:sz w:val="24"/>
          <w:szCs w:val="24"/>
        </w:rPr>
      </w:pPr>
      <w:r>
        <w:rPr>
          <w:rFonts w:ascii="Times New Roman" w:hAnsi="Times New Roman"/>
          <w:sz w:val="24"/>
          <w:szCs w:val="24"/>
        </w:rPr>
        <w:t>针对本项目，生态修复或复垦的对象主要为尾矿库，应提出复或复垦方案和措施。尾矿库主要采取植树、种草等生物措施，以及滩面平整、排水设施、监测、维护等工程措施；采空沉陷区主要采取平整地表、修复损坏的树木等工程与生物措施；采矿工业广场的修复主要采取场地平整、树木种植的措施；选矿厂的修复措施主要为场地平整和农田复垦。</w:t>
      </w:r>
    </w:p>
    <w:p>
      <w:pPr>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选矿厂及尾矿库</w:t>
      </w:r>
      <w:r>
        <w:rPr>
          <w:rFonts w:ascii="Times New Roman" w:hAnsi="Times New Roman"/>
          <w:sz w:val="24"/>
          <w:szCs w:val="24"/>
        </w:rPr>
        <w:t>修复工程</w:t>
      </w:r>
    </w:p>
    <w:p>
      <w:pPr>
        <w:spacing w:line="360" w:lineRule="auto"/>
        <w:ind w:firstLine="480" w:firstLineChars="200"/>
        <w:rPr>
          <w:rFonts w:ascii="Times New Roman" w:hAnsi="Times New Roman"/>
          <w:sz w:val="24"/>
          <w:szCs w:val="24"/>
        </w:rPr>
      </w:pPr>
      <w:r>
        <w:rPr>
          <w:rFonts w:ascii="Times New Roman" w:hAnsi="Times New Roman"/>
          <w:sz w:val="24"/>
          <w:szCs w:val="24"/>
        </w:rPr>
        <w:t>尾矿库终场后，由于在其运行期间已经要求对初期坝、蓄水坝、各级堆积子坝的坡面和滩面采取了一定的植被恢复措施和水土保持措施，期间水保措施逐渐在发挥生态效应。矿山全面闭矿后，还需要对尾矿库进行系统的植被恢复和绿化，需对库区进行全覆盖植被恢复，恢复面积应不小于</w:t>
      </w:r>
      <w:r>
        <w:rPr>
          <w:rFonts w:hint="eastAsia" w:ascii="Times New Roman" w:hAnsi="Times New Roman"/>
          <w:sz w:val="24"/>
          <w:szCs w:val="24"/>
        </w:rPr>
        <w:t>厂区</w:t>
      </w:r>
      <w:r>
        <w:rPr>
          <w:rFonts w:ascii="Times New Roman" w:hAnsi="Times New Roman"/>
          <w:sz w:val="24"/>
          <w:szCs w:val="24"/>
        </w:rPr>
        <w:t>占地面积</w:t>
      </w:r>
      <w:r>
        <w:rPr>
          <w:rFonts w:hint="eastAsia" w:ascii="Times New Roman" w:hAnsi="Times New Roman"/>
          <w:sz w:val="24"/>
          <w:szCs w:val="24"/>
        </w:rPr>
        <w:t>76000</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。终场前，各级堆积坝的滩面均为向内具有1％的坡度，可保证雨水汇集在滩面后部，有利于堆积坝的稳定。应首先在各级堆积坝滩面覆盖一层种植土，再进行植被恢复。</w:t>
      </w:r>
    </w:p>
    <w:p>
      <w:pPr>
        <w:spacing w:line="360" w:lineRule="auto"/>
        <w:ind w:firstLine="480" w:firstLineChars="200"/>
        <w:rPr>
          <w:rFonts w:ascii="Times New Roman" w:hAnsi="Times New Roman"/>
          <w:sz w:val="24"/>
          <w:szCs w:val="24"/>
        </w:rPr>
      </w:pPr>
      <w:r>
        <w:rPr>
          <w:rFonts w:ascii="Times New Roman" w:hAnsi="Times New Roman"/>
          <w:sz w:val="24"/>
          <w:szCs w:val="24"/>
        </w:rPr>
        <w:t>终场后首先应该检查闭矿前恢复的植被成活情况、植被覆盖率是否达到要求、还有哪些裸露的地方，应针对上述可能存在的问题采取补救措施，如在裸露的尾矿滩面上首先铺一层粘土覆盖层，然后上覆20～30cm的种植土，播撒草种，然后补植灌木和乔木。草种选择的原则，应以根系发达、抗寒、抗旱、抗冲刷、速生的当地品种为首选，以三叶草、冰草、大叶章、小叶章、羊胡子草、乌苏里苔草等为首选草种。草本植物作为先锋物种，可以起到固结土壤、丰富土壤有机质的作用，为其后的乔、灌木生长提供条件。</w:t>
      </w:r>
    </w:p>
    <w:p>
      <w:pPr>
        <w:spacing w:line="360" w:lineRule="auto"/>
        <w:ind w:firstLine="480" w:firstLineChars="200"/>
        <w:rPr>
          <w:rFonts w:ascii="Times New Roman" w:hAnsi="Times New Roman"/>
          <w:sz w:val="24"/>
          <w:szCs w:val="24"/>
        </w:rPr>
      </w:pPr>
      <w:r>
        <w:rPr>
          <w:rFonts w:ascii="Times New Roman" w:hAnsi="Times New Roman"/>
          <w:sz w:val="24"/>
          <w:szCs w:val="24"/>
        </w:rPr>
        <w:t>终场后在周围补建截洪沟，将库区周围雨水引至下游地表水体，避免地表径流水进入。按栽种苗木1棵/m</w:t>
      </w:r>
      <w:r>
        <w:rPr>
          <w:rFonts w:ascii="Times New Roman" w:hAnsi="Times New Roman"/>
          <w:sz w:val="24"/>
          <w:szCs w:val="24"/>
          <w:vertAlign w:val="superscript"/>
        </w:rPr>
        <w:t>2</w:t>
      </w:r>
      <w:r>
        <w:rPr>
          <w:rFonts w:ascii="Times New Roman" w:hAnsi="Times New Roman"/>
          <w:sz w:val="24"/>
          <w:szCs w:val="24"/>
        </w:rPr>
        <w:t>计，预计</w:t>
      </w:r>
      <w:r>
        <w:rPr>
          <w:rFonts w:hint="eastAsia" w:ascii="Times New Roman" w:hAnsi="Times New Roman"/>
          <w:sz w:val="24"/>
          <w:szCs w:val="24"/>
        </w:rPr>
        <w:t>厂</w:t>
      </w:r>
      <w:r>
        <w:rPr>
          <w:rFonts w:ascii="Times New Roman" w:hAnsi="Times New Roman"/>
          <w:sz w:val="24"/>
          <w:szCs w:val="24"/>
        </w:rPr>
        <w:t>区范围内需要栽种苗木</w:t>
      </w:r>
      <w:r>
        <w:rPr>
          <w:rFonts w:hint="eastAsia" w:ascii="Times New Roman" w:hAnsi="Times New Roman"/>
          <w:sz w:val="24"/>
          <w:szCs w:val="24"/>
        </w:rPr>
        <w:t>7.6</w:t>
      </w:r>
      <w:r>
        <w:rPr>
          <w:rFonts w:ascii="Times New Roman" w:hAnsi="Times New Roman"/>
          <w:sz w:val="24"/>
          <w:szCs w:val="24"/>
        </w:rPr>
        <w:t>万棵左右。栽种的树木应以当地树种为首选树种，如长白落叶松、日本落叶松等速生针叶树种，同时混交必要的红松、樟子松、云杉等常绿针叶树种；在植树时避免形成纯林，以减少森林虫害，更有效的发挥森林生态系统的综合功能，因此必须同时混交种植一些阔叶树种，如杨、槐、柳等速生种类以及榆、白桦、色木槭等慢生树种；同时辅以灌木，如栽种紫穗槐、胡枝子、绣线菊等。植被修复后的尾矿库库区应该形成乔、灌、草的立体绿化结构，无论是林地的功能，还是林地的景观都应与原来更加接近。</w:t>
      </w:r>
    </w:p>
    <w:p>
      <w:pPr>
        <w:spacing w:line="360" w:lineRule="auto"/>
        <w:ind w:firstLine="480" w:firstLineChars="200"/>
        <w:rPr>
          <w:rFonts w:ascii="Times New Roman" w:hAnsi="Times New Roman"/>
          <w:sz w:val="24"/>
          <w:szCs w:val="24"/>
        </w:rPr>
      </w:pPr>
      <w:r>
        <w:rPr>
          <w:rFonts w:ascii="Times New Roman" w:hAnsi="Times New Roman"/>
          <w:sz w:val="24"/>
          <w:szCs w:val="24"/>
        </w:rPr>
        <w:t>尾矿库终场并生态修复后，应对地下水是否还能造成污染进行一定时期的监测，主要是通过运行期设置的监测井和其下游民井进行地下水水质监测。如果发现地下水水质有明显恶化趋势，需要寻找原因（判断是否是残留污染物泄漏造成的），并立即采取有效措施予以解决（如封堵泄漏点）。终场生态修复后，需要对恢复的植被进行定期的管护，并保证植被的成活率不低于90％，才能起到水土保持的作用和发挥林木的生态功能。</w:t>
      </w:r>
    </w:p>
    <w:p>
      <w:pPr>
        <w:spacing w:line="360" w:lineRule="auto"/>
        <w:ind w:firstLine="480" w:firstLineChars="200"/>
        <w:rPr>
          <w:rFonts w:ascii="Times New Roman" w:hAnsi="Times New Roman"/>
          <w:sz w:val="24"/>
          <w:szCs w:val="24"/>
        </w:rPr>
      </w:pPr>
      <w:r>
        <w:rPr>
          <w:rFonts w:ascii="Times New Roman" w:hAnsi="Times New Roman"/>
          <w:sz w:val="24"/>
          <w:szCs w:val="24"/>
        </w:rPr>
        <w:t>由于尾矿库植被恢复面积较大，需要做好充分的准备：一是草种和树种的准备，二是资金的落实，三是落实植被恢复方案。建设单位每年都应该预留出一部份闭矿期的生态恢复专用资金，闭矿后统一使用。</w:t>
      </w:r>
    </w:p>
    <w:p>
      <w:pPr>
        <w:pStyle w:val="4"/>
        <w:spacing w:before="0" w:after="0"/>
        <w:rPr>
          <w:rFonts w:ascii="Times New Roman" w:hAnsi="Times New Roman"/>
        </w:rPr>
      </w:pPr>
      <w:bookmarkStart w:id="467" w:name="_Toc26281"/>
      <w:bookmarkStart w:id="468" w:name="_Toc5354"/>
      <w:bookmarkStart w:id="469" w:name="_Toc25514"/>
      <w:r>
        <w:rPr>
          <w:rFonts w:ascii="Times New Roman" w:hAnsi="Times New Roman"/>
        </w:rPr>
        <w:t>6.2水土流失分析</w:t>
      </w:r>
      <w:bookmarkEnd w:id="467"/>
      <w:bookmarkEnd w:id="468"/>
      <w:bookmarkEnd w:id="469"/>
    </w:p>
    <w:p>
      <w:pPr>
        <w:pStyle w:val="5"/>
        <w:rPr>
          <w:sz w:val="24"/>
          <w:szCs w:val="24"/>
        </w:rPr>
      </w:pPr>
      <w:bookmarkStart w:id="470" w:name="_Toc24492"/>
      <w:bookmarkStart w:id="471" w:name="_Toc14822"/>
      <w:bookmarkStart w:id="472" w:name="_Toc7624"/>
      <w:r>
        <w:rPr>
          <w:sz w:val="24"/>
          <w:szCs w:val="24"/>
        </w:rPr>
        <w:t>6.2.1预测单元</w:t>
      </w:r>
      <w:bookmarkEnd w:id="470"/>
      <w:bookmarkEnd w:id="471"/>
      <w:bookmarkEnd w:id="472"/>
    </w:p>
    <w:p>
      <w:pPr>
        <w:pStyle w:val="2"/>
        <w:spacing w:line="360" w:lineRule="auto"/>
        <w:ind w:firstLine="480" w:firstLineChars="200"/>
        <w:rPr>
          <w:color w:val="000000"/>
          <w:sz w:val="24"/>
          <w:szCs w:val="24"/>
        </w:rPr>
      </w:pPr>
      <w:r>
        <w:rPr>
          <w:rFonts w:hint="eastAsia"/>
          <w:color w:val="000000"/>
          <w:sz w:val="24"/>
          <w:szCs w:val="24"/>
        </w:rPr>
        <w:t>根据项目建设以及土地利用现状等基本情况，项目区可分为尾矿库及压滤间两部分，其中选矿厂建设有尾矿库、压滤间等。预测单元及时段详见下表。</w:t>
      </w:r>
    </w:p>
    <w:p>
      <w:pPr>
        <w:pStyle w:val="2"/>
        <w:spacing w:after="0"/>
        <w:jc w:val="center"/>
        <w:rPr>
          <w:b/>
          <w:bCs/>
          <w:color w:val="000000"/>
          <w:sz w:val="24"/>
          <w:szCs w:val="24"/>
        </w:rPr>
      </w:pPr>
      <w:r>
        <w:rPr>
          <w:rFonts w:hint="eastAsia"/>
          <w:b/>
          <w:bCs/>
          <w:color w:val="000000"/>
          <w:sz w:val="24"/>
          <w:szCs w:val="24"/>
        </w:rPr>
        <w:t>表</w:t>
      </w:r>
      <w:r>
        <w:rPr>
          <w:rFonts w:ascii="Times New Roman" w:hAnsi="Times New Roman"/>
          <w:b/>
          <w:bCs/>
          <w:color w:val="000000"/>
          <w:sz w:val="24"/>
          <w:szCs w:val="24"/>
        </w:rPr>
        <w:t xml:space="preserve">6-3 </w:t>
      </w:r>
      <w:r>
        <w:rPr>
          <w:rFonts w:hint="eastAsia"/>
          <w:b/>
          <w:bCs/>
          <w:color w:val="000000"/>
          <w:sz w:val="24"/>
          <w:szCs w:val="24"/>
        </w:rPr>
        <w:t>预测单元及预测时段划分表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00"/>
        <w:gridCol w:w="2460"/>
        <w:gridCol w:w="2097"/>
        <w:gridCol w:w="22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00" w:type="dxa"/>
            <w:vAlign w:val="center"/>
          </w:tcPr>
          <w:p>
            <w:pPr>
              <w:pStyle w:val="12"/>
              <w:jc w:val="center"/>
              <w:rPr>
                <w:rFonts w:ascii="Times New Roman" w:hAnsi="Times New Roman" w:cs="Times New Roman"/>
              </w:rPr>
            </w:pPr>
            <w:r>
              <w:rPr>
                <w:rFonts w:ascii="Times New Roman" w:hAnsi="Times New Roman" w:cs="Times New Roman"/>
              </w:rPr>
              <w:t>预测时期</w:t>
            </w:r>
          </w:p>
        </w:tc>
        <w:tc>
          <w:tcPr>
            <w:tcW w:w="2460" w:type="dxa"/>
            <w:vAlign w:val="center"/>
          </w:tcPr>
          <w:p>
            <w:pPr>
              <w:pStyle w:val="12"/>
              <w:jc w:val="center"/>
              <w:rPr>
                <w:rFonts w:ascii="Times New Roman" w:hAnsi="Times New Roman" w:cs="Times New Roman"/>
              </w:rPr>
            </w:pPr>
            <w:r>
              <w:rPr>
                <w:rFonts w:ascii="Times New Roman" w:hAnsi="Times New Roman" w:cs="Times New Roman"/>
              </w:rPr>
              <w:t>预测单元</w:t>
            </w:r>
          </w:p>
        </w:tc>
        <w:tc>
          <w:tcPr>
            <w:tcW w:w="2097" w:type="dxa"/>
            <w:vAlign w:val="center"/>
          </w:tcPr>
          <w:p>
            <w:pPr>
              <w:pStyle w:val="12"/>
              <w:jc w:val="center"/>
              <w:rPr>
                <w:rFonts w:ascii="Times New Roman" w:hAnsi="Times New Roman" w:cs="Times New Roman"/>
              </w:rPr>
            </w:pPr>
            <w:r>
              <w:rPr>
                <w:rFonts w:ascii="Times New Roman" w:hAnsi="Times New Roman" w:cs="Times New Roman"/>
              </w:rPr>
              <w:t>预测时段（a）</w:t>
            </w:r>
          </w:p>
        </w:tc>
        <w:tc>
          <w:tcPr>
            <w:tcW w:w="2263" w:type="dxa"/>
            <w:vAlign w:val="center"/>
          </w:tcPr>
          <w:p>
            <w:pPr>
              <w:pStyle w:val="12"/>
              <w:jc w:val="center"/>
              <w:rPr>
                <w:rFonts w:ascii="Times New Roman" w:hAnsi="Times New Roman" w:cs="Times New Roman"/>
              </w:rPr>
            </w:pPr>
            <w:r>
              <w:rPr>
                <w:rFonts w:ascii="Times New Roman" w:hAnsi="Times New Roman" w:cs="Times New Roman"/>
              </w:rPr>
              <w:t>预测面积（hm</w:t>
            </w:r>
            <w:r>
              <w:rPr>
                <w:rFonts w:ascii="Times New Roman" w:hAnsi="Times New Roman" w:cs="Times New Roman"/>
                <w:vertAlign w:val="superscript"/>
              </w:rPr>
              <w:t>2</w:t>
            </w:r>
            <w:r>
              <w:rPr>
                <w:rFonts w:ascii="Times New Roman" w:hAnsi="Times New Roman"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00" w:type="dxa"/>
            <w:vMerge w:val="restart"/>
            <w:vAlign w:val="center"/>
          </w:tcPr>
          <w:p>
            <w:pPr>
              <w:pStyle w:val="12"/>
              <w:jc w:val="center"/>
              <w:rPr>
                <w:rFonts w:ascii="Times New Roman" w:hAnsi="Times New Roman" w:cs="Times New Roman"/>
              </w:rPr>
            </w:pPr>
            <w:r>
              <w:rPr>
                <w:rFonts w:ascii="Times New Roman" w:hAnsi="Times New Roman" w:cs="Times New Roman"/>
              </w:rPr>
              <w:t>施工期</w:t>
            </w:r>
          </w:p>
          <w:p>
            <w:pPr>
              <w:pStyle w:val="12"/>
              <w:jc w:val="center"/>
              <w:rPr>
                <w:rFonts w:ascii="Times New Roman" w:hAnsi="Times New Roman" w:cs="Times New Roman"/>
              </w:rPr>
            </w:pPr>
            <w:r>
              <w:rPr>
                <w:rFonts w:ascii="Times New Roman" w:hAnsi="Times New Roman" w:cs="Times New Roman"/>
              </w:rPr>
              <w:t>（含准备期）</w:t>
            </w:r>
          </w:p>
        </w:tc>
        <w:tc>
          <w:tcPr>
            <w:tcW w:w="2460" w:type="dxa"/>
            <w:vAlign w:val="center"/>
          </w:tcPr>
          <w:p>
            <w:pPr>
              <w:widowControl/>
              <w:jc w:val="center"/>
              <w:rPr>
                <w:rFonts w:ascii="Times New Roman" w:hAnsi="Times New Roman"/>
                <w:kern w:val="0"/>
                <w:szCs w:val="21"/>
              </w:rPr>
            </w:pPr>
            <w:r>
              <w:rPr>
                <w:rFonts w:hint="eastAsia" w:ascii="Times New Roman" w:hAnsi="Times New Roman"/>
                <w:kern w:val="0"/>
                <w:szCs w:val="21"/>
              </w:rPr>
              <w:t>尾矿库</w:t>
            </w:r>
          </w:p>
        </w:tc>
        <w:tc>
          <w:tcPr>
            <w:tcW w:w="2097" w:type="dxa"/>
            <w:vAlign w:val="center"/>
          </w:tcPr>
          <w:p>
            <w:pPr>
              <w:pStyle w:val="12"/>
              <w:jc w:val="center"/>
              <w:rPr>
                <w:rFonts w:ascii="Times New Roman" w:hAnsi="Times New Roman" w:cs="Times New Roman"/>
              </w:rPr>
            </w:pPr>
            <w:r>
              <w:rPr>
                <w:rFonts w:hint="eastAsia" w:ascii="Times New Roman" w:hAnsi="Times New Roman" w:cs="Times New Roman"/>
              </w:rPr>
              <w:t>1</w:t>
            </w:r>
          </w:p>
        </w:tc>
        <w:tc>
          <w:tcPr>
            <w:tcW w:w="2263" w:type="dxa"/>
            <w:vAlign w:val="center"/>
          </w:tcPr>
          <w:p>
            <w:pPr>
              <w:widowControl/>
              <w:jc w:val="center"/>
              <w:rPr>
                <w:rFonts w:ascii="Times New Roman" w:hAnsi="Times New Roman"/>
                <w:kern w:val="0"/>
                <w:szCs w:val="21"/>
              </w:rPr>
            </w:pPr>
            <w:r>
              <w:rPr>
                <w:rFonts w:hint="eastAsia" w:ascii="Times New Roman" w:hAnsi="Times New Roman"/>
                <w:kern w:val="0"/>
                <w:szCs w:val="21"/>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00" w:type="dxa"/>
            <w:vMerge w:val="continue"/>
            <w:vAlign w:val="center"/>
          </w:tcPr>
          <w:p>
            <w:pPr>
              <w:pStyle w:val="12"/>
              <w:jc w:val="center"/>
              <w:rPr>
                <w:rFonts w:ascii="Times New Roman" w:hAnsi="Times New Roman" w:cs="Times New Roman"/>
              </w:rPr>
            </w:pPr>
          </w:p>
        </w:tc>
        <w:tc>
          <w:tcPr>
            <w:tcW w:w="2460" w:type="dxa"/>
            <w:vAlign w:val="center"/>
          </w:tcPr>
          <w:p>
            <w:pPr>
              <w:widowControl/>
              <w:jc w:val="center"/>
              <w:rPr>
                <w:rFonts w:ascii="Times New Roman" w:hAnsi="Times New Roman"/>
                <w:kern w:val="0"/>
                <w:szCs w:val="21"/>
              </w:rPr>
            </w:pPr>
            <w:r>
              <w:rPr>
                <w:rFonts w:hint="eastAsia" w:ascii="Times New Roman" w:hAnsi="Times New Roman"/>
                <w:kern w:val="0"/>
                <w:szCs w:val="21"/>
              </w:rPr>
              <w:t>压滤间</w:t>
            </w:r>
          </w:p>
        </w:tc>
        <w:tc>
          <w:tcPr>
            <w:tcW w:w="2097" w:type="dxa"/>
            <w:vAlign w:val="center"/>
          </w:tcPr>
          <w:p>
            <w:pPr>
              <w:pStyle w:val="12"/>
              <w:jc w:val="center"/>
              <w:rPr>
                <w:rFonts w:ascii="Times New Roman" w:hAnsi="Times New Roman" w:cs="Times New Roman"/>
              </w:rPr>
            </w:pPr>
            <w:r>
              <w:rPr>
                <w:rFonts w:hint="eastAsia" w:ascii="Times New Roman" w:hAnsi="Times New Roman" w:cs="Times New Roman"/>
              </w:rPr>
              <w:t>1</w:t>
            </w:r>
          </w:p>
        </w:tc>
        <w:tc>
          <w:tcPr>
            <w:tcW w:w="2263" w:type="dxa"/>
            <w:vAlign w:val="center"/>
          </w:tcPr>
          <w:p>
            <w:pPr>
              <w:widowControl/>
              <w:jc w:val="center"/>
              <w:rPr>
                <w:rFonts w:ascii="Times New Roman" w:hAnsi="Times New Roman"/>
                <w:kern w:val="0"/>
                <w:szCs w:val="21"/>
              </w:rPr>
            </w:pPr>
            <w:r>
              <w:rPr>
                <w:rFonts w:hint="eastAsia" w:ascii="Times New Roman" w:hAnsi="Times New Roman"/>
                <w:kern w:val="0"/>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00" w:type="dxa"/>
            <w:vMerge w:val="restart"/>
            <w:vAlign w:val="center"/>
          </w:tcPr>
          <w:p>
            <w:pPr>
              <w:pStyle w:val="12"/>
              <w:jc w:val="center"/>
              <w:rPr>
                <w:rFonts w:ascii="Times New Roman" w:hAnsi="Times New Roman" w:cs="Times New Roman"/>
              </w:rPr>
            </w:pPr>
            <w:r>
              <w:rPr>
                <w:rFonts w:ascii="Times New Roman" w:hAnsi="Times New Roman" w:cs="Times New Roman"/>
              </w:rPr>
              <w:t>自然恢复期</w:t>
            </w:r>
          </w:p>
        </w:tc>
        <w:tc>
          <w:tcPr>
            <w:tcW w:w="2460" w:type="dxa"/>
            <w:vAlign w:val="center"/>
          </w:tcPr>
          <w:p>
            <w:pPr>
              <w:widowControl/>
              <w:jc w:val="center"/>
              <w:rPr>
                <w:rFonts w:ascii="Times New Roman" w:hAnsi="Times New Roman"/>
                <w:kern w:val="0"/>
                <w:szCs w:val="21"/>
              </w:rPr>
            </w:pPr>
            <w:r>
              <w:rPr>
                <w:rFonts w:hint="eastAsia" w:ascii="Times New Roman" w:hAnsi="Times New Roman"/>
                <w:kern w:val="0"/>
                <w:szCs w:val="21"/>
              </w:rPr>
              <w:t>尾矿库</w:t>
            </w:r>
          </w:p>
        </w:tc>
        <w:tc>
          <w:tcPr>
            <w:tcW w:w="2097" w:type="dxa"/>
            <w:vAlign w:val="center"/>
          </w:tcPr>
          <w:p>
            <w:pPr>
              <w:pStyle w:val="12"/>
              <w:jc w:val="center"/>
              <w:rPr>
                <w:rFonts w:ascii="Times New Roman" w:hAnsi="Times New Roman" w:cs="Times New Roman"/>
              </w:rPr>
            </w:pPr>
            <w:r>
              <w:rPr>
                <w:rFonts w:hint="eastAsia" w:ascii="Times New Roman" w:hAnsi="Times New Roman" w:cs="Times New Roman"/>
              </w:rPr>
              <w:t>2</w:t>
            </w:r>
          </w:p>
        </w:tc>
        <w:tc>
          <w:tcPr>
            <w:tcW w:w="2263" w:type="dxa"/>
            <w:vAlign w:val="center"/>
          </w:tcPr>
          <w:p>
            <w:pPr>
              <w:widowControl/>
              <w:jc w:val="center"/>
              <w:rPr>
                <w:rFonts w:ascii="Times New Roman" w:hAnsi="Times New Roman"/>
                <w:szCs w:val="21"/>
              </w:rPr>
            </w:pPr>
            <w:r>
              <w:rPr>
                <w:rFonts w:hint="eastAsia" w:ascii="Times New Roman" w:hAnsi="Times New Roman"/>
                <w:kern w:val="0"/>
                <w:szCs w:val="21"/>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00" w:type="dxa"/>
            <w:vMerge w:val="continue"/>
            <w:vAlign w:val="center"/>
          </w:tcPr>
          <w:p>
            <w:pPr>
              <w:pStyle w:val="12"/>
              <w:jc w:val="center"/>
              <w:rPr>
                <w:rFonts w:ascii="Times New Roman" w:hAnsi="Times New Roman" w:cs="Times New Roman"/>
              </w:rPr>
            </w:pPr>
          </w:p>
        </w:tc>
        <w:tc>
          <w:tcPr>
            <w:tcW w:w="2460" w:type="dxa"/>
            <w:vAlign w:val="center"/>
          </w:tcPr>
          <w:p>
            <w:pPr>
              <w:widowControl/>
              <w:jc w:val="center"/>
              <w:rPr>
                <w:rFonts w:ascii="Times New Roman" w:hAnsi="Times New Roman"/>
                <w:kern w:val="0"/>
                <w:szCs w:val="21"/>
              </w:rPr>
            </w:pPr>
            <w:r>
              <w:rPr>
                <w:rFonts w:hint="eastAsia" w:ascii="Times New Roman" w:hAnsi="Times New Roman"/>
                <w:kern w:val="0"/>
                <w:szCs w:val="21"/>
              </w:rPr>
              <w:t>压滤间</w:t>
            </w:r>
          </w:p>
        </w:tc>
        <w:tc>
          <w:tcPr>
            <w:tcW w:w="2097" w:type="dxa"/>
            <w:vAlign w:val="center"/>
          </w:tcPr>
          <w:p>
            <w:pPr>
              <w:pStyle w:val="12"/>
              <w:jc w:val="center"/>
              <w:rPr>
                <w:rFonts w:ascii="Times New Roman" w:hAnsi="Times New Roman" w:cs="Times New Roman"/>
              </w:rPr>
            </w:pPr>
            <w:r>
              <w:rPr>
                <w:rFonts w:hint="eastAsia" w:ascii="Times New Roman" w:hAnsi="Times New Roman" w:cs="Times New Roman"/>
              </w:rPr>
              <w:t>2</w:t>
            </w:r>
          </w:p>
        </w:tc>
        <w:tc>
          <w:tcPr>
            <w:tcW w:w="2263" w:type="dxa"/>
            <w:vAlign w:val="center"/>
          </w:tcPr>
          <w:p>
            <w:pPr>
              <w:widowControl/>
              <w:jc w:val="center"/>
              <w:rPr>
                <w:rFonts w:ascii="Times New Roman" w:hAnsi="Times New Roman"/>
                <w:szCs w:val="21"/>
              </w:rPr>
            </w:pPr>
            <w:r>
              <w:rPr>
                <w:rFonts w:hint="eastAsia" w:ascii="Times New Roman" w:hAnsi="Times New Roman"/>
                <w:kern w:val="0"/>
                <w:szCs w:val="21"/>
              </w:rPr>
              <w:t>1.5</w:t>
            </w:r>
          </w:p>
        </w:tc>
      </w:tr>
    </w:tbl>
    <w:p>
      <w:pPr>
        <w:pStyle w:val="5"/>
        <w:rPr>
          <w:sz w:val="24"/>
          <w:szCs w:val="24"/>
        </w:rPr>
      </w:pPr>
      <w:bookmarkStart w:id="473" w:name="_Toc20664"/>
      <w:bookmarkStart w:id="474" w:name="_Toc11400"/>
      <w:bookmarkStart w:id="475" w:name="_Toc5017"/>
      <w:r>
        <w:rPr>
          <w:rFonts w:hint="eastAsia"/>
          <w:sz w:val="24"/>
          <w:szCs w:val="24"/>
        </w:rPr>
        <w:t>6.2.2扰动后土壤侵蚀模数</w:t>
      </w:r>
      <w:bookmarkEnd w:id="473"/>
      <w:bookmarkEnd w:id="474"/>
      <w:bookmarkEnd w:id="475"/>
    </w:p>
    <w:p>
      <w:pPr>
        <w:pStyle w:val="2"/>
        <w:spacing w:line="360" w:lineRule="auto"/>
        <w:ind w:firstLine="480" w:firstLineChars="200"/>
        <w:rPr>
          <w:color w:val="000000"/>
          <w:sz w:val="24"/>
          <w:szCs w:val="24"/>
        </w:rPr>
      </w:pPr>
      <w:r>
        <w:rPr>
          <w:color w:val="000000"/>
          <w:sz w:val="24"/>
          <w:szCs w:val="24"/>
        </w:rPr>
        <w:t>针对本工程建设的实际情况，后续施工期将根据项目区现场调查及后续施工特点、施工工艺情况，项目区施工准备期和施工期扰动后侵蚀模数，利用资料类比法的数据。</w:t>
      </w:r>
    </w:p>
    <w:p>
      <w:pPr>
        <w:widowControl/>
        <w:adjustRightInd w:val="0"/>
        <w:snapToGrid w:val="0"/>
        <w:jc w:val="center"/>
        <w:rPr>
          <w:rFonts w:ascii="Times New Roman" w:hAnsi="Times New Roman"/>
          <w:b/>
          <w:kern w:val="0"/>
          <w:sz w:val="24"/>
          <w:szCs w:val="28"/>
        </w:rPr>
      </w:pPr>
      <w:r>
        <w:rPr>
          <w:rFonts w:ascii="Times New Roman" w:hAnsi="Times New Roman"/>
          <w:b/>
          <w:kern w:val="0"/>
          <w:sz w:val="24"/>
          <w:szCs w:val="28"/>
        </w:rPr>
        <w:t>表6-4 各分区扰动地貌土壤侵蚀模数表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1443"/>
        <w:gridCol w:w="1721"/>
        <w:gridCol w:w="1998"/>
        <w:gridCol w:w="20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70" w:type="dxa"/>
            <w:tcMar>
              <w:left w:w="0" w:type="dxa"/>
              <w:right w:w="0" w:type="dxa"/>
            </w:tcMar>
            <w:vAlign w:val="center"/>
          </w:tcPr>
          <w:p>
            <w:pPr>
              <w:pStyle w:val="12"/>
              <w:jc w:val="center"/>
              <w:rPr>
                <w:rFonts w:ascii="Times New Roman" w:hAnsi="Times New Roman" w:cs="Times New Roman"/>
              </w:rPr>
            </w:pPr>
            <w:r>
              <w:rPr>
                <w:rFonts w:ascii="Times New Roman" w:hAnsi="Times New Roman" w:cs="Times New Roman"/>
              </w:rPr>
              <w:t>预测单元</w:t>
            </w:r>
          </w:p>
        </w:tc>
        <w:tc>
          <w:tcPr>
            <w:tcW w:w="1443" w:type="dxa"/>
            <w:tcMar>
              <w:left w:w="0" w:type="dxa"/>
              <w:right w:w="0" w:type="dxa"/>
            </w:tcMar>
            <w:vAlign w:val="center"/>
          </w:tcPr>
          <w:p>
            <w:pPr>
              <w:pStyle w:val="12"/>
              <w:jc w:val="center"/>
              <w:rPr>
                <w:rFonts w:ascii="Times New Roman" w:hAnsi="Times New Roman" w:cs="Times New Roman"/>
              </w:rPr>
            </w:pPr>
            <w:r>
              <w:rPr>
                <w:rFonts w:ascii="Times New Roman" w:hAnsi="Times New Roman" w:cs="Times New Roman"/>
              </w:rPr>
              <w:t>原生地貌侵蚀</w:t>
            </w:r>
          </w:p>
          <w:p>
            <w:pPr>
              <w:pStyle w:val="12"/>
              <w:jc w:val="center"/>
              <w:rPr>
                <w:rFonts w:ascii="Times New Roman" w:hAnsi="Times New Roman" w:cs="Times New Roman"/>
              </w:rPr>
            </w:pPr>
            <w:r>
              <w:rPr>
                <w:rFonts w:ascii="Times New Roman" w:hAnsi="Times New Roman" w:cs="Times New Roman"/>
              </w:rPr>
              <w:t>（t/km</w:t>
            </w:r>
            <w:r>
              <w:rPr>
                <w:rFonts w:ascii="Times New Roman" w:hAnsi="Times New Roman" w:cs="Times New Roman"/>
                <w:vertAlign w:val="superscript"/>
              </w:rPr>
              <w:t>2</w:t>
            </w:r>
            <w:r>
              <w:rPr>
                <w:rFonts w:ascii="Times New Roman" w:hAnsi="Times New Roman" w:cs="Times New Roman"/>
              </w:rPr>
              <w:t>．a）</w:t>
            </w:r>
          </w:p>
        </w:tc>
        <w:tc>
          <w:tcPr>
            <w:tcW w:w="1721" w:type="dxa"/>
            <w:tcMar>
              <w:left w:w="0" w:type="dxa"/>
              <w:right w:w="0" w:type="dxa"/>
            </w:tcMar>
            <w:vAlign w:val="center"/>
          </w:tcPr>
          <w:p>
            <w:pPr>
              <w:pStyle w:val="12"/>
              <w:jc w:val="center"/>
              <w:rPr>
                <w:rFonts w:ascii="Times New Roman" w:hAnsi="Times New Roman" w:cs="Times New Roman"/>
              </w:rPr>
            </w:pPr>
            <w:r>
              <w:rPr>
                <w:rFonts w:ascii="Times New Roman" w:hAnsi="Times New Roman" w:cs="Times New Roman"/>
              </w:rPr>
              <w:t>扰动后侵蚀模数</w:t>
            </w:r>
          </w:p>
          <w:p>
            <w:pPr>
              <w:pStyle w:val="12"/>
              <w:jc w:val="center"/>
              <w:rPr>
                <w:rFonts w:ascii="Times New Roman" w:hAnsi="Times New Roman" w:cs="Times New Roman"/>
              </w:rPr>
            </w:pPr>
            <w:r>
              <w:rPr>
                <w:rFonts w:ascii="Times New Roman" w:hAnsi="Times New Roman" w:cs="Times New Roman"/>
              </w:rPr>
              <w:t>（t/km</w:t>
            </w:r>
            <w:r>
              <w:rPr>
                <w:rFonts w:ascii="Times New Roman" w:hAnsi="Times New Roman" w:cs="Times New Roman"/>
                <w:vertAlign w:val="superscript"/>
              </w:rPr>
              <w:t>2</w:t>
            </w:r>
            <w:r>
              <w:rPr>
                <w:rFonts w:ascii="Times New Roman" w:hAnsi="Times New Roman" w:cs="Times New Roman"/>
              </w:rPr>
              <w:t>．a）</w:t>
            </w:r>
          </w:p>
        </w:tc>
        <w:tc>
          <w:tcPr>
            <w:tcW w:w="1998" w:type="dxa"/>
            <w:tcMar>
              <w:left w:w="0" w:type="dxa"/>
              <w:right w:w="0" w:type="dxa"/>
            </w:tcMar>
            <w:vAlign w:val="center"/>
          </w:tcPr>
          <w:p>
            <w:pPr>
              <w:pStyle w:val="12"/>
              <w:jc w:val="center"/>
              <w:rPr>
                <w:rFonts w:ascii="Times New Roman" w:hAnsi="Times New Roman" w:cs="Times New Roman"/>
              </w:rPr>
            </w:pPr>
            <w:r>
              <w:rPr>
                <w:rFonts w:ascii="Times New Roman" w:hAnsi="Times New Roman" w:cs="Times New Roman"/>
              </w:rPr>
              <w:t>自然恢复期（第1年）</w:t>
            </w:r>
          </w:p>
          <w:p>
            <w:pPr>
              <w:pStyle w:val="12"/>
              <w:jc w:val="center"/>
              <w:rPr>
                <w:rFonts w:ascii="Times New Roman" w:hAnsi="Times New Roman" w:cs="Times New Roman"/>
              </w:rPr>
            </w:pPr>
            <w:r>
              <w:rPr>
                <w:rFonts w:ascii="Times New Roman" w:hAnsi="Times New Roman" w:cs="Times New Roman"/>
              </w:rPr>
              <w:t>（t/km</w:t>
            </w:r>
            <w:r>
              <w:rPr>
                <w:rFonts w:ascii="Times New Roman" w:hAnsi="Times New Roman" w:cs="Times New Roman"/>
                <w:vertAlign w:val="superscript"/>
              </w:rPr>
              <w:t>2</w:t>
            </w:r>
            <w:r>
              <w:rPr>
                <w:rFonts w:ascii="Times New Roman" w:hAnsi="Times New Roman" w:cs="Times New Roman"/>
              </w:rPr>
              <w:t>．a）</w:t>
            </w:r>
          </w:p>
        </w:tc>
        <w:tc>
          <w:tcPr>
            <w:tcW w:w="2000" w:type="dxa"/>
            <w:vAlign w:val="center"/>
          </w:tcPr>
          <w:p>
            <w:pPr>
              <w:pStyle w:val="12"/>
              <w:jc w:val="center"/>
              <w:rPr>
                <w:rFonts w:ascii="Times New Roman" w:hAnsi="Times New Roman" w:cs="Times New Roman"/>
              </w:rPr>
            </w:pPr>
            <w:r>
              <w:rPr>
                <w:rFonts w:ascii="Times New Roman" w:hAnsi="Times New Roman" w:cs="Times New Roman"/>
              </w:rPr>
              <w:t>自然恢复期（第2年）（t/km</w:t>
            </w:r>
            <w:r>
              <w:rPr>
                <w:rFonts w:ascii="Times New Roman" w:hAnsi="Times New Roman" w:cs="Times New Roman"/>
                <w:vertAlign w:val="superscript"/>
              </w:rPr>
              <w:t>2</w:t>
            </w:r>
            <w:r>
              <w:rPr>
                <w:rFonts w:ascii="Times New Roman" w:hAnsi="Times New Roman" w:cs="Times New Roman"/>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70" w:type="dxa"/>
            <w:tcMar>
              <w:left w:w="0" w:type="dxa"/>
              <w:right w:w="0" w:type="dxa"/>
            </w:tcMar>
            <w:vAlign w:val="center"/>
          </w:tcPr>
          <w:p>
            <w:pPr>
              <w:widowControl/>
              <w:jc w:val="center"/>
              <w:rPr>
                <w:rFonts w:ascii="Times New Roman" w:hAnsi="Times New Roman"/>
                <w:kern w:val="0"/>
                <w:szCs w:val="21"/>
              </w:rPr>
            </w:pPr>
            <w:r>
              <w:rPr>
                <w:rFonts w:hint="eastAsia" w:ascii="Times New Roman" w:hAnsi="Times New Roman"/>
                <w:kern w:val="0"/>
                <w:szCs w:val="21"/>
              </w:rPr>
              <w:t>尾矿库</w:t>
            </w:r>
          </w:p>
        </w:tc>
        <w:tc>
          <w:tcPr>
            <w:tcW w:w="1443" w:type="dxa"/>
            <w:tcMar>
              <w:left w:w="0" w:type="dxa"/>
              <w:right w:w="0" w:type="dxa"/>
            </w:tcMar>
            <w:vAlign w:val="center"/>
          </w:tcPr>
          <w:p>
            <w:pPr>
              <w:pStyle w:val="12"/>
              <w:jc w:val="center"/>
              <w:rPr>
                <w:rFonts w:ascii="Times New Roman" w:hAnsi="Times New Roman" w:cs="Times New Roman"/>
              </w:rPr>
            </w:pPr>
            <w:r>
              <w:rPr>
                <w:rFonts w:ascii="Times New Roman" w:hAnsi="Times New Roman" w:cs="Times New Roman"/>
              </w:rPr>
              <w:t>500</w:t>
            </w:r>
          </w:p>
        </w:tc>
        <w:tc>
          <w:tcPr>
            <w:tcW w:w="1721" w:type="dxa"/>
            <w:tcMar>
              <w:left w:w="0" w:type="dxa"/>
              <w:right w:w="0" w:type="dxa"/>
            </w:tcMar>
            <w:vAlign w:val="center"/>
          </w:tcPr>
          <w:p>
            <w:pPr>
              <w:pStyle w:val="12"/>
              <w:jc w:val="center"/>
              <w:rPr>
                <w:rFonts w:ascii="Times New Roman" w:hAnsi="Times New Roman" w:cs="Times New Roman"/>
              </w:rPr>
            </w:pPr>
            <w:r>
              <w:rPr>
                <w:rFonts w:ascii="Times New Roman" w:hAnsi="Times New Roman" w:cs="Times New Roman"/>
              </w:rPr>
              <w:t>1000</w:t>
            </w:r>
          </w:p>
        </w:tc>
        <w:tc>
          <w:tcPr>
            <w:tcW w:w="1998" w:type="dxa"/>
            <w:tcMar>
              <w:left w:w="0" w:type="dxa"/>
              <w:right w:w="0" w:type="dxa"/>
            </w:tcMar>
            <w:vAlign w:val="center"/>
          </w:tcPr>
          <w:p>
            <w:pPr>
              <w:widowControl/>
              <w:jc w:val="center"/>
              <w:rPr>
                <w:rFonts w:ascii="Times New Roman" w:hAnsi="Times New Roman"/>
                <w:kern w:val="0"/>
                <w:szCs w:val="21"/>
              </w:rPr>
            </w:pPr>
            <w:r>
              <w:rPr>
                <w:rFonts w:ascii="Times New Roman" w:hAnsi="Times New Roman"/>
                <w:kern w:val="0"/>
                <w:szCs w:val="21"/>
              </w:rPr>
              <w:t>2950</w:t>
            </w:r>
          </w:p>
        </w:tc>
        <w:tc>
          <w:tcPr>
            <w:tcW w:w="2000" w:type="dxa"/>
            <w:vAlign w:val="center"/>
          </w:tcPr>
          <w:p>
            <w:pPr>
              <w:widowControl/>
              <w:jc w:val="center"/>
              <w:rPr>
                <w:rFonts w:ascii="Times New Roman" w:hAnsi="Times New Roman"/>
                <w:kern w:val="0"/>
                <w:szCs w:val="21"/>
              </w:rPr>
            </w:pPr>
            <w:r>
              <w:rPr>
                <w:rFonts w:ascii="Times New Roman" w:hAnsi="Times New Roman"/>
                <w:kern w:val="0"/>
                <w:szCs w:val="21"/>
              </w:rPr>
              <w:t>1180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70" w:type="dxa"/>
            <w:tcMar>
              <w:left w:w="0" w:type="dxa"/>
              <w:right w:w="0" w:type="dxa"/>
            </w:tcMar>
            <w:vAlign w:val="center"/>
          </w:tcPr>
          <w:p>
            <w:pPr>
              <w:widowControl/>
              <w:jc w:val="center"/>
              <w:rPr>
                <w:rFonts w:ascii="Times New Roman" w:hAnsi="Times New Roman"/>
                <w:kern w:val="0"/>
                <w:szCs w:val="21"/>
              </w:rPr>
            </w:pPr>
            <w:r>
              <w:rPr>
                <w:rFonts w:hint="eastAsia" w:ascii="Times New Roman" w:hAnsi="Times New Roman"/>
                <w:kern w:val="0"/>
                <w:szCs w:val="21"/>
              </w:rPr>
              <w:t>压滤间</w:t>
            </w:r>
          </w:p>
        </w:tc>
        <w:tc>
          <w:tcPr>
            <w:tcW w:w="1443" w:type="dxa"/>
            <w:tcMar>
              <w:left w:w="0" w:type="dxa"/>
              <w:right w:w="0" w:type="dxa"/>
            </w:tcMar>
            <w:vAlign w:val="center"/>
          </w:tcPr>
          <w:p>
            <w:pPr>
              <w:pStyle w:val="12"/>
              <w:jc w:val="center"/>
              <w:rPr>
                <w:rFonts w:ascii="Times New Roman" w:hAnsi="Times New Roman" w:cs="Times New Roman"/>
              </w:rPr>
            </w:pPr>
            <w:r>
              <w:rPr>
                <w:rFonts w:ascii="Times New Roman" w:hAnsi="Times New Roman" w:cs="Times New Roman"/>
              </w:rPr>
              <w:t>500</w:t>
            </w:r>
          </w:p>
        </w:tc>
        <w:tc>
          <w:tcPr>
            <w:tcW w:w="1721" w:type="dxa"/>
            <w:tcMar>
              <w:left w:w="0" w:type="dxa"/>
              <w:right w:w="0" w:type="dxa"/>
            </w:tcMar>
            <w:vAlign w:val="center"/>
          </w:tcPr>
          <w:p>
            <w:pPr>
              <w:pStyle w:val="12"/>
              <w:jc w:val="center"/>
              <w:rPr>
                <w:rFonts w:ascii="Times New Roman" w:hAnsi="Times New Roman" w:cs="Times New Roman"/>
              </w:rPr>
            </w:pPr>
            <w:r>
              <w:rPr>
                <w:rFonts w:ascii="Times New Roman" w:hAnsi="Times New Roman" w:cs="Times New Roman"/>
              </w:rPr>
              <w:t>1500</w:t>
            </w:r>
          </w:p>
        </w:tc>
        <w:tc>
          <w:tcPr>
            <w:tcW w:w="1998" w:type="dxa"/>
            <w:tcMar>
              <w:left w:w="0" w:type="dxa"/>
              <w:right w:w="0" w:type="dxa"/>
            </w:tcMar>
            <w:vAlign w:val="center"/>
          </w:tcPr>
          <w:p>
            <w:pPr>
              <w:widowControl/>
              <w:jc w:val="center"/>
              <w:rPr>
                <w:rFonts w:ascii="Times New Roman" w:hAnsi="Times New Roman"/>
                <w:szCs w:val="21"/>
              </w:rPr>
            </w:pPr>
            <w:r>
              <w:rPr>
                <w:rFonts w:ascii="Times New Roman" w:hAnsi="Times New Roman"/>
                <w:kern w:val="0"/>
                <w:szCs w:val="21"/>
              </w:rPr>
              <w:t>2950</w:t>
            </w:r>
          </w:p>
        </w:tc>
        <w:tc>
          <w:tcPr>
            <w:tcW w:w="2000" w:type="dxa"/>
            <w:vAlign w:val="center"/>
          </w:tcPr>
          <w:p>
            <w:pPr>
              <w:widowControl/>
              <w:jc w:val="center"/>
              <w:rPr>
                <w:rFonts w:ascii="Times New Roman" w:hAnsi="Times New Roman"/>
                <w:szCs w:val="21"/>
              </w:rPr>
            </w:pPr>
            <w:r>
              <w:rPr>
                <w:rFonts w:ascii="Times New Roman" w:hAnsi="Times New Roman"/>
                <w:kern w:val="0"/>
                <w:szCs w:val="21"/>
              </w:rPr>
              <w:t>1180</w:t>
            </w:r>
          </w:p>
        </w:tc>
      </w:tr>
    </w:tbl>
    <w:p>
      <w:pPr>
        <w:pStyle w:val="5"/>
        <w:rPr>
          <w:sz w:val="24"/>
          <w:szCs w:val="24"/>
        </w:rPr>
      </w:pPr>
      <w:bookmarkStart w:id="476" w:name="_Toc23835"/>
      <w:bookmarkStart w:id="477" w:name="_Toc13772"/>
      <w:bookmarkStart w:id="478" w:name="_Toc9862"/>
      <w:r>
        <w:rPr>
          <w:rFonts w:hint="eastAsia"/>
          <w:sz w:val="24"/>
          <w:szCs w:val="24"/>
        </w:rPr>
        <w:t>6.2.3预测水土流失总量和新增水土流失量</w:t>
      </w:r>
      <w:bookmarkEnd w:id="476"/>
      <w:bookmarkEnd w:id="477"/>
      <w:bookmarkEnd w:id="478"/>
    </w:p>
    <w:p>
      <w:pPr>
        <w:pStyle w:val="18"/>
        <w:adjustRightInd w:val="0"/>
        <w:snapToGrid w:val="0"/>
        <w:spacing w:line="360" w:lineRule="auto"/>
        <w:ind w:left="0" w:firstLine="480" w:firstLineChars="200"/>
        <w:rPr>
          <w:rFonts w:ascii="Times New Roman" w:hAnsi="Times New Roman"/>
          <w:sz w:val="24"/>
          <w:szCs w:val="24"/>
        </w:rPr>
      </w:pPr>
      <w:r>
        <w:rPr>
          <w:rFonts w:ascii="Times New Roman" w:hAnsi="Times New Roman"/>
          <w:sz w:val="24"/>
          <w:szCs w:val="24"/>
        </w:rPr>
        <w:t>（1）施工期水土流失量预测</w:t>
      </w:r>
    </w:p>
    <w:p>
      <w:pPr>
        <w:spacing w:line="360" w:lineRule="auto"/>
        <w:ind w:firstLine="480" w:firstLineChars="200"/>
      </w:pPr>
      <w:r>
        <w:rPr>
          <w:rFonts w:ascii="Times New Roman" w:hAnsi="Times New Roman"/>
          <w:sz w:val="24"/>
          <w:szCs w:val="24"/>
        </w:rPr>
        <w:t>施工期，各预测单元地表开挖与回填，其土壤松散系数不一，密实结构发生变化，土体的凝聚力、粘度、内摩擦角度等都会发生很大变化，抗蚀能力明显下降，侵蚀强度一般较原来增大较多，侵蚀模数也相应增大。施工期水土流失预测见</w:t>
      </w:r>
      <w:r>
        <w:rPr>
          <w:rFonts w:hint="eastAsia" w:ascii="Times New Roman" w:hAnsi="Times New Roman"/>
          <w:sz w:val="24"/>
          <w:szCs w:val="24"/>
        </w:rPr>
        <w:t>下表</w:t>
      </w:r>
      <w:r>
        <w:rPr>
          <w:rFonts w:ascii="Times New Roman" w:hAnsi="Times New Roman"/>
          <w:sz w:val="24"/>
          <w:szCs w:val="24"/>
        </w:rPr>
        <w:t>。</w:t>
      </w:r>
    </w:p>
    <w:p>
      <w:pPr>
        <w:snapToGrid w:val="0"/>
        <w:spacing w:beforeLines="50"/>
        <w:jc w:val="center"/>
        <w:rPr>
          <w:rFonts w:ascii="Times New Roman" w:hAnsi="Times New Roman"/>
          <w:sz w:val="24"/>
        </w:rPr>
      </w:pPr>
      <w:r>
        <w:rPr>
          <w:rFonts w:ascii="Times New Roman" w:hAnsi="Times New Roman"/>
          <w:b/>
          <w:kern w:val="0"/>
          <w:sz w:val="24"/>
          <w:szCs w:val="28"/>
        </w:rPr>
        <w:t>表6-5 施工期水土流失量预测表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06"/>
        <w:gridCol w:w="1002"/>
        <w:gridCol w:w="1002"/>
        <w:gridCol w:w="1002"/>
        <w:gridCol w:w="1002"/>
        <w:gridCol w:w="1002"/>
        <w:gridCol w:w="1002"/>
        <w:gridCol w:w="11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706" w:type="dxa"/>
            <w:vAlign w:val="center"/>
          </w:tcPr>
          <w:p>
            <w:pPr>
              <w:widowControl/>
              <w:jc w:val="center"/>
              <w:rPr>
                <w:rFonts w:ascii="Times New Roman" w:hAnsi="Times New Roman"/>
                <w:bCs/>
                <w:kern w:val="0"/>
                <w:szCs w:val="21"/>
              </w:rPr>
            </w:pPr>
            <w:r>
              <w:rPr>
                <w:rFonts w:ascii="Times New Roman" w:hAnsi="Times New Roman"/>
                <w:bCs/>
                <w:kern w:val="0"/>
                <w:szCs w:val="21"/>
              </w:rPr>
              <w:t>预测单元</w:t>
            </w:r>
          </w:p>
        </w:tc>
        <w:tc>
          <w:tcPr>
            <w:tcW w:w="1002" w:type="dxa"/>
            <w:vAlign w:val="center"/>
          </w:tcPr>
          <w:p>
            <w:pPr>
              <w:widowControl/>
              <w:jc w:val="center"/>
              <w:rPr>
                <w:rFonts w:ascii="Times New Roman" w:hAnsi="Times New Roman"/>
                <w:bCs/>
                <w:kern w:val="0"/>
                <w:szCs w:val="21"/>
              </w:rPr>
            </w:pPr>
            <w:r>
              <w:rPr>
                <w:rFonts w:ascii="Times New Roman" w:hAnsi="Times New Roman"/>
                <w:bCs/>
                <w:kern w:val="0"/>
                <w:szCs w:val="21"/>
              </w:rPr>
              <w:t>预测</w:t>
            </w:r>
          </w:p>
          <w:p>
            <w:pPr>
              <w:widowControl/>
              <w:jc w:val="center"/>
              <w:rPr>
                <w:rFonts w:ascii="Times New Roman" w:hAnsi="Times New Roman"/>
                <w:bCs/>
                <w:kern w:val="0"/>
                <w:szCs w:val="21"/>
              </w:rPr>
            </w:pPr>
            <w:r>
              <w:rPr>
                <w:rFonts w:ascii="Times New Roman" w:hAnsi="Times New Roman"/>
                <w:bCs/>
                <w:kern w:val="0"/>
                <w:szCs w:val="21"/>
              </w:rPr>
              <w:t>面积</w:t>
            </w:r>
          </w:p>
          <w:p>
            <w:pPr>
              <w:jc w:val="center"/>
              <w:rPr>
                <w:rFonts w:ascii="Times New Roman" w:hAnsi="Times New Roman"/>
                <w:bCs/>
                <w:kern w:val="0"/>
                <w:szCs w:val="21"/>
              </w:rPr>
            </w:pPr>
            <w:r>
              <w:rPr>
                <w:rFonts w:ascii="Times New Roman" w:hAnsi="Times New Roman"/>
                <w:bCs/>
                <w:kern w:val="0"/>
                <w:szCs w:val="21"/>
              </w:rPr>
              <w:t>（hm</w:t>
            </w:r>
            <w:r>
              <w:rPr>
                <w:rFonts w:ascii="Times New Roman" w:hAnsi="Times New Roman"/>
                <w:bCs/>
                <w:kern w:val="0"/>
                <w:szCs w:val="21"/>
                <w:vertAlign w:val="superscript"/>
              </w:rPr>
              <w:t>2</w:t>
            </w:r>
            <w:r>
              <w:rPr>
                <w:rFonts w:ascii="Times New Roman" w:hAnsi="Times New Roman"/>
                <w:bCs/>
                <w:kern w:val="0"/>
                <w:szCs w:val="21"/>
              </w:rPr>
              <w:t>）</w:t>
            </w:r>
          </w:p>
        </w:tc>
        <w:tc>
          <w:tcPr>
            <w:tcW w:w="1002" w:type="dxa"/>
            <w:vAlign w:val="center"/>
          </w:tcPr>
          <w:p>
            <w:pPr>
              <w:widowControl/>
              <w:jc w:val="center"/>
              <w:rPr>
                <w:rFonts w:ascii="Times New Roman" w:hAnsi="Times New Roman"/>
                <w:bCs/>
                <w:kern w:val="0"/>
                <w:szCs w:val="21"/>
              </w:rPr>
            </w:pPr>
            <w:r>
              <w:rPr>
                <w:rFonts w:ascii="Times New Roman" w:hAnsi="Times New Roman"/>
                <w:bCs/>
                <w:kern w:val="0"/>
                <w:szCs w:val="21"/>
              </w:rPr>
              <w:t>原生地貌侵蚀模数</w:t>
            </w:r>
          </w:p>
          <w:p>
            <w:pPr>
              <w:widowControl/>
              <w:jc w:val="center"/>
              <w:rPr>
                <w:rFonts w:ascii="Times New Roman" w:hAnsi="Times New Roman"/>
                <w:bCs/>
                <w:kern w:val="0"/>
                <w:szCs w:val="21"/>
              </w:rPr>
            </w:pPr>
            <w:r>
              <w:rPr>
                <w:rFonts w:ascii="Times New Roman" w:hAnsi="Times New Roman"/>
                <w:bCs/>
                <w:kern w:val="0"/>
                <w:szCs w:val="21"/>
              </w:rPr>
              <w:t>（t/km</w:t>
            </w:r>
            <w:r>
              <w:rPr>
                <w:rFonts w:ascii="Times New Roman" w:hAnsi="Times New Roman"/>
                <w:bCs/>
                <w:kern w:val="0"/>
                <w:szCs w:val="21"/>
                <w:vertAlign w:val="superscript"/>
              </w:rPr>
              <w:t>2</w:t>
            </w:r>
            <w:r>
              <w:rPr>
                <w:rFonts w:ascii="Times New Roman" w:hAnsi="Times New Roman"/>
                <w:bCs/>
                <w:kern w:val="0"/>
                <w:szCs w:val="21"/>
              </w:rPr>
              <w:t>·a）</w:t>
            </w:r>
          </w:p>
        </w:tc>
        <w:tc>
          <w:tcPr>
            <w:tcW w:w="1002" w:type="dxa"/>
            <w:vAlign w:val="center"/>
          </w:tcPr>
          <w:p>
            <w:pPr>
              <w:widowControl/>
              <w:jc w:val="center"/>
              <w:rPr>
                <w:rFonts w:ascii="Times New Roman" w:hAnsi="Times New Roman"/>
                <w:bCs/>
                <w:kern w:val="0"/>
                <w:szCs w:val="21"/>
              </w:rPr>
            </w:pPr>
            <w:r>
              <w:rPr>
                <w:rFonts w:ascii="Times New Roman" w:hAnsi="Times New Roman"/>
                <w:bCs/>
                <w:kern w:val="0"/>
                <w:szCs w:val="21"/>
              </w:rPr>
              <w:t>预测侵</w:t>
            </w:r>
          </w:p>
          <w:p>
            <w:pPr>
              <w:widowControl/>
              <w:jc w:val="center"/>
              <w:rPr>
                <w:rFonts w:ascii="Times New Roman" w:hAnsi="Times New Roman"/>
                <w:bCs/>
                <w:kern w:val="0"/>
                <w:szCs w:val="21"/>
              </w:rPr>
            </w:pPr>
            <w:r>
              <w:rPr>
                <w:rFonts w:ascii="Times New Roman" w:hAnsi="Times New Roman"/>
                <w:bCs/>
                <w:kern w:val="0"/>
                <w:szCs w:val="21"/>
              </w:rPr>
              <w:t>蚀模数</w:t>
            </w:r>
          </w:p>
          <w:p>
            <w:pPr>
              <w:jc w:val="center"/>
              <w:rPr>
                <w:rFonts w:ascii="Times New Roman" w:hAnsi="Times New Roman"/>
                <w:bCs/>
                <w:kern w:val="0"/>
                <w:szCs w:val="21"/>
              </w:rPr>
            </w:pPr>
            <w:r>
              <w:rPr>
                <w:rFonts w:ascii="Times New Roman" w:hAnsi="Times New Roman"/>
                <w:bCs/>
                <w:kern w:val="0"/>
                <w:szCs w:val="21"/>
              </w:rPr>
              <w:t>（t/km</w:t>
            </w:r>
            <w:r>
              <w:rPr>
                <w:rFonts w:ascii="Times New Roman" w:hAnsi="Times New Roman"/>
                <w:bCs/>
                <w:kern w:val="0"/>
                <w:szCs w:val="21"/>
                <w:vertAlign w:val="superscript"/>
              </w:rPr>
              <w:t>2</w:t>
            </w:r>
            <w:r>
              <w:rPr>
                <w:rFonts w:ascii="Times New Roman" w:hAnsi="Times New Roman"/>
                <w:bCs/>
                <w:kern w:val="0"/>
                <w:szCs w:val="21"/>
              </w:rPr>
              <w:t>·a）</w:t>
            </w:r>
          </w:p>
        </w:tc>
        <w:tc>
          <w:tcPr>
            <w:tcW w:w="1002" w:type="dxa"/>
            <w:vAlign w:val="center"/>
          </w:tcPr>
          <w:p>
            <w:pPr>
              <w:widowControl/>
              <w:jc w:val="center"/>
              <w:rPr>
                <w:rFonts w:ascii="Times New Roman" w:hAnsi="Times New Roman"/>
                <w:bCs/>
                <w:kern w:val="0"/>
                <w:szCs w:val="21"/>
              </w:rPr>
            </w:pPr>
            <w:r>
              <w:rPr>
                <w:rFonts w:ascii="Times New Roman" w:hAnsi="Times New Roman"/>
                <w:bCs/>
                <w:kern w:val="0"/>
                <w:szCs w:val="21"/>
              </w:rPr>
              <w:t>流失</w:t>
            </w:r>
          </w:p>
          <w:p>
            <w:pPr>
              <w:widowControl/>
              <w:jc w:val="center"/>
              <w:rPr>
                <w:rFonts w:ascii="Times New Roman" w:hAnsi="Times New Roman"/>
                <w:bCs/>
                <w:kern w:val="0"/>
                <w:szCs w:val="21"/>
              </w:rPr>
            </w:pPr>
            <w:r>
              <w:rPr>
                <w:rFonts w:ascii="Times New Roman" w:hAnsi="Times New Roman"/>
                <w:bCs/>
                <w:kern w:val="0"/>
                <w:szCs w:val="21"/>
              </w:rPr>
              <w:t>时间</w:t>
            </w:r>
          </w:p>
          <w:p>
            <w:pPr>
              <w:jc w:val="center"/>
              <w:rPr>
                <w:rFonts w:ascii="Times New Roman" w:hAnsi="Times New Roman"/>
                <w:bCs/>
                <w:kern w:val="0"/>
                <w:szCs w:val="21"/>
              </w:rPr>
            </w:pPr>
            <w:r>
              <w:rPr>
                <w:rFonts w:ascii="Times New Roman" w:hAnsi="Times New Roman"/>
                <w:bCs/>
                <w:kern w:val="0"/>
                <w:szCs w:val="21"/>
              </w:rPr>
              <w:t>（a）</w:t>
            </w:r>
          </w:p>
        </w:tc>
        <w:tc>
          <w:tcPr>
            <w:tcW w:w="1002" w:type="dxa"/>
            <w:vAlign w:val="center"/>
          </w:tcPr>
          <w:p>
            <w:pPr>
              <w:widowControl/>
              <w:jc w:val="center"/>
              <w:rPr>
                <w:rFonts w:ascii="Times New Roman" w:hAnsi="Times New Roman"/>
                <w:bCs/>
                <w:kern w:val="0"/>
                <w:szCs w:val="21"/>
              </w:rPr>
            </w:pPr>
            <w:r>
              <w:rPr>
                <w:rFonts w:ascii="Times New Roman" w:hAnsi="Times New Roman"/>
                <w:bCs/>
                <w:kern w:val="0"/>
                <w:szCs w:val="21"/>
              </w:rPr>
              <w:t>原生水土</w:t>
            </w:r>
          </w:p>
          <w:p>
            <w:pPr>
              <w:widowControl/>
              <w:jc w:val="center"/>
              <w:rPr>
                <w:rFonts w:ascii="Times New Roman" w:hAnsi="Times New Roman"/>
                <w:bCs/>
                <w:kern w:val="0"/>
                <w:szCs w:val="21"/>
              </w:rPr>
            </w:pPr>
            <w:r>
              <w:rPr>
                <w:rFonts w:ascii="Times New Roman" w:hAnsi="Times New Roman"/>
                <w:bCs/>
                <w:kern w:val="0"/>
                <w:szCs w:val="21"/>
              </w:rPr>
              <w:t>流失量</w:t>
            </w:r>
          </w:p>
          <w:p>
            <w:pPr>
              <w:jc w:val="center"/>
              <w:rPr>
                <w:rFonts w:ascii="Times New Roman" w:hAnsi="Times New Roman"/>
                <w:bCs/>
                <w:kern w:val="0"/>
                <w:szCs w:val="21"/>
              </w:rPr>
            </w:pPr>
            <w:r>
              <w:rPr>
                <w:rFonts w:ascii="Times New Roman" w:hAnsi="Times New Roman"/>
                <w:bCs/>
                <w:kern w:val="0"/>
                <w:szCs w:val="21"/>
              </w:rPr>
              <w:t>（t）</w:t>
            </w:r>
          </w:p>
        </w:tc>
        <w:tc>
          <w:tcPr>
            <w:tcW w:w="1002" w:type="dxa"/>
            <w:vAlign w:val="center"/>
          </w:tcPr>
          <w:p>
            <w:pPr>
              <w:widowControl/>
              <w:jc w:val="center"/>
              <w:rPr>
                <w:rFonts w:ascii="Times New Roman" w:hAnsi="Times New Roman"/>
                <w:bCs/>
                <w:kern w:val="0"/>
                <w:szCs w:val="21"/>
              </w:rPr>
            </w:pPr>
            <w:r>
              <w:rPr>
                <w:rFonts w:ascii="Times New Roman" w:hAnsi="Times New Roman"/>
                <w:bCs/>
                <w:kern w:val="0"/>
                <w:szCs w:val="21"/>
              </w:rPr>
              <w:t>预测水土</w:t>
            </w:r>
          </w:p>
          <w:p>
            <w:pPr>
              <w:widowControl/>
              <w:jc w:val="center"/>
              <w:rPr>
                <w:rFonts w:ascii="Times New Roman" w:hAnsi="Times New Roman"/>
                <w:bCs/>
                <w:kern w:val="0"/>
                <w:szCs w:val="21"/>
              </w:rPr>
            </w:pPr>
            <w:r>
              <w:rPr>
                <w:rFonts w:ascii="Times New Roman" w:hAnsi="Times New Roman"/>
                <w:bCs/>
                <w:kern w:val="0"/>
                <w:szCs w:val="21"/>
              </w:rPr>
              <w:t>流失量</w:t>
            </w:r>
          </w:p>
          <w:p>
            <w:pPr>
              <w:jc w:val="center"/>
              <w:rPr>
                <w:rFonts w:ascii="Times New Roman" w:hAnsi="Times New Roman"/>
                <w:bCs/>
                <w:kern w:val="0"/>
                <w:szCs w:val="21"/>
              </w:rPr>
            </w:pPr>
            <w:r>
              <w:rPr>
                <w:rFonts w:ascii="Times New Roman" w:hAnsi="Times New Roman"/>
                <w:bCs/>
                <w:kern w:val="0"/>
                <w:szCs w:val="21"/>
              </w:rPr>
              <w:t>（t）</w:t>
            </w:r>
          </w:p>
        </w:tc>
        <w:tc>
          <w:tcPr>
            <w:tcW w:w="1101" w:type="dxa"/>
            <w:vAlign w:val="center"/>
          </w:tcPr>
          <w:p>
            <w:pPr>
              <w:widowControl/>
              <w:jc w:val="center"/>
              <w:rPr>
                <w:rFonts w:ascii="Times New Roman" w:hAnsi="Times New Roman"/>
                <w:bCs/>
                <w:kern w:val="0"/>
                <w:szCs w:val="21"/>
              </w:rPr>
            </w:pPr>
            <w:r>
              <w:rPr>
                <w:rFonts w:ascii="Times New Roman" w:hAnsi="Times New Roman"/>
                <w:bCs/>
                <w:kern w:val="0"/>
                <w:szCs w:val="21"/>
              </w:rPr>
              <w:t>新增水土</w:t>
            </w:r>
          </w:p>
          <w:p>
            <w:pPr>
              <w:widowControl/>
              <w:jc w:val="center"/>
              <w:rPr>
                <w:rFonts w:ascii="Times New Roman" w:hAnsi="Times New Roman"/>
                <w:bCs/>
                <w:kern w:val="0"/>
                <w:szCs w:val="21"/>
              </w:rPr>
            </w:pPr>
            <w:r>
              <w:rPr>
                <w:rFonts w:ascii="Times New Roman" w:hAnsi="Times New Roman"/>
                <w:bCs/>
                <w:kern w:val="0"/>
                <w:szCs w:val="21"/>
              </w:rPr>
              <w:t>流失量</w:t>
            </w:r>
          </w:p>
          <w:p>
            <w:pPr>
              <w:jc w:val="center"/>
              <w:rPr>
                <w:rFonts w:ascii="Times New Roman" w:hAnsi="Times New Roman"/>
                <w:bCs/>
                <w:kern w:val="0"/>
                <w:szCs w:val="21"/>
              </w:rPr>
            </w:pPr>
            <w:r>
              <w:rPr>
                <w:rFonts w:ascii="Times New Roman" w:hAnsi="Times New Roman"/>
                <w:bCs/>
                <w:kern w:val="0"/>
                <w:szCs w:val="21"/>
              </w:rPr>
              <w:t>（t）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706" w:type="dxa"/>
            <w:vAlign w:val="center"/>
          </w:tcPr>
          <w:p>
            <w:pPr>
              <w:widowControl/>
              <w:jc w:val="center"/>
              <w:rPr>
                <w:rFonts w:ascii="Times New Roman" w:hAnsi="Times New Roman"/>
                <w:kern w:val="0"/>
                <w:szCs w:val="21"/>
              </w:rPr>
            </w:pPr>
            <w:r>
              <w:rPr>
                <w:rFonts w:hint="eastAsia" w:ascii="Times New Roman" w:hAnsi="Times New Roman"/>
                <w:kern w:val="0"/>
                <w:szCs w:val="21"/>
              </w:rPr>
              <w:t>尾矿库</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0.4</w:t>
            </w:r>
          </w:p>
        </w:tc>
        <w:tc>
          <w:tcPr>
            <w:tcW w:w="1002" w:type="dxa"/>
            <w:vAlign w:val="center"/>
          </w:tcPr>
          <w:p>
            <w:pPr>
              <w:widowControl/>
              <w:jc w:val="center"/>
              <w:rPr>
                <w:rFonts w:ascii="Times New Roman" w:hAnsi="Times New Roman"/>
                <w:kern w:val="0"/>
                <w:szCs w:val="21"/>
              </w:rPr>
            </w:pPr>
            <w:r>
              <w:rPr>
                <w:rFonts w:ascii="Times New Roman" w:hAnsi="Times New Roman"/>
                <w:kern w:val="0"/>
                <w:szCs w:val="21"/>
              </w:rPr>
              <w:t>500</w:t>
            </w:r>
          </w:p>
        </w:tc>
        <w:tc>
          <w:tcPr>
            <w:tcW w:w="1002" w:type="dxa"/>
            <w:vAlign w:val="center"/>
          </w:tcPr>
          <w:p>
            <w:pPr>
              <w:widowControl/>
              <w:jc w:val="center"/>
              <w:rPr>
                <w:rFonts w:ascii="Times New Roman" w:hAnsi="Times New Roman"/>
                <w:kern w:val="0"/>
                <w:szCs w:val="21"/>
              </w:rPr>
            </w:pPr>
            <w:r>
              <w:rPr>
                <w:rFonts w:ascii="Times New Roman" w:hAnsi="Times New Roman"/>
                <w:kern w:val="0"/>
                <w:szCs w:val="21"/>
              </w:rPr>
              <w:t>1000</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1</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2</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4</w:t>
            </w:r>
          </w:p>
        </w:tc>
        <w:tc>
          <w:tcPr>
            <w:tcW w:w="1101" w:type="dxa"/>
            <w:vAlign w:val="center"/>
          </w:tcPr>
          <w:p>
            <w:pPr>
              <w:widowControl/>
              <w:jc w:val="center"/>
              <w:rPr>
                <w:rFonts w:ascii="Times New Roman" w:hAnsi="Times New Roman"/>
                <w:kern w:val="0"/>
                <w:szCs w:val="21"/>
              </w:rPr>
            </w:pPr>
            <w:r>
              <w:rPr>
                <w:rFonts w:hint="eastAsia" w:ascii="Times New Roman" w:hAnsi="Times New Roman"/>
                <w:kern w:val="0"/>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706" w:type="dxa"/>
            <w:vAlign w:val="center"/>
          </w:tcPr>
          <w:p>
            <w:pPr>
              <w:widowControl/>
              <w:jc w:val="center"/>
              <w:rPr>
                <w:rFonts w:ascii="Times New Roman" w:hAnsi="Times New Roman"/>
                <w:kern w:val="0"/>
                <w:szCs w:val="21"/>
              </w:rPr>
            </w:pPr>
            <w:r>
              <w:rPr>
                <w:rFonts w:hint="eastAsia" w:ascii="Times New Roman" w:hAnsi="Times New Roman"/>
                <w:kern w:val="0"/>
                <w:szCs w:val="21"/>
              </w:rPr>
              <w:t>压滤间</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0.015</w:t>
            </w:r>
          </w:p>
        </w:tc>
        <w:tc>
          <w:tcPr>
            <w:tcW w:w="1002" w:type="dxa"/>
            <w:vAlign w:val="center"/>
          </w:tcPr>
          <w:p>
            <w:pPr>
              <w:widowControl/>
              <w:jc w:val="center"/>
              <w:rPr>
                <w:rFonts w:ascii="Times New Roman" w:hAnsi="Times New Roman"/>
                <w:kern w:val="0"/>
                <w:szCs w:val="21"/>
              </w:rPr>
            </w:pPr>
            <w:r>
              <w:rPr>
                <w:rFonts w:ascii="Times New Roman" w:hAnsi="Times New Roman"/>
                <w:kern w:val="0"/>
                <w:szCs w:val="21"/>
              </w:rPr>
              <w:t>500</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1000</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1</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0.075</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0.15</w:t>
            </w:r>
          </w:p>
        </w:tc>
        <w:tc>
          <w:tcPr>
            <w:tcW w:w="1101" w:type="dxa"/>
            <w:vAlign w:val="center"/>
          </w:tcPr>
          <w:p>
            <w:pPr>
              <w:widowControl/>
              <w:jc w:val="center"/>
              <w:rPr>
                <w:rFonts w:ascii="Times New Roman" w:hAnsi="Times New Roman"/>
                <w:kern w:val="0"/>
                <w:szCs w:val="21"/>
              </w:rPr>
            </w:pPr>
            <w:r>
              <w:rPr>
                <w:rFonts w:hint="eastAsia" w:ascii="Times New Roman" w:hAnsi="Times New Roman"/>
                <w:kern w:val="0"/>
                <w:szCs w:val="21"/>
              </w:rPr>
              <w:t>0.075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706" w:type="dxa"/>
            <w:vAlign w:val="center"/>
          </w:tcPr>
          <w:p>
            <w:pPr>
              <w:widowControl/>
              <w:jc w:val="center"/>
              <w:rPr>
                <w:rFonts w:ascii="Times New Roman" w:hAnsi="Times New Roman"/>
                <w:kern w:val="0"/>
                <w:szCs w:val="21"/>
              </w:rPr>
            </w:pPr>
            <w:r>
              <w:rPr>
                <w:rFonts w:ascii="Times New Roman" w:hAnsi="Times New Roman"/>
                <w:kern w:val="0"/>
                <w:szCs w:val="21"/>
              </w:rPr>
              <w:t>合计</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0.415</w:t>
            </w:r>
          </w:p>
        </w:tc>
        <w:tc>
          <w:tcPr>
            <w:tcW w:w="1002" w:type="dxa"/>
            <w:vAlign w:val="center"/>
          </w:tcPr>
          <w:p>
            <w:pPr>
              <w:widowControl/>
              <w:jc w:val="center"/>
              <w:rPr>
                <w:rFonts w:ascii="Times New Roman" w:hAnsi="Times New Roman"/>
                <w:kern w:val="0"/>
                <w:szCs w:val="21"/>
              </w:rPr>
            </w:pPr>
          </w:p>
        </w:tc>
        <w:tc>
          <w:tcPr>
            <w:tcW w:w="1002" w:type="dxa"/>
            <w:vAlign w:val="center"/>
          </w:tcPr>
          <w:p>
            <w:pPr>
              <w:widowControl/>
              <w:jc w:val="center"/>
              <w:rPr>
                <w:rFonts w:ascii="Times New Roman" w:hAnsi="Times New Roman"/>
                <w:kern w:val="0"/>
                <w:szCs w:val="21"/>
              </w:rPr>
            </w:pPr>
          </w:p>
        </w:tc>
        <w:tc>
          <w:tcPr>
            <w:tcW w:w="1002" w:type="dxa"/>
            <w:vAlign w:val="center"/>
          </w:tcPr>
          <w:p>
            <w:pPr>
              <w:widowControl/>
              <w:jc w:val="center"/>
              <w:rPr>
                <w:rFonts w:ascii="Times New Roman" w:hAnsi="Times New Roman"/>
                <w:kern w:val="0"/>
                <w:szCs w:val="21"/>
              </w:rPr>
            </w:pP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0.415</w:t>
            </w:r>
          </w:p>
        </w:tc>
        <w:tc>
          <w:tcPr>
            <w:tcW w:w="1002" w:type="dxa"/>
            <w:vAlign w:val="center"/>
          </w:tcPr>
          <w:p>
            <w:pPr>
              <w:widowControl/>
              <w:jc w:val="center"/>
              <w:rPr>
                <w:rFonts w:ascii="Times New Roman" w:hAnsi="Times New Roman"/>
                <w:kern w:val="0"/>
                <w:szCs w:val="21"/>
              </w:rPr>
            </w:pPr>
            <w:r>
              <w:rPr>
                <w:rFonts w:hint="eastAsia" w:ascii="Times New Roman" w:hAnsi="Times New Roman"/>
                <w:kern w:val="0"/>
                <w:szCs w:val="21"/>
              </w:rPr>
              <w:t>4.15</w:t>
            </w:r>
          </w:p>
        </w:tc>
        <w:tc>
          <w:tcPr>
            <w:tcW w:w="1101" w:type="dxa"/>
            <w:vAlign w:val="center"/>
          </w:tcPr>
          <w:p>
            <w:pPr>
              <w:widowControl/>
              <w:jc w:val="center"/>
              <w:rPr>
                <w:rFonts w:ascii="Times New Roman" w:hAnsi="Times New Roman"/>
                <w:kern w:val="0"/>
                <w:szCs w:val="21"/>
              </w:rPr>
            </w:pPr>
            <w:r>
              <w:rPr>
                <w:rFonts w:hint="eastAsia" w:ascii="Times New Roman" w:hAnsi="Times New Roman"/>
                <w:kern w:val="0"/>
                <w:szCs w:val="21"/>
              </w:rPr>
              <w:t>0.415</w:t>
            </w:r>
          </w:p>
        </w:tc>
      </w:tr>
    </w:tbl>
    <w:p>
      <w:pPr>
        <w:pStyle w:val="10"/>
        <w:spacing w:beforeLines="50"/>
        <w:ind w:firstLine="482" w:firstLineChars="0"/>
        <w:rPr>
          <w:rFonts w:ascii="Times New Roman" w:hAnsi="Times New Roman"/>
          <w:snapToGrid w:val="0"/>
          <w:kern w:val="0"/>
        </w:rPr>
      </w:pPr>
      <w:r>
        <w:rPr>
          <w:rFonts w:ascii="Times New Roman" w:hAnsi="Times New Roman"/>
          <w:snapToGrid w:val="0"/>
          <w:kern w:val="0"/>
        </w:rPr>
        <w:t>（2）自然恢复期水土流失预测</w:t>
      </w:r>
    </w:p>
    <w:p>
      <w:pPr>
        <w:pStyle w:val="10"/>
        <w:ind w:firstLine="482" w:firstLineChars="0"/>
        <w:rPr>
          <w:rFonts w:ascii="Times New Roman" w:hAnsi="Times New Roman"/>
          <w:snapToGrid w:val="0"/>
          <w:kern w:val="0"/>
        </w:rPr>
      </w:pPr>
      <w:r>
        <w:rPr>
          <w:rFonts w:ascii="Times New Roman" w:hAnsi="Times New Roman"/>
          <w:snapToGrid w:val="0"/>
          <w:kern w:val="0"/>
        </w:rPr>
        <w:t>自然恢复期，各种扰动地表的活动基本停止，但裸露的地表在植被没有完全发挥作用之前，水土流失仍较严重。</w:t>
      </w:r>
      <w:r>
        <w:rPr>
          <w:rFonts w:ascii="Times New Roman" w:hAnsi="Times New Roman"/>
        </w:rPr>
        <w:t>具体预测结果见</w:t>
      </w:r>
      <w:r>
        <w:rPr>
          <w:rFonts w:hint="eastAsia" w:ascii="Times New Roman" w:hAnsi="Times New Roman"/>
        </w:rPr>
        <w:t>下表</w:t>
      </w:r>
      <w:r>
        <w:rPr>
          <w:rFonts w:ascii="Times New Roman" w:hAnsi="Times New Roman"/>
        </w:rPr>
        <w:t>。</w:t>
      </w:r>
    </w:p>
    <w:p>
      <w:pPr>
        <w:widowControl/>
        <w:adjustRightInd w:val="0"/>
        <w:snapToGrid w:val="0"/>
        <w:spacing w:beforeLines="50"/>
        <w:jc w:val="center"/>
        <w:rPr>
          <w:rFonts w:ascii="Times New Roman" w:hAnsi="Times New Roman"/>
          <w:b/>
          <w:kern w:val="0"/>
          <w:sz w:val="24"/>
          <w:szCs w:val="28"/>
        </w:rPr>
      </w:pPr>
      <w:r>
        <w:rPr>
          <w:rFonts w:ascii="Times New Roman" w:hAnsi="Times New Roman"/>
          <w:b/>
          <w:kern w:val="0"/>
          <w:sz w:val="24"/>
          <w:szCs w:val="28"/>
        </w:rPr>
        <w:t>表6-6 自然恢复期水土流失量预测表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1"/>
        <w:gridCol w:w="1068"/>
        <w:gridCol w:w="1067"/>
        <w:gridCol w:w="1067"/>
        <w:gridCol w:w="1067"/>
        <w:gridCol w:w="1067"/>
        <w:gridCol w:w="1067"/>
        <w:gridCol w:w="10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251" w:type="dxa"/>
            <w:vAlign w:val="center"/>
          </w:tcPr>
          <w:p>
            <w:pPr>
              <w:widowControl/>
              <w:jc w:val="center"/>
              <w:rPr>
                <w:rFonts w:ascii="Times New Roman" w:hAnsi="Times New Roman"/>
                <w:bCs/>
                <w:kern w:val="0"/>
                <w:szCs w:val="21"/>
              </w:rPr>
            </w:pPr>
            <w:r>
              <w:rPr>
                <w:rFonts w:ascii="Times New Roman" w:hAnsi="Times New Roman"/>
                <w:bCs/>
                <w:kern w:val="0"/>
                <w:szCs w:val="21"/>
              </w:rPr>
              <w:t>预测单元</w:t>
            </w:r>
          </w:p>
        </w:tc>
        <w:tc>
          <w:tcPr>
            <w:tcW w:w="1068" w:type="dxa"/>
            <w:vAlign w:val="center"/>
          </w:tcPr>
          <w:p>
            <w:pPr>
              <w:widowControl/>
              <w:jc w:val="center"/>
              <w:rPr>
                <w:rFonts w:ascii="Times New Roman" w:hAnsi="Times New Roman"/>
                <w:bCs/>
                <w:kern w:val="0"/>
                <w:szCs w:val="21"/>
              </w:rPr>
            </w:pPr>
            <w:r>
              <w:rPr>
                <w:rFonts w:ascii="Times New Roman" w:hAnsi="Times New Roman"/>
                <w:bCs/>
                <w:kern w:val="0"/>
                <w:szCs w:val="21"/>
              </w:rPr>
              <w:t>预测</w:t>
            </w:r>
          </w:p>
          <w:p>
            <w:pPr>
              <w:widowControl/>
              <w:jc w:val="center"/>
              <w:rPr>
                <w:rFonts w:ascii="Times New Roman" w:hAnsi="Times New Roman"/>
                <w:bCs/>
                <w:kern w:val="0"/>
                <w:szCs w:val="21"/>
              </w:rPr>
            </w:pPr>
            <w:r>
              <w:rPr>
                <w:rFonts w:ascii="Times New Roman" w:hAnsi="Times New Roman"/>
                <w:bCs/>
                <w:kern w:val="0"/>
                <w:szCs w:val="21"/>
              </w:rPr>
              <w:t>面积</w:t>
            </w:r>
          </w:p>
          <w:p>
            <w:pPr>
              <w:jc w:val="center"/>
              <w:rPr>
                <w:rFonts w:ascii="Times New Roman" w:hAnsi="Times New Roman"/>
                <w:bCs/>
                <w:kern w:val="0"/>
                <w:szCs w:val="21"/>
              </w:rPr>
            </w:pPr>
            <w:r>
              <w:rPr>
                <w:rFonts w:ascii="Times New Roman" w:hAnsi="Times New Roman"/>
                <w:bCs/>
                <w:kern w:val="0"/>
                <w:szCs w:val="21"/>
              </w:rPr>
              <w:t>（hm</w:t>
            </w:r>
            <w:r>
              <w:rPr>
                <w:rFonts w:ascii="Times New Roman" w:hAnsi="Times New Roman"/>
                <w:bCs/>
                <w:kern w:val="0"/>
                <w:szCs w:val="21"/>
                <w:vertAlign w:val="superscript"/>
              </w:rPr>
              <w:t>2</w:t>
            </w:r>
            <w:r>
              <w:rPr>
                <w:rFonts w:ascii="Times New Roman" w:hAnsi="Times New Roman"/>
                <w:bCs/>
                <w:kern w:val="0"/>
                <w:szCs w:val="21"/>
              </w:rPr>
              <w:t>）</w:t>
            </w:r>
          </w:p>
        </w:tc>
        <w:tc>
          <w:tcPr>
            <w:tcW w:w="1067" w:type="dxa"/>
            <w:vAlign w:val="center"/>
          </w:tcPr>
          <w:p>
            <w:pPr>
              <w:widowControl/>
              <w:jc w:val="center"/>
              <w:rPr>
                <w:rFonts w:ascii="Times New Roman" w:hAnsi="Times New Roman"/>
                <w:bCs/>
                <w:kern w:val="0"/>
                <w:szCs w:val="21"/>
              </w:rPr>
            </w:pPr>
            <w:r>
              <w:rPr>
                <w:rFonts w:ascii="Times New Roman" w:hAnsi="Times New Roman"/>
                <w:bCs/>
                <w:kern w:val="0"/>
                <w:szCs w:val="21"/>
              </w:rPr>
              <w:t>原生侵</w:t>
            </w:r>
          </w:p>
          <w:p>
            <w:pPr>
              <w:widowControl/>
              <w:jc w:val="center"/>
              <w:rPr>
                <w:rFonts w:ascii="Times New Roman" w:hAnsi="Times New Roman"/>
                <w:bCs/>
                <w:kern w:val="0"/>
                <w:szCs w:val="21"/>
              </w:rPr>
            </w:pPr>
            <w:r>
              <w:rPr>
                <w:rFonts w:ascii="Times New Roman" w:hAnsi="Times New Roman"/>
                <w:bCs/>
                <w:kern w:val="0"/>
                <w:szCs w:val="21"/>
              </w:rPr>
              <w:t>蚀模数</w:t>
            </w:r>
          </w:p>
          <w:p>
            <w:pPr>
              <w:jc w:val="center"/>
              <w:rPr>
                <w:rFonts w:ascii="Times New Roman" w:hAnsi="Times New Roman"/>
                <w:bCs/>
                <w:kern w:val="0"/>
                <w:szCs w:val="21"/>
              </w:rPr>
            </w:pPr>
            <w:r>
              <w:rPr>
                <w:rFonts w:ascii="Times New Roman" w:hAnsi="Times New Roman"/>
                <w:bCs/>
                <w:kern w:val="0"/>
                <w:szCs w:val="21"/>
              </w:rPr>
              <w:t>（t/km</w:t>
            </w:r>
            <w:r>
              <w:rPr>
                <w:rFonts w:ascii="Times New Roman" w:hAnsi="Times New Roman"/>
                <w:bCs/>
                <w:kern w:val="0"/>
                <w:szCs w:val="21"/>
                <w:vertAlign w:val="superscript"/>
              </w:rPr>
              <w:t>2</w:t>
            </w:r>
            <w:r>
              <w:rPr>
                <w:rFonts w:ascii="Times New Roman" w:hAnsi="Times New Roman"/>
                <w:bCs/>
                <w:kern w:val="0"/>
                <w:szCs w:val="21"/>
              </w:rPr>
              <w:t>·a）</w:t>
            </w:r>
          </w:p>
        </w:tc>
        <w:tc>
          <w:tcPr>
            <w:tcW w:w="1067" w:type="dxa"/>
            <w:vAlign w:val="center"/>
          </w:tcPr>
          <w:p>
            <w:pPr>
              <w:widowControl/>
              <w:jc w:val="center"/>
              <w:rPr>
                <w:rFonts w:ascii="Times New Roman" w:hAnsi="Times New Roman"/>
                <w:bCs/>
                <w:kern w:val="0"/>
                <w:szCs w:val="21"/>
              </w:rPr>
            </w:pPr>
            <w:r>
              <w:rPr>
                <w:rFonts w:ascii="Times New Roman" w:hAnsi="Times New Roman"/>
                <w:bCs/>
                <w:kern w:val="0"/>
                <w:szCs w:val="21"/>
              </w:rPr>
              <w:t>第1年侵</w:t>
            </w:r>
          </w:p>
          <w:p>
            <w:pPr>
              <w:widowControl/>
              <w:jc w:val="center"/>
              <w:rPr>
                <w:rFonts w:ascii="Times New Roman" w:hAnsi="Times New Roman"/>
                <w:bCs/>
                <w:kern w:val="0"/>
                <w:szCs w:val="21"/>
              </w:rPr>
            </w:pPr>
            <w:r>
              <w:rPr>
                <w:rFonts w:ascii="Times New Roman" w:hAnsi="Times New Roman"/>
                <w:bCs/>
                <w:kern w:val="0"/>
                <w:szCs w:val="21"/>
              </w:rPr>
              <w:t>蚀模数</w:t>
            </w:r>
          </w:p>
          <w:p>
            <w:pPr>
              <w:jc w:val="center"/>
              <w:rPr>
                <w:rFonts w:ascii="Times New Roman" w:hAnsi="Times New Roman"/>
                <w:bCs/>
                <w:kern w:val="0"/>
                <w:szCs w:val="21"/>
              </w:rPr>
            </w:pPr>
            <w:r>
              <w:rPr>
                <w:rFonts w:ascii="Times New Roman" w:hAnsi="Times New Roman"/>
                <w:bCs/>
                <w:kern w:val="0"/>
                <w:szCs w:val="21"/>
              </w:rPr>
              <w:t>（t/km</w:t>
            </w:r>
            <w:r>
              <w:rPr>
                <w:rFonts w:ascii="Times New Roman" w:hAnsi="Times New Roman"/>
                <w:bCs/>
                <w:kern w:val="0"/>
                <w:szCs w:val="21"/>
                <w:vertAlign w:val="superscript"/>
              </w:rPr>
              <w:t>2</w:t>
            </w:r>
            <w:r>
              <w:rPr>
                <w:rFonts w:ascii="Times New Roman" w:hAnsi="Times New Roman"/>
                <w:bCs/>
                <w:kern w:val="0"/>
                <w:szCs w:val="21"/>
              </w:rPr>
              <w:t>·a）</w:t>
            </w:r>
          </w:p>
        </w:tc>
        <w:tc>
          <w:tcPr>
            <w:tcW w:w="1067" w:type="dxa"/>
            <w:vAlign w:val="center"/>
          </w:tcPr>
          <w:p>
            <w:pPr>
              <w:widowControl/>
              <w:jc w:val="center"/>
              <w:rPr>
                <w:rFonts w:ascii="Times New Roman" w:hAnsi="Times New Roman"/>
                <w:bCs/>
                <w:kern w:val="0"/>
                <w:szCs w:val="21"/>
              </w:rPr>
            </w:pPr>
            <w:r>
              <w:rPr>
                <w:rFonts w:ascii="Times New Roman" w:hAnsi="Times New Roman"/>
                <w:bCs/>
                <w:kern w:val="0"/>
                <w:szCs w:val="21"/>
              </w:rPr>
              <w:t>第2年侵</w:t>
            </w:r>
          </w:p>
          <w:p>
            <w:pPr>
              <w:widowControl/>
              <w:jc w:val="center"/>
              <w:rPr>
                <w:rFonts w:ascii="Times New Roman" w:hAnsi="Times New Roman"/>
                <w:bCs/>
                <w:kern w:val="0"/>
                <w:szCs w:val="21"/>
              </w:rPr>
            </w:pPr>
            <w:r>
              <w:rPr>
                <w:rFonts w:ascii="Times New Roman" w:hAnsi="Times New Roman"/>
                <w:bCs/>
                <w:kern w:val="0"/>
                <w:szCs w:val="21"/>
              </w:rPr>
              <w:t>蚀模数</w:t>
            </w:r>
          </w:p>
          <w:p>
            <w:pPr>
              <w:jc w:val="center"/>
              <w:rPr>
                <w:rFonts w:ascii="Times New Roman" w:hAnsi="Times New Roman"/>
                <w:bCs/>
                <w:kern w:val="0"/>
                <w:szCs w:val="21"/>
              </w:rPr>
            </w:pPr>
            <w:r>
              <w:rPr>
                <w:rFonts w:ascii="Times New Roman" w:hAnsi="Times New Roman"/>
                <w:bCs/>
                <w:kern w:val="0"/>
                <w:szCs w:val="21"/>
              </w:rPr>
              <w:t>（t/km</w:t>
            </w:r>
            <w:r>
              <w:rPr>
                <w:rFonts w:ascii="Times New Roman" w:hAnsi="Times New Roman"/>
                <w:bCs/>
                <w:kern w:val="0"/>
                <w:szCs w:val="21"/>
                <w:vertAlign w:val="superscript"/>
              </w:rPr>
              <w:t>2</w:t>
            </w:r>
            <w:r>
              <w:rPr>
                <w:rFonts w:ascii="Times New Roman" w:hAnsi="Times New Roman"/>
                <w:bCs/>
                <w:kern w:val="0"/>
                <w:szCs w:val="21"/>
              </w:rPr>
              <w:t>·a）</w:t>
            </w:r>
          </w:p>
        </w:tc>
        <w:tc>
          <w:tcPr>
            <w:tcW w:w="1067" w:type="dxa"/>
            <w:vAlign w:val="center"/>
          </w:tcPr>
          <w:p>
            <w:pPr>
              <w:widowControl/>
              <w:jc w:val="center"/>
              <w:rPr>
                <w:rFonts w:ascii="Times New Roman" w:hAnsi="Times New Roman"/>
                <w:bCs/>
                <w:kern w:val="0"/>
                <w:szCs w:val="21"/>
              </w:rPr>
            </w:pPr>
            <w:r>
              <w:rPr>
                <w:rFonts w:ascii="Times New Roman" w:hAnsi="Times New Roman"/>
                <w:bCs/>
                <w:kern w:val="0"/>
                <w:szCs w:val="21"/>
              </w:rPr>
              <w:t>原生水土</w:t>
            </w:r>
          </w:p>
          <w:p>
            <w:pPr>
              <w:widowControl/>
              <w:jc w:val="center"/>
              <w:rPr>
                <w:rFonts w:ascii="Times New Roman" w:hAnsi="Times New Roman"/>
                <w:bCs/>
                <w:kern w:val="0"/>
                <w:szCs w:val="21"/>
              </w:rPr>
            </w:pPr>
            <w:r>
              <w:rPr>
                <w:rFonts w:ascii="Times New Roman" w:hAnsi="Times New Roman"/>
                <w:bCs/>
                <w:kern w:val="0"/>
                <w:szCs w:val="21"/>
              </w:rPr>
              <w:t>流失量</w:t>
            </w:r>
          </w:p>
          <w:p>
            <w:pPr>
              <w:jc w:val="center"/>
              <w:rPr>
                <w:rFonts w:ascii="Times New Roman" w:hAnsi="Times New Roman"/>
                <w:bCs/>
                <w:kern w:val="0"/>
                <w:szCs w:val="21"/>
              </w:rPr>
            </w:pPr>
            <w:r>
              <w:rPr>
                <w:rFonts w:ascii="Times New Roman" w:hAnsi="Times New Roman"/>
                <w:bCs/>
                <w:kern w:val="0"/>
                <w:szCs w:val="21"/>
              </w:rPr>
              <w:t>（t）</w:t>
            </w:r>
          </w:p>
        </w:tc>
        <w:tc>
          <w:tcPr>
            <w:tcW w:w="1067" w:type="dxa"/>
            <w:vAlign w:val="center"/>
          </w:tcPr>
          <w:p>
            <w:pPr>
              <w:widowControl/>
              <w:jc w:val="center"/>
              <w:rPr>
                <w:rFonts w:ascii="Times New Roman" w:hAnsi="Times New Roman"/>
                <w:bCs/>
                <w:kern w:val="0"/>
                <w:szCs w:val="21"/>
              </w:rPr>
            </w:pPr>
            <w:r>
              <w:rPr>
                <w:rFonts w:ascii="Times New Roman" w:hAnsi="Times New Roman"/>
                <w:bCs/>
                <w:kern w:val="0"/>
                <w:szCs w:val="21"/>
              </w:rPr>
              <w:t>预测水土</w:t>
            </w:r>
          </w:p>
          <w:p>
            <w:pPr>
              <w:widowControl/>
              <w:jc w:val="center"/>
              <w:rPr>
                <w:rFonts w:ascii="Times New Roman" w:hAnsi="Times New Roman"/>
                <w:bCs/>
                <w:kern w:val="0"/>
                <w:szCs w:val="21"/>
              </w:rPr>
            </w:pPr>
            <w:r>
              <w:rPr>
                <w:rFonts w:ascii="Times New Roman" w:hAnsi="Times New Roman"/>
                <w:bCs/>
                <w:kern w:val="0"/>
                <w:szCs w:val="21"/>
              </w:rPr>
              <w:t>流失量</w:t>
            </w:r>
          </w:p>
          <w:p>
            <w:pPr>
              <w:jc w:val="center"/>
              <w:rPr>
                <w:rFonts w:ascii="Times New Roman" w:hAnsi="Times New Roman"/>
                <w:bCs/>
                <w:kern w:val="0"/>
                <w:szCs w:val="21"/>
              </w:rPr>
            </w:pPr>
            <w:r>
              <w:rPr>
                <w:rFonts w:ascii="Times New Roman" w:hAnsi="Times New Roman"/>
                <w:bCs/>
                <w:kern w:val="0"/>
                <w:szCs w:val="21"/>
              </w:rPr>
              <w:t>（t）</w:t>
            </w:r>
          </w:p>
        </w:tc>
        <w:tc>
          <w:tcPr>
            <w:tcW w:w="1066" w:type="dxa"/>
            <w:vAlign w:val="center"/>
          </w:tcPr>
          <w:p>
            <w:pPr>
              <w:widowControl/>
              <w:jc w:val="center"/>
              <w:rPr>
                <w:rFonts w:ascii="Times New Roman" w:hAnsi="Times New Roman"/>
                <w:bCs/>
                <w:kern w:val="0"/>
                <w:szCs w:val="21"/>
              </w:rPr>
            </w:pPr>
            <w:r>
              <w:rPr>
                <w:rFonts w:ascii="Times New Roman" w:hAnsi="Times New Roman"/>
                <w:bCs/>
                <w:kern w:val="0"/>
                <w:szCs w:val="21"/>
              </w:rPr>
              <w:t>新增水土</w:t>
            </w:r>
          </w:p>
          <w:p>
            <w:pPr>
              <w:widowControl/>
              <w:jc w:val="center"/>
              <w:rPr>
                <w:rFonts w:ascii="Times New Roman" w:hAnsi="Times New Roman"/>
                <w:bCs/>
                <w:kern w:val="0"/>
                <w:szCs w:val="21"/>
              </w:rPr>
            </w:pPr>
            <w:r>
              <w:rPr>
                <w:rFonts w:ascii="Times New Roman" w:hAnsi="Times New Roman"/>
                <w:bCs/>
                <w:kern w:val="0"/>
                <w:szCs w:val="21"/>
              </w:rPr>
              <w:t>流失量</w:t>
            </w:r>
          </w:p>
          <w:p>
            <w:pPr>
              <w:jc w:val="center"/>
              <w:rPr>
                <w:rFonts w:ascii="Times New Roman" w:hAnsi="Times New Roman"/>
                <w:bCs/>
                <w:kern w:val="0"/>
                <w:szCs w:val="21"/>
              </w:rPr>
            </w:pPr>
            <w:r>
              <w:rPr>
                <w:rFonts w:ascii="Times New Roman" w:hAnsi="Times New Roman"/>
                <w:bCs/>
                <w:kern w:val="0"/>
                <w:szCs w:val="21"/>
              </w:rPr>
              <w:t>（t）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3" w:hRule="atLeast"/>
        </w:trPr>
        <w:tc>
          <w:tcPr>
            <w:tcW w:w="1251" w:type="dxa"/>
            <w:vAlign w:val="center"/>
          </w:tcPr>
          <w:p>
            <w:pPr>
              <w:widowControl/>
              <w:jc w:val="center"/>
              <w:rPr>
                <w:rFonts w:ascii="Times New Roman" w:hAnsi="Times New Roman"/>
                <w:kern w:val="0"/>
                <w:szCs w:val="21"/>
              </w:rPr>
            </w:pPr>
            <w:r>
              <w:rPr>
                <w:rFonts w:hint="eastAsia" w:ascii="Times New Roman" w:hAnsi="Times New Roman"/>
                <w:kern w:val="0"/>
                <w:szCs w:val="21"/>
              </w:rPr>
              <w:t>尾矿库</w:t>
            </w:r>
          </w:p>
        </w:tc>
        <w:tc>
          <w:tcPr>
            <w:tcW w:w="1068" w:type="dxa"/>
            <w:vAlign w:val="center"/>
          </w:tcPr>
          <w:p>
            <w:pPr>
              <w:widowControl/>
              <w:jc w:val="center"/>
              <w:rPr>
                <w:rFonts w:ascii="Times New Roman" w:hAnsi="Times New Roman"/>
                <w:kern w:val="0"/>
                <w:szCs w:val="21"/>
              </w:rPr>
            </w:pPr>
            <w:r>
              <w:rPr>
                <w:rFonts w:hint="eastAsia" w:ascii="Times New Roman" w:hAnsi="Times New Roman"/>
                <w:kern w:val="0"/>
                <w:szCs w:val="21"/>
              </w:rPr>
              <w:t>0.4</w:t>
            </w:r>
          </w:p>
        </w:tc>
        <w:tc>
          <w:tcPr>
            <w:tcW w:w="1067" w:type="dxa"/>
            <w:vAlign w:val="center"/>
          </w:tcPr>
          <w:p>
            <w:pPr>
              <w:widowControl/>
              <w:jc w:val="center"/>
              <w:rPr>
                <w:rFonts w:ascii="Times New Roman" w:hAnsi="Times New Roman"/>
                <w:kern w:val="0"/>
                <w:szCs w:val="21"/>
              </w:rPr>
            </w:pPr>
            <w:r>
              <w:rPr>
                <w:rFonts w:ascii="Times New Roman" w:hAnsi="Times New Roman"/>
                <w:kern w:val="0"/>
                <w:szCs w:val="21"/>
              </w:rPr>
              <w:t>500</w:t>
            </w:r>
          </w:p>
        </w:tc>
        <w:tc>
          <w:tcPr>
            <w:tcW w:w="1067" w:type="dxa"/>
            <w:vAlign w:val="center"/>
          </w:tcPr>
          <w:p>
            <w:pPr>
              <w:widowControl/>
              <w:jc w:val="center"/>
              <w:rPr>
                <w:rFonts w:ascii="Times New Roman" w:hAnsi="Times New Roman"/>
                <w:kern w:val="0"/>
                <w:szCs w:val="21"/>
              </w:rPr>
            </w:pPr>
            <w:r>
              <w:rPr>
                <w:rFonts w:ascii="Times New Roman" w:hAnsi="Times New Roman"/>
                <w:kern w:val="0"/>
                <w:szCs w:val="21"/>
              </w:rPr>
              <w:t>2950</w:t>
            </w:r>
          </w:p>
        </w:tc>
        <w:tc>
          <w:tcPr>
            <w:tcW w:w="1067" w:type="dxa"/>
            <w:vAlign w:val="center"/>
          </w:tcPr>
          <w:p>
            <w:pPr>
              <w:widowControl/>
              <w:jc w:val="center"/>
              <w:rPr>
                <w:rFonts w:ascii="Times New Roman" w:hAnsi="Times New Roman"/>
                <w:kern w:val="0"/>
                <w:szCs w:val="21"/>
              </w:rPr>
            </w:pPr>
            <w:r>
              <w:rPr>
                <w:rFonts w:ascii="Times New Roman" w:hAnsi="Times New Roman"/>
                <w:kern w:val="0"/>
                <w:szCs w:val="21"/>
              </w:rPr>
              <w:t>1180</w:t>
            </w:r>
          </w:p>
        </w:tc>
        <w:tc>
          <w:tcPr>
            <w:tcW w:w="1067" w:type="dxa"/>
            <w:vAlign w:val="center"/>
          </w:tcPr>
          <w:p>
            <w:pPr>
              <w:widowControl/>
              <w:jc w:val="center"/>
              <w:rPr>
                <w:rFonts w:ascii="Times New Roman" w:hAnsi="Times New Roman"/>
                <w:kern w:val="0"/>
                <w:szCs w:val="21"/>
              </w:rPr>
            </w:pPr>
            <w:r>
              <w:rPr>
                <w:rFonts w:hint="eastAsia" w:ascii="Times New Roman" w:hAnsi="Times New Roman"/>
                <w:kern w:val="0"/>
                <w:szCs w:val="21"/>
              </w:rPr>
              <w:t>4</w:t>
            </w:r>
          </w:p>
        </w:tc>
        <w:tc>
          <w:tcPr>
            <w:tcW w:w="1067" w:type="dxa"/>
            <w:vAlign w:val="center"/>
          </w:tcPr>
          <w:p>
            <w:pPr>
              <w:widowControl/>
              <w:jc w:val="center"/>
              <w:rPr>
                <w:rFonts w:ascii="Times New Roman" w:hAnsi="Times New Roman"/>
                <w:kern w:val="0"/>
                <w:szCs w:val="21"/>
              </w:rPr>
            </w:pPr>
            <w:r>
              <w:rPr>
                <w:rFonts w:hint="eastAsia" w:ascii="Times New Roman" w:hAnsi="Times New Roman"/>
                <w:kern w:val="0"/>
                <w:szCs w:val="21"/>
              </w:rPr>
              <w:t>165.2</w:t>
            </w:r>
          </w:p>
        </w:tc>
        <w:tc>
          <w:tcPr>
            <w:tcW w:w="1066" w:type="dxa"/>
            <w:vAlign w:val="center"/>
          </w:tcPr>
          <w:p>
            <w:pPr>
              <w:widowControl/>
              <w:jc w:val="center"/>
              <w:rPr>
                <w:rFonts w:ascii="Times New Roman" w:hAnsi="Times New Roman"/>
                <w:kern w:val="0"/>
                <w:szCs w:val="21"/>
              </w:rPr>
            </w:pPr>
            <w:r>
              <w:rPr>
                <w:rFonts w:hint="eastAsia" w:ascii="Times New Roman" w:hAnsi="Times New Roman"/>
                <w:kern w:val="0"/>
                <w:szCs w:val="21"/>
              </w:rPr>
              <w:t>161.2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251" w:type="dxa"/>
            <w:vAlign w:val="center"/>
          </w:tcPr>
          <w:p>
            <w:pPr>
              <w:widowControl/>
              <w:jc w:val="center"/>
              <w:rPr>
                <w:rFonts w:ascii="Times New Roman" w:hAnsi="Times New Roman"/>
                <w:kern w:val="0"/>
                <w:szCs w:val="21"/>
              </w:rPr>
            </w:pPr>
            <w:r>
              <w:rPr>
                <w:rFonts w:hint="eastAsia" w:ascii="Times New Roman" w:hAnsi="Times New Roman"/>
                <w:kern w:val="0"/>
                <w:szCs w:val="21"/>
              </w:rPr>
              <w:t>压滤间</w:t>
            </w:r>
          </w:p>
        </w:tc>
        <w:tc>
          <w:tcPr>
            <w:tcW w:w="1068" w:type="dxa"/>
            <w:vAlign w:val="center"/>
          </w:tcPr>
          <w:p>
            <w:pPr>
              <w:widowControl/>
              <w:jc w:val="center"/>
              <w:rPr>
                <w:rFonts w:ascii="Times New Roman" w:hAnsi="Times New Roman"/>
                <w:kern w:val="0"/>
                <w:szCs w:val="21"/>
              </w:rPr>
            </w:pPr>
            <w:r>
              <w:rPr>
                <w:rFonts w:hint="eastAsia" w:ascii="Times New Roman" w:hAnsi="Times New Roman"/>
                <w:kern w:val="0"/>
                <w:szCs w:val="21"/>
              </w:rPr>
              <w:t>0.015</w:t>
            </w:r>
          </w:p>
        </w:tc>
        <w:tc>
          <w:tcPr>
            <w:tcW w:w="1067" w:type="dxa"/>
            <w:vAlign w:val="center"/>
          </w:tcPr>
          <w:p>
            <w:pPr>
              <w:widowControl/>
              <w:jc w:val="center"/>
              <w:rPr>
                <w:rFonts w:ascii="Times New Roman" w:hAnsi="Times New Roman"/>
                <w:kern w:val="0"/>
                <w:szCs w:val="21"/>
              </w:rPr>
            </w:pPr>
            <w:r>
              <w:rPr>
                <w:rFonts w:ascii="Times New Roman" w:hAnsi="Times New Roman"/>
                <w:kern w:val="0"/>
                <w:szCs w:val="21"/>
              </w:rPr>
              <w:t>500</w:t>
            </w:r>
          </w:p>
        </w:tc>
        <w:tc>
          <w:tcPr>
            <w:tcW w:w="1067" w:type="dxa"/>
            <w:vAlign w:val="center"/>
          </w:tcPr>
          <w:p>
            <w:pPr>
              <w:widowControl/>
              <w:jc w:val="center"/>
              <w:rPr>
                <w:rFonts w:ascii="Times New Roman" w:hAnsi="Times New Roman"/>
                <w:kern w:val="0"/>
                <w:szCs w:val="21"/>
              </w:rPr>
            </w:pPr>
            <w:r>
              <w:rPr>
                <w:rFonts w:ascii="Times New Roman" w:hAnsi="Times New Roman"/>
                <w:kern w:val="0"/>
                <w:szCs w:val="21"/>
              </w:rPr>
              <w:t>2950</w:t>
            </w:r>
          </w:p>
        </w:tc>
        <w:tc>
          <w:tcPr>
            <w:tcW w:w="1067" w:type="dxa"/>
            <w:vAlign w:val="center"/>
          </w:tcPr>
          <w:p>
            <w:pPr>
              <w:widowControl/>
              <w:jc w:val="center"/>
              <w:rPr>
                <w:rFonts w:ascii="Times New Roman" w:hAnsi="Times New Roman"/>
                <w:kern w:val="0"/>
                <w:szCs w:val="21"/>
              </w:rPr>
            </w:pPr>
            <w:r>
              <w:rPr>
                <w:rFonts w:ascii="Times New Roman" w:hAnsi="Times New Roman"/>
                <w:kern w:val="0"/>
                <w:szCs w:val="21"/>
              </w:rPr>
              <w:t>1180</w:t>
            </w:r>
          </w:p>
        </w:tc>
        <w:tc>
          <w:tcPr>
            <w:tcW w:w="1067" w:type="dxa"/>
            <w:vAlign w:val="center"/>
          </w:tcPr>
          <w:p>
            <w:pPr>
              <w:widowControl/>
              <w:jc w:val="center"/>
              <w:rPr>
                <w:rFonts w:ascii="Times New Roman" w:hAnsi="Times New Roman"/>
                <w:kern w:val="0"/>
                <w:szCs w:val="21"/>
              </w:rPr>
            </w:pPr>
            <w:r>
              <w:rPr>
                <w:rFonts w:hint="eastAsia" w:ascii="Times New Roman" w:hAnsi="Times New Roman"/>
                <w:kern w:val="0"/>
                <w:szCs w:val="21"/>
              </w:rPr>
              <w:t>0.15</w:t>
            </w:r>
          </w:p>
        </w:tc>
        <w:tc>
          <w:tcPr>
            <w:tcW w:w="1067" w:type="dxa"/>
            <w:vAlign w:val="center"/>
          </w:tcPr>
          <w:p>
            <w:pPr>
              <w:widowControl/>
              <w:jc w:val="center"/>
              <w:rPr>
                <w:rFonts w:ascii="Times New Roman" w:hAnsi="Times New Roman"/>
                <w:kern w:val="0"/>
                <w:szCs w:val="21"/>
              </w:rPr>
            </w:pPr>
            <w:r>
              <w:rPr>
                <w:rFonts w:hint="eastAsia" w:ascii="Times New Roman" w:hAnsi="Times New Roman"/>
                <w:kern w:val="0"/>
                <w:szCs w:val="21"/>
              </w:rPr>
              <w:t>6.195</w:t>
            </w:r>
          </w:p>
        </w:tc>
        <w:tc>
          <w:tcPr>
            <w:tcW w:w="1066" w:type="dxa"/>
            <w:vAlign w:val="center"/>
          </w:tcPr>
          <w:p>
            <w:pPr>
              <w:widowControl/>
              <w:jc w:val="center"/>
              <w:rPr>
                <w:rFonts w:ascii="Times New Roman" w:hAnsi="Times New Roman"/>
                <w:kern w:val="0"/>
                <w:szCs w:val="21"/>
              </w:rPr>
            </w:pPr>
            <w:r>
              <w:rPr>
                <w:rFonts w:hint="eastAsia" w:ascii="Times New Roman" w:hAnsi="Times New Roman"/>
                <w:kern w:val="0"/>
                <w:szCs w:val="21"/>
              </w:rPr>
              <w:t>6.045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251" w:type="dxa"/>
            <w:vAlign w:val="center"/>
          </w:tcPr>
          <w:p>
            <w:pPr>
              <w:widowControl/>
              <w:jc w:val="center"/>
              <w:rPr>
                <w:rFonts w:ascii="Times New Roman" w:hAnsi="Times New Roman"/>
                <w:kern w:val="0"/>
                <w:szCs w:val="21"/>
              </w:rPr>
            </w:pPr>
            <w:r>
              <w:rPr>
                <w:rFonts w:ascii="Times New Roman" w:hAnsi="Times New Roman"/>
                <w:kern w:val="0"/>
                <w:szCs w:val="21"/>
              </w:rPr>
              <w:t>合计</w:t>
            </w:r>
          </w:p>
        </w:tc>
        <w:tc>
          <w:tcPr>
            <w:tcW w:w="1068" w:type="dxa"/>
            <w:vAlign w:val="center"/>
          </w:tcPr>
          <w:p>
            <w:pPr>
              <w:widowControl/>
              <w:jc w:val="center"/>
              <w:rPr>
                <w:rFonts w:ascii="Times New Roman" w:hAnsi="Times New Roman"/>
                <w:kern w:val="0"/>
                <w:szCs w:val="21"/>
              </w:rPr>
            </w:pPr>
            <w:r>
              <w:rPr>
                <w:rFonts w:hint="eastAsia" w:ascii="Times New Roman" w:hAnsi="Times New Roman"/>
                <w:kern w:val="0"/>
                <w:szCs w:val="21"/>
              </w:rPr>
              <w:t>0.415</w:t>
            </w:r>
          </w:p>
        </w:tc>
        <w:tc>
          <w:tcPr>
            <w:tcW w:w="1067" w:type="dxa"/>
            <w:vAlign w:val="center"/>
          </w:tcPr>
          <w:p>
            <w:pPr>
              <w:widowControl/>
              <w:jc w:val="center"/>
              <w:rPr>
                <w:rFonts w:ascii="Times New Roman" w:hAnsi="Times New Roman"/>
                <w:kern w:val="0"/>
                <w:szCs w:val="21"/>
              </w:rPr>
            </w:pPr>
          </w:p>
        </w:tc>
        <w:tc>
          <w:tcPr>
            <w:tcW w:w="1067" w:type="dxa"/>
            <w:vAlign w:val="center"/>
          </w:tcPr>
          <w:p>
            <w:pPr>
              <w:widowControl/>
              <w:jc w:val="center"/>
              <w:rPr>
                <w:rFonts w:ascii="Times New Roman" w:hAnsi="Times New Roman"/>
                <w:kern w:val="0"/>
                <w:szCs w:val="21"/>
              </w:rPr>
            </w:pPr>
          </w:p>
        </w:tc>
        <w:tc>
          <w:tcPr>
            <w:tcW w:w="1067" w:type="dxa"/>
            <w:vAlign w:val="center"/>
          </w:tcPr>
          <w:p>
            <w:pPr>
              <w:widowControl/>
              <w:jc w:val="center"/>
              <w:rPr>
                <w:rFonts w:ascii="Times New Roman" w:hAnsi="Times New Roman"/>
                <w:kern w:val="0"/>
                <w:szCs w:val="21"/>
              </w:rPr>
            </w:pPr>
          </w:p>
        </w:tc>
        <w:tc>
          <w:tcPr>
            <w:tcW w:w="1067" w:type="dxa"/>
            <w:vAlign w:val="center"/>
          </w:tcPr>
          <w:p>
            <w:pPr>
              <w:widowControl/>
              <w:jc w:val="center"/>
              <w:rPr>
                <w:rFonts w:ascii="Times New Roman" w:hAnsi="Times New Roman"/>
                <w:kern w:val="0"/>
                <w:szCs w:val="21"/>
              </w:rPr>
            </w:pPr>
            <w:r>
              <w:rPr>
                <w:rFonts w:hint="eastAsia" w:ascii="Times New Roman" w:hAnsi="Times New Roman"/>
                <w:kern w:val="0"/>
                <w:szCs w:val="21"/>
              </w:rPr>
              <w:t>4.15</w:t>
            </w:r>
          </w:p>
        </w:tc>
        <w:tc>
          <w:tcPr>
            <w:tcW w:w="1067" w:type="dxa"/>
            <w:vAlign w:val="center"/>
          </w:tcPr>
          <w:p>
            <w:pPr>
              <w:widowControl/>
              <w:jc w:val="center"/>
              <w:rPr>
                <w:rFonts w:ascii="Times New Roman" w:hAnsi="Times New Roman"/>
                <w:kern w:val="0"/>
                <w:szCs w:val="21"/>
              </w:rPr>
            </w:pPr>
            <w:r>
              <w:rPr>
                <w:rFonts w:hint="eastAsia" w:ascii="Times New Roman" w:hAnsi="Times New Roman"/>
                <w:kern w:val="0"/>
                <w:szCs w:val="21"/>
              </w:rPr>
              <w:t>171.395</w:t>
            </w:r>
          </w:p>
        </w:tc>
        <w:tc>
          <w:tcPr>
            <w:tcW w:w="1066" w:type="dxa"/>
            <w:vAlign w:val="center"/>
          </w:tcPr>
          <w:p>
            <w:pPr>
              <w:widowControl/>
              <w:jc w:val="center"/>
              <w:rPr>
                <w:rFonts w:ascii="Times New Roman" w:hAnsi="Times New Roman"/>
                <w:kern w:val="0"/>
                <w:szCs w:val="21"/>
              </w:rPr>
            </w:pPr>
            <w:r>
              <w:rPr>
                <w:rFonts w:hint="eastAsia" w:ascii="Times New Roman" w:hAnsi="Times New Roman"/>
                <w:kern w:val="0"/>
                <w:szCs w:val="21"/>
              </w:rPr>
              <w:t>167.245</w:t>
            </w:r>
          </w:p>
        </w:tc>
      </w:tr>
    </w:tbl>
    <w:p>
      <w:pPr>
        <w:spacing w:beforeLines="50" w:line="360" w:lineRule="auto"/>
        <w:ind w:firstLine="480" w:firstLineChars="200"/>
        <w:rPr>
          <w:rFonts w:ascii="Times New Roman" w:hAnsi="Times New Roman"/>
          <w:snapToGrid w:val="0"/>
          <w:kern w:val="0"/>
          <w:sz w:val="24"/>
        </w:rPr>
      </w:pPr>
      <w:r>
        <w:rPr>
          <w:rFonts w:ascii="Times New Roman" w:hAnsi="Times New Roman"/>
          <w:sz w:val="24"/>
        </w:rPr>
        <w:t>综上所述，本项目施工期内将产生水土流失总量为</w:t>
      </w:r>
      <w:r>
        <w:rPr>
          <w:rFonts w:hint="eastAsia" w:ascii="Times New Roman" w:hAnsi="Times New Roman"/>
          <w:sz w:val="24"/>
        </w:rPr>
        <w:t>4.15</w:t>
      </w:r>
      <w:r>
        <w:rPr>
          <w:rFonts w:ascii="Times New Roman" w:hAnsi="Times New Roman"/>
          <w:sz w:val="24"/>
        </w:rPr>
        <w:t>t，新增水土流失总量为</w:t>
      </w:r>
      <w:r>
        <w:rPr>
          <w:rFonts w:hint="eastAsia" w:ascii="Times New Roman" w:hAnsi="Times New Roman"/>
          <w:sz w:val="24"/>
        </w:rPr>
        <w:t>0.415</w:t>
      </w:r>
      <w:r>
        <w:rPr>
          <w:rFonts w:ascii="Times New Roman" w:hAnsi="Times New Roman"/>
          <w:sz w:val="24"/>
        </w:rPr>
        <w:t>t。</w:t>
      </w:r>
      <w:r>
        <w:rPr>
          <w:rFonts w:ascii="Times New Roman" w:hAnsi="Times New Roman"/>
          <w:snapToGrid w:val="0"/>
          <w:kern w:val="0"/>
          <w:sz w:val="24"/>
        </w:rPr>
        <w:t>自然恢复期各区产生的水土流失总量为</w:t>
      </w:r>
      <w:r>
        <w:rPr>
          <w:rFonts w:hint="eastAsia" w:ascii="Times New Roman" w:hAnsi="Times New Roman"/>
          <w:snapToGrid w:val="0"/>
          <w:kern w:val="0"/>
          <w:sz w:val="24"/>
        </w:rPr>
        <w:t>171.395</w:t>
      </w:r>
      <w:r>
        <w:rPr>
          <w:rFonts w:ascii="Times New Roman" w:hAnsi="Times New Roman"/>
          <w:snapToGrid w:val="0"/>
          <w:kern w:val="0"/>
          <w:sz w:val="24"/>
        </w:rPr>
        <w:t>t，新增水土流失总量为</w:t>
      </w:r>
      <w:r>
        <w:rPr>
          <w:rFonts w:hint="eastAsia" w:ascii="Times New Roman" w:hAnsi="Times New Roman"/>
          <w:snapToGrid w:val="0"/>
          <w:kern w:val="0"/>
          <w:sz w:val="24"/>
        </w:rPr>
        <w:t>167.245</w:t>
      </w:r>
      <w:r>
        <w:rPr>
          <w:rFonts w:ascii="Times New Roman" w:hAnsi="Times New Roman"/>
          <w:snapToGrid w:val="0"/>
          <w:kern w:val="0"/>
          <w:sz w:val="24"/>
        </w:rPr>
        <w:t>t。</w:t>
      </w:r>
    </w:p>
    <w:p>
      <w:pPr>
        <w:pStyle w:val="5"/>
        <w:rPr>
          <w:sz w:val="24"/>
          <w:szCs w:val="24"/>
        </w:rPr>
      </w:pPr>
      <w:bookmarkStart w:id="479" w:name="_Toc11048"/>
      <w:bookmarkStart w:id="480" w:name="_Toc26523"/>
      <w:bookmarkStart w:id="481" w:name="_Toc15884"/>
      <w:r>
        <w:rPr>
          <w:rFonts w:hint="eastAsia"/>
          <w:sz w:val="24"/>
          <w:szCs w:val="24"/>
        </w:rPr>
        <w:t>6.2.4水土流失危害分析</w:t>
      </w:r>
      <w:bookmarkEnd w:id="479"/>
      <w:bookmarkEnd w:id="480"/>
      <w:bookmarkEnd w:id="481"/>
    </w:p>
    <w:p>
      <w:pPr>
        <w:spacing w:line="360" w:lineRule="auto"/>
        <w:ind w:firstLine="480" w:firstLineChars="200"/>
        <w:rPr>
          <w:rFonts w:ascii="Times New Roman" w:hAnsi="Times New Roman"/>
          <w:sz w:val="24"/>
        </w:rPr>
      </w:pPr>
      <w:r>
        <w:rPr>
          <w:rFonts w:ascii="Times New Roman" w:hAnsi="Times New Roman"/>
          <w:sz w:val="24"/>
        </w:rPr>
        <w:t>本项目的建设过程中</w:t>
      </w:r>
      <w:r>
        <w:rPr>
          <w:rFonts w:hint="eastAsia" w:ascii="Times New Roman" w:hAnsi="Times New Roman"/>
          <w:sz w:val="24"/>
        </w:rPr>
        <w:t>尾矿库新增4000m</w:t>
      </w:r>
      <w:r>
        <w:rPr>
          <w:rFonts w:hint="eastAsia" w:ascii="Times New Roman" w:hAnsi="Times New Roman"/>
          <w:sz w:val="24"/>
          <w:vertAlign w:val="superscript"/>
        </w:rPr>
        <w:t>2</w:t>
      </w:r>
      <w:r>
        <w:rPr>
          <w:rFonts w:ascii="Times New Roman" w:hAnsi="Times New Roman"/>
          <w:sz w:val="24"/>
        </w:rPr>
        <w:t>，</w:t>
      </w:r>
      <w:r>
        <w:rPr>
          <w:rFonts w:hint="eastAsia" w:ascii="Times New Roman" w:hAnsi="Times New Roman"/>
          <w:sz w:val="24"/>
        </w:rPr>
        <w:t>占地性质为林地。</w:t>
      </w:r>
      <w:r>
        <w:rPr>
          <w:rFonts w:ascii="Times New Roman" w:hAnsi="Times New Roman"/>
          <w:sz w:val="24"/>
        </w:rPr>
        <w:t>地表</w:t>
      </w:r>
      <w:r>
        <w:rPr>
          <w:rFonts w:hint="eastAsia" w:ascii="Times New Roman" w:hAnsi="Times New Roman"/>
          <w:sz w:val="24"/>
        </w:rPr>
        <w:t>施工</w:t>
      </w:r>
      <w:r>
        <w:rPr>
          <w:rFonts w:ascii="Times New Roman" w:hAnsi="Times New Roman"/>
          <w:sz w:val="24"/>
        </w:rPr>
        <w:t>将遭受不同程度的损坏，局部地貌将发生较大的变化，如不采取水土保持措施，水土流失将对</w:t>
      </w:r>
      <w:r>
        <w:rPr>
          <w:rFonts w:hint="eastAsia" w:ascii="Times New Roman" w:hAnsi="Times New Roman"/>
          <w:sz w:val="24"/>
        </w:rPr>
        <w:t>本次扩建的尾矿库和新增压滤间</w:t>
      </w:r>
      <w:r>
        <w:rPr>
          <w:rFonts w:ascii="Times New Roman" w:hAnsi="Times New Roman"/>
          <w:sz w:val="24"/>
        </w:rPr>
        <w:t>的生产安全产生危害、导致大量废石占压地表、产生滑坡及泥石流等产生不同程度的影响。</w:t>
      </w:r>
    </w:p>
    <w:p>
      <w:pPr>
        <w:spacing w:line="360" w:lineRule="auto"/>
        <w:ind w:firstLine="480" w:firstLineChars="200"/>
        <w:rPr>
          <w:rFonts w:ascii="Times New Roman" w:hAnsi="Times New Roman"/>
          <w:sz w:val="24"/>
        </w:rPr>
      </w:pPr>
      <w:r>
        <w:rPr>
          <w:rFonts w:ascii="Times New Roman" w:hAnsi="Times New Roman"/>
          <w:sz w:val="24"/>
        </w:rPr>
        <w:t>（1）对土地生产力的影响</w:t>
      </w:r>
    </w:p>
    <w:p>
      <w:pPr>
        <w:spacing w:line="360" w:lineRule="auto"/>
        <w:ind w:firstLine="480" w:firstLineChars="200"/>
        <w:rPr>
          <w:rFonts w:ascii="Times New Roman" w:hAnsi="Times New Roman"/>
          <w:sz w:val="24"/>
        </w:rPr>
      </w:pPr>
      <w:r>
        <w:rPr>
          <w:rFonts w:ascii="Times New Roman" w:hAnsi="Times New Roman"/>
          <w:sz w:val="24"/>
        </w:rPr>
        <w:t>水土流失将使较肥沃的地表土资源被冲走，破坏了多年形成的地表层土壤理化性质，使原有的水土保持功能尚失，如不采取水土保持措施，土地生产力降低会导致土地的贫瘠化、荒漠化。</w:t>
      </w:r>
    </w:p>
    <w:p>
      <w:pPr>
        <w:spacing w:line="360" w:lineRule="auto"/>
        <w:ind w:firstLine="480" w:firstLineChars="200"/>
        <w:rPr>
          <w:rFonts w:ascii="Times New Roman" w:hAnsi="Times New Roman"/>
          <w:sz w:val="24"/>
        </w:rPr>
      </w:pPr>
      <w:r>
        <w:rPr>
          <w:rFonts w:ascii="Times New Roman" w:hAnsi="Times New Roman"/>
          <w:sz w:val="24"/>
        </w:rPr>
        <w:t>（2）对工程本身的影响</w:t>
      </w:r>
    </w:p>
    <w:p>
      <w:pPr>
        <w:spacing w:line="360" w:lineRule="auto"/>
        <w:ind w:firstLine="480" w:firstLineChars="200"/>
        <w:rPr>
          <w:rFonts w:ascii="Times New Roman" w:hAnsi="Times New Roman"/>
          <w:sz w:val="24"/>
        </w:rPr>
      </w:pPr>
      <w:r>
        <w:rPr>
          <w:rFonts w:ascii="Times New Roman" w:hAnsi="Times New Roman"/>
          <w:sz w:val="24"/>
        </w:rPr>
        <w:t>本项目</w:t>
      </w:r>
      <w:r>
        <w:rPr>
          <w:rFonts w:hint="eastAsia" w:ascii="Times New Roman" w:hAnsi="Times New Roman"/>
          <w:sz w:val="24"/>
        </w:rPr>
        <w:t>施工期</w:t>
      </w:r>
      <w:r>
        <w:rPr>
          <w:rFonts w:ascii="Times New Roman" w:hAnsi="Times New Roman"/>
          <w:sz w:val="24"/>
        </w:rPr>
        <w:t>将产生大量的</w:t>
      </w:r>
      <w:r>
        <w:rPr>
          <w:rFonts w:hint="eastAsia" w:ascii="Times New Roman" w:hAnsi="Times New Roman"/>
          <w:sz w:val="24"/>
        </w:rPr>
        <w:t>建筑表土</w:t>
      </w:r>
      <w:r>
        <w:rPr>
          <w:rFonts w:ascii="Times New Roman" w:hAnsi="Times New Roman"/>
          <w:sz w:val="24"/>
        </w:rPr>
        <w:t>的的堆存，在水力、风力和重力等外力的作用下，被水、风严重侵蚀，流失的水土将进入</w:t>
      </w:r>
      <w:r>
        <w:rPr>
          <w:rFonts w:hint="eastAsia" w:ascii="Times New Roman" w:hAnsi="Times New Roman"/>
          <w:sz w:val="24"/>
        </w:rPr>
        <w:t>工程</w:t>
      </w:r>
      <w:r>
        <w:rPr>
          <w:rFonts w:ascii="Times New Roman" w:hAnsi="Times New Roman"/>
          <w:sz w:val="24"/>
        </w:rPr>
        <w:t>场地，影响</w:t>
      </w:r>
      <w:r>
        <w:rPr>
          <w:rFonts w:hint="eastAsia" w:ascii="Times New Roman" w:hAnsi="Times New Roman"/>
          <w:sz w:val="24"/>
        </w:rPr>
        <w:t>正常</w:t>
      </w:r>
      <w:r>
        <w:rPr>
          <w:rFonts w:ascii="Times New Roman" w:hAnsi="Times New Roman"/>
          <w:sz w:val="24"/>
        </w:rPr>
        <w:t>生产，土方开挖使土体在重力失衡的情况下会产生坍塌、滑落，对工作人员的人身安全构成威胁。</w:t>
      </w:r>
    </w:p>
    <w:p>
      <w:pPr>
        <w:spacing w:line="360" w:lineRule="auto"/>
        <w:ind w:firstLine="480" w:firstLineChars="200"/>
        <w:rPr>
          <w:rFonts w:ascii="Times New Roman" w:hAnsi="Times New Roman"/>
          <w:sz w:val="24"/>
        </w:rPr>
      </w:pPr>
      <w:r>
        <w:rPr>
          <w:rFonts w:ascii="Times New Roman" w:hAnsi="Times New Roman"/>
          <w:sz w:val="24"/>
        </w:rPr>
        <w:t>（3）对周边环境的影响</w:t>
      </w:r>
    </w:p>
    <w:p>
      <w:pPr>
        <w:spacing w:line="360" w:lineRule="auto"/>
        <w:ind w:firstLine="480" w:firstLineChars="200"/>
        <w:rPr>
          <w:rFonts w:ascii="Times New Roman" w:hAnsi="Times New Roman"/>
          <w:sz w:val="24"/>
        </w:rPr>
      </w:pPr>
      <w:r>
        <w:rPr>
          <w:rFonts w:hint="eastAsia" w:ascii="Times New Roman" w:hAnsi="Times New Roman"/>
          <w:bCs/>
          <w:sz w:val="24"/>
        </w:rPr>
        <w:t>本</w:t>
      </w:r>
      <w:r>
        <w:rPr>
          <w:rFonts w:ascii="Times New Roman" w:hAnsi="Times New Roman"/>
          <w:bCs/>
          <w:sz w:val="24"/>
        </w:rPr>
        <w:t>项目施工过程中，若废石不及时采取有效防护措施，径流冲刷泥沙进入河流。可能会增加河水含沙量，影响水质。</w:t>
      </w:r>
    </w:p>
    <w:p>
      <w:pPr>
        <w:spacing w:line="360" w:lineRule="auto"/>
        <w:ind w:firstLine="482" w:firstLineChars="200"/>
        <w:rPr>
          <w:rFonts w:ascii="Times New Roman" w:hAnsi="Times New Roman"/>
          <w:b/>
          <w:sz w:val="24"/>
        </w:rPr>
      </w:pPr>
    </w:p>
    <w:p>
      <w:pPr>
        <w:pStyle w:val="2"/>
        <w:rPr>
          <w:rFonts w:ascii="Times New Roman" w:hAnsi="Times New Roman"/>
          <w:b/>
          <w:sz w:val="24"/>
        </w:rPr>
      </w:pPr>
    </w:p>
    <w:p>
      <w:pPr>
        <w:pStyle w:val="2"/>
        <w:rPr>
          <w:rFonts w:ascii="Times New Roman" w:hAnsi="Times New Roman"/>
          <w:b/>
          <w:sz w:val="24"/>
        </w:rPr>
      </w:pPr>
    </w:p>
    <w:p/>
    <w:p>
      <w:pPr>
        <w:pStyle w:val="3"/>
        <w:spacing w:beforeLines="150" w:beforeAutospacing="0" w:afterLines="150" w:afterAutospacing="0" w:line="360" w:lineRule="auto"/>
      </w:pPr>
      <w:bookmarkStart w:id="482" w:name="_Toc32503"/>
      <w:bookmarkStart w:id="483" w:name="_Toc20987"/>
      <w:bookmarkStart w:id="484" w:name="_Toc13672"/>
      <w:r>
        <w:rPr>
          <w:rFonts w:hint="eastAsia"/>
        </w:rPr>
        <w:t>第七章 污染防治措施</w:t>
      </w:r>
      <w:bookmarkEnd w:id="482"/>
      <w:bookmarkEnd w:id="483"/>
      <w:bookmarkEnd w:id="484"/>
    </w:p>
    <w:p>
      <w:pPr>
        <w:pStyle w:val="4"/>
        <w:rPr>
          <w:rFonts w:ascii="Times New Roman" w:hAnsi="Times New Roman"/>
        </w:rPr>
      </w:pPr>
      <w:bookmarkStart w:id="485" w:name="_Toc30200"/>
      <w:bookmarkStart w:id="486" w:name="_Toc486350018"/>
      <w:bookmarkStart w:id="487" w:name="_Toc484616314"/>
      <w:bookmarkStart w:id="488" w:name="_Toc27196"/>
      <w:bookmarkStart w:id="489" w:name="_Toc27302"/>
      <w:bookmarkStart w:id="490" w:name="_Toc20634"/>
      <w:r>
        <w:rPr>
          <w:rFonts w:ascii="Times New Roman" w:hAnsi="Times New Roman"/>
        </w:rPr>
        <w:t>7.1施工期污染防治措施</w:t>
      </w:r>
      <w:bookmarkEnd w:id="485"/>
      <w:bookmarkEnd w:id="486"/>
      <w:bookmarkEnd w:id="487"/>
      <w:bookmarkEnd w:id="488"/>
      <w:bookmarkEnd w:id="489"/>
      <w:bookmarkEnd w:id="490"/>
    </w:p>
    <w:p>
      <w:pPr>
        <w:widowControl/>
        <w:adjustRightInd w:val="0"/>
        <w:snapToGrid w:val="0"/>
        <w:spacing w:line="360" w:lineRule="auto"/>
        <w:outlineLvl w:val="2"/>
        <w:rPr>
          <w:rFonts w:ascii="Times New Roman" w:hAnsi="Times New Roman"/>
          <w:b/>
          <w:sz w:val="24"/>
        </w:rPr>
      </w:pPr>
      <w:bookmarkStart w:id="491" w:name="_Toc21426"/>
      <w:bookmarkStart w:id="492" w:name="_Toc15608"/>
      <w:bookmarkStart w:id="493" w:name="_Toc8108"/>
      <w:r>
        <w:rPr>
          <w:rFonts w:ascii="Times New Roman" w:hAnsi="Times New Roman"/>
          <w:b/>
          <w:sz w:val="24"/>
        </w:rPr>
        <w:t>7.1.1废水</w:t>
      </w:r>
      <w:bookmarkEnd w:id="491"/>
      <w:bookmarkEnd w:id="492"/>
      <w:bookmarkEnd w:id="493"/>
    </w:p>
    <w:p>
      <w:pPr>
        <w:pStyle w:val="10"/>
        <w:rPr>
          <w:rFonts w:ascii="Times New Roman" w:hAnsi="Times New Roman"/>
        </w:rPr>
      </w:pPr>
      <w:r>
        <w:rPr>
          <w:rFonts w:hint="eastAsia" w:ascii="Times New Roman" w:hAnsi="Times New Roman"/>
        </w:rPr>
        <w:t>施工期</w:t>
      </w:r>
      <w:r>
        <w:rPr>
          <w:rFonts w:ascii="Times New Roman" w:hAnsi="Times New Roman"/>
        </w:rPr>
        <w:t>废水排放主要来自建筑施工人员的生活污水和施工废水。施工废水主要污染因子为SS。</w:t>
      </w:r>
      <w:r>
        <w:rPr>
          <w:rFonts w:hint="eastAsia" w:ascii="Times New Roman" w:hAnsi="Times New Roman"/>
        </w:rPr>
        <w:t>排入厂区内现有的防渗旱厕</w:t>
      </w:r>
      <w:r>
        <w:rPr>
          <w:rFonts w:ascii="Times New Roman" w:hAnsi="Times New Roman"/>
        </w:rPr>
        <w:t>，施工废水全部排入沉淀池处理。处理后废水可回用至施工砂石料冲洗或机械设备清，也可用于</w:t>
      </w:r>
      <w:r>
        <w:rPr>
          <w:rFonts w:ascii="Times New Roman" w:hAnsi="Times New Roman"/>
          <w:szCs w:val="21"/>
        </w:rPr>
        <w:t>厂区绿化及降尘用水，</w:t>
      </w:r>
      <w:r>
        <w:rPr>
          <w:rFonts w:ascii="Times New Roman" w:hAnsi="Times New Roman"/>
        </w:rPr>
        <w:t>施工废水不外排。生活污水排入</w:t>
      </w:r>
      <w:r>
        <w:rPr>
          <w:rFonts w:hint="eastAsia" w:ascii="Times New Roman" w:hAnsi="Times New Roman"/>
        </w:rPr>
        <w:t>现有</w:t>
      </w:r>
      <w:r>
        <w:rPr>
          <w:rFonts w:ascii="Times New Roman" w:hAnsi="Times New Roman"/>
        </w:rPr>
        <w:t>防渗旱厕，由当地农户定期清掏作农肥。</w:t>
      </w:r>
      <w:r>
        <w:rPr>
          <w:rFonts w:hint="eastAsia" w:ascii="Times New Roman" w:hAnsi="Times New Roman"/>
        </w:rPr>
        <w:t>该措施可行。不会对项目南侧10m处西南岔河产生影响。</w:t>
      </w:r>
    </w:p>
    <w:p>
      <w:pPr>
        <w:widowControl/>
        <w:adjustRightInd w:val="0"/>
        <w:snapToGrid w:val="0"/>
        <w:spacing w:line="360" w:lineRule="auto"/>
        <w:outlineLvl w:val="0"/>
        <w:rPr>
          <w:rFonts w:ascii="Times New Roman" w:hAnsi="Times New Roman"/>
          <w:b/>
          <w:sz w:val="24"/>
        </w:rPr>
      </w:pPr>
      <w:bookmarkStart w:id="494" w:name="_Toc27467"/>
      <w:bookmarkStart w:id="495" w:name="_Toc4119"/>
      <w:bookmarkStart w:id="496" w:name="_Toc9457"/>
      <w:r>
        <w:rPr>
          <w:rFonts w:hint="eastAsia" w:ascii="Times New Roman" w:hAnsi="Times New Roman"/>
          <w:b/>
          <w:sz w:val="24"/>
        </w:rPr>
        <w:t>7.1.2</w:t>
      </w:r>
      <w:r>
        <w:rPr>
          <w:rFonts w:ascii="Times New Roman" w:hAnsi="Times New Roman"/>
          <w:b/>
          <w:sz w:val="24"/>
        </w:rPr>
        <w:t>废气</w:t>
      </w:r>
      <w:bookmarkEnd w:id="494"/>
      <w:bookmarkEnd w:id="495"/>
      <w:bookmarkEnd w:id="496"/>
    </w:p>
    <w:p>
      <w:pPr>
        <w:pStyle w:val="10"/>
        <w:rPr>
          <w:rFonts w:ascii="Times New Roman" w:hAnsi="Times New Roman"/>
        </w:rPr>
      </w:pPr>
      <w:r>
        <w:rPr>
          <w:rFonts w:hint="eastAsia" w:ascii="Times New Roman" w:hAnsi="Times New Roman"/>
          <w:color w:val="FF0000"/>
        </w:rPr>
        <w:t>本次扩建项目主要施工内容为尾矿库现有尾矿库尾渣清运以及扩建和压滤间建设。</w:t>
      </w:r>
    </w:p>
    <w:p>
      <w:pPr>
        <w:pStyle w:val="10"/>
        <w:rPr>
          <w:rFonts w:ascii="Times New Roman" w:hAnsi="Times New Roman"/>
        </w:rPr>
      </w:pPr>
      <w:r>
        <w:rPr>
          <w:rFonts w:ascii="Times New Roman" w:hAnsi="Times New Roman"/>
          <w:color w:val="FF0000"/>
        </w:rPr>
        <w:t>1、</w:t>
      </w:r>
      <w:r>
        <w:rPr>
          <w:rFonts w:hint="eastAsia" w:ascii="Times New Roman" w:hAnsi="Times New Roman"/>
          <w:color w:val="FF0000"/>
        </w:rPr>
        <w:t>施工</w:t>
      </w:r>
      <w:r>
        <w:rPr>
          <w:rFonts w:ascii="Times New Roman" w:hAnsi="Times New Roman"/>
          <w:color w:val="FF0000"/>
        </w:rPr>
        <w:t>期间大气的主要污染因子为粉尘，为尽可能减少粉尘对建设项目周边地区的影响，应实施标准化施工。</w:t>
      </w:r>
      <w:r>
        <w:rPr>
          <w:rFonts w:hint="eastAsia" w:ascii="Times New Roman" w:hAnsi="Times New Roman"/>
          <w:color w:val="FF0000"/>
        </w:rPr>
        <w:t>现有尾渣清运是需洒水降尘、设置围挡</w:t>
      </w:r>
      <w:r>
        <w:rPr>
          <w:rFonts w:hint="eastAsia" w:ascii="Times New Roman" w:hAnsi="Times New Roman"/>
        </w:rPr>
        <w:t>。</w:t>
      </w:r>
      <w:r>
        <w:rPr>
          <w:rFonts w:ascii="Times New Roman" w:hAnsi="Times New Roman"/>
        </w:rPr>
        <w:t>首先，要加强施工管理，地面硬化处理；其次是</w:t>
      </w:r>
      <w:r>
        <w:rPr>
          <w:rFonts w:hint="eastAsia" w:ascii="Times New Roman" w:hAnsi="Times New Roman"/>
        </w:rPr>
        <w:t>施工过程中适当地</w:t>
      </w:r>
      <w:r>
        <w:rPr>
          <w:rFonts w:ascii="Times New Roman" w:hAnsi="Times New Roman"/>
        </w:rPr>
        <w:t>采用喷水降尘，对运输交通道路及时清扫、洒水。此外，在运输过程需采用封闭车辆。</w:t>
      </w:r>
    </w:p>
    <w:p>
      <w:pPr>
        <w:pStyle w:val="10"/>
        <w:rPr>
          <w:rFonts w:ascii="Times New Roman" w:hAnsi="Times New Roman"/>
          <w:szCs w:val="21"/>
        </w:rPr>
      </w:pPr>
      <w:r>
        <w:rPr>
          <w:rFonts w:ascii="Times New Roman" w:hAnsi="Times New Roman"/>
          <w:szCs w:val="21"/>
        </w:rPr>
        <w:t>2、针对施工机械及运输车辆尾气排放，企业在施工期加强施工机械及车辆的管理，进行定期保养和维护，选用符合国家规定的尾气达标的施工机械，确保施工机械尾气排放不对周围环境空气产生明显不利影响。</w:t>
      </w:r>
    </w:p>
    <w:p>
      <w:pPr>
        <w:pStyle w:val="10"/>
        <w:rPr>
          <w:rFonts w:ascii="Times New Roman" w:hAnsi="Times New Roman"/>
          <w:szCs w:val="21"/>
        </w:rPr>
      </w:pPr>
      <w:r>
        <w:rPr>
          <w:rFonts w:ascii="Times New Roman" w:hAnsi="Times New Roman"/>
          <w:szCs w:val="21"/>
        </w:rPr>
        <w:t>3、根据《吉林省落实大气污染防治行动计划实施细则》，本项目施工期扬尘防治应采取以下措施：工程施工现场应全封闭设置围挡，严禁敞开式作业，施工现场道路应进行地面硬化，各种堆料应封闭储存或建设防风抑尘设施。渣土运输车辆要全部采取密闭措施，严查渣土车沿途洒落，在建筑工地集中区域设置运输指定通道，规定时间、路线进行运输作业。</w:t>
      </w:r>
      <w:r>
        <w:rPr>
          <w:rFonts w:hint="eastAsia" w:ascii="Times New Roman" w:hAnsi="Times New Roman"/>
          <w:szCs w:val="21"/>
        </w:rPr>
        <w:t>该措施可行。</w:t>
      </w:r>
    </w:p>
    <w:p>
      <w:pPr>
        <w:widowControl/>
        <w:adjustRightInd w:val="0"/>
        <w:snapToGrid w:val="0"/>
        <w:spacing w:line="360" w:lineRule="auto"/>
        <w:outlineLvl w:val="0"/>
        <w:rPr>
          <w:rFonts w:ascii="Times New Roman" w:hAnsi="Times New Roman"/>
          <w:b/>
          <w:sz w:val="24"/>
        </w:rPr>
      </w:pPr>
      <w:bookmarkStart w:id="497" w:name="_Toc15919"/>
      <w:bookmarkStart w:id="498" w:name="_Toc568"/>
      <w:bookmarkStart w:id="499" w:name="_Toc16998"/>
      <w:r>
        <w:rPr>
          <w:rFonts w:ascii="Times New Roman" w:hAnsi="Times New Roman"/>
          <w:b/>
          <w:sz w:val="24"/>
        </w:rPr>
        <w:t>7.1.3噪声</w:t>
      </w:r>
      <w:bookmarkEnd w:id="497"/>
      <w:bookmarkEnd w:id="498"/>
      <w:bookmarkEnd w:id="499"/>
    </w:p>
    <w:p>
      <w:pPr>
        <w:pStyle w:val="10"/>
        <w:rPr>
          <w:rFonts w:ascii="Times New Roman" w:hAnsi="Times New Roman"/>
        </w:rPr>
      </w:pPr>
      <w:r>
        <w:rPr>
          <w:rFonts w:ascii="Times New Roman" w:hAnsi="Times New Roman"/>
          <w:color w:val="000000"/>
        </w:rPr>
        <w:t>施工设备中挖掘机噪声的声级值最高，达95dB（A），另外现有选矿厂内各种设备拆除过程中会产生噪声。据调查，施工场地周边基本为林地，经树木隔声及距离衰减后，矿界处噪声能够满足《建筑施工场界环境噪声排放标准》（GB12523-2011）中的噪声限值。</w:t>
      </w:r>
      <w:r>
        <w:rPr>
          <w:rFonts w:ascii="Times New Roman" w:hAnsi="Times New Roman"/>
          <w:snapToGrid w:val="0"/>
          <w:color w:val="000000"/>
        </w:rPr>
        <w:t>因此，施工期噪声对环境影响较小。</w:t>
      </w:r>
      <w:r>
        <w:rPr>
          <w:rFonts w:hint="eastAsia" w:ascii="Times New Roman" w:hAnsi="Times New Roman"/>
          <w:snapToGrid w:val="0"/>
          <w:color w:val="000000"/>
        </w:rPr>
        <w:t>由于本项目周围2km内无村民</w:t>
      </w:r>
      <w:r>
        <w:rPr>
          <w:rFonts w:ascii="Times New Roman" w:hAnsi="Times New Roman"/>
          <w:snapToGrid w:val="0"/>
          <w:color w:val="000000"/>
        </w:rPr>
        <w:t>，因此，施工噪声</w:t>
      </w:r>
      <w:r>
        <w:rPr>
          <w:rFonts w:ascii="Times New Roman" w:hAnsi="Times New Roman"/>
          <w:snapToGrid w:val="0"/>
        </w:rPr>
        <w:t>不会对</w:t>
      </w:r>
      <w:r>
        <w:rPr>
          <w:rFonts w:hint="eastAsia" w:ascii="Times New Roman" w:hAnsi="Times New Roman"/>
          <w:snapToGrid w:val="0"/>
        </w:rPr>
        <w:t>周围</w:t>
      </w:r>
      <w:r>
        <w:rPr>
          <w:rFonts w:ascii="Times New Roman" w:hAnsi="Times New Roman"/>
          <w:snapToGrid w:val="0"/>
        </w:rPr>
        <w:t>居民声环境产生影响。</w:t>
      </w:r>
      <w:r>
        <w:rPr>
          <w:rFonts w:hint="eastAsia" w:ascii="Times New Roman" w:hAnsi="Times New Roman"/>
          <w:snapToGrid w:val="0"/>
        </w:rPr>
        <w:t>该措施可行。</w:t>
      </w:r>
    </w:p>
    <w:p>
      <w:pPr>
        <w:widowControl/>
        <w:adjustRightInd w:val="0"/>
        <w:snapToGrid w:val="0"/>
        <w:spacing w:line="360" w:lineRule="auto"/>
        <w:outlineLvl w:val="0"/>
        <w:rPr>
          <w:rFonts w:ascii="Times New Roman" w:hAnsi="Times New Roman"/>
          <w:b/>
          <w:sz w:val="24"/>
        </w:rPr>
      </w:pPr>
      <w:bookmarkStart w:id="500" w:name="_Toc30614"/>
      <w:bookmarkStart w:id="501" w:name="_Toc19479"/>
      <w:bookmarkStart w:id="502" w:name="_Toc5162"/>
      <w:r>
        <w:rPr>
          <w:rFonts w:ascii="Times New Roman" w:hAnsi="Times New Roman"/>
          <w:b/>
          <w:sz w:val="24"/>
        </w:rPr>
        <w:t>7.1.4固体废物</w:t>
      </w:r>
      <w:bookmarkEnd w:id="500"/>
      <w:bookmarkEnd w:id="501"/>
      <w:bookmarkEnd w:id="502"/>
    </w:p>
    <w:p>
      <w:pPr>
        <w:spacing w:line="360" w:lineRule="auto"/>
        <w:ind w:firstLine="480" w:firstLineChars="200"/>
        <w:rPr>
          <w:sz w:val="24"/>
          <w:szCs w:val="24"/>
        </w:rPr>
      </w:pPr>
      <w:r>
        <w:rPr>
          <w:sz w:val="24"/>
          <w:szCs w:val="24"/>
        </w:rPr>
        <w:t>本项目施工期产生的固体废物主要是施工建筑垃圾及施工人员生活垃圾。</w:t>
      </w:r>
    </w:p>
    <w:p>
      <w:pPr>
        <w:spacing w:line="360" w:lineRule="auto"/>
        <w:ind w:firstLine="480" w:firstLineChars="200"/>
        <w:rPr>
          <w:sz w:val="24"/>
          <w:szCs w:val="24"/>
        </w:rPr>
      </w:pPr>
      <w:r>
        <w:rPr>
          <w:sz w:val="24"/>
          <w:szCs w:val="24"/>
        </w:rPr>
        <w:t>施工建筑垃圾产生量约为5t/a，全部运至建筑垃圾填埋场堆存。施工人员生活垃圾产生量约为2t/a，全部定期运至当地生活垃圾填埋场。</w:t>
      </w:r>
      <w:r>
        <w:rPr>
          <w:rFonts w:ascii="Times New Roman" w:hAnsi="Times New Roman"/>
          <w:color w:val="FF0000"/>
          <w:sz w:val="24"/>
        </w:rPr>
        <w:t>。</w:t>
      </w:r>
      <w:r>
        <w:rPr>
          <w:rFonts w:hint="eastAsia" w:ascii="Times New Roman" w:hAnsi="Times New Roman"/>
          <w:color w:val="FF0000"/>
          <w:sz w:val="24"/>
        </w:rPr>
        <w:t>施工期运输的尾渣13万t，直接外卖吉林市智德利商贸有限公司并由该公司负责运送尾渣。</w:t>
      </w:r>
      <w:r>
        <w:rPr>
          <w:sz w:val="24"/>
          <w:szCs w:val="24"/>
        </w:rPr>
        <w:t>不会产生二次污染。</w:t>
      </w:r>
    </w:p>
    <w:p>
      <w:pPr>
        <w:pStyle w:val="2"/>
        <w:rPr>
          <w:sz w:val="24"/>
          <w:szCs w:val="24"/>
        </w:rPr>
      </w:pPr>
      <w:r>
        <w:rPr>
          <w:rFonts w:ascii="Times New Roman" w:hAnsi="Times New Roman"/>
          <w:b/>
          <w:sz w:val="24"/>
        </w:rPr>
        <w:t>7.1.</w:t>
      </w:r>
      <w:r>
        <w:rPr>
          <w:rFonts w:hint="eastAsia" w:ascii="Times New Roman" w:hAnsi="Times New Roman"/>
          <w:b/>
          <w:sz w:val="24"/>
        </w:rPr>
        <w:t>5现有尾矿库尾渣运输方案措施可行性</w:t>
      </w:r>
    </w:p>
    <w:p>
      <w:pPr>
        <w:pStyle w:val="2"/>
        <w:spacing w:line="360" w:lineRule="auto"/>
        <w:ind w:firstLine="480" w:firstLineChars="200"/>
        <w:rPr>
          <w:sz w:val="24"/>
          <w:szCs w:val="24"/>
        </w:rPr>
      </w:pPr>
      <w:r>
        <w:rPr>
          <w:rFonts w:hint="eastAsia"/>
          <w:color w:val="FF0000"/>
          <w:sz w:val="24"/>
          <w:szCs w:val="24"/>
        </w:rPr>
        <w:t>本项目施工期现有为尾渣运</w:t>
      </w:r>
      <w:r>
        <w:rPr>
          <w:rFonts w:ascii="Times New Roman" w:hAnsi="Times New Roman"/>
          <w:color w:val="FF0000"/>
          <w:sz w:val="24"/>
          <w:szCs w:val="24"/>
        </w:rPr>
        <w:t>输量为</w:t>
      </w:r>
      <w:r>
        <w:rPr>
          <w:rFonts w:hint="eastAsia" w:ascii="Times New Roman" w:hAnsi="Times New Roman"/>
          <w:color w:val="FF0000"/>
          <w:sz w:val="24"/>
        </w:rPr>
        <w:t>13万t</w:t>
      </w:r>
      <w:r>
        <w:rPr>
          <w:rFonts w:ascii="Times New Roman" w:hAnsi="Times New Roman"/>
          <w:color w:val="FF0000"/>
          <w:sz w:val="24"/>
          <w:szCs w:val="24"/>
        </w:rPr>
        <w:t>，</w:t>
      </w:r>
      <w:r>
        <w:rPr>
          <w:rFonts w:hint="eastAsia" w:ascii="Times New Roman" w:hAnsi="Times New Roman"/>
          <w:color w:val="FF0000"/>
          <w:sz w:val="24"/>
          <w:szCs w:val="24"/>
        </w:rPr>
        <w:t>施工期间由吉林市智德利商贸有限公司全部负责将尾渣运输至矿外。根据企业提供资料，该公司每天清运两次。</w:t>
      </w:r>
      <w:r>
        <w:rPr>
          <w:rFonts w:ascii="Times New Roman" w:hAnsi="Times New Roman"/>
          <w:color w:val="FF0000"/>
          <w:sz w:val="24"/>
          <w:szCs w:val="24"/>
        </w:rPr>
        <w:t>途径八道阳岔村等敏感点。在运输过程中会产生一定的扬尘，在此阶段路面扬尘排放不连续，建议对运输车辆采取苫布覆盖，定期对起尘路面洒水降尘。对周边的环境影响较小。</w:t>
      </w:r>
      <w:r>
        <w:rPr>
          <w:rFonts w:hint="eastAsia" w:ascii="Times New Roman" w:hAnsi="Times New Roman"/>
          <w:color w:val="FF0000"/>
          <w:sz w:val="24"/>
          <w:szCs w:val="24"/>
        </w:rPr>
        <w:t>该措施可行。</w:t>
      </w:r>
    </w:p>
    <w:p>
      <w:pPr>
        <w:widowControl/>
        <w:adjustRightInd w:val="0"/>
        <w:snapToGrid w:val="0"/>
        <w:spacing w:line="360" w:lineRule="auto"/>
        <w:outlineLvl w:val="0"/>
        <w:rPr>
          <w:rFonts w:ascii="Times New Roman" w:hAnsi="Times New Roman"/>
          <w:b/>
          <w:sz w:val="24"/>
        </w:rPr>
      </w:pPr>
      <w:bookmarkStart w:id="503" w:name="_Toc4635"/>
      <w:bookmarkStart w:id="504" w:name="_Toc2856"/>
      <w:bookmarkStart w:id="505" w:name="_Toc19105"/>
      <w:r>
        <w:rPr>
          <w:rFonts w:ascii="Times New Roman" w:hAnsi="Times New Roman"/>
          <w:b/>
          <w:sz w:val="24"/>
        </w:rPr>
        <w:t>7.1.</w:t>
      </w:r>
      <w:r>
        <w:rPr>
          <w:rFonts w:hint="eastAsia" w:ascii="Times New Roman" w:hAnsi="Times New Roman"/>
          <w:b/>
          <w:sz w:val="24"/>
        </w:rPr>
        <w:t>6</w:t>
      </w:r>
      <w:r>
        <w:rPr>
          <w:rFonts w:ascii="Times New Roman" w:hAnsi="Times New Roman"/>
          <w:b/>
          <w:sz w:val="24"/>
        </w:rPr>
        <w:t>生态保护措施</w:t>
      </w:r>
      <w:bookmarkEnd w:id="503"/>
      <w:bookmarkEnd w:id="504"/>
      <w:bookmarkEnd w:id="505"/>
    </w:p>
    <w:p>
      <w:pPr>
        <w:spacing w:line="360" w:lineRule="auto"/>
        <w:ind w:firstLine="480" w:firstLineChars="200"/>
        <w:rPr>
          <w:rFonts w:ascii="Times New Roman" w:hAnsi="Times New Roman"/>
          <w:sz w:val="24"/>
        </w:rPr>
      </w:pPr>
      <w:r>
        <w:rPr>
          <w:rFonts w:ascii="Times New Roman" w:hAnsi="Times New Roman"/>
          <w:sz w:val="24"/>
        </w:rPr>
        <w:t>（1）管理措施</w:t>
      </w:r>
    </w:p>
    <w:p>
      <w:pPr>
        <w:spacing w:line="360" w:lineRule="auto"/>
        <w:ind w:firstLine="480" w:firstLineChars="200"/>
        <w:rPr>
          <w:rFonts w:ascii="Times New Roman" w:hAnsi="Times New Roman"/>
          <w:sz w:val="24"/>
        </w:rPr>
      </w:pPr>
      <w:r>
        <w:rPr>
          <w:rFonts w:ascii="Times New Roman" w:hAnsi="Times New Roman"/>
          <w:sz w:val="24"/>
        </w:rPr>
        <w:t>①加强施工期环境保护管理，做到边施工边进行环境保护，不仅要求环境保护资金管理到位，而且要做到环境保护措施的及时实施。如施工结束后，应立即对破坏的植被进行恢复，施工临时用地应在工程内容结束后立即拆除并恢复，缩短工程施工的破坏时间，减少扰动土壤的裸露时间，从时间角度降低工程对环境的破坏程度。</w:t>
      </w:r>
    </w:p>
    <w:p>
      <w:pPr>
        <w:spacing w:line="360" w:lineRule="auto"/>
        <w:ind w:firstLine="480" w:firstLineChars="200"/>
        <w:rPr>
          <w:rFonts w:ascii="Times New Roman" w:hAnsi="Times New Roman"/>
          <w:sz w:val="24"/>
        </w:rPr>
      </w:pPr>
      <w:r>
        <w:rPr>
          <w:rFonts w:ascii="Times New Roman" w:hAnsi="Times New Roman"/>
          <w:sz w:val="24"/>
        </w:rPr>
        <w:t>②加强对施工及工作人员的环保意识教育，做到自觉保护自然资源，不伤害野生动物，不乱砍伐树木和破坏植被。</w:t>
      </w:r>
    </w:p>
    <w:p>
      <w:pPr>
        <w:spacing w:line="360" w:lineRule="auto"/>
        <w:ind w:firstLine="480" w:firstLineChars="200"/>
        <w:rPr>
          <w:rFonts w:ascii="Times New Roman" w:hAnsi="Times New Roman"/>
          <w:sz w:val="24"/>
        </w:rPr>
      </w:pPr>
      <w:r>
        <w:rPr>
          <w:rFonts w:ascii="Times New Roman" w:hAnsi="Times New Roman"/>
          <w:sz w:val="24"/>
        </w:rPr>
        <w:t>（2）植被保护措施</w:t>
      </w:r>
    </w:p>
    <w:p>
      <w:pPr>
        <w:spacing w:line="360" w:lineRule="auto"/>
        <w:ind w:firstLine="480" w:firstLineChars="200"/>
        <w:rPr>
          <w:rFonts w:ascii="Times New Roman" w:hAnsi="Times New Roman"/>
          <w:sz w:val="24"/>
        </w:rPr>
      </w:pPr>
      <w:r>
        <w:rPr>
          <w:rFonts w:ascii="Times New Roman" w:hAnsi="Times New Roman"/>
          <w:sz w:val="24"/>
        </w:rPr>
        <w:t>本项目应严格控制施工占地，禁止林木乱砍乱伐。</w:t>
      </w:r>
      <w:r>
        <w:rPr>
          <w:rFonts w:hint="eastAsia" w:ascii="Times New Roman" w:hAnsi="Times New Roman"/>
          <w:sz w:val="24"/>
        </w:rPr>
        <w:t>设计砍伐林地必须征得当地林业部门同意。建议将</w:t>
      </w:r>
      <w:r>
        <w:rPr>
          <w:rFonts w:ascii="Times New Roman" w:hAnsi="Times New Roman"/>
          <w:sz w:val="24"/>
        </w:rPr>
        <w:t>施工场地设置在选矿厂占地范围之内，利用</w:t>
      </w:r>
      <w:r>
        <w:rPr>
          <w:rFonts w:hint="eastAsia" w:ascii="Times New Roman" w:hAnsi="Times New Roman"/>
          <w:sz w:val="24"/>
        </w:rPr>
        <w:t>现有</w:t>
      </w:r>
      <w:r>
        <w:rPr>
          <w:rFonts w:ascii="Times New Roman" w:hAnsi="Times New Roman"/>
          <w:sz w:val="24"/>
        </w:rPr>
        <w:t>道路，不破坏周围植被</w:t>
      </w:r>
      <w:r>
        <w:rPr>
          <w:rFonts w:hint="eastAsia" w:ascii="Times New Roman" w:hAnsi="Times New Roman"/>
          <w:sz w:val="24"/>
        </w:rPr>
        <w:t>，施工动土作业应安排在晴朗无风天气下，尽量避免大风天，施工过程中适当地采取洒水降尘措施。</w:t>
      </w:r>
    </w:p>
    <w:p>
      <w:pPr>
        <w:spacing w:line="360" w:lineRule="auto"/>
        <w:ind w:firstLine="480" w:firstLineChars="200"/>
        <w:rPr>
          <w:rFonts w:ascii="Times New Roman" w:hAnsi="Times New Roman"/>
          <w:sz w:val="24"/>
        </w:rPr>
      </w:pPr>
      <w:r>
        <w:rPr>
          <w:rFonts w:ascii="Times New Roman" w:hAnsi="Times New Roman"/>
          <w:sz w:val="24"/>
        </w:rPr>
        <w:t xml:space="preserve">（3）野生动物的保护措施 </w:t>
      </w:r>
    </w:p>
    <w:p>
      <w:pPr>
        <w:spacing w:line="360" w:lineRule="auto"/>
        <w:ind w:firstLine="480" w:firstLineChars="200"/>
        <w:rPr>
          <w:rFonts w:ascii="Times New Roman" w:hAnsi="Times New Roman"/>
          <w:sz w:val="24"/>
        </w:rPr>
      </w:pPr>
      <w:r>
        <w:rPr>
          <w:rFonts w:ascii="Times New Roman" w:hAnsi="Times New Roman"/>
          <w:sz w:val="24"/>
        </w:rPr>
        <w:t>提高施工及工作人员的保护意识，在场地设置警示牌，以提醒施工人员和运行期管理及养护人员加强野生动物保护意识，不人为伤害野生动物。施工人员必须遵守《中华人民共和国野生动物保护法》，严禁在施工区及其周围捕猎野生动物。</w:t>
      </w:r>
    </w:p>
    <w:p>
      <w:pPr>
        <w:spacing w:line="360" w:lineRule="auto"/>
        <w:ind w:firstLine="480" w:firstLineChars="200"/>
        <w:rPr>
          <w:rFonts w:ascii="Times New Roman" w:hAnsi="Times New Roman"/>
          <w:color w:val="000000"/>
          <w:sz w:val="24"/>
        </w:rPr>
      </w:pPr>
      <w:r>
        <w:rPr>
          <w:rFonts w:ascii="Times New Roman" w:hAnsi="Times New Roman"/>
          <w:color w:val="000000"/>
          <w:sz w:val="24"/>
        </w:rPr>
        <w:t>（4）</w:t>
      </w:r>
      <w:r>
        <w:rPr>
          <w:rFonts w:hint="eastAsia" w:ascii="Times New Roman" w:hAnsi="Times New Roman"/>
          <w:color w:val="000000"/>
          <w:sz w:val="24"/>
        </w:rPr>
        <w:t>水土流失保护措施</w:t>
      </w:r>
    </w:p>
    <w:p>
      <w:pPr>
        <w:spacing w:line="360" w:lineRule="auto"/>
        <w:ind w:firstLine="480" w:firstLineChars="200"/>
        <w:rPr>
          <w:rFonts w:ascii="Times New Roman" w:hAnsi="Times New Roman" w:eastAsia="新宋体"/>
          <w:color w:val="000000"/>
          <w:spacing w:val="-5"/>
          <w:sz w:val="24"/>
        </w:rPr>
      </w:pPr>
      <w:r>
        <w:rPr>
          <w:rFonts w:ascii="Times New Roman" w:hAnsi="Times New Roman"/>
          <w:color w:val="000000"/>
          <w:sz w:val="24"/>
        </w:rPr>
        <w:t>合理安排施工季节和作业时间，优化施工方案，尽量避免雨季进行大量开挖工程，减小水土流失。</w:t>
      </w:r>
      <w:r>
        <w:rPr>
          <w:rFonts w:hint="eastAsia" w:ascii="新宋体" w:hAnsi="新宋体" w:eastAsia="新宋体"/>
          <w:color w:val="000000"/>
          <w:sz w:val="24"/>
        </w:rPr>
        <w:t>施工砂土在室内堆放或搭建顶棚， 大风天气设置围档。场地平整后尽快夯实、硬化，大风天气适量洒水等。</w:t>
      </w:r>
      <w:r>
        <w:rPr>
          <w:rFonts w:ascii="Times New Roman" w:hAnsi="Times New Roman" w:eastAsia="新宋体"/>
          <w:color w:val="000000"/>
          <w:spacing w:val="-2"/>
          <w:sz w:val="24"/>
        </w:rPr>
        <w:t>施工前应在施工场</w:t>
      </w:r>
      <w:r>
        <w:rPr>
          <w:rFonts w:ascii="Times New Roman" w:hAnsi="Times New Roman" w:eastAsia="新宋体"/>
          <w:color w:val="000000"/>
          <w:sz w:val="24"/>
        </w:rPr>
        <w:t>地内布设临时简易排水沟，以便于施工期能及时导出地面径流</w:t>
      </w:r>
      <w:r>
        <w:rPr>
          <w:rFonts w:hint="eastAsia" w:ascii="Times New Roman" w:hAnsi="Times New Roman" w:eastAsia="新宋体"/>
          <w:color w:val="000000"/>
          <w:sz w:val="24"/>
        </w:rPr>
        <w:t>。</w:t>
      </w:r>
      <w:r>
        <w:rPr>
          <w:rFonts w:ascii="Times New Roman" w:hAnsi="Times New Roman" w:eastAsia="新宋体"/>
          <w:color w:val="000000"/>
          <w:spacing w:val="-2"/>
          <w:sz w:val="24"/>
        </w:rPr>
        <w:t>采取临时防护和排水措施，以纤维布覆盖并在堆土两侧修筑临时排水沟，以防降雨侵蚀或</w:t>
      </w:r>
      <w:r>
        <w:rPr>
          <w:rFonts w:ascii="Times New Roman" w:hAnsi="Times New Roman" w:eastAsia="新宋体"/>
          <w:color w:val="000000"/>
          <w:spacing w:val="-96"/>
          <w:sz w:val="24"/>
        </w:rPr>
        <w:t xml:space="preserve"> </w:t>
      </w:r>
      <w:r>
        <w:rPr>
          <w:rFonts w:ascii="Times New Roman" w:hAnsi="Times New Roman" w:eastAsia="新宋体"/>
          <w:color w:val="000000"/>
          <w:sz w:val="24"/>
        </w:rPr>
        <w:t>风蚀的发生；对各项动土工程，在分项工程结束后，及时进入下一道工序或建立防护措施，减</w:t>
      </w:r>
      <w:r>
        <w:rPr>
          <w:rFonts w:ascii="Times New Roman" w:hAnsi="Times New Roman" w:eastAsia="新宋体"/>
          <w:color w:val="000000"/>
          <w:spacing w:val="-5"/>
          <w:sz w:val="24"/>
        </w:rPr>
        <w:t>少土壤侵蚀源暴露时间，有效控制水土流失。</w:t>
      </w:r>
    </w:p>
    <w:p>
      <w:pPr>
        <w:pStyle w:val="2"/>
        <w:spacing w:line="360" w:lineRule="auto"/>
        <w:ind w:firstLine="480" w:firstLineChars="200"/>
        <w:rPr>
          <w:color w:val="000000"/>
          <w:sz w:val="24"/>
          <w:szCs w:val="24"/>
        </w:rPr>
      </w:pPr>
      <w:r>
        <w:rPr>
          <w:rFonts w:hint="eastAsia"/>
          <w:color w:val="000000"/>
          <w:sz w:val="24"/>
          <w:szCs w:val="24"/>
        </w:rPr>
        <w:t>综上所述，虽新增占地，但破坏林地较少，目前正在办理相关林业手续，见附件，但是由于施工扬尘的飞扬会间接地影响植被的生长，采取合理的生态减缓措施下，其生态影响较小，并且随着施工期的结束其影响也随之结束。</w:t>
      </w:r>
    </w:p>
    <w:p>
      <w:pPr>
        <w:pStyle w:val="4"/>
        <w:rPr>
          <w:rFonts w:ascii="Times New Roman" w:hAnsi="Times New Roman"/>
        </w:rPr>
      </w:pPr>
      <w:bookmarkStart w:id="506" w:name="_Toc486350019"/>
      <w:bookmarkStart w:id="507" w:name="_Toc484616315"/>
      <w:bookmarkStart w:id="508" w:name="_Toc3643"/>
      <w:bookmarkStart w:id="509" w:name="_Toc6033"/>
      <w:bookmarkStart w:id="510" w:name="_Toc16283"/>
      <w:bookmarkStart w:id="511" w:name="_Toc25958"/>
      <w:r>
        <w:rPr>
          <w:rFonts w:ascii="Times New Roman" w:hAnsi="Times New Roman"/>
        </w:rPr>
        <w:t>7.2运营期污染防治措施</w:t>
      </w:r>
      <w:bookmarkEnd w:id="506"/>
      <w:bookmarkEnd w:id="507"/>
      <w:bookmarkEnd w:id="508"/>
      <w:bookmarkEnd w:id="509"/>
      <w:bookmarkEnd w:id="510"/>
      <w:bookmarkEnd w:id="511"/>
    </w:p>
    <w:p>
      <w:pPr>
        <w:widowControl/>
        <w:adjustRightInd w:val="0"/>
        <w:snapToGrid w:val="0"/>
        <w:spacing w:line="360" w:lineRule="auto"/>
        <w:outlineLvl w:val="2"/>
        <w:rPr>
          <w:rFonts w:ascii="Times New Roman" w:hAnsi="Times New Roman"/>
          <w:b/>
          <w:sz w:val="24"/>
        </w:rPr>
      </w:pPr>
      <w:bookmarkStart w:id="512" w:name="_Toc19596"/>
      <w:bookmarkStart w:id="513" w:name="_Toc13889"/>
      <w:bookmarkStart w:id="514" w:name="_Toc22085"/>
      <w:r>
        <w:rPr>
          <w:rFonts w:ascii="Times New Roman" w:hAnsi="Times New Roman"/>
          <w:b/>
          <w:sz w:val="24"/>
        </w:rPr>
        <w:t>7.2.1废水</w:t>
      </w:r>
      <w:bookmarkEnd w:id="512"/>
      <w:bookmarkEnd w:id="513"/>
      <w:bookmarkEnd w:id="514"/>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本项目生产废水主要为</w:t>
      </w:r>
      <w:r>
        <w:rPr>
          <w:rFonts w:hint="eastAsia" w:ascii="Times New Roman" w:hAnsi="Times New Roman"/>
          <w:color w:val="000000"/>
          <w:sz w:val="24"/>
          <w:szCs w:val="24"/>
        </w:rPr>
        <w:t>尾矿压滤废水、尾矿库淋溶水。</w:t>
      </w:r>
    </w:p>
    <w:p>
      <w:pPr>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1、尾矿压滤废水</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本次拟建的压滤车间内压滤过程中会产生大量的尾矿浆</w:t>
      </w:r>
      <w:r>
        <w:rPr>
          <w:rFonts w:hint="eastAsia" w:ascii="Times New Roman" w:hAnsi="Times New Roman"/>
          <w:color w:val="000000"/>
          <w:sz w:val="24"/>
          <w:szCs w:val="24"/>
        </w:rPr>
        <w:t>，排放废水约为100t/d（30000t/a）。</w:t>
      </w:r>
      <w:r>
        <w:rPr>
          <w:rFonts w:ascii="Times New Roman" w:hAnsi="Times New Roman"/>
          <w:color w:val="000000"/>
          <w:sz w:val="24"/>
          <w:szCs w:val="24"/>
        </w:rPr>
        <w:t>经过新建的沉淀池</w:t>
      </w:r>
      <w:r>
        <w:rPr>
          <w:rFonts w:ascii="Times New Roman" w:hAnsi="Times New Roman"/>
          <w:bCs/>
          <w:color w:val="000000"/>
          <w:sz w:val="24"/>
          <w:szCs w:val="24"/>
        </w:rPr>
        <w:t>（容积为</w:t>
      </w:r>
      <w:r>
        <w:rPr>
          <w:rFonts w:hint="eastAsia" w:ascii="Times New Roman" w:hAnsi="Times New Roman"/>
          <w:bCs/>
          <w:color w:val="000000"/>
          <w:sz w:val="24"/>
          <w:szCs w:val="24"/>
        </w:rPr>
        <w:t>150</w:t>
      </w:r>
      <w:r>
        <w:rPr>
          <w:rFonts w:ascii="Times New Roman" w:hAnsi="Times New Roman"/>
          <w:bCs/>
          <w:color w:val="000000"/>
          <w:sz w:val="24"/>
          <w:szCs w:val="24"/>
        </w:rPr>
        <w:t>m</w:t>
      </w:r>
      <w:r>
        <w:rPr>
          <w:rFonts w:ascii="Times New Roman" w:hAnsi="Times New Roman"/>
          <w:bCs/>
          <w:color w:val="000000"/>
          <w:sz w:val="24"/>
          <w:szCs w:val="24"/>
          <w:vertAlign w:val="superscript"/>
        </w:rPr>
        <w:t>3</w:t>
      </w:r>
      <w:r>
        <w:rPr>
          <w:rFonts w:ascii="Times New Roman" w:hAnsi="Times New Roman"/>
          <w:bCs/>
          <w:color w:val="000000"/>
          <w:sz w:val="24"/>
          <w:szCs w:val="24"/>
        </w:rPr>
        <w:t>）</w:t>
      </w:r>
      <w:r>
        <w:rPr>
          <w:rFonts w:ascii="Times New Roman" w:hAnsi="Times New Roman"/>
          <w:color w:val="000000"/>
          <w:sz w:val="24"/>
          <w:szCs w:val="24"/>
        </w:rPr>
        <w:t>沉淀后，全部通过水泵打入选矿车间内现有流入高位水池内，回用于选矿生产，不外排。。</w:t>
      </w:r>
    </w:p>
    <w:p>
      <w:pPr>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2、尾矿库汛期淋溶水</w:t>
      </w:r>
    </w:p>
    <w:p>
      <w:pPr>
        <w:pStyle w:val="2"/>
        <w:spacing w:line="360" w:lineRule="auto"/>
        <w:ind w:firstLine="480" w:firstLineChars="200"/>
        <w:rPr>
          <w:rFonts w:ascii="Times New Roman" w:hAnsi="Times New Roman"/>
          <w:color w:val="000000"/>
          <w:sz w:val="24"/>
          <w:szCs w:val="24"/>
        </w:rPr>
      </w:pPr>
      <w:bookmarkStart w:id="515" w:name="_Toc20532"/>
      <w:bookmarkStart w:id="516" w:name="_Toc7039"/>
      <w:r>
        <w:rPr>
          <w:rFonts w:hint="eastAsia" w:ascii="Times New Roman" w:hAnsi="Times New Roman"/>
          <w:color w:val="000000"/>
          <w:sz w:val="24"/>
          <w:szCs w:val="24"/>
        </w:rPr>
        <w:t>夏季汛期尾矿库将产生淋溶水，经计算</w:t>
      </w:r>
      <w:r>
        <w:rPr>
          <w:rFonts w:ascii="Times New Roman" w:hAnsi="Times New Roman"/>
          <w:bCs/>
          <w:sz w:val="24"/>
        </w:rPr>
        <w:t>堆场淋溶水量约为0.38</w:t>
      </w:r>
      <w:r>
        <w:rPr>
          <w:rFonts w:hint="eastAsia" w:ascii="Times New Roman" w:hAnsi="Times New Roman"/>
          <w:bCs/>
          <w:sz w:val="24"/>
        </w:rPr>
        <w:t>t</w:t>
      </w:r>
      <w:r>
        <w:rPr>
          <w:rFonts w:ascii="Times New Roman" w:hAnsi="Times New Roman"/>
          <w:bCs/>
          <w:sz w:val="24"/>
        </w:rPr>
        <w:t>/d</w:t>
      </w:r>
      <w:r>
        <w:rPr>
          <w:rFonts w:hint="eastAsia" w:ascii="Times New Roman" w:hAnsi="Times New Roman"/>
          <w:bCs/>
          <w:sz w:val="24"/>
        </w:rPr>
        <w:t>（</w:t>
      </w:r>
      <w:r>
        <w:rPr>
          <w:rFonts w:ascii="Times New Roman" w:hAnsi="Times New Roman"/>
          <w:bCs/>
          <w:sz w:val="24"/>
        </w:rPr>
        <w:t>27.46t/a</w:t>
      </w:r>
      <w:r>
        <w:rPr>
          <w:rFonts w:hint="eastAsia" w:ascii="Times New Roman" w:hAnsi="Times New Roman"/>
          <w:bCs/>
          <w:sz w:val="24"/>
        </w:rPr>
        <w:t>）</w:t>
      </w:r>
      <w:r>
        <w:rPr>
          <w:rFonts w:hint="eastAsia" w:ascii="Times New Roman" w:hAnsi="Times New Roman"/>
          <w:color w:val="000000"/>
          <w:sz w:val="24"/>
          <w:szCs w:val="24"/>
        </w:rPr>
        <w:t>。通过新建的导流管流入尾矿库下游拟建沉淀池内（容积为50m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）沉淀后，通过水泵抽至压滤间沉淀池内回用于选矿工序，不外排。</w:t>
      </w:r>
    </w:p>
    <w:p>
      <w:pPr>
        <w:pStyle w:val="2"/>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3、压滤车间压滤工艺简介</w:t>
      </w:r>
    </w:p>
    <w:p>
      <w:pPr>
        <w:pStyle w:val="2"/>
        <w:spacing w:line="360" w:lineRule="auto"/>
        <w:ind w:firstLine="480" w:firstLineChars="200"/>
        <w:rPr>
          <w:rFonts w:ascii="Times New Roman" w:hAnsi="Times New Roman"/>
          <w:bCs/>
          <w:sz w:val="24"/>
          <w:szCs w:val="24"/>
        </w:rPr>
      </w:pPr>
      <w:r>
        <w:rPr>
          <w:rFonts w:ascii="Times New Roman" w:hAnsi="Times New Roman"/>
          <w:bCs/>
          <w:sz w:val="24"/>
          <w:szCs w:val="24"/>
        </w:rPr>
        <w:t>尾渣浆从项目现有</w:t>
      </w:r>
      <w:r>
        <w:rPr>
          <w:rFonts w:hint="eastAsia" w:ascii="Times New Roman" w:hAnsi="Times New Roman"/>
          <w:bCs/>
          <w:sz w:val="24"/>
          <w:szCs w:val="24"/>
        </w:rPr>
        <w:t>选矿</w:t>
      </w:r>
      <w:r>
        <w:rPr>
          <w:rFonts w:ascii="Times New Roman" w:hAnsi="Times New Roman"/>
          <w:bCs/>
          <w:sz w:val="24"/>
          <w:szCs w:val="24"/>
        </w:rPr>
        <w:t>车间通过液下泥浆泵抽至本次拟建压滤间内，具体工艺如下：</w:t>
      </w:r>
    </w:p>
    <w:p>
      <w:pPr>
        <w:pStyle w:val="2"/>
        <w:adjustRightInd w:val="0"/>
        <w:spacing w:line="360" w:lineRule="auto"/>
        <w:ind w:firstLine="480" w:firstLineChars="200"/>
        <w:rPr>
          <w:rFonts w:ascii="Times New Roman" w:hAnsi="Times New Roman"/>
          <w:color w:val="000000"/>
          <w:sz w:val="24"/>
          <w:szCs w:val="24"/>
        </w:rPr>
      </w:pPr>
      <w:r>
        <w:rPr>
          <w:rFonts w:ascii="Times New Roman" w:hAnsi="Times New Roman"/>
          <w:bCs/>
          <w:sz w:val="24"/>
          <w:szCs w:val="24"/>
        </w:rPr>
        <w:t>隔膜压滤机的原理设备独有设计，使得压滤机滤室中的隔膜两边形成了压力差，这个力是为混合液体中的液体通过隔膜提供了原始动力，这样液体就被从隔膜的渗析出来，固体则被隔膜阻挡在了隔膜上，在滤室之中，积累成为了滤饼。当滤饼达到设计范围内时，压滤机将停止进料</w:t>
      </w:r>
      <w:r>
        <w:rPr>
          <w:rFonts w:ascii="Times New Roman" w:hAnsi="Times New Roman"/>
          <w:color w:val="333333"/>
          <w:sz w:val="24"/>
          <w:szCs w:val="24"/>
          <w:shd w:val="clear" w:color="auto" w:fill="FFFFFF"/>
        </w:rPr>
        <w:t>，当隔膜压滤机停止进料时。设备自动向滤室内通入气体空气，使得隔膜向滤饼的空间膨胀，进一步的将滤室之中的滤饼进一步的压榨干燥，将滤饼中毛细水、结构水等水分去掉。</w:t>
      </w:r>
      <w:r>
        <w:rPr>
          <w:rFonts w:ascii="Times New Roman" w:hAnsi="Times New Roman"/>
          <w:color w:val="333333"/>
          <w:sz w:val="24"/>
          <w:szCs w:val="24"/>
          <w:shd w:val="clear" w:color="auto" w:fill="FFFFFF"/>
        </w:rPr>
        <w:br w:type="textWrapping"/>
      </w:r>
      <w:r>
        <w:rPr>
          <w:rFonts w:ascii="Times New Roman" w:hAnsi="Times New Roman"/>
          <w:color w:val="333333"/>
          <w:sz w:val="24"/>
          <w:szCs w:val="24"/>
          <w:shd w:val="clear" w:color="auto" w:fill="FFFFFF"/>
        </w:rPr>
        <w:t xml:space="preserve">    隔膜压滤机的滤板有着不同于别的压滤机设备的滤板。在结构上，隔膜压滤机的滤板采用了上方进料，下方空出料的设计，再加上凹出斜面设计，适当的增加了滤板上突出点的长度和密度，这样及有效的增加了过滤物与滤布的接触（及增加了有效的过滤面积），还增加了滤饼存量，减少了滤饼对滤板底部的压力。</w:t>
      </w:r>
    </w:p>
    <w:p>
      <w:pPr>
        <w:pStyle w:val="2"/>
        <w:tabs>
          <w:tab w:val="right" w:pos="7826"/>
        </w:tabs>
        <w:spacing w:after="0"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4、本项目废水零排放的可行性论证</w:t>
      </w:r>
    </w:p>
    <w:p>
      <w:pPr>
        <w:pStyle w:val="2"/>
        <w:tabs>
          <w:tab w:val="right" w:pos="7826"/>
        </w:tabs>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本项目废水主要包括尾矿压滤废水及尾矿库淋溶水。尾矿压滤废水均经过沉淀池处理后，全部流入选矿车间内高位水池，回用于选矿生产，不外排。尾矿库淋溶水通过导流排入拟建沉淀池内，再用泵抽到压滤车间沉淀池内，回用于选矿生产，不外排。管网均为露天输送，无需进行官网敷设本项目为扩建项目，现有项目存在选矿生产，生产废水不外排实际可以实现。综上所述，本项目废水可以做到零排放，不会对项目南侧10m处西南岔河产生影响。具有环境可行性。</w:t>
      </w:r>
    </w:p>
    <w:p>
      <w:pPr>
        <w:widowControl/>
        <w:adjustRightInd w:val="0"/>
        <w:snapToGrid w:val="0"/>
        <w:spacing w:line="360" w:lineRule="auto"/>
        <w:outlineLvl w:val="2"/>
        <w:rPr>
          <w:rFonts w:ascii="Times New Roman" w:hAnsi="Times New Roman"/>
          <w:b/>
          <w:sz w:val="24"/>
        </w:rPr>
      </w:pPr>
      <w:bookmarkStart w:id="517" w:name="_Toc9657"/>
      <w:r>
        <w:rPr>
          <w:rFonts w:ascii="Times New Roman" w:hAnsi="Times New Roman"/>
          <w:b/>
          <w:sz w:val="24"/>
        </w:rPr>
        <w:t>7.2.2废气</w:t>
      </w:r>
      <w:bookmarkEnd w:id="515"/>
      <w:bookmarkEnd w:id="516"/>
      <w:bookmarkEnd w:id="517"/>
    </w:p>
    <w:p>
      <w:pPr>
        <w:spacing w:line="360" w:lineRule="auto"/>
        <w:ind w:firstLine="480" w:firstLineChars="200"/>
        <w:jc w:val="left"/>
        <w:rPr>
          <w:rFonts w:ascii="Times New Roman" w:hAnsi="Times New Roman"/>
          <w:sz w:val="24"/>
          <w:szCs w:val="24"/>
        </w:rPr>
      </w:pPr>
      <w:r>
        <w:rPr>
          <w:rFonts w:ascii="Times New Roman" w:hAnsi="Times New Roman"/>
          <w:sz w:val="24"/>
          <w:szCs w:val="24"/>
        </w:rPr>
        <w:t>从本项目整个生产工艺分析，其大气污染物主要包括：尾矿库扬尘、</w:t>
      </w:r>
      <w:r>
        <w:rPr>
          <w:rFonts w:hint="eastAsia"/>
          <w:bCs/>
          <w:color w:val="000000"/>
          <w:sz w:val="24"/>
          <w:szCs w:val="24"/>
        </w:rPr>
        <w:t>胶带运输尾矿渣粉尘</w:t>
      </w:r>
      <w:r>
        <w:rPr>
          <w:rFonts w:ascii="Times New Roman" w:hAnsi="Times New Roman"/>
          <w:sz w:val="24"/>
          <w:szCs w:val="24"/>
        </w:rPr>
        <w:t>、运输扬尘。</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（1）尾矿库扬尘</w:t>
      </w:r>
    </w:p>
    <w:p>
      <w:pPr>
        <w:spacing w:line="360" w:lineRule="auto"/>
        <w:ind w:firstLine="480" w:firstLineChars="200"/>
        <w:jc w:val="left"/>
        <w:rPr>
          <w:rFonts w:ascii="Times New Roman" w:hAnsi="Times New Roman"/>
          <w:color w:val="000000"/>
        </w:rPr>
      </w:pPr>
      <w:r>
        <w:rPr>
          <w:rFonts w:ascii="Times New Roman" w:hAnsi="Times New Roman"/>
          <w:color w:val="000000"/>
          <w:sz w:val="24"/>
          <w:szCs w:val="24"/>
        </w:rPr>
        <w:t>在尾矿库表面积一定情况下，尾矿起尘量主要与风速和尾矿含水率有关，风速越高，含水率越低，起尘量越大，尾矿库倾倒后矿渣经碾压压实，定期对库内洒水降尘、加盖苫布，可降低90%粉尘量。能够满足《铁矿采选工业污染物排放标准》（GB28661-2012）中的排放浓度限值要求。</w:t>
      </w:r>
      <w:r>
        <w:rPr>
          <w:rFonts w:hint="eastAsia" w:ascii="Times New Roman" w:hAnsi="Times New Roman"/>
          <w:color w:val="000000"/>
          <w:sz w:val="24"/>
          <w:szCs w:val="24"/>
        </w:rPr>
        <w:t>该措施可行。</w:t>
      </w:r>
    </w:p>
    <w:p>
      <w:pPr>
        <w:pStyle w:val="2"/>
        <w:spacing w:after="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bCs/>
          <w:color w:val="000000"/>
          <w:sz w:val="24"/>
          <w:szCs w:val="24"/>
        </w:rPr>
        <w:t>胶带运输尾矿渣粉尘</w:t>
      </w:r>
    </w:p>
    <w:p>
      <w:pPr>
        <w:spacing w:line="360" w:lineRule="auto"/>
        <w:ind w:firstLine="480" w:firstLineChars="200"/>
        <w:jc w:val="left"/>
        <w:rPr>
          <w:rFonts w:ascii="Times New Roman" w:hAnsi="Times New Roman"/>
          <w:i/>
          <w:iCs/>
          <w:color w:val="000000"/>
          <w:sz w:val="24"/>
          <w:szCs w:val="24"/>
          <w:u w:val="single"/>
        </w:rPr>
      </w:pPr>
      <w:r>
        <w:rPr>
          <w:rFonts w:ascii="Times New Roman" w:hAnsi="Times New Roman"/>
          <w:bCs/>
          <w:color w:val="000000"/>
          <w:sz w:val="24"/>
          <w:szCs w:val="24"/>
        </w:rPr>
        <w:t>选</w:t>
      </w:r>
      <w:r>
        <w:rPr>
          <w:rFonts w:ascii="Times New Roman" w:hAnsi="Times New Roman"/>
          <w:sz w:val="24"/>
        </w:rPr>
        <w:t>压滤间压滤出来的尾矿渣在传送带输送至尾矿库过程中有少量无组织粉尘</w:t>
      </w:r>
      <w:r>
        <w:rPr>
          <w:rFonts w:ascii="Times New Roman" w:hAnsi="Times New Roman"/>
          <w:bCs/>
          <w:color w:val="000000"/>
          <w:sz w:val="24"/>
          <w:szCs w:val="24"/>
        </w:rPr>
        <w:t>。</w:t>
      </w:r>
      <w:r>
        <w:rPr>
          <w:rFonts w:ascii="Times New Roman" w:hAnsi="Times New Roman"/>
          <w:sz w:val="24"/>
        </w:rPr>
        <w:t>建议企业在传送带设备上封闭可大大减少粉尘排放量。</w:t>
      </w:r>
      <w:r>
        <w:rPr>
          <w:rFonts w:ascii="Times New Roman" w:hAnsi="Times New Roman"/>
          <w:bCs/>
          <w:color w:val="000000"/>
          <w:sz w:val="24"/>
          <w:szCs w:val="24"/>
        </w:rPr>
        <w:t>采取措施后的选矿粉尘能够满足</w:t>
      </w:r>
      <w:r>
        <w:rPr>
          <w:rFonts w:ascii="Times New Roman" w:hAnsi="Times New Roman"/>
          <w:color w:val="000000"/>
          <w:sz w:val="24"/>
          <w:szCs w:val="24"/>
        </w:rPr>
        <w:t>《铁矿采选工业污染物排放标准》（GB28661-2012）中的排放浓度限值（20 mg/m</w:t>
      </w:r>
      <w:r>
        <w:rPr>
          <w:rFonts w:ascii="Times New Roman" w:hAnsi="Times New Roman"/>
          <w:color w:val="000000"/>
          <w:sz w:val="24"/>
          <w:szCs w:val="24"/>
          <w:vertAlign w:val="superscript"/>
        </w:rPr>
        <w:t>3</w:t>
      </w:r>
      <w:r>
        <w:rPr>
          <w:rFonts w:ascii="Times New Roman" w:hAnsi="Times New Roman"/>
          <w:color w:val="000000"/>
          <w:sz w:val="24"/>
          <w:szCs w:val="24"/>
        </w:rPr>
        <w:t>）要求。</w:t>
      </w:r>
      <w:r>
        <w:rPr>
          <w:rFonts w:hint="eastAsia" w:ascii="Times New Roman" w:hAnsi="Times New Roman"/>
          <w:color w:val="000000"/>
          <w:sz w:val="24"/>
          <w:szCs w:val="24"/>
        </w:rPr>
        <w:t>该措施可行。</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w:t>
      </w:r>
      <w:r>
        <w:rPr>
          <w:rFonts w:hint="eastAsia" w:ascii="Times New Roman" w:hAnsi="Times New Roman"/>
          <w:bCs/>
          <w:color w:val="000000"/>
          <w:sz w:val="24"/>
          <w:szCs w:val="24"/>
        </w:rPr>
        <w:t>3</w:t>
      </w:r>
      <w:r>
        <w:rPr>
          <w:rFonts w:ascii="Times New Roman" w:hAnsi="Times New Roman"/>
          <w:bCs/>
          <w:color w:val="000000"/>
          <w:sz w:val="24"/>
          <w:szCs w:val="24"/>
        </w:rPr>
        <w:t>）</w:t>
      </w:r>
      <w:r>
        <w:rPr>
          <w:rFonts w:ascii="Times New Roman" w:hAnsi="Times New Roman"/>
          <w:sz w:val="24"/>
          <w:szCs w:val="24"/>
        </w:rPr>
        <w:t>运输扬尘</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w:t>
      </w:r>
      <w:r>
        <w:rPr>
          <w:rFonts w:hint="eastAsia" w:ascii="Times New Roman" w:hAnsi="Times New Roman"/>
          <w:color w:val="000000"/>
          <w:sz w:val="24"/>
          <w:szCs w:val="24"/>
        </w:rPr>
        <w:t>尾渣</w:t>
      </w:r>
      <w:r>
        <w:rPr>
          <w:rFonts w:ascii="Times New Roman" w:hAnsi="Times New Roman"/>
          <w:color w:val="000000"/>
          <w:sz w:val="24"/>
          <w:szCs w:val="24"/>
        </w:rPr>
        <w:t>在运输产生无组织扬尘。</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项目尾矿渣必须外运，运输路线从本项目位置至</w:t>
      </w:r>
      <w:r>
        <w:rPr>
          <w:rFonts w:hint="eastAsia" w:ascii="Times New Roman" w:hAnsi="Times New Roman"/>
          <w:color w:val="000000"/>
          <w:sz w:val="24"/>
          <w:szCs w:val="24"/>
        </w:rPr>
        <w:t>鹤大高速</w:t>
      </w:r>
      <w:r>
        <w:rPr>
          <w:rFonts w:ascii="Times New Roman" w:hAnsi="Times New Roman"/>
          <w:color w:val="000000"/>
          <w:sz w:val="24"/>
          <w:szCs w:val="24"/>
        </w:rPr>
        <w:t>，途径八道阳岔村等敏感点。在运输过程中会产生一定的扬尘，在此阶段路面扬尘排放不连续，建议对运输车辆采取苫布覆盖，定期对起尘路面洒水降尘。对周边的环境影响较小。</w:t>
      </w:r>
      <w:r>
        <w:rPr>
          <w:rFonts w:hint="eastAsia" w:ascii="Times New Roman" w:hAnsi="Times New Roman"/>
          <w:color w:val="000000"/>
          <w:sz w:val="24"/>
          <w:szCs w:val="24"/>
        </w:rPr>
        <w:t>该措施可行。</w:t>
      </w:r>
    </w:p>
    <w:p>
      <w:pPr>
        <w:widowControl/>
        <w:adjustRightInd w:val="0"/>
        <w:snapToGrid w:val="0"/>
        <w:spacing w:line="360" w:lineRule="auto"/>
        <w:outlineLvl w:val="0"/>
        <w:rPr>
          <w:rFonts w:ascii="Times New Roman" w:hAnsi="Times New Roman"/>
          <w:b/>
          <w:sz w:val="24"/>
        </w:rPr>
      </w:pPr>
      <w:bookmarkStart w:id="518" w:name="_Toc16546"/>
      <w:bookmarkStart w:id="519" w:name="_Toc22813"/>
      <w:r>
        <w:rPr>
          <w:rFonts w:ascii="Times New Roman" w:hAnsi="Times New Roman"/>
          <w:b/>
          <w:sz w:val="24"/>
        </w:rPr>
        <w:t>7.2.3噪声</w:t>
      </w:r>
      <w:bookmarkEnd w:id="518"/>
      <w:bookmarkEnd w:id="519"/>
    </w:p>
    <w:p>
      <w:pPr>
        <w:spacing w:line="360" w:lineRule="auto"/>
        <w:ind w:firstLine="480" w:firstLineChars="200"/>
        <w:rPr>
          <w:bCs/>
          <w:color w:val="000000"/>
          <w:sz w:val="24"/>
          <w:szCs w:val="24"/>
        </w:rPr>
      </w:pPr>
      <w:r>
        <w:rPr>
          <w:rFonts w:hint="eastAsia"/>
          <w:bCs/>
          <w:color w:val="000000"/>
          <w:sz w:val="24"/>
          <w:szCs w:val="24"/>
        </w:rPr>
        <w:t>本项目噪声来源主要来自</w:t>
      </w:r>
      <w:r>
        <w:rPr>
          <w:rFonts w:hint="eastAsia" w:ascii="Times New Roman" w:hAnsi="Times New Roman"/>
          <w:bCs/>
          <w:color w:val="000000"/>
          <w:sz w:val="24"/>
          <w:szCs w:val="24"/>
        </w:rPr>
        <w:t>压滤间内压滤机、渣浆泵、空压机、泥浆泵、起重机</w:t>
      </w:r>
      <w:r>
        <w:rPr>
          <w:rFonts w:hint="eastAsia"/>
          <w:bCs/>
          <w:color w:val="000000"/>
          <w:sz w:val="24"/>
          <w:szCs w:val="24"/>
        </w:rPr>
        <w:t>等设备在运行中产生的噪声及运输车辆产生的交通噪声，必须采取防治措施，减少对外环境的影响。</w:t>
      </w:r>
    </w:p>
    <w:p>
      <w:pPr>
        <w:spacing w:line="360" w:lineRule="auto"/>
        <w:ind w:firstLine="480" w:firstLineChars="200"/>
        <w:rPr>
          <w:bCs/>
          <w:color w:val="000000"/>
          <w:sz w:val="24"/>
          <w:szCs w:val="24"/>
        </w:rPr>
      </w:pPr>
      <w:r>
        <w:rPr>
          <w:rFonts w:hint="eastAsia"/>
          <w:bCs/>
          <w:color w:val="000000"/>
          <w:sz w:val="24"/>
          <w:szCs w:val="24"/>
        </w:rPr>
        <w:t>（1）机械设备噪声</w:t>
      </w:r>
    </w:p>
    <w:p>
      <w:pPr>
        <w:spacing w:line="360" w:lineRule="auto"/>
        <w:ind w:firstLine="480" w:firstLineChars="200"/>
        <w:rPr>
          <w:bCs/>
          <w:color w:val="000000"/>
          <w:sz w:val="24"/>
          <w:szCs w:val="24"/>
        </w:rPr>
      </w:pPr>
      <w:r>
        <w:rPr>
          <w:rFonts w:hint="eastAsia" w:ascii="宋体" w:hAnsi="宋体" w:cs="宋体"/>
          <w:bCs/>
          <w:color w:val="000000"/>
          <w:sz w:val="24"/>
          <w:szCs w:val="24"/>
        </w:rPr>
        <w:t>①</w:t>
      </w:r>
      <w:r>
        <w:rPr>
          <w:bCs/>
          <w:color w:val="000000"/>
          <w:sz w:val="24"/>
          <w:szCs w:val="24"/>
        </w:rPr>
        <w:t>采取声学控制措施，在设备选型定货时尽量选用低噪声型号的设备；</w:t>
      </w:r>
    </w:p>
    <w:p>
      <w:pPr>
        <w:spacing w:line="360" w:lineRule="auto"/>
        <w:ind w:firstLine="480" w:firstLineChars="200"/>
        <w:rPr>
          <w:bCs/>
          <w:color w:val="000000"/>
          <w:sz w:val="24"/>
          <w:szCs w:val="24"/>
        </w:rPr>
      </w:pPr>
      <w:r>
        <w:rPr>
          <w:rFonts w:hint="eastAsia"/>
          <w:bCs/>
          <w:color w:val="000000"/>
          <w:sz w:val="24"/>
          <w:szCs w:val="24"/>
        </w:rPr>
        <w:t>②</w:t>
      </w:r>
      <w:r>
        <w:rPr>
          <w:bCs/>
          <w:color w:val="000000"/>
          <w:sz w:val="24"/>
          <w:szCs w:val="24"/>
        </w:rPr>
        <w:t>对主要噪声源，如</w:t>
      </w:r>
      <w:r>
        <w:rPr>
          <w:rFonts w:hint="eastAsia" w:ascii="Times New Roman" w:hAnsi="Times New Roman"/>
          <w:bCs/>
          <w:color w:val="000000"/>
          <w:sz w:val="24"/>
          <w:szCs w:val="24"/>
        </w:rPr>
        <w:t>压滤间内压滤机、渣浆泵、空压机、泥浆泵</w:t>
      </w:r>
      <w:r>
        <w:rPr>
          <w:bCs/>
          <w:color w:val="000000"/>
          <w:sz w:val="24"/>
          <w:szCs w:val="24"/>
        </w:rPr>
        <w:t>等安装消声器、隔声罩和基础减振等降低噪声。</w:t>
      </w:r>
    </w:p>
    <w:p>
      <w:pPr>
        <w:spacing w:line="360" w:lineRule="auto"/>
        <w:ind w:firstLine="480" w:firstLineChars="200"/>
        <w:rPr>
          <w:bCs/>
          <w:color w:val="000000"/>
          <w:sz w:val="24"/>
          <w:szCs w:val="24"/>
        </w:rPr>
      </w:pPr>
      <w:r>
        <w:rPr>
          <w:rFonts w:hint="eastAsia"/>
          <w:bCs/>
          <w:color w:val="000000"/>
          <w:sz w:val="24"/>
          <w:szCs w:val="24"/>
        </w:rPr>
        <w:t>③将压滤间内的</w:t>
      </w:r>
      <w:r>
        <w:rPr>
          <w:bCs/>
          <w:color w:val="000000"/>
          <w:sz w:val="24"/>
          <w:szCs w:val="24"/>
        </w:rPr>
        <w:t>强噪声设备</w:t>
      </w:r>
      <w:r>
        <w:rPr>
          <w:rFonts w:hint="eastAsia"/>
          <w:bCs/>
          <w:color w:val="000000"/>
          <w:sz w:val="24"/>
          <w:szCs w:val="24"/>
        </w:rPr>
        <w:t>放置于 封闭厂房内，</w:t>
      </w:r>
      <w:r>
        <w:rPr>
          <w:bCs/>
          <w:color w:val="000000"/>
          <w:sz w:val="24"/>
          <w:szCs w:val="24"/>
        </w:rPr>
        <w:t>采取隔声、吸声材料制作门窗、砌体等，减小噪声的扩散和传播。</w:t>
      </w:r>
    </w:p>
    <w:p>
      <w:pPr>
        <w:spacing w:line="360" w:lineRule="auto"/>
        <w:ind w:firstLine="480" w:firstLineChars="200"/>
        <w:rPr>
          <w:bCs/>
          <w:color w:val="000000"/>
          <w:sz w:val="24"/>
          <w:szCs w:val="24"/>
        </w:rPr>
      </w:pPr>
      <w:r>
        <w:rPr>
          <w:rFonts w:hint="eastAsia"/>
          <w:bCs/>
          <w:color w:val="000000"/>
          <w:sz w:val="24"/>
          <w:szCs w:val="24"/>
        </w:rPr>
        <w:t>④</w:t>
      </w:r>
      <w:r>
        <w:rPr>
          <w:bCs/>
          <w:color w:val="000000"/>
          <w:sz w:val="24"/>
          <w:szCs w:val="24"/>
        </w:rPr>
        <w:t>在噪声传播途径上增设吸声、声屏障等降低噪声；</w:t>
      </w:r>
      <w:r>
        <w:rPr>
          <w:rFonts w:hint="eastAsia"/>
          <w:bCs/>
          <w:color w:val="000000"/>
          <w:sz w:val="24"/>
          <w:szCs w:val="24"/>
        </w:rPr>
        <w:t>由于周围均为山林环境，起到很好的吸声降噪效果。</w:t>
      </w:r>
    </w:p>
    <w:p>
      <w:pPr>
        <w:pStyle w:val="73"/>
        <w:adjustRightInd w:val="0"/>
        <w:snapToGrid w:val="0"/>
        <w:rPr>
          <w:rFonts w:ascii="Times New Roman" w:hAnsi="Times New Roman"/>
          <w:color w:val="000000"/>
          <w:szCs w:val="24"/>
        </w:rPr>
      </w:pPr>
      <w:r>
        <w:rPr>
          <w:rFonts w:hint="eastAsia" w:ascii="Times New Roman" w:hAnsi="Times New Roman"/>
          <w:color w:val="000000"/>
          <w:szCs w:val="24"/>
        </w:rPr>
        <w:t>⑤生产设备要注意润滑，并对老化和性能降低的旧设备进行及时更换。</w:t>
      </w:r>
    </w:p>
    <w:p>
      <w:pPr>
        <w:pStyle w:val="73"/>
        <w:adjustRightInd w:val="0"/>
        <w:snapToGrid w:val="0"/>
        <w:rPr>
          <w:rFonts w:ascii="Times New Roman" w:hAnsi="Times New Roman"/>
          <w:color w:val="000000"/>
          <w:szCs w:val="24"/>
        </w:rPr>
      </w:pPr>
      <w:r>
        <w:rPr>
          <w:rFonts w:hint="eastAsia"/>
          <w:color w:val="000000"/>
          <w:szCs w:val="24"/>
        </w:rPr>
        <w:t>⑥</w:t>
      </w:r>
      <w:r>
        <w:rPr>
          <w:rFonts w:hint="eastAsia" w:ascii="Times New Roman" w:hAnsi="Times New Roman"/>
          <w:color w:val="000000"/>
          <w:szCs w:val="24"/>
        </w:rPr>
        <w:t>加强对高噪声设备的管理和维护。随着使用年限的增加，设备噪声可能有所增加，故应在有关环保人员的统一管理下，定期检查、检测，发现噪声超标要及时治理并增加相关岗位工人的个体防护。</w:t>
      </w:r>
    </w:p>
    <w:p>
      <w:pPr>
        <w:adjustRightInd w:val="0"/>
        <w:snapToGrid w:val="0"/>
        <w:spacing w:line="360" w:lineRule="auto"/>
        <w:ind w:firstLine="480" w:firstLineChars="200"/>
        <w:rPr>
          <w:color w:val="000000"/>
        </w:rPr>
      </w:pPr>
      <w:r>
        <w:rPr>
          <w:rFonts w:hint="eastAsia" w:ascii="宋体" w:hAnsi="宋体" w:cs="宋体"/>
          <w:color w:val="000000"/>
          <w:sz w:val="24"/>
          <w:szCs w:val="24"/>
        </w:rPr>
        <w:t>⑦</w:t>
      </w:r>
      <w:r>
        <w:rPr>
          <w:rFonts w:hint="eastAsia" w:ascii="Times New Roman" w:hAnsi="Times New Roman"/>
          <w:color w:val="000000"/>
          <w:sz w:val="24"/>
          <w:szCs w:val="24"/>
        </w:rPr>
        <w:t>工人在日常工作时应该佩戴噪声耳塞或者耳罩，降低噪声对工作人员的影响。</w:t>
      </w:r>
    </w:p>
    <w:p>
      <w:pPr>
        <w:spacing w:line="360" w:lineRule="auto"/>
        <w:ind w:firstLine="480" w:firstLineChars="200"/>
        <w:jc w:val="left"/>
        <w:rPr>
          <w:color w:val="000000"/>
          <w:sz w:val="24"/>
          <w:szCs w:val="24"/>
        </w:rPr>
      </w:pPr>
      <w:r>
        <w:rPr>
          <w:rFonts w:hint="eastAsia"/>
          <w:color w:val="000000"/>
          <w:sz w:val="24"/>
          <w:szCs w:val="24"/>
        </w:rPr>
        <w:t>（2）运输车辆噪声</w:t>
      </w:r>
    </w:p>
    <w:p>
      <w:pPr>
        <w:pStyle w:val="13"/>
        <w:adjustRightInd w:val="0"/>
        <w:snapToGrid w:val="0"/>
        <w:spacing w:after="0" w:line="360" w:lineRule="auto"/>
        <w:ind w:left="0" w:firstLine="480" w:firstLineChars="200"/>
        <w:rPr>
          <w:rFonts w:ascii="Times New Roman" w:hAnsi="Times New Roman"/>
          <w:color w:val="000000"/>
          <w:sz w:val="24"/>
        </w:rPr>
      </w:pPr>
      <w:r>
        <w:rPr>
          <w:rFonts w:ascii="Times New Roman" w:hAnsi="Times New Roman"/>
          <w:color w:val="000000"/>
          <w:sz w:val="24"/>
        </w:rPr>
        <w:t>由于本项目精矿石需要外运，采用避开居民休息时间实施运输等方法，运输车辆夜间经过村屯时，限制行车速递，严禁鸣笛等，减少夜间行车速度等，降低运输过程对周围声环境的影响。</w:t>
      </w:r>
      <w:r>
        <w:rPr>
          <w:rFonts w:hint="eastAsia" w:ascii="Times New Roman" w:hAnsi="Times New Roman"/>
          <w:color w:val="000000"/>
          <w:sz w:val="24"/>
        </w:rPr>
        <w:t>该措施可行。</w:t>
      </w:r>
    </w:p>
    <w:p>
      <w:pPr>
        <w:widowControl/>
        <w:adjustRightInd w:val="0"/>
        <w:snapToGrid w:val="0"/>
        <w:spacing w:line="360" w:lineRule="auto"/>
        <w:outlineLvl w:val="0"/>
        <w:rPr>
          <w:rFonts w:ascii="Times New Roman" w:hAnsi="Times New Roman"/>
          <w:b/>
          <w:color w:val="000000"/>
          <w:sz w:val="24"/>
        </w:rPr>
      </w:pPr>
      <w:bookmarkStart w:id="520" w:name="_Toc17760"/>
      <w:bookmarkStart w:id="521" w:name="_Toc342"/>
      <w:bookmarkStart w:id="522" w:name="_Toc26984"/>
      <w:r>
        <w:rPr>
          <w:rFonts w:ascii="Times New Roman" w:hAnsi="Times New Roman"/>
          <w:b/>
          <w:color w:val="000000"/>
          <w:sz w:val="24"/>
        </w:rPr>
        <w:t>7.2.4地下水</w:t>
      </w:r>
      <w:bookmarkEnd w:id="520"/>
      <w:bookmarkEnd w:id="521"/>
      <w:bookmarkEnd w:id="522"/>
    </w:p>
    <w:p>
      <w:pPr>
        <w:adjustRightInd w:val="0"/>
        <w:snapToGrid w:val="0"/>
        <w:spacing w:line="360" w:lineRule="auto"/>
        <w:ind w:firstLine="480" w:firstLineChars="200"/>
        <w:rPr>
          <w:sz w:val="24"/>
        </w:rPr>
      </w:pPr>
      <w:r>
        <w:rPr>
          <w:rFonts w:ascii="Times New Roman" w:hAnsi="Times New Roman"/>
          <w:sz w:val="24"/>
        </w:rPr>
        <w:t>根据《环境影响技术评价导则 地下水环境》（HJ610-2016）的要求，地下水保护措施与对策应符合《中华人民共和国水污染防治法》的相关规定，按照“源头控制，分区防控，污染监控，应急响应”突出饮用水水质安全的原则，结合本次工作中地下水现状调查与预测评价结论，制定本项目的地下水污染防控措施</w:t>
      </w:r>
      <w:r>
        <w:rPr>
          <w:sz w:val="24"/>
        </w:rPr>
        <w:t>。</w:t>
      </w:r>
    </w:p>
    <w:p>
      <w:pPr>
        <w:widowControl/>
        <w:adjustRightInd w:val="0"/>
        <w:snapToGrid w:val="0"/>
        <w:spacing w:line="360" w:lineRule="auto"/>
        <w:outlineLvl w:val="0"/>
        <w:rPr>
          <w:rFonts w:ascii="Times New Roman" w:hAnsi="Times New Roman"/>
          <w:b/>
          <w:sz w:val="24"/>
        </w:rPr>
      </w:pPr>
      <w:bookmarkStart w:id="523" w:name="_Toc25299"/>
      <w:bookmarkStart w:id="524" w:name="_Toc28065"/>
      <w:bookmarkStart w:id="525" w:name="_Toc4374"/>
      <w:r>
        <w:rPr>
          <w:rFonts w:ascii="Times New Roman" w:hAnsi="Times New Roman"/>
          <w:b/>
          <w:sz w:val="24"/>
        </w:rPr>
        <w:t>7.2.4.1</w:t>
      </w:r>
      <w:bookmarkEnd w:id="523"/>
      <w:bookmarkStart w:id="526" w:name="_Toc30650"/>
      <w:r>
        <w:rPr>
          <w:rFonts w:ascii="Times New Roman" w:hAnsi="Times New Roman"/>
          <w:b/>
          <w:sz w:val="24"/>
        </w:rPr>
        <w:t>源头控制</w:t>
      </w:r>
      <w:bookmarkEnd w:id="524"/>
      <w:bookmarkEnd w:id="525"/>
      <w:bookmarkEnd w:id="526"/>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（1）工艺装置及池体设计</w:t>
      </w:r>
    </w:p>
    <w:p>
      <w:pPr>
        <w:pStyle w:val="42"/>
        <w:spacing w:line="360" w:lineRule="auto"/>
        <w:ind w:firstLine="480" w:firstLineChars="200"/>
        <w:rPr>
          <w:rFonts w:ascii="Times New Roman" w:hAnsi="Times New Roman"/>
          <w:szCs w:val="24"/>
        </w:rPr>
      </w:pPr>
      <w:r>
        <w:rPr>
          <w:rFonts w:ascii="Times New Roman" w:hAnsi="Times New Roman"/>
          <w:szCs w:val="24"/>
        </w:rPr>
        <w:t>本次扩建项目主要的污染源为</w:t>
      </w:r>
      <w:r>
        <w:rPr>
          <w:rFonts w:ascii="Times New Roman" w:hAnsi="Times New Roman"/>
          <w:color w:val="000000"/>
          <w:szCs w:val="24"/>
        </w:rPr>
        <w:t>尾矿压滤废水以及尾矿库淋溶水</w:t>
      </w:r>
      <w:r>
        <w:rPr>
          <w:rFonts w:ascii="Times New Roman" w:hAnsi="Times New Roman"/>
          <w:szCs w:val="24"/>
        </w:rPr>
        <w:t>。</w:t>
      </w:r>
      <w:r>
        <w:rPr>
          <w:rFonts w:ascii="Times New Roman" w:hAnsi="Times New Roman"/>
          <w:color w:val="000000"/>
          <w:kern w:val="2"/>
          <w:szCs w:val="24"/>
        </w:rPr>
        <w:t>尾矿压滤废水经过新建的沉淀池（容积为150m</w:t>
      </w:r>
      <w:r>
        <w:rPr>
          <w:rFonts w:ascii="Times New Roman" w:hAnsi="Times New Roman"/>
          <w:color w:val="000000"/>
          <w:kern w:val="2"/>
          <w:szCs w:val="24"/>
          <w:vertAlign w:val="superscript"/>
        </w:rPr>
        <w:t>3</w:t>
      </w:r>
      <w:r>
        <w:rPr>
          <w:rFonts w:ascii="Times New Roman" w:hAnsi="Times New Roman"/>
          <w:color w:val="000000"/>
          <w:kern w:val="2"/>
          <w:szCs w:val="24"/>
        </w:rPr>
        <w:t>）沉淀后，全部通过水泵打入选矿车间内现有流入高位水池内，回用于选矿生产，不外排。。尾矿库汛期淋溶水通过新建的导流管流入尾矿库下游拟建沉淀池内（容积为50m</w:t>
      </w:r>
      <w:r>
        <w:rPr>
          <w:rFonts w:ascii="Times New Roman" w:hAnsi="Times New Roman"/>
          <w:color w:val="000000"/>
          <w:kern w:val="2"/>
          <w:szCs w:val="24"/>
          <w:vertAlign w:val="superscript"/>
        </w:rPr>
        <w:t>3</w:t>
      </w:r>
      <w:r>
        <w:rPr>
          <w:rFonts w:ascii="Times New Roman" w:hAnsi="Times New Roman"/>
          <w:color w:val="000000"/>
          <w:kern w:val="2"/>
          <w:szCs w:val="24"/>
        </w:rPr>
        <w:t>）沉淀后，通过水泵抽至压滤间沉淀池内回用于选矿工序，不外排</w:t>
      </w:r>
      <w:r>
        <w:rPr>
          <w:rFonts w:ascii="Times New Roman" w:hAnsi="Times New Roman"/>
          <w:color w:val="000000"/>
          <w:szCs w:val="24"/>
        </w:rPr>
        <w:t>。</w:t>
      </w:r>
      <w:r>
        <w:rPr>
          <w:rFonts w:ascii="Times New Roman" w:hAnsi="Times New Roman"/>
          <w:szCs w:val="24"/>
        </w:rPr>
        <w:t>本项目要求对各池体及尾矿库进行防渗。</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污染源头的控制包括上述各类设施，严格按照国家相关规范要求，对管道、设备及相关构筑物采取相应的措施，以防止和降低涂料的跑、冒、滴、漏，将涂料泄漏的环境风险事故降低到最低程度，做到污染物 “早发现、早处理”。</w:t>
      </w:r>
    </w:p>
    <w:p>
      <w:pPr>
        <w:snapToGrid w:val="0"/>
        <w:spacing w:line="360" w:lineRule="auto"/>
        <w:ind w:firstLine="480" w:firstLineChars="200"/>
        <w:rPr>
          <w:rFonts w:ascii="Times New Roman" w:hAnsi="Times New Roman"/>
          <w:sz w:val="24"/>
          <w:szCs w:val="24"/>
        </w:rPr>
      </w:pPr>
      <w:r>
        <w:rPr>
          <w:rFonts w:ascii="Times New Roman" w:hAnsi="Times New Roman"/>
          <w:sz w:val="24"/>
          <w:szCs w:val="24"/>
        </w:rPr>
        <w:t>切实贯彻执行“预防为主、防治结合”的方针，严禁渗坑渗井排放，尾矿库全部硬化和密封，严禁下渗污染。按“先地下、后地上，先基础、后主体”的原则，通过规划布局调整结构来控制污染，和对控制新污染源的产生有重要的作用。</w:t>
      </w:r>
    </w:p>
    <w:p>
      <w:pPr>
        <w:snapToGrid w:val="0"/>
        <w:spacing w:line="360" w:lineRule="auto"/>
        <w:ind w:firstLine="480" w:firstLineChars="200"/>
        <w:rPr>
          <w:sz w:val="24"/>
        </w:rPr>
      </w:pPr>
      <w:r>
        <w:rPr>
          <w:sz w:val="24"/>
        </w:rPr>
        <w:t>（2）防扩散措施</w:t>
      </w:r>
    </w:p>
    <w:p>
      <w:pPr>
        <w:spacing w:line="360" w:lineRule="auto"/>
        <w:ind w:firstLine="480" w:firstLineChars="200"/>
        <w:rPr>
          <w:sz w:val="24"/>
        </w:rPr>
      </w:pPr>
      <w:r>
        <w:rPr>
          <w:sz w:val="24"/>
        </w:rPr>
        <w:t>项目在建设及运营期应采取以下措施：</w:t>
      </w:r>
    </w:p>
    <w:p>
      <w:pPr>
        <w:spacing w:line="360" w:lineRule="auto"/>
        <w:ind w:firstLine="480" w:firstLineChars="200"/>
        <w:rPr>
          <w:sz w:val="24"/>
        </w:rPr>
      </w:pPr>
      <w:r>
        <w:rPr>
          <w:rFonts w:hint="eastAsia" w:ascii="宋体" w:hAnsi="宋体" w:cs="宋体"/>
          <w:sz w:val="24"/>
        </w:rPr>
        <w:t>①</w:t>
      </w:r>
      <w:r>
        <w:rPr>
          <w:sz w:val="24"/>
        </w:rPr>
        <w:t>根据地下水预测结果，项目防渗层如果发生破损等防渗层性能降低的情况下，项目污染源对潜水含水层环境有一定的影响，因此环评要求应对</w:t>
      </w:r>
      <w:r>
        <w:rPr>
          <w:rFonts w:hint="eastAsia"/>
          <w:sz w:val="24"/>
        </w:rPr>
        <w:t>沉淀池</w:t>
      </w:r>
      <w:r>
        <w:rPr>
          <w:sz w:val="24"/>
        </w:rPr>
        <w:t>以及</w:t>
      </w:r>
      <w:r>
        <w:rPr>
          <w:rFonts w:hint="eastAsia"/>
          <w:sz w:val="24"/>
        </w:rPr>
        <w:t>尾矿库</w:t>
      </w:r>
      <w:r>
        <w:rPr>
          <w:sz w:val="24"/>
        </w:rPr>
        <w:t>设置必要的检漏时间及周期，在一个检漏周期内，对可能有污染物跑冒滴漏等产生的地区进行必要的检漏工作，及时发现污染物渗漏等事件，采取补救措施。</w:t>
      </w:r>
    </w:p>
    <w:p>
      <w:pPr>
        <w:spacing w:line="360" w:lineRule="auto"/>
        <w:ind w:firstLine="480" w:firstLineChars="200"/>
        <w:rPr>
          <w:sz w:val="24"/>
        </w:rPr>
      </w:pPr>
      <w:r>
        <w:rPr>
          <w:rFonts w:hint="eastAsia" w:ascii="宋体" w:hAnsi="宋体" w:cs="宋体"/>
          <w:sz w:val="24"/>
        </w:rPr>
        <w:t>②</w:t>
      </w:r>
      <w:r>
        <w:rPr>
          <w:sz w:val="24"/>
        </w:rPr>
        <w:t>需要在下游设置专门的地下水污染监控井，以作为日常地下水监控及风险应急状态的地下水监控井。</w:t>
      </w:r>
    </w:p>
    <w:p>
      <w:pPr>
        <w:spacing w:line="360" w:lineRule="auto"/>
        <w:ind w:firstLine="480" w:firstLineChars="200"/>
        <w:rPr>
          <w:sz w:val="24"/>
        </w:rPr>
      </w:pPr>
      <w:r>
        <w:rPr>
          <w:rFonts w:hint="eastAsia" w:ascii="宋体" w:hAnsi="宋体" w:cs="宋体"/>
          <w:sz w:val="24"/>
        </w:rPr>
        <w:t>③</w:t>
      </w:r>
      <w:r>
        <w:rPr>
          <w:sz w:val="24"/>
        </w:rPr>
        <w:t>厂区内建设的地下水监控井应设置保护罩，以防止废水漫灌进入环境监测井中。</w:t>
      </w:r>
    </w:p>
    <w:p>
      <w:pPr>
        <w:widowControl/>
        <w:adjustRightInd w:val="0"/>
        <w:snapToGrid w:val="0"/>
        <w:spacing w:line="360" w:lineRule="auto"/>
        <w:outlineLvl w:val="2"/>
        <w:rPr>
          <w:rFonts w:ascii="Times New Roman" w:hAnsi="Times New Roman"/>
          <w:b/>
          <w:sz w:val="24"/>
        </w:rPr>
      </w:pPr>
      <w:bookmarkStart w:id="527" w:name="_Toc1285"/>
      <w:bookmarkStart w:id="528" w:name="_Toc24668"/>
      <w:bookmarkStart w:id="529" w:name="_Toc18571"/>
      <w:r>
        <w:rPr>
          <w:rFonts w:ascii="Times New Roman" w:hAnsi="Times New Roman"/>
          <w:b/>
          <w:sz w:val="24"/>
        </w:rPr>
        <w:t>7.2.4.2分区防控措施</w:t>
      </w:r>
      <w:bookmarkEnd w:id="527"/>
      <w:bookmarkEnd w:id="528"/>
      <w:bookmarkEnd w:id="529"/>
    </w:p>
    <w:p>
      <w:pPr>
        <w:spacing w:line="360" w:lineRule="auto"/>
        <w:ind w:firstLine="480" w:firstLineChars="200"/>
        <w:jc w:val="left"/>
        <w:rPr>
          <w:sz w:val="24"/>
        </w:rPr>
      </w:pPr>
      <w:r>
        <w:rPr>
          <w:sz w:val="24"/>
        </w:rPr>
        <w:t>结合地下水环境影响评价结果，根据建设项目场地天然包气带防污性能、污染控制难易程度和污染物特性</w:t>
      </w:r>
      <w:r>
        <w:rPr>
          <w:rFonts w:hint="eastAsia"/>
          <w:sz w:val="24"/>
        </w:rPr>
        <w:t>，按照</w:t>
      </w:r>
      <w:r>
        <w:rPr>
          <w:sz w:val="24"/>
        </w:rPr>
        <w:t>HJ610-2016</w:t>
      </w:r>
      <w:r>
        <w:rPr>
          <w:rFonts w:hint="eastAsia"/>
          <w:sz w:val="24"/>
        </w:rPr>
        <w:t>中参照表</w:t>
      </w:r>
      <w:r>
        <w:rPr>
          <w:sz w:val="24"/>
        </w:rPr>
        <w:t>7</w:t>
      </w:r>
      <w:r>
        <w:rPr>
          <w:rFonts w:hint="eastAsia"/>
          <w:sz w:val="24"/>
        </w:rPr>
        <w:t>中提出防渗技术要求进行划分及确定。</w:t>
      </w:r>
    </w:p>
    <w:p>
      <w:pPr>
        <w:spacing w:line="360" w:lineRule="auto"/>
        <w:ind w:firstLine="480" w:firstLineChars="200"/>
        <w:rPr>
          <w:sz w:val="24"/>
        </w:rPr>
      </w:pPr>
      <w:r>
        <w:rPr>
          <w:rFonts w:hint="eastAsia"/>
          <w:sz w:val="24"/>
        </w:rPr>
        <w:t>（1）天然包气带防污性能分级</w:t>
      </w:r>
    </w:p>
    <w:p>
      <w:pPr>
        <w:widowControl/>
        <w:spacing w:line="360" w:lineRule="auto"/>
        <w:ind w:firstLine="480" w:firstLineChars="200"/>
        <w:jc w:val="left"/>
        <w:rPr>
          <w:sz w:val="24"/>
        </w:rPr>
      </w:pPr>
      <w:r>
        <w:rPr>
          <w:sz w:val="24"/>
        </w:rPr>
        <w:t>按照本次工作调查结果，项目场地内</w:t>
      </w:r>
      <w:r>
        <w:rPr>
          <w:rFonts w:hint="eastAsia"/>
          <w:sz w:val="24"/>
        </w:rPr>
        <w:t>分布着厚度较大的</w:t>
      </w:r>
      <w:r>
        <w:rPr>
          <w:sz w:val="24"/>
        </w:rPr>
        <w:t>变质岩，</w:t>
      </w:r>
      <w:r>
        <w:rPr>
          <w:rFonts w:hint="eastAsia"/>
          <w:sz w:val="24"/>
        </w:rPr>
        <w:t>发育着</w:t>
      </w:r>
      <w:r>
        <w:rPr>
          <w:sz w:val="24"/>
        </w:rPr>
        <w:t>裂隙，对照导则中的天然包气带防污性能分级参照</w:t>
      </w:r>
      <w:r>
        <w:rPr>
          <w:rFonts w:hint="eastAsia"/>
          <w:sz w:val="24"/>
        </w:rPr>
        <w:t>下表</w:t>
      </w:r>
      <w:r>
        <w:rPr>
          <w:sz w:val="24"/>
        </w:rPr>
        <w:t>，项目厂区的包气带防污性能分级为较弱。</w:t>
      </w:r>
    </w:p>
    <w:p>
      <w:pPr>
        <w:adjustRightInd w:val="0"/>
        <w:ind w:firstLine="482" w:firstLineChars="200"/>
        <w:jc w:val="center"/>
        <w:rPr>
          <w:rFonts w:ascii="Times New Roman" w:hAnsi="Times New Roman"/>
          <w:b/>
          <w:sz w:val="24"/>
        </w:rPr>
      </w:pPr>
      <w:r>
        <w:rPr>
          <w:rFonts w:ascii="Times New Roman" w:hAnsi="Times New Roman"/>
          <w:b/>
          <w:sz w:val="24"/>
        </w:rPr>
        <w:t>表7-1 天然包气带防污性能分级参照表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5146"/>
        <w:gridCol w:w="27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pStyle w:val="48"/>
              <w:spacing w:line="240" w:lineRule="auto"/>
              <w:rPr>
                <w:rFonts w:ascii="Times New Roman" w:hAnsi="Times New Roman"/>
                <w:szCs w:val="21"/>
              </w:rPr>
            </w:pPr>
            <w:r>
              <w:rPr>
                <w:rFonts w:ascii="Times New Roman" w:hAnsi="Times New Roman"/>
                <w:szCs w:val="21"/>
              </w:rPr>
              <w:t>分级</w:t>
            </w:r>
          </w:p>
        </w:tc>
        <w:tc>
          <w:tcPr>
            <w:tcW w:w="5146" w:type="dxa"/>
            <w:vAlign w:val="center"/>
          </w:tcPr>
          <w:p>
            <w:pPr>
              <w:pStyle w:val="48"/>
              <w:spacing w:line="240" w:lineRule="auto"/>
              <w:rPr>
                <w:rFonts w:ascii="Times New Roman" w:hAnsi="Times New Roman"/>
                <w:szCs w:val="21"/>
              </w:rPr>
            </w:pPr>
            <w:r>
              <w:rPr>
                <w:rFonts w:ascii="Times New Roman" w:hAnsi="Times New Roman"/>
                <w:szCs w:val="21"/>
              </w:rPr>
              <w:t>主要特征</w:t>
            </w:r>
          </w:p>
        </w:tc>
        <w:tc>
          <w:tcPr>
            <w:tcW w:w="2790" w:type="dxa"/>
            <w:vAlign w:val="center"/>
          </w:tcPr>
          <w:p>
            <w:pPr>
              <w:pStyle w:val="48"/>
              <w:spacing w:line="240" w:lineRule="auto"/>
              <w:rPr>
                <w:rFonts w:ascii="Times New Roman" w:hAnsi="Times New Roman"/>
                <w:szCs w:val="21"/>
              </w:rPr>
            </w:pPr>
            <w:r>
              <w:rPr>
                <w:rFonts w:ascii="Times New Roman" w:hAnsi="Times New Roman"/>
                <w:szCs w:val="21"/>
              </w:rPr>
              <w:t>项目场地包气带防污性能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pStyle w:val="48"/>
              <w:spacing w:line="240" w:lineRule="auto"/>
              <w:rPr>
                <w:rFonts w:ascii="Times New Roman" w:hAnsi="Times New Roman"/>
                <w:szCs w:val="21"/>
              </w:rPr>
            </w:pPr>
            <w:r>
              <w:rPr>
                <w:rFonts w:ascii="Times New Roman" w:hAnsi="Times New Roman"/>
                <w:szCs w:val="21"/>
              </w:rPr>
              <w:t>强</w:t>
            </w:r>
          </w:p>
        </w:tc>
        <w:tc>
          <w:tcPr>
            <w:tcW w:w="5146" w:type="dxa"/>
            <w:vAlign w:val="center"/>
          </w:tcPr>
          <w:p>
            <w:pPr>
              <w:pStyle w:val="48"/>
              <w:spacing w:line="240" w:lineRule="auto"/>
              <w:rPr>
                <w:rFonts w:ascii="Times New Roman" w:hAnsi="Times New Roman"/>
                <w:szCs w:val="21"/>
              </w:rPr>
            </w:pPr>
            <w:r>
              <w:rPr>
                <w:rFonts w:ascii="Times New Roman" w:hAnsi="Times New Roman"/>
                <w:szCs w:val="21"/>
              </w:rPr>
              <w:t>岩（土）层单层厚度Mb≥1.0m，渗透系数K≤1×10</w:t>
            </w:r>
            <w:r>
              <w:rPr>
                <w:rFonts w:ascii="Times New Roman" w:hAnsi="Times New Roman"/>
                <w:szCs w:val="21"/>
                <w:vertAlign w:val="superscript"/>
              </w:rPr>
              <w:t>-6</w:t>
            </w:r>
            <w:r>
              <w:rPr>
                <w:rFonts w:ascii="Times New Roman" w:hAnsi="Times New Roman"/>
                <w:szCs w:val="21"/>
              </w:rPr>
              <w:t>cm/s，且分布连续稳定。</w:t>
            </w:r>
          </w:p>
        </w:tc>
        <w:tc>
          <w:tcPr>
            <w:tcW w:w="2790" w:type="dxa"/>
            <w:vAlign w:val="center"/>
          </w:tcPr>
          <w:p>
            <w:pPr>
              <w:pStyle w:val="48"/>
              <w:spacing w:line="240" w:lineRule="auto"/>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pStyle w:val="48"/>
              <w:spacing w:line="240" w:lineRule="auto"/>
              <w:rPr>
                <w:rFonts w:ascii="Times New Roman" w:hAnsi="Times New Roman"/>
                <w:szCs w:val="21"/>
              </w:rPr>
            </w:pPr>
            <w:r>
              <w:rPr>
                <w:rFonts w:ascii="Times New Roman" w:hAnsi="Times New Roman"/>
                <w:szCs w:val="21"/>
              </w:rPr>
              <w:t>中</w:t>
            </w:r>
          </w:p>
        </w:tc>
        <w:tc>
          <w:tcPr>
            <w:tcW w:w="5146" w:type="dxa"/>
            <w:vAlign w:val="center"/>
          </w:tcPr>
          <w:p>
            <w:pPr>
              <w:pStyle w:val="48"/>
              <w:spacing w:line="240" w:lineRule="auto"/>
              <w:rPr>
                <w:rFonts w:ascii="Times New Roman" w:hAnsi="Times New Roman"/>
                <w:szCs w:val="21"/>
              </w:rPr>
            </w:pPr>
            <w:r>
              <w:rPr>
                <w:rFonts w:ascii="Times New Roman" w:hAnsi="Times New Roman"/>
                <w:szCs w:val="21"/>
              </w:rPr>
              <w:t>岩土层单层厚度0.5m≤Mb＜1.0m，渗透系数K≤1×10</w:t>
            </w:r>
            <w:r>
              <w:rPr>
                <w:rFonts w:ascii="Times New Roman" w:hAnsi="Times New Roman"/>
                <w:szCs w:val="21"/>
                <w:vertAlign w:val="superscript"/>
              </w:rPr>
              <w:t>-6</w:t>
            </w:r>
            <w:r>
              <w:rPr>
                <w:rFonts w:ascii="Times New Roman" w:hAnsi="Times New Roman"/>
                <w:szCs w:val="21"/>
              </w:rPr>
              <w:t>cm/s，且分布连续稳定。岩土层单层厚度Mb≥1.0m，渗透系数1×10</w:t>
            </w:r>
            <w:r>
              <w:rPr>
                <w:rFonts w:ascii="Times New Roman" w:hAnsi="Times New Roman"/>
                <w:szCs w:val="21"/>
                <w:vertAlign w:val="superscript"/>
              </w:rPr>
              <w:t>-6</w:t>
            </w:r>
            <w:r>
              <w:rPr>
                <w:rFonts w:ascii="Times New Roman" w:hAnsi="Times New Roman"/>
                <w:szCs w:val="21"/>
              </w:rPr>
              <w:t>cm/s＜K≤1×10</w:t>
            </w:r>
            <w:r>
              <w:rPr>
                <w:rFonts w:ascii="Times New Roman" w:hAnsi="Times New Roman"/>
                <w:szCs w:val="21"/>
                <w:vertAlign w:val="superscript"/>
              </w:rPr>
              <w:t>-4</w:t>
            </w:r>
            <w:r>
              <w:rPr>
                <w:rFonts w:ascii="Times New Roman" w:hAnsi="Times New Roman"/>
                <w:szCs w:val="21"/>
              </w:rPr>
              <w:t>cm/s，且分布连续稳定。</w:t>
            </w:r>
          </w:p>
        </w:tc>
        <w:tc>
          <w:tcPr>
            <w:tcW w:w="2790" w:type="dxa"/>
            <w:vAlign w:val="center"/>
          </w:tcPr>
          <w:p>
            <w:pPr>
              <w:pStyle w:val="48"/>
              <w:spacing w:line="240" w:lineRule="auto"/>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pStyle w:val="48"/>
              <w:spacing w:line="240" w:lineRule="auto"/>
              <w:rPr>
                <w:rFonts w:ascii="Times New Roman" w:hAnsi="Times New Roman"/>
                <w:szCs w:val="21"/>
              </w:rPr>
            </w:pPr>
            <w:r>
              <w:rPr>
                <w:rFonts w:ascii="Times New Roman" w:hAnsi="Times New Roman"/>
                <w:szCs w:val="21"/>
              </w:rPr>
              <w:t>弱</w:t>
            </w:r>
          </w:p>
        </w:tc>
        <w:tc>
          <w:tcPr>
            <w:tcW w:w="5146" w:type="dxa"/>
            <w:vAlign w:val="center"/>
          </w:tcPr>
          <w:p>
            <w:pPr>
              <w:pStyle w:val="48"/>
              <w:spacing w:line="240" w:lineRule="auto"/>
              <w:rPr>
                <w:rFonts w:ascii="Times New Roman" w:hAnsi="Times New Roman"/>
                <w:szCs w:val="21"/>
              </w:rPr>
            </w:pPr>
            <w:r>
              <w:rPr>
                <w:rFonts w:ascii="Times New Roman" w:hAnsi="Times New Roman"/>
                <w:szCs w:val="21"/>
              </w:rPr>
              <w:t>岩（土）层不满足上述“强”和“中”条件</w:t>
            </w:r>
          </w:p>
        </w:tc>
        <w:tc>
          <w:tcPr>
            <w:tcW w:w="2790" w:type="dxa"/>
            <w:vAlign w:val="center"/>
          </w:tcPr>
          <w:p>
            <w:pPr>
              <w:pStyle w:val="48"/>
              <w:spacing w:line="240" w:lineRule="auto"/>
              <w:rPr>
                <w:rFonts w:ascii="Times New Roman" w:hAnsi="Times New Roman"/>
                <w:szCs w:val="21"/>
              </w:rPr>
            </w:pPr>
            <w:r>
              <w:rPr>
                <w:rFonts w:ascii="Times New Roman" w:hAnsi="Times New Roman"/>
                <w:szCs w:val="21"/>
              </w:rPr>
              <w:t>弱</w:t>
            </w:r>
          </w:p>
        </w:tc>
      </w:tr>
    </w:tbl>
    <w:p>
      <w:pPr>
        <w:spacing w:beforeLines="50" w:line="360" w:lineRule="auto"/>
        <w:ind w:firstLine="480" w:firstLineChars="200"/>
        <w:rPr>
          <w:color w:val="000000"/>
          <w:sz w:val="24"/>
        </w:rPr>
      </w:pPr>
      <w:r>
        <w:rPr>
          <w:color w:val="000000"/>
          <w:sz w:val="24"/>
        </w:rPr>
        <w:t>（2）污染物控制难易程度</w:t>
      </w:r>
    </w:p>
    <w:p>
      <w:pPr>
        <w:spacing w:line="360" w:lineRule="auto"/>
        <w:ind w:firstLine="480" w:firstLineChars="200"/>
        <w:rPr>
          <w:color w:val="000000"/>
          <w:sz w:val="24"/>
        </w:rPr>
      </w:pPr>
      <w:r>
        <w:rPr>
          <w:rFonts w:ascii="Times New Roman" w:hAnsi="Times New Roman"/>
          <w:color w:val="000000"/>
          <w:sz w:val="24"/>
        </w:rPr>
        <w:t>按照HJ610-2016要求，</w:t>
      </w:r>
      <w:r>
        <w:rPr>
          <w:color w:val="000000"/>
          <w:sz w:val="24"/>
        </w:rPr>
        <w:t>其项目厂区各设施及建构筑物污染物难易控制程度需要进行分级，根据项目实际情况，其分级情况如下表所示。</w:t>
      </w:r>
    </w:p>
    <w:p>
      <w:pPr>
        <w:adjustRightInd w:val="0"/>
        <w:ind w:firstLine="482" w:firstLineChars="200"/>
        <w:jc w:val="center"/>
        <w:rPr>
          <w:rFonts w:ascii="Times New Roman" w:hAnsi="Times New Roman"/>
          <w:b/>
          <w:color w:val="000000"/>
          <w:sz w:val="24"/>
        </w:rPr>
      </w:pPr>
      <w:r>
        <w:rPr>
          <w:rFonts w:ascii="Times New Roman" w:hAnsi="Times New Roman"/>
          <w:b/>
          <w:color w:val="000000"/>
          <w:sz w:val="24"/>
        </w:rPr>
        <w:t>表7-2 污染物控制难易程度分级参照表</w:t>
      </w:r>
    </w:p>
    <w:tbl>
      <w:tblPr>
        <w:tblStyle w:val="24"/>
        <w:tblpPr w:leftFromText="180" w:rightFromText="180" w:vertAnchor="text" w:tblpXSpec="center" w:tblpY="1"/>
        <w:tblOverlap w:val="never"/>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54"/>
        <w:gridCol w:w="4034"/>
        <w:gridCol w:w="29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54" w:type="dxa"/>
            <w:vAlign w:val="center"/>
          </w:tcPr>
          <w:p>
            <w:pPr>
              <w:pStyle w:val="48"/>
              <w:spacing w:line="240" w:lineRule="auto"/>
              <w:rPr>
                <w:color w:val="000000"/>
              </w:rPr>
            </w:pPr>
            <w:r>
              <w:rPr>
                <w:color w:val="000000"/>
              </w:rPr>
              <w:t>污染控制难易程度</w:t>
            </w:r>
          </w:p>
        </w:tc>
        <w:tc>
          <w:tcPr>
            <w:tcW w:w="4034" w:type="dxa"/>
            <w:vAlign w:val="center"/>
          </w:tcPr>
          <w:p>
            <w:pPr>
              <w:pStyle w:val="48"/>
              <w:spacing w:line="240" w:lineRule="auto"/>
              <w:rPr>
                <w:color w:val="000000"/>
              </w:rPr>
            </w:pPr>
            <w:r>
              <w:rPr>
                <w:color w:val="000000"/>
              </w:rPr>
              <w:t>主要特征</w:t>
            </w:r>
          </w:p>
        </w:tc>
        <w:tc>
          <w:tcPr>
            <w:tcW w:w="2919" w:type="dxa"/>
            <w:vAlign w:val="center"/>
          </w:tcPr>
          <w:p>
            <w:pPr>
              <w:pStyle w:val="48"/>
              <w:spacing w:line="240" w:lineRule="auto"/>
              <w:rPr>
                <w:color w:val="000000"/>
              </w:rPr>
            </w:pPr>
            <w:r>
              <w:rPr>
                <w:color w:val="000000"/>
              </w:rPr>
              <w:t>项目构建筑物分类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54" w:type="dxa"/>
            <w:vAlign w:val="center"/>
          </w:tcPr>
          <w:p>
            <w:pPr>
              <w:pStyle w:val="48"/>
              <w:spacing w:line="240" w:lineRule="auto"/>
              <w:rPr>
                <w:color w:val="000000"/>
              </w:rPr>
            </w:pPr>
            <w:r>
              <w:rPr>
                <w:color w:val="000000"/>
              </w:rPr>
              <w:t>难</w:t>
            </w:r>
          </w:p>
        </w:tc>
        <w:tc>
          <w:tcPr>
            <w:tcW w:w="4034" w:type="dxa"/>
          </w:tcPr>
          <w:p>
            <w:pPr>
              <w:pStyle w:val="48"/>
              <w:spacing w:line="240" w:lineRule="auto"/>
              <w:rPr>
                <w:color w:val="000000"/>
              </w:rPr>
            </w:pPr>
            <w:r>
              <w:rPr>
                <w:color w:val="000000"/>
              </w:rPr>
              <w:t>对地下水环境有污染的物料或污染物渗漏后，不能及时发现和处理</w:t>
            </w:r>
          </w:p>
        </w:tc>
        <w:tc>
          <w:tcPr>
            <w:tcW w:w="2919" w:type="dxa"/>
            <w:vAlign w:val="center"/>
          </w:tcPr>
          <w:p>
            <w:pPr>
              <w:pStyle w:val="48"/>
              <w:spacing w:line="240" w:lineRule="auto"/>
              <w:rPr>
                <w:color w:val="000000"/>
              </w:rPr>
            </w:pPr>
            <w:r>
              <w:rPr>
                <w:rFonts w:hint="eastAsia"/>
                <w:color w:val="00000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54" w:type="dxa"/>
            <w:vAlign w:val="center"/>
          </w:tcPr>
          <w:p>
            <w:pPr>
              <w:pStyle w:val="48"/>
              <w:spacing w:line="240" w:lineRule="auto"/>
              <w:rPr>
                <w:color w:val="000000"/>
              </w:rPr>
            </w:pPr>
            <w:r>
              <w:rPr>
                <w:color w:val="000000"/>
              </w:rPr>
              <w:t>易</w:t>
            </w:r>
          </w:p>
        </w:tc>
        <w:tc>
          <w:tcPr>
            <w:tcW w:w="4034" w:type="dxa"/>
          </w:tcPr>
          <w:p>
            <w:pPr>
              <w:pStyle w:val="48"/>
              <w:spacing w:line="240" w:lineRule="auto"/>
              <w:rPr>
                <w:color w:val="000000"/>
              </w:rPr>
            </w:pPr>
            <w:r>
              <w:rPr>
                <w:color w:val="000000"/>
              </w:rPr>
              <w:t>对地下水环境有污染的物料或污染物渗漏后，可及时发现和处理</w:t>
            </w:r>
          </w:p>
        </w:tc>
        <w:tc>
          <w:tcPr>
            <w:tcW w:w="2919" w:type="dxa"/>
            <w:vAlign w:val="center"/>
          </w:tcPr>
          <w:p>
            <w:pPr>
              <w:pStyle w:val="48"/>
              <w:spacing w:line="240" w:lineRule="auto"/>
              <w:rPr>
                <w:color w:val="000000"/>
              </w:rPr>
            </w:pPr>
            <w:r>
              <w:rPr>
                <w:color w:val="000000"/>
              </w:rPr>
              <w:t>沉淀池</w:t>
            </w:r>
          </w:p>
        </w:tc>
      </w:tr>
    </w:tbl>
    <w:p>
      <w:pPr>
        <w:spacing w:line="360" w:lineRule="auto"/>
        <w:ind w:firstLine="480" w:firstLineChars="200"/>
        <w:rPr>
          <w:color w:val="000000"/>
          <w:sz w:val="24"/>
        </w:rPr>
      </w:pPr>
      <w:r>
        <w:rPr>
          <w:color w:val="000000"/>
          <w:sz w:val="24"/>
        </w:rPr>
        <w:t>（3）场地防渗分区确定</w:t>
      </w:r>
    </w:p>
    <w:p>
      <w:pPr>
        <w:spacing w:line="360" w:lineRule="auto"/>
        <w:ind w:firstLine="480" w:firstLineChars="200"/>
        <w:rPr>
          <w:rFonts w:ascii="Times New Roman" w:hAnsi="Times New Roman"/>
          <w:color w:val="000000"/>
          <w:sz w:val="24"/>
        </w:rPr>
      </w:pPr>
      <w:r>
        <w:rPr>
          <w:rFonts w:ascii="Times New Roman" w:hAnsi="Times New Roman"/>
          <w:color w:val="000000"/>
          <w:sz w:val="24"/>
        </w:rPr>
        <w:t>据HJ610-2016要求，防渗分区应根据建设项目场地天然包气带防污性能、污染控制难易程度和污染物特性，参照下表提出防渗技术要求。其中污染控制难易程度分级和天然包气带防污性能分级分别参照表7-</w:t>
      </w:r>
      <w:r>
        <w:rPr>
          <w:rFonts w:hint="eastAsia" w:ascii="Times New Roman" w:hAnsi="Times New Roman"/>
          <w:color w:val="000000"/>
          <w:sz w:val="24"/>
        </w:rPr>
        <w:t>3</w:t>
      </w:r>
      <w:r>
        <w:rPr>
          <w:rFonts w:ascii="Times New Roman" w:hAnsi="Times New Roman"/>
          <w:color w:val="000000"/>
          <w:sz w:val="24"/>
        </w:rPr>
        <w:t>和表7-</w:t>
      </w:r>
      <w:r>
        <w:rPr>
          <w:rFonts w:hint="eastAsia" w:ascii="Times New Roman" w:hAnsi="Times New Roman"/>
          <w:color w:val="000000"/>
          <w:sz w:val="24"/>
        </w:rPr>
        <w:t>4</w:t>
      </w:r>
      <w:r>
        <w:rPr>
          <w:rFonts w:ascii="Times New Roman" w:hAnsi="Times New Roman"/>
          <w:color w:val="000000"/>
          <w:sz w:val="24"/>
        </w:rPr>
        <w:t>进行相关等级的确定。</w:t>
      </w:r>
    </w:p>
    <w:p>
      <w:pPr>
        <w:adjustRightInd w:val="0"/>
        <w:ind w:firstLine="482" w:firstLineChars="200"/>
        <w:jc w:val="center"/>
        <w:rPr>
          <w:rFonts w:ascii="Times New Roman" w:hAnsi="Times New Roman"/>
          <w:b/>
          <w:color w:val="000000"/>
          <w:sz w:val="24"/>
        </w:rPr>
      </w:pPr>
      <w:r>
        <w:rPr>
          <w:rFonts w:ascii="Times New Roman" w:hAnsi="Times New Roman"/>
          <w:b/>
          <w:color w:val="000000"/>
          <w:sz w:val="24"/>
        </w:rPr>
        <w:t>表7-3 地下水污染防渗分区参照表</w:t>
      </w:r>
    </w:p>
    <w:tbl>
      <w:tblPr>
        <w:tblStyle w:val="24"/>
        <w:tblpPr w:leftFromText="180" w:rightFromText="180" w:vertAnchor="text" w:tblpXSpec="center" w:tblpY="1"/>
        <w:tblOverlap w:val="never"/>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0"/>
        <w:gridCol w:w="1275"/>
        <w:gridCol w:w="1276"/>
        <w:gridCol w:w="1985"/>
        <w:gridCol w:w="33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200" w:type="dxa"/>
            <w:vAlign w:val="center"/>
          </w:tcPr>
          <w:p>
            <w:pPr>
              <w:pStyle w:val="48"/>
              <w:spacing w:line="240" w:lineRule="auto"/>
              <w:rPr>
                <w:color w:val="000000"/>
                <w:szCs w:val="21"/>
              </w:rPr>
            </w:pPr>
            <w:r>
              <w:rPr>
                <w:color w:val="000000"/>
                <w:szCs w:val="21"/>
              </w:rPr>
              <w:t>防渗区域</w:t>
            </w:r>
          </w:p>
        </w:tc>
        <w:tc>
          <w:tcPr>
            <w:tcW w:w="1275" w:type="dxa"/>
            <w:vAlign w:val="center"/>
          </w:tcPr>
          <w:p>
            <w:pPr>
              <w:pStyle w:val="48"/>
              <w:spacing w:line="240" w:lineRule="auto"/>
              <w:rPr>
                <w:color w:val="000000"/>
                <w:szCs w:val="21"/>
              </w:rPr>
            </w:pPr>
            <w:r>
              <w:rPr>
                <w:color w:val="000000"/>
                <w:szCs w:val="21"/>
              </w:rPr>
              <w:t>天然包气带防污性能</w:t>
            </w:r>
          </w:p>
        </w:tc>
        <w:tc>
          <w:tcPr>
            <w:tcW w:w="1276" w:type="dxa"/>
            <w:vAlign w:val="center"/>
          </w:tcPr>
          <w:p>
            <w:pPr>
              <w:pStyle w:val="48"/>
              <w:spacing w:line="240" w:lineRule="auto"/>
              <w:rPr>
                <w:color w:val="000000"/>
                <w:szCs w:val="21"/>
              </w:rPr>
            </w:pPr>
            <w:r>
              <w:rPr>
                <w:color w:val="000000"/>
                <w:szCs w:val="21"/>
              </w:rPr>
              <w:t>污染控制难易程度</w:t>
            </w:r>
          </w:p>
        </w:tc>
        <w:tc>
          <w:tcPr>
            <w:tcW w:w="1985" w:type="dxa"/>
            <w:vAlign w:val="center"/>
          </w:tcPr>
          <w:p>
            <w:pPr>
              <w:pStyle w:val="48"/>
              <w:spacing w:line="240" w:lineRule="auto"/>
              <w:rPr>
                <w:color w:val="000000"/>
                <w:szCs w:val="21"/>
              </w:rPr>
            </w:pPr>
            <w:r>
              <w:rPr>
                <w:color w:val="000000"/>
                <w:szCs w:val="21"/>
              </w:rPr>
              <w:t>污染物类型</w:t>
            </w:r>
          </w:p>
        </w:tc>
        <w:tc>
          <w:tcPr>
            <w:tcW w:w="3349" w:type="dxa"/>
            <w:vAlign w:val="center"/>
          </w:tcPr>
          <w:p>
            <w:pPr>
              <w:pStyle w:val="48"/>
              <w:spacing w:line="240" w:lineRule="auto"/>
              <w:rPr>
                <w:color w:val="000000"/>
                <w:szCs w:val="21"/>
              </w:rPr>
            </w:pPr>
            <w:r>
              <w:rPr>
                <w:color w:val="000000"/>
                <w:szCs w:val="21"/>
              </w:rPr>
              <w:t>污染防渗技术要求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1200" w:type="dxa"/>
            <w:vMerge w:val="restart"/>
            <w:vAlign w:val="center"/>
          </w:tcPr>
          <w:p>
            <w:pPr>
              <w:pStyle w:val="48"/>
              <w:spacing w:line="240" w:lineRule="auto"/>
              <w:rPr>
                <w:color w:val="000000"/>
                <w:szCs w:val="21"/>
              </w:rPr>
            </w:pPr>
            <w:r>
              <w:rPr>
                <w:color w:val="000000"/>
                <w:szCs w:val="21"/>
              </w:rPr>
              <w:t>重点防渗区</w:t>
            </w:r>
          </w:p>
        </w:tc>
        <w:tc>
          <w:tcPr>
            <w:tcW w:w="1275" w:type="dxa"/>
            <w:vAlign w:val="center"/>
          </w:tcPr>
          <w:p>
            <w:pPr>
              <w:pStyle w:val="48"/>
              <w:spacing w:line="240" w:lineRule="auto"/>
              <w:rPr>
                <w:color w:val="000000"/>
                <w:szCs w:val="21"/>
              </w:rPr>
            </w:pPr>
            <w:r>
              <w:rPr>
                <w:color w:val="000000"/>
                <w:szCs w:val="21"/>
              </w:rPr>
              <w:t>弱</w:t>
            </w:r>
          </w:p>
        </w:tc>
        <w:tc>
          <w:tcPr>
            <w:tcW w:w="1276" w:type="dxa"/>
            <w:vAlign w:val="center"/>
          </w:tcPr>
          <w:p>
            <w:pPr>
              <w:pStyle w:val="48"/>
              <w:spacing w:line="240" w:lineRule="auto"/>
              <w:rPr>
                <w:color w:val="000000"/>
                <w:szCs w:val="21"/>
              </w:rPr>
            </w:pPr>
            <w:r>
              <w:rPr>
                <w:color w:val="000000"/>
                <w:szCs w:val="21"/>
              </w:rPr>
              <w:t>难</w:t>
            </w:r>
          </w:p>
        </w:tc>
        <w:tc>
          <w:tcPr>
            <w:tcW w:w="1985" w:type="dxa"/>
            <w:vMerge w:val="restart"/>
            <w:vAlign w:val="center"/>
          </w:tcPr>
          <w:p>
            <w:pPr>
              <w:pStyle w:val="48"/>
              <w:spacing w:line="240" w:lineRule="auto"/>
              <w:rPr>
                <w:color w:val="000000"/>
                <w:szCs w:val="21"/>
              </w:rPr>
            </w:pPr>
            <w:r>
              <w:rPr>
                <w:color w:val="000000"/>
                <w:szCs w:val="21"/>
              </w:rPr>
              <w:t>重金属、持久性有机污染物</w:t>
            </w:r>
          </w:p>
        </w:tc>
        <w:tc>
          <w:tcPr>
            <w:tcW w:w="3349" w:type="dxa"/>
            <w:vMerge w:val="restart"/>
            <w:vAlign w:val="center"/>
          </w:tcPr>
          <w:p>
            <w:pPr>
              <w:pStyle w:val="48"/>
              <w:spacing w:line="240" w:lineRule="auto"/>
              <w:rPr>
                <w:color w:val="000000"/>
                <w:szCs w:val="21"/>
              </w:rPr>
            </w:pPr>
            <w:r>
              <w:rPr>
                <w:color w:val="000000"/>
                <w:szCs w:val="21"/>
              </w:rPr>
              <w:t>等效粘土防渗层Mb</w:t>
            </w:r>
            <w:r>
              <w:rPr>
                <w:rFonts w:hint="eastAsia"/>
                <w:color w:val="000000"/>
                <w:szCs w:val="21"/>
              </w:rPr>
              <w:t>≥</w:t>
            </w:r>
            <w:r>
              <w:rPr>
                <w:color w:val="000000"/>
                <w:szCs w:val="21"/>
              </w:rPr>
              <w:t>6.0m，K</w:t>
            </w:r>
            <w:r>
              <w:rPr>
                <w:rFonts w:hint="eastAsia"/>
                <w:color w:val="000000"/>
                <w:szCs w:val="21"/>
              </w:rPr>
              <w:t>≤</w:t>
            </w:r>
            <w:r>
              <w:rPr>
                <w:color w:val="000000"/>
                <w:szCs w:val="21"/>
              </w:rPr>
              <w:t>1×10</w:t>
            </w:r>
            <w:r>
              <w:rPr>
                <w:color w:val="000000"/>
                <w:szCs w:val="21"/>
                <w:vertAlign w:val="superscript"/>
              </w:rPr>
              <w:t>-7</w:t>
            </w:r>
            <w:r>
              <w:rPr>
                <w:color w:val="000000"/>
                <w:szCs w:val="21"/>
              </w:rPr>
              <w:t>cm/s，或参考GB18598执行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atLeast"/>
        </w:trPr>
        <w:tc>
          <w:tcPr>
            <w:tcW w:w="1200" w:type="dxa"/>
            <w:vMerge w:val="continue"/>
            <w:vAlign w:val="center"/>
          </w:tcPr>
          <w:p>
            <w:pPr>
              <w:pStyle w:val="48"/>
              <w:spacing w:line="240" w:lineRule="auto"/>
              <w:rPr>
                <w:color w:val="000000"/>
                <w:szCs w:val="21"/>
              </w:rPr>
            </w:pPr>
          </w:p>
        </w:tc>
        <w:tc>
          <w:tcPr>
            <w:tcW w:w="1275" w:type="dxa"/>
            <w:vAlign w:val="center"/>
          </w:tcPr>
          <w:p>
            <w:pPr>
              <w:pStyle w:val="48"/>
              <w:spacing w:line="240" w:lineRule="auto"/>
              <w:rPr>
                <w:color w:val="000000"/>
                <w:szCs w:val="21"/>
              </w:rPr>
            </w:pPr>
            <w:r>
              <w:rPr>
                <w:color w:val="000000"/>
                <w:szCs w:val="21"/>
              </w:rPr>
              <w:t>中—强</w:t>
            </w:r>
          </w:p>
        </w:tc>
        <w:tc>
          <w:tcPr>
            <w:tcW w:w="1276" w:type="dxa"/>
            <w:vAlign w:val="center"/>
          </w:tcPr>
          <w:p>
            <w:pPr>
              <w:pStyle w:val="48"/>
              <w:spacing w:line="240" w:lineRule="auto"/>
              <w:rPr>
                <w:color w:val="000000"/>
                <w:szCs w:val="21"/>
              </w:rPr>
            </w:pPr>
            <w:r>
              <w:rPr>
                <w:color w:val="000000"/>
                <w:szCs w:val="21"/>
              </w:rPr>
              <w:t>难</w:t>
            </w:r>
          </w:p>
        </w:tc>
        <w:tc>
          <w:tcPr>
            <w:tcW w:w="1985" w:type="dxa"/>
            <w:vMerge w:val="continue"/>
            <w:vAlign w:val="center"/>
          </w:tcPr>
          <w:p>
            <w:pPr>
              <w:pStyle w:val="48"/>
              <w:spacing w:line="240" w:lineRule="auto"/>
              <w:rPr>
                <w:color w:val="000000"/>
                <w:szCs w:val="21"/>
              </w:rPr>
            </w:pPr>
          </w:p>
        </w:tc>
        <w:tc>
          <w:tcPr>
            <w:tcW w:w="3349" w:type="dxa"/>
            <w:vMerge w:val="continue"/>
            <w:vAlign w:val="center"/>
          </w:tcPr>
          <w:p>
            <w:pPr>
              <w:pStyle w:val="48"/>
              <w:spacing w:line="240" w:lineRule="auto"/>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1200" w:type="dxa"/>
            <w:vMerge w:val="continue"/>
            <w:vAlign w:val="center"/>
          </w:tcPr>
          <w:p>
            <w:pPr>
              <w:pStyle w:val="48"/>
              <w:spacing w:line="240" w:lineRule="auto"/>
              <w:rPr>
                <w:color w:val="000000"/>
                <w:szCs w:val="21"/>
              </w:rPr>
            </w:pPr>
          </w:p>
        </w:tc>
        <w:tc>
          <w:tcPr>
            <w:tcW w:w="1275" w:type="dxa"/>
            <w:vAlign w:val="center"/>
          </w:tcPr>
          <w:p>
            <w:pPr>
              <w:pStyle w:val="48"/>
              <w:spacing w:line="240" w:lineRule="auto"/>
              <w:rPr>
                <w:color w:val="000000"/>
                <w:szCs w:val="21"/>
              </w:rPr>
            </w:pPr>
            <w:r>
              <w:rPr>
                <w:color w:val="000000"/>
                <w:szCs w:val="21"/>
              </w:rPr>
              <w:t>弱</w:t>
            </w:r>
          </w:p>
        </w:tc>
        <w:tc>
          <w:tcPr>
            <w:tcW w:w="1276" w:type="dxa"/>
            <w:vAlign w:val="center"/>
          </w:tcPr>
          <w:p>
            <w:pPr>
              <w:pStyle w:val="48"/>
              <w:spacing w:line="240" w:lineRule="auto"/>
              <w:rPr>
                <w:color w:val="000000"/>
                <w:szCs w:val="21"/>
              </w:rPr>
            </w:pPr>
            <w:r>
              <w:rPr>
                <w:color w:val="000000"/>
                <w:szCs w:val="21"/>
              </w:rPr>
              <w:t>易</w:t>
            </w:r>
          </w:p>
        </w:tc>
        <w:tc>
          <w:tcPr>
            <w:tcW w:w="1985" w:type="dxa"/>
            <w:vMerge w:val="continue"/>
            <w:vAlign w:val="center"/>
          </w:tcPr>
          <w:p>
            <w:pPr>
              <w:pStyle w:val="48"/>
              <w:spacing w:line="240" w:lineRule="auto"/>
              <w:rPr>
                <w:color w:val="000000"/>
                <w:szCs w:val="21"/>
              </w:rPr>
            </w:pPr>
          </w:p>
        </w:tc>
        <w:tc>
          <w:tcPr>
            <w:tcW w:w="3349" w:type="dxa"/>
            <w:vMerge w:val="continue"/>
            <w:vAlign w:val="center"/>
          </w:tcPr>
          <w:p>
            <w:pPr>
              <w:pStyle w:val="48"/>
              <w:spacing w:line="240" w:lineRule="auto"/>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00" w:type="dxa"/>
            <w:vMerge w:val="restart"/>
            <w:vAlign w:val="center"/>
          </w:tcPr>
          <w:p>
            <w:pPr>
              <w:pStyle w:val="48"/>
              <w:spacing w:line="240" w:lineRule="auto"/>
              <w:rPr>
                <w:color w:val="000000"/>
                <w:szCs w:val="21"/>
              </w:rPr>
            </w:pPr>
            <w:r>
              <w:rPr>
                <w:color w:val="000000"/>
                <w:szCs w:val="21"/>
              </w:rPr>
              <w:t>一般防渗区</w:t>
            </w:r>
          </w:p>
        </w:tc>
        <w:tc>
          <w:tcPr>
            <w:tcW w:w="1275" w:type="dxa"/>
            <w:vAlign w:val="center"/>
          </w:tcPr>
          <w:p>
            <w:pPr>
              <w:pStyle w:val="48"/>
              <w:spacing w:line="240" w:lineRule="auto"/>
              <w:rPr>
                <w:color w:val="000000"/>
                <w:szCs w:val="21"/>
              </w:rPr>
            </w:pPr>
            <w:r>
              <w:rPr>
                <w:color w:val="000000"/>
                <w:szCs w:val="21"/>
              </w:rPr>
              <w:t>弱</w:t>
            </w:r>
          </w:p>
        </w:tc>
        <w:tc>
          <w:tcPr>
            <w:tcW w:w="1276" w:type="dxa"/>
            <w:vAlign w:val="center"/>
          </w:tcPr>
          <w:p>
            <w:pPr>
              <w:pStyle w:val="48"/>
              <w:spacing w:line="240" w:lineRule="auto"/>
              <w:rPr>
                <w:color w:val="000000"/>
                <w:szCs w:val="21"/>
              </w:rPr>
            </w:pPr>
            <w:r>
              <w:rPr>
                <w:color w:val="000000"/>
                <w:szCs w:val="21"/>
              </w:rPr>
              <w:t>易—难</w:t>
            </w:r>
          </w:p>
        </w:tc>
        <w:tc>
          <w:tcPr>
            <w:tcW w:w="1985" w:type="dxa"/>
            <w:vMerge w:val="restart"/>
            <w:vAlign w:val="center"/>
          </w:tcPr>
          <w:p>
            <w:pPr>
              <w:pStyle w:val="48"/>
              <w:spacing w:line="240" w:lineRule="auto"/>
              <w:rPr>
                <w:color w:val="000000"/>
                <w:szCs w:val="21"/>
              </w:rPr>
            </w:pPr>
            <w:r>
              <w:rPr>
                <w:color w:val="000000"/>
                <w:szCs w:val="21"/>
              </w:rPr>
              <w:t>其他类型</w:t>
            </w:r>
          </w:p>
        </w:tc>
        <w:tc>
          <w:tcPr>
            <w:tcW w:w="3349" w:type="dxa"/>
            <w:vMerge w:val="restart"/>
            <w:vAlign w:val="center"/>
          </w:tcPr>
          <w:p>
            <w:pPr>
              <w:pStyle w:val="48"/>
              <w:spacing w:line="240" w:lineRule="auto"/>
              <w:rPr>
                <w:color w:val="000000"/>
                <w:szCs w:val="21"/>
              </w:rPr>
            </w:pPr>
            <w:r>
              <w:rPr>
                <w:color w:val="000000"/>
                <w:szCs w:val="21"/>
              </w:rPr>
              <w:t>等效粘土防渗层Mb</w:t>
            </w:r>
            <w:r>
              <w:rPr>
                <w:rFonts w:hint="eastAsia"/>
                <w:color w:val="000000"/>
                <w:szCs w:val="21"/>
              </w:rPr>
              <w:t>≥</w:t>
            </w:r>
            <w:r>
              <w:rPr>
                <w:color w:val="000000"/>
                <w:szCs w:val="21"/>
              </w:rPr>
              <w:t>1.5m，K</w:t>
            </w:r>
            <w:r>
              <w:rPr>
                <w:rFonts w:hint="eastAsia"/>
                <w:color w:val="000000"/>
                <w:szCs w:val="21"/>
              </w:rPr>
              <w:t>≤</w:t>
            </w:r>
            <w:r>
              <w:rPr>
                <w:color w:val="000000"/>
                <w:szCs w:val="21"/>
              </w:rPr>
              <w:t>1×10</w:t>
            </w:r>
            <w:r>
              <w:rPr>
                <w:color w:val="000000"/>
                <w:szCs w:val="21"/>
                <w:vertAlign w:val="superscript"/>
              </w:rPr>
              <w:t>-7</w:t>
            </w:r>
            <w:r>
              <w:rPr>
                <w:color w:val="000000"/>
                <w:szCs w:val="21"/>
              </w:rPr>
              <w:t>cm/s，或参考GB16689执行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00" w:type="dxa"/>
            <w:vMerge w:val="continue"/>
            <w:vAlign w:val="center"/>
          </w:tcPr>
          <w:p>
            <w:pPr>
              <w:pStyle w:val="48"/>
              <w:spacing w:line="240" w:lineRule="auto"/>
              <w:rPr>
                <w:color w:val="000000"/>
                <w:szCs w:val="21"/>
              </w:rPr>
            </w:pPr>
          </w:p>
        </w:tc>
        <w:tc>
          <w:tcPr>
            <w:tcW w:w="1275" w:type="dxa"/>
            <w:vAlign w:val="center"/>
          </w:tcPr>
          <w:p>
            <w:pPr>
              <w:pStyle w:val="48"/>
              <w:spacing w:line="240" w:lineRule="auto"/>
              <w:rPr>
                <w:color w:val="000000"/>
                <w:szCs w:val="21"/>
              </w:rPr>
            </w:pPr>
            <w:r>
              <w:rPr>
                <w:color w:val="000000"/>
                <w:szCs w:val="21"/>
              </w:rPr>
              <w:t>中—强</w:t>
            </w:r>
          </w:p>
        </w:tc>
        <w:tc>
          <w:tcPr>
            <w:tcW w:w="1276" w:type="dxa"/>
            <w:vAlign w:val="center"/>
          </w:tcPr>
          <w:p>
            <w:pPr>
              <w:pStyle w:val="48"/>
              <w:spacing w:line="240" w:lineRule="auto"/>
              <w:rPr>
                <w:color w:val="000000"/>
                <w:szCs w:val="21"/>
              </w:rPr>
            </w:pPr>
            <w:r>
              <w:rPr>
                <w:color w:val="000000"/>
                <w:szCs w:val="21"/>
              </w:rPr>
              <w:t>难</w:t>
            </w:r>
          </w:p>
        </w:tc>
        <w:tc>
          <w:tcPr>
            <w:tcW w:w="1985" w:type="dxa"/>
            <w:vMerge w:val="continue"/>
            <w:vAlign w:val="center"/>
          </w:tcPr>
          <w:p>
            <w:pPr>
              <w:pStyle w:val="48"/>
              <w:spacing w:line="240" w:lineRule="auto"/>
              <w:rPr>
                <w:color w:val="000000"/>
                <w:szCs w:val="21"/>
              </w:rPr>
            </w:pPr>
          </w:p>
        </w:tc>
        <w:tc>
          <w:tcPr>
            <w:tcW w:w="3349" w:type="dxa"/>
            <w:vMerge w:val="continue"/>
            <w:vAlign w:val="center"/>
          </w:tcPr>
          <w:p>
            <w:pPr>
              <w:pStyle w:val="48"/>
              <w:spacing w:line="240" w:lineRule="auto"/>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00" w:type="dxa"/>
            <w:vMerge w:val="continue"/>
            <w:vAlign w:val="center"/>
          </w:tcPr>
          <w:p>
            <w:pPr>
              <w:pStyle w:val="48"/>
              <w:spacing w:line="240" w:lineRule="auto"/>
              <w:rPr>
                <w:color w:val="000000"/>
                <w:szCs w:val="21"/>
              </w:rPr>
            </w:pPr>
          </w:p>
        </w:tc>
        <w:tc>
          <w:tcPr>
            <w:tcW w:w="1275" w:type="dxa"/>
            <w:vAlign w:val="center"/>
          </w:tcPr>
          <w:p>
            <w:pPr>
              <w:pStyle w:val="48"/>
              <w:spacing w:line="240" w:lineRule="auto"/>
              <w:rPr>
                <w:color w:val="000000"/>
                <w:szCs w:val="21"/>
              </w:rPr>
            </w:pPr>
            <w:r>
              <w:rPr>
                <w:color w:val="000000"/>
                <w:szCs w:val="21"/>
              </w:rPr>
              <w:t>中</w:t>
            </w:r>
          </w:p>
        </w:tc>
        <w:tc>
          <w:tcPr>
            <w:tcW w:w="1276" w:type="dxa"/>
            <w:vAlign w:val="center"/>
          </w:tcPr>
          <w:p>
            <w:pPr>
              <w:pStyle w:val="48"/>
              <w:spacing w:line="240" w:lineRule="auto"/>
              <w:rPr>
                <w:color w:val="000000"/>
                <w:szCs w:val="21"/>
              </w:rPr>
            </w:pPr>
            <w:r>
              <w:rPr>
                <w:color w:val="000000"/>
                <w:szCs w:val="21"/>
              </w:rPr>
              <w:t>易</w:t>
            </w:r>
          </w:p>
        </w:tc>
        <w:tc>
          <w:tcPr>
            <w:tcW w:w="1985" w:type="dxa"/>
            <w:vMerge w:val="restart"/>
            <w:vAlign w:val="center"/>
          </w:tcPr>
          <w:p>
            <w:pPr>
              <w:pStyle w:val="48"/>
              <w:spacing w:line="240" w:lineRule="auto"/>
              <w:rPr>
                <w:color w:val="000000"/>
                <w:szCs w:val="21"/>
              </w:rPr>
            </w:pPr>
            <w:r>
              <w:rPr>
                <w:color w:val="000000"/>
                <w:szCs w:val="21"/>
              </w:rPr>
              <w:t>重金属、持久性有机污染物</w:t>
            </w:r>
          </w:p>
        </w:tc>
        <w:tc>
          <w:tcPr>
            <w:tcW w:w="3349" w:type="dxa"/>
            <w:vMerge w:val="continue"/>
            <w:vAlign w:val="center"/>
          </w:tcPr>
          <w:p>
            <w:pPr>
              <w:pStyle w:val="48"/>
              <w:spacing w:line="240" w:lineRule="auto"/>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00" w:type="dxa"/>
            <w:vMerge w:val="continue"/>
            <w:vAlign w:val="center"/>
          </w:tcPr>
          <w:p>
            <w:pPr>
              <w:pStyle w:val="48"/>
              <w:spacing w:line="240" w:lineRule="auto"/>
              <w:rPr>
                <w:color w:val="000000"/>
                <w:szCs w:val="21"/>
              </w:rPr>
            </w:pPr>
          </w:p>
        </w:tc>
        <w:tc>
          <w:tcPr>
            <w:tcW w:w="1275" w:type="dxa"/>
            <w:vAlign w:val="center"/>
          </w:tcPr>
          <w:p>
            <w:pPr>
              <w:pStyle w:val="48"/>
              <w:spacing w:line="240" w:lineRule="auto"/>
              <w:rPr>
                <w:color w:val="000000"/>
                <w:szCs w:val="21"/>
              </w:rPr>
            </w:pPr>
            <w:r>
              <w:rPr>
                <w:color w:val="000000"/>
                <w:szCs w:val="21"/>
              </w:rPr>
              <w:t>强</w:t>
            </w:r>
          </w:p>
        </w:tc>
        <w:tc>
          <w:tcPr>
            <w:tcW w:w="1276" w:type="dxa"/>
            <w:vAlign w:val="center"/>
          </w:tcPr>
          <w:p>
            <w:pPr>
              <w:pStyle w:val="48"/>
              <w:spacing w:line="240" w:lineRule="auto"/>
              <w:rPr>
                <w:color w:val="000000"/>
                <w:szCs w:val="21"/>
              </w:rPr>
            </w:pPr>
            <w:r>
              <w:rPr>
                <w:color w:val="000000"/>
                <w:szCs w:val="21"/>
              </w:rPr>
              <w:t>易</w:t>
            </w:r>
          </w:p>
        </w:tc>
        <w:tc>
          <w:tcPr>
            <w:tcW w:w="1985" w:type="dxa"/>
            <w:vMerge w:val="continue"/>
            <w:vAlign w:val="center"/>
          </w:tcPr>
          <w:p>
            <w:pPr>
              <w:pStyle w:val="48"/>
              <w:spacing w:line="240" w:lineRule="auto"/>
              <w:rPr>
                <w:color w:val="000000"/>
                <w:szCs w:val="21"/>
              </w:rPr>
            </w:pPr>
          </w:p>
        </w:tc>
        <w:tc>
          <w:tcPr>
            <w:tcW w:w="3349" w:type="dxa"/>
            <w:vMerge w:val="continue"/>
            <w:vAlign w:val="center"/>
          </w:tcPr>
          <w:p>
            <w:pPr>
              <w:pStyle w:val="48"/>
              <w:spacing w:line="240" w:lineRule="auto"/>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00" w:type="dxa"/>
            <w:vAlign w:val="center"/>
          </w:tcPr>
          <w:p>
            <w:pPr>
              <w:pStyle w:val="48"/>
              <w:spacing w:line="240" w:lineRule="auto"/>
              <w:rPr>
                <w:color w:val="000000"/>
                <w:szCs w:val="21"/>
              </w:rPr>
            </w:pPr>
            <w:r>
              <w:rPr>
                <w:color w:val="000000"/>
                <w:szCs w:val="21"/>
              </w:rPr>
              <w:t>简单防渗区</w:t>
            </w:r>
          </w:p>
        </w:tc>
        <w:tc>
          <w:tcPr>
            <w:tcW w:w="1275" w:type="dxa"/>
            <w:vAlign w:val="center"/>
          </w:tcPr>
          <w:p>
            <w:pPr>
              <w:pStyle w:val="48"/>
              <w:spacing w:line="240" w:lineRule="auto"/>
              <w:rPr>
                <w:color w:val="000000"/>
                <w:szCs w:val="21"/>
              </w:rPr>
            </w:pPr>
            <w:r>
              <w:rPr>
                <w:color w:val="000000"/>
                <w:szCs w:val="21"/>
              </w:rPr>
              <w:t>中—强</w:t>
            </w:r>
          </w:p>
        </w:tc>
        <w:tc>
          <w:tcPr>
            <w:tcW w:w="1276" w:type="dxa"/>
            <w:vAlign w:val="center"/>
          </w:tcPr>
          <w:p>
            <w:pPr>
              <w:pStyle w:val="48"/>
              <w:spacing w:line="240" w:lineRule="auto"/>
              <w:rPr>
                <w:color w:val="000000"/>
                <w:szCs w:val="21"/>
              </w:rPr>
            </w:pPr>
            <w:r>
              <w:rPr>
                <w:color w:val="000000"/>
                <w:szCs w:val="21"/>
              </w:rPr>
              <w:t>易</w:t>
            </w:r>
          </w:p>
        </w:tc>
        <w:tc>
          <w:tcPr>
            <w:tcW w:w="1985" w:type="dxa"/>
            <w:vAlign w:val="center"/>
          </w:tcPr>
          <w:p>
            <w:pPr>
              <w:pStyle w:val="48"/>
              <w:spacing w:line="240" w:lineRule="auto"/>
              <w:rPr>
                <w:color w:val="000000"/>
                <w:szCs w:val="21"/>
              </w:rPr>
            </w:pPr>
            <w:r>
              <w:rPr>
                <w:color w:val="000000"/>
                <w:szCs w:val="21"/>
              </w:rPr>
              <w:t>其他类型</w:t>
            </w:r>
          </w:p>
        </w:tc>
        <w:tc>
          <w:tcPr>
            <w:tcW w:w="3349" w:type="dxa"/>
            <w:vAlign w:val="center"/>
          </w:tcPr>
          <w:p>
            <w:pPr>
              <w:pStyle w:val="48"/>
              <w:spacing w:line="240" w:lineRule="auto"/>
              <w:rPr>
                <w:color w:val="000000"/>
                <w:szCs w:val="21"/>
              </w:rPr>
            </w:pPr>
            <w:r>
              <w:rPr>
                <w:color w:val="000000"/>
                <w:szCs w:val="21"/>
              </w:rPr>
              <w:t>一般地面硬化</w:t>
            </w:r>
          </w:p>
        </w:tc>
      </w:tr>
    </w:tbl>
    <w:p>
      <w:pPr>
        <w:spacing w:line="360" w:lineRule="auto"/>
        <w:ind w:firstLine="480" w:firstLineChars="200"/>
        <w:rPr>
          <w:color w:val="000000"/>
          <w:sz w:val="24"/>
        </w:rPr>
      </w:pPr>
      <w:r>
        <w:rPr>
          <w:color w:val="000000"/>
          <w:sz w:val="24"/>
        </w:rPr>
        <w:t>根据各厂区可能泄漏至地面区域污染物的性质和生产单元的构筑方式，以及潜在的地下水污染源分类分析，将厂区划分为一般防渗区。</w:t>
      </w:r>
    </w:p>
    <w:p>
      <w:pPr>
        <w:spacing w:line="360" w:lineRule="auto"/>
        <w:ind w:firstLine="480" w:firstLineChars="200"/>
        <w:rPr>
          <w:color w:val="000000"/>
          <w:sz w:val="24"/>
        </w:rPr>
      </w:pPr>
      <w:r>
        <w:rPr>
          <w:color w:val="000000"/>
          <w:sz w:val="24"/>
        </w:rPr>
        <w:t>本项目的一般防渗区为</w:t>
      </w:r>
      <w:r>
        <w:rPr>
          <w:rFonts w:hint="eastAsia"/>
          <w:color w:val="000000"/>
          <w:sz w:val="24"/>
        </w:rPr>
        <w:t>压滤间沉淀池</w:t>
      </w:r>
      <w:r>
        <w:rPr>
          <w:color w:val="000000"/>
          <w:sz w:val="24"/>
        </w:rPr>
        <w:t>以及</w:t>
      </w:r>
      <w:r>
        <w:rPr>
          <w:rFonts w:hint="eastAsia"/>
          <w:color w:val="000000"/>
          <w:sz w:val="24"/>
        </w:rPr>
        <w:t>尾矿库淋溶水沉淀池</w:t>
      </w:r>
      <w:r>
        <w:rPr>
          <w:color w:val="000000"/>
          <w:sz w:val="24"/>
        </w:rPr>
        <w:t>。</w:t>
      </w:r>
    </w:p>
    <w:p>
      <w:pPr>
        <w:spacing w:line="360" w:lineRule="auto"/>
        <w:ind w:firstLine="480" w:firstLineChars="200"/>
        <w:rPr>
          <w:color w:val="000000"/>
          <w:sz w:val="24"/>
        </w:rPr>
      </w:pPr>
      <w:r>
        <w:rPr>
          <w:color w:val="000000"/>
          <w:sz w:val="24"/>
        </w:rPr>
        <w:t>根据以上分区情况，对装置防渗分区情况进行统计，见</w:t>
      </w:r>
      <w:r>
        <w:rPr>
          <w:rFonts w:hint="eastAsia"/>
          <w:color w:val="000000"/>
          <w:sz w:val="24"/>
        </w:rPr>
        <w:t>下表</w:t>
      </w:r>
      <w:r>
        <w:rPr>
          <w:color w:val="000000"/>
          <w:sz w:val="24"/>
        </w:rPr>
        <w:t>。</w:t>
      </w:r>
    </w:p>
    <w:p>
      <w:pPr>
        <w:adjustRightInd w:val="0"/>
        <w:ind w:firstLine="482" w:firstLineChars="200"/>
        <w:jc w:val="center"/>
        <w:rPr>
          <w:rFonts w:ascii="Times New Roman" w:hAnsi="Times New Roman"/>
          <w:b/>
          <w:color w:val="000000"/>
          <w:sz w:val="24"/>
        </w:rPr>
      </w:pPr>
      <w:r>
        <w:rPr>
          <w:rFonts w:ascii="Times New Roman" w:hAnsi="Times New Roman"/>
          <w:b/>
          <w:color w:val="000000"/>
          <w:sz w:val="24"/>
        </w:rPr>
        <w:t>表7-</w:t>
      </w:r>
      <w:r>
        <w:rPr>
          <w:rFonts w:hint="eastAsia" w:ascii="Times New Roman" w:hAnsi="Times New Roman"/>
          <w:b/>
          <w:color w:val="000000"/>
          <w:sz w:val="24"/>
        </w:rPr>
        <w:t>4</w:t>
      </w:r>
      <w:r>
        <w:rPr>
          <w:rFonts w:ascii="Times New Roman" w:hAnsi="Times New Roman"/>
          <w:b/>
          <w:color w:val="000000"/>
          <w:sz w:val="24"/>
        </w:rPr>
        <w:t xml:space="preserve"> 地下水污染防治分区</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442"/>
        <w:gridCol w:w="1437"/>
        <w:gridCol w:w="1291"/>
        <w:gridCol w:w="1294"/>
        <w:gridCol w:w="1149"/>
        <w:gridCol w:w="1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vAlign w:val="center"/>
          </w:tcPr>
          <w:p>
            <w:pPr>
              <w:adjustRightInd w:val="0"/>
              <w:snapToGrid w:val="0"/>
              <w:jc w:val="center"/>
              <w:rPr>
                <w:color w:val="000000"/>
                <w:szCs w:val="21"/>
              </w:rPr>
            </w:pPr>
            <w:r>
              <w:rPr>
                <w:color w:val="000000"/>
                <w:szCs w:val="21"/>
              </w:rPr>
              <w:t>编号</w:t>
            </w:r>
          </w:p>
        </w:tc>
        <w:tc>
          <w:tcPr>
            <w:tcW w:w="1442" w:type="dxa"/>
            <w:vAlign w:val="center"/>
          </w:tcPr>
          <w:p>
            <w:pPr>
              <w:adjustRightInd w:val="0"/>
              <w:snapToGrid w:val="0"/>
              <w:jc w:val="center"/>
              <w:rPr>
                <w:color w:val="000000"/>
                <w:szCs w:val="21"/>
              </w:rPr>
            </w:pPr>
            <w:r>
              <w:rPr>
                <w:color w:val="000000"/>
                <w:szCs w:val="21"/>
              </w:rPr>
              <w:t>单元名称</w:t>
            </w:r>
          </w:p>
        </w:tc>
        <w:tc>
          <w:tcPr>
            <w:tcW w:w="1437" w:type="dxa"/>
            <w:vAlign w:val="center"/>
          </w:tcPr>
          <w:p>
            <w:pPr>
              <w:pStyle w:val="48"/>
              <w:spacing w:line="240" w:lineRule="auto"/>
              <w:rPr>
                <w:color w:val="000000"/>
                <w:szCs w:val="21"/>
              </w:rPr>
            </w:pPr>
            <w:r>
              <w:rPr>
                <w:color w:val="000000"/>
                <w:szCs w:val="21"/>
              </w:rPr>
              <w:t>天然包气带防污性能</w:t>
            </w:r>
          </w:p>
        </w:tc>
        <w:tc>
          <w:tcPr>
            <w:tcW w:w="1291" w:type="dxa"/>
            <w:vAlign w:val="center"/>
          </w:tcPr>
          <w:p>
            <w:pPr>
              <w:pStyle w:val="48"/>
              <w:spacing w:line="240" w:lineRule="auto"/>
              <w:rPr>
                <w:color w:val="000000"/>
                <w:szCs w:val="21"/>
              </w:rPr>
            </w:pPr>
            <w:r>
              <w:rPr>
                <w:color w:val="000000"/>
                <w:szCs w:val="21"/>
              </w:rPr>
              <w:t>污染控制难易程度</w:t>
            </w:r>
          </w:p>
        </w:tc>
        <w:tc>
          <w:tcPr>
            <w:tcW w:w="1294" w:type="dxa"/>
            <w:vAlign w:val="center"/>
          </w:tcPr>
          <w:p>
            <w:pPr>
              <w:pStyle w:val="48"/>
              <w:spacing w:line="240" w:lineRule="auto"/>
              <w:rPr>
                <w:color w:val="000000"/>
                <w:szCs w:val="21"/>
              </w:rPr>
            </w:pPr>
            <w:r>
              <w:rPr>
                <w:color w:val="000000"/>
                <w:szCs w:val="21"/>
              </w:rPr>
              <w:t>污染物类型</w:t>
            </w:r>
          </w:p>
        </w:tc>
        <w:tc>
          <w:tcPr>
            <w:tcW w:w="1149" w:type="dxa"/>
            <w:vAlign w:val="center"/>
          </w:tcPr>
          <w:p>
            <w:pPr>
              <w:pStyle w:val="48"/>
              <w:spacing w:line="240" w:lineRule="auto"/>
              <w:rPr>
                <w:color w:val="000000"/>
                <w:szCs w:val="21"/>
              </w:rPr>
            </w:pPr>
            <w:r>
              <w:rPr>
                <w:color w:val="000000"/>
                <w:szCs w:val="21"/>
              </w:rPr>
              <w:t>污染防治</w:t>
            </w:r>
          </w:p>
          <w:p>
            <w:pPr>
              <w:pStyle w:val="48"/>
              <w:spacing w:line="240" w:lineRule="auto"/>
              <w:rPr>
                <w:color w:val="000000"/>
                <w:szCs w:val="21"/>
              </w:rPr>
            </w:pPr>
            <w:r>
              <w:rPr>
                <w:color w:val="000000"/>
                <w:szCs w:val="21"/>
              </w:rPr>
              <w:t>类别</w:t>
            </w:r>
          </w:p>
        </w:tc>
        <w:tc>
          <w:tcPr>
            <w:tcW w:w="1528" w:type="dxa"/>
            <w:vAlign w:val="center"/>
          </w:tcPr>
          <w:p>
            <w:pPr>
              <w:pStyle w:val="48"/>
              <w:spacing w:line="240" w:lineRule="auto"/>
              <w:rPr>
                <w:color w:val="000000"/>
                <w:szCs w:val="21"/>
              </w:rPr>
            </w:pPr>
            <w:r>
              <w:rPr>
                <w:color w:val="000000"/>
                <w:szCs w:val="21"/>
              </w:rPr>
              <w:t>污染防治区域及部位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dxa"/>
            <w:vAlign w:val="center"/>
          </w:tcPr>
          <w:p>
            <w:pPr>
              <w:adjustRightInd w:val="0"/>
              <w:snapToGrid w:val="0"/>
              <w:jc w:val="center"/>
              <w:rPr>
                <w:color w:val="000000"/>
                <w:szCs w:val="21"/>
              </w:rPr>
            </w:pPr>
            <w:r>
              <w:rPr>
                <w:color w:val="000000"/>
                <w:szCs w:val="21"/>
              </w:rPr>
              <w:t>1</w:t>
            </w:r>
          </w:p>
        </w:tc>
        <w:tc>
          <w:tcPr>
            <w:tcW w:w="1442" w:type="dxa"/>
            <w:vAlign w:val="center"/>
          </w:tcPr>
          <w:p>
            <w:pPr>
              <w:adjustRightInd w:val="0"/>
              <w:snapToGrid w:val="0"/>
              <w:jc w:val="center"/>
              <w:rPr>
                <w:color w:val="000000"/>
                <w:szCs w:val="21"/>
              </w:rPr>
            </w:pPr>
            <w:r>
              <w:rPr>
                <w:rFonts w:hint="eastAsia"/>
                <w:color w:val="000000"/>
                <w:szCs w:val="21"/>
              </w:rPr>
              <w:t>压滤间及尾矿库</w:t>
            </w:r>
            <w:r>
              <w:rPr>
                <w:color w:val="000000"/>
                <w:szCs w:val="21"/>
              </w:rPr>
              <w:t>沉淀池</w:t>
            </w:r>
          </w:p>
        </w:tc>
        <w:tc>
          <w:tcPr>
            <w:tcW w:w="1437" w:type="dxa"/>
            <w:vAlign w:val="center"/>
          </w:tcPr>
          <w:p>
            <w:pPr>
              <w:jc w:val="center"/>
              <w:rPr>
                <w:color w:val="000000"/>
                <w:szCs w:val="21"/>
              </w:rPr>
            </w:pPr>
            <w:r>
              <w:rPr>
                <w:color w:val="000000"/>
                <w:szCs w:val="21"/>
              </w:rPr>
              <w:t>弱</w:t>
            </w:r>
          </w:p>
        </w:tc>
        <w:tc>
          <w:tcPr>
            <w:tcW w:w="1291" w:type="dxa"/>
            <w:vAlign w:val="center"/>
          </w:tcPr>
          <w:p>
            <w:pPr>
              <w:adjustRightInd w:val="0"/>
              <w:snapToGrid w:val="0"/>
              <w:jc w:val="center"/>
              <w:rPr>
                <w:color w:val="000000"/>
                <w:szCs w:val="21"/>
              </w:rPr>
            </w:pPr>
            <w:r>
              <w:rPr>
                <w:color w:val="000000"/>
                <w:szCs w:val="21"/>
              </w:rPr>
              <w:t>难</w:t>
            </w:r>
          </w:p>
        </w:tc>
        <w:tc>
          <w:tcPr>
            <w:tcW w:w="1294" w:type="dxa"/>
            <w:vAlign w:val="center"/>
          </w:tcPr>
          <w:p>
            <w:pPr>
              <w:adjustRightInd w:val="0"/>
              <w:snapToGrid w:val="0"/>
              <w:jc w:val="center"/>
              <w:rPr>
                <w:color w:val="000000"/>
                <w:szCs w:val="21"/>
              </w:rPr>
            </w:pPr>
            <w:r>
              <w:rPr>
                <w:color w:val="000000"/>
                <w:szCs w:val="21"/>
              </w:rPr>
              <w:t>其他类型</w:t>
            </w:r>
          </w:p>
        </w:tc>
        <w:tc>
          <w:tcPr>
            <w:tcW w:w="1149" w:type="dxa"/>
            <w:vAlign w:val="center"/>
          </w:tcPr>
          <w:p>
            <w:pPr>
              <w:adjustRightInd w:val="0"/>
              <w:snapToGrid w:val="0"/>
              <w:jc w:val="center"/>
              <w:rPr>
                <w:color w:val="000000"/>
                <w:szCs w:val="21"/>
              </w:rPr>
            </w:pPr>
            <w:r>
              <w:rPr>
                <w:color w:val="000000"/>
                <w:szCs w:val="21"/>
              </w:rPr>
              <w:t>一般防渗</w:t>
            </w:r>
          </w:p>
        </w:tc>
        <w:tc>
          <w:tcPr>
            <w:tcW w:w="1528" w:type="dxa"/>
            <w:vAlign w:val="center"/>
          </w:tcPr>
          <w:p>
            <w:pPr>
              <w:adjustRightInd w:val="0"/>
              <w:snapToGrid w:val="0"/>
              <w:jc w:val="center"/>
              <w:rPr>
                <w:color w:val="000000"/>
                <w:szCs w:val="21"/>
              </w:rPr>
            </w:pPr>
            <w:r>
              <w:rPr>
                <w:color w:val="000000"/>
                <w:szCs w:val="21"/>
              </w:rPr>
              <w:t>池底及四壁</w:t>
            </w:r>
          </w:p>
        </w:tc>
      </w:tr>
    </w:tbl>
    <w:p>
      <w:pPr>
        <w:adjustRightInd w:val="0"/>
        <w:spacing w:line="360" w:lineRule="auto"/>
        <w:ind w:firstLine="480" w:firstLineChars="200"/>
        <w:rPr>
          <w:rFonts w:ascii="Times New Roman" w:hAnsi="Times New Roman"/>
          <w:color w:val="000000"/>
          <w:sz w:val="24"/>
        </w:rPr>
      </w:pPr>
      <w:r>
        <w:rPr>
          <w:rFonts w:ascii="Times New Roman" w:hAnsi="Times New Roman"/>
          <w:color w:val="000000"/>
          <w:sz w:val="24"/>
        </w:rPr>
        <w:t>防渗工程需做专项设计和施工。在本章节仅提出对于一般防渗区的防渗建议：对于一般防渗区，应核实防渗效果是否达到不低于1.5m厚，渗透系数为10</w:t>
      </w:r>
      <w:r>
        <w:rPr>
          <w:rFonts w:ascii="Times New Roman" w:hAnsi="Times New Roman"/>
          <w:color w:val="000000"/>
          <w:sz w:val="24"/>
          <w:vertAlign w:val="superscript"/>
        </w:rPr>
        <w:t>-7</w:t>
      </w:r>
      <w:r>
        <w:rPr>
          <w:rFonts w:ascii="Times New Roman" w:hAnsi="Times New Roman"/>
          <w:color w:val="000000"/>
          <w:sz w:val="24"/>
        </w:rPr>
        <w:t>cm/s的等效粘土防渗层。并依照《尾矿库安全技术规程》对尾矿库进行防渗，防止对地下水的影响。</w:t>
      </w:r>
    </w:p>
    <w:p>
      <w:pPr>
        <w:adjustRightInd w:val="0"/>
        <w:spacing w:line="360" w:lineRule="auto"/>
        <w:ind w:firstLine="480" w:firstLineChars="200"/>
        <w:contextualSpacing/>
        <w:rPr>
          <w:rFonts w:ascii="Times New Roman" w:hAnsi="Times New Roman"/>
          <w:sz w:val="24"/>
        </w:rPr>
      </w:pPr>
      <w:r>
        <w:rPr>
          <w:rFonts w:ascii="Times New Roman" w:hAnsi="Times New Roman"/>
          <w:sz w:val="24"/>
        </w:rPr>
        <w:t>4、地下水分区防渗措施评述</w:t>
      </w:r>
    </w:p>
    <w:p>
      <w:pPr>
        <w:adjustRightInd w:val="0"/>
        <w:spacing w:line="360" w:lineRule="auto"/>
        <w:ind w:firstLine="480" w:firstLineChars="200"/>
        <w:contextualSpacing/>
        <w:rPr>
          <w:rFonts w:ascii="Times New Roman" w:hAnsi="Times New Roman"/>
          <w:sz w:val="24"/>
        </w:rPr>
      </w:pPr>
      <w:r>
        <w:rPr>
          <w:rFonts w:ascii="Times New Roman" w:hAnsi="Times New Roman"/>
          <w:sz w:val="24"/>
        </w:rPr>
        <w:t>根据地下水环境污染预测结果，在项目采取防渗措施后，其各种状况下的污染物对地下水的影响能达到地下水环境的要求。为更好的保护地下水环境，本项目环评提出了地下水防渗措施的标准及要求，其中对场地内一般防渗区域提出的防渗要求达到了《环境影响评价技术导则 地下水环境》（HJ610-2016）的防渗标准，在充分落实以上地下水防渗措施的前提下，项目建设能够达到保护地下水环境的目的。</w:t>
      </w:r>
    </w:p>
    <w:p>
      <w:pPr>
        <w:adjustRightInd w:val="0"/>
        <w:spacing w:line="360" w:lineRule="auto"/>
        <w:ind w:firstLine="480" w:firstLineChars="200"/>
        <w:contextualSpacing/>
        <w:rPr>
          <w:sz w:val="24"/>
        </w:rPr>
      </w:pPr>
      <w:bookmarkStart w:id="530" w:name="_Toc477354327"/>
      <w:r>
        <w:rPr>
          <w:rFonts w:hint="eastAsia"/>
          <w:sz w:val="24"/>
        </w:rPr>
        <w:t>5、</w:t>
      </w:r>
      <w:r>
        <w:rPr>
          <w:sz w:val="24"/>
        </w:rPr>
        <w:t>地下水环境监测与管理</w:t>
      </w:r>
      <w:bookmarkEnd w:id="530"/>
    </w:p>
    <w:p>
      <w:pPr>
        <w:adjustRightInd w:val="0"/>
        <w:spacing w:line="360" w:lineRule="auto"/>
        <w:ind w:firstLine="480" w:firstLineChars="200"/>
        <w:contextualSpacing/>
        <w:rPr>
          <w:sz w:val="24"/>
        </w:rPr>
      </w:pPr>
      <w:r>
        <w:rPr>
          <w:rFonts w:hint="eastAsia"/>
          <w:sz w:val="24"/>
        </w:rPr>
        <w:t>（1）</w:t>
      </w:r>
      <w:r>
        <w:rPr>
          <w:sz w:val="24"/>
        </w:rPr>
        <w:t>跟踪监测井的设置</w:t>
      </w:r>
    </w:p>
    <w:p>
      <w:pPr>
        <w:pStyle w:val="33"/>
        <w:rPr>
          <w:rFonts w:ascii="Times New Roman" w:hAnsi="Times New Roman" w:eastAsia="宋体"/>
        </w:rPr>
      </w:pPr>
      <w:r>
        <w:rPr>
          <w:rFonts w:ascii="Times New Roman" w:hAnsi="Times New Roman" w:eastAsia="宋体"/>
        </w:rPr>
        <w:t>本项目地下水现状监测点位分布在厂区周边，为了更好地判断地下水的受影响状况，建议本项目布置3口监测井作为项目的长期监测井，监测井的监测层位为潜水含水层，具体监测计划如下表所示。</w:t>
      </w:r>
    </w:p>
    <w:p>
      <w:pPr>
        <w:pStyle w:val="33"/>
        <w:rPr>
          <w:rFonts w:eastAsia="宋体"/>
        </w:rPr>
      </w:pPr>
    </w:p>
    <w:p>
      <w:pPr>
        <w:pStyle w:val="33"/>
        <w:spacing w:line="240" w:lineRule="auto"/>
        <w:ind w:firstLine="482"/>
        <w:jc w:val="center"/>
        <w:rPr>
          <w:rFonts w:ascii="Times New Roman" w:hAnsi="Times New Roman" w:eastAsia="宋体"/>
          <w:b/>
        </w:rPr>
      </w:pPr>
      <w:r>
        <w:rPr>
          <w:rFonts w:ascii="Times New Roman" w:hAnsi="Times New Roman" w:eastAsia="宋体"/>
          <w:b/>
        </w:rPr>
        <w:t>表7-</w:t>
      </w:r>
      <w:r>
        <w:rPr>
          <w:rFonts w:hint="eastAsia" w:ascii="Times New Roman" w:hAnsi="Times New Roman" w:eastAsia="宋体"/>
          <w:b/>
        </w:rPr>
        <w:t>5</w:t>
      </w:r>
      <w:r>
        <w:rPr>
          <w:rFonts w:ascii="Times New Roman" w:hAnsi="Times New Roman" w:eastAsia="宋体"/>
          <w:b/>
        </w:rPr>
        <w:t xml:space="preserve"> 地下水跟踪监测井基本信息一览表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020"/>
        <w:gridCol w:w="30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监测井编号</w:t>
            </w:r>
          </w:p>
        </w:tc>
        <w:tc>
          <w:tcPr>
            <w:tcW w:w="3020"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用途</w:t>
            </w:r>
          </w:p>
        </w:tc>
        <w:tc>
          <w:tcPr>
            <w:tcW w:w="3018"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1</w:t>
            </w:r>
            <w:r>
              <w:rPr>
                <w:rFonts w:eastAsia="宋体"/>
                <w:kern w:val="2"/>
                <w:sz w:val="21"/>
                <w:szCs w:val="21"/>
                <w:vertAlign w:val="superscript"/>
              </w:rPr>
              <w:t>#</w:t>
            </w:r>
          </w:p>
        </w:tc>
        <w:tc>
          <w:tcPr>
            <w:tcW w:w="3020" w:type="dxa"/>
            <w:vAlign w:val="center"/>
          </w:tcPr>
          <w:p>
            <w:pPr>
              <w:adjustRightInd w:val="0"/>
              <w:jc w:val="center"/>
              <w:rPr>
                <w:szCs w:val="21"/>
              </w:rPr>
            </w:pPr>
            <w:r>
              <w:rPr>
                <w:szCs w:val="21"/>
              </w:rPr>
              <w:t>背景监测井</w:t>
            </w:r>
          </w:p>
        </w:tc>
        <w:tc>
          <w:tcPr>
            <w:tcW w:w="3018"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项目厂界</w:t>
            </w:r>
            <w:r>
              <w:rPr>
                <w:rFonts w:hint="eastAsia" w:eastAsia="宋体"/>
                <w:kern w:val="2"/>
                <w:sz w:val="21"/>
                <w:szCs w:val="21"/>
              </w:rPr>
              <w:t>东南</w:t>
            </w:r>
            <w:r>
              <w:rPr>
                <w:rFonts w:eastAsia="宋体"/>
                <w:kern w:val="2"/>
                <w:sz w:val="21"/>
                <w:szCs w:val="21"/>
              </w:rPr>
              <w:t>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2</w:t>
            </w:r>
            <w:r>
              <w:rPr>
                <w:rFonts w:eastAsia="宋体"/>
                <w:kern w:val="2"/>
                <w:sz w:val="21"/>
                <w:szCs w:val="21"/>
                <w:vertAlign w:val="superscript"/>
              </w:rPr>
              <w:t>#</w:t>
            </w:r>
          </w:p>
        </w:tc>
        <w:tc>
          <w:tcPr>
            <w:tcW w:w="3020"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污染扩散监测井</w:t>
            </w:r>
          </w:p>
        </w:tc>
        <w:tc>
          <w:tcPr>
            <w:tcW w:w="3018"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项目厂界</w:t>
            </w:r>
            <w:r>
              <w:rPr>
                <w:rFonts w:hint="eastAsia" w:eastAsia="宋体"/>
                <w:kern w:val="2"/>
                <w:sz w:val="21"/>
                <w:szCs w:val="21"/>
              </w:rPr>
              <w:t>西北</w:t>
            </w:r>
            <w:r>
              <w:rPr>
                <w:rFonts w:eastAsia="宋体"/>
                <w:kern w:val="2"/>
                <w:sz w:val="21"/>
                <w:szCs w:val="21"/>
              </w:rPr>
              <w:t>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3</w:t>
            </w:r>
            <w:r>
              <w:rPr>
                <w:rFonts w:eastAsia="宋体"/>
                <w:kern w:val="2"/>
                <w:sz w:val="21"/>
                <w:szCs w:val="21"/>
                <w:vertAlign w:val="superscript"/>
              </w:rPr>
              <w:t>#</w:t>
            </w:r>
          </w:p>
        </w:tc>
        <w:tc>
          <w:tcPr>
            <w:tcW w:w="3020"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污染扩散监测井</w:t>
            </w:r>
          </w:p>
        </w:tc>
        <w:tc>
          <w:tcPr>
            <w:tcW w:w="3018" w:type="dxa"/>
            <w:vAlign w:val="center"/>
          </w:tcPr>
          <w:p>
            <w:pPr>
              <w:pStyle w:val="33"/>
              <w:adjustRightInd w:val="0"/>
              <w:spacing w:line="240" w:lineRule="auto"/>
              <w:ind w:firstLine="0" w:firstLineChars="0"/>
              <w:jc w:val="center"/>
              <w:rPr>
                <w:rFonts w:eastAsia="宋体"/>
                <w:kern w:val="2"/>
                <w:sz w:val="21"/>
                <w:szCs w:val="21"/>
              </w:rPr>
            </w:pPr>
            <w:r>
              <w:rPr>
                <w:rFonts w:eastAsia="宋体"/>
                <w:kern w:val="2"/>
                <w:sz w:val="21"/>
                <w:szCs w:val="21"/>
              </w:rPr>
              <w:t>项目厂界</w:t>
            </w:r>
            <w:r>
              <w:rPr>
                <w:rFonts w:hint="eastAsia" w:eastAsia="宋体"/>
                <w:kern w:val="2"/>
                <w:sz w:val="21"/>
                <w:szCs w:val="21"/>
              </w:rPr>
              <w:t>西北</w:t>
            </w:r>
            <w:r>
              <w:rPr>
                <w:rFonts w:eastAsia="宋体"/>
                <w:kern w:val="2"/>
                <w:sz w:val="21"/>
                <w:szCs w:val="21"/>
              </w:rPr>
              <w:t>方</w:t>
            </w:r>
          </w:p>
        </w:tc>
      </w:tr>
    </w:tbl>
    <w:p>
      <w:pPr>
        <w:adjustRightInd w:val="0"/>
        <w:spacing w:line="360" w:lineRule="auto"/>
        <w:ind w:firstLine="480" w:firstLineChars="200"/>
        <w:rPr>
          <w:rFonts w:ascii="Times New Roman" w:hAnsi="Times New Roman"/>
          <w:sz w:val="24"/>
        </w:rPr>
      </w:pPr>
      <w:r>
        <w:rPr>
          <w:rFonts w:ascii="Times New Roman" w:hAnsi="Times New Roman"/>
          <w:sz w:val="24"/>
        </w:rPr>
        <w:t>本项目可将该3口井作为地下水永久监测井使用，建设单位在日常运营过程中应做好监测井的运行维护，以防因井口外漏、管壁破裂或者其他原因造成废水与废液或者是地面清洁废水倒灌或渗入井内而造成地下水污染。</w:t>
      </w:r>
    </w:p>
    <w:p>
      <w:pPr>
        <w:autoSpaceDE w:val="0"/>
        <w:autoSpaceDN w:val="0"/>
        <w:adjustRightInd w:val="0"/>
        <w:spacing w:line="360" w:lineRule="auto"/>
        <w:ind w:firstLine="480" w:firstLineChars="200"/>
        <w:rPr>
          <w:rFonts w:ascii="Times New Roman" w:hAnsi="Times New Roman"/>
          <w:b/>
          <w:sz w:val="24"/>
        </w:rPr>
      </w:pPr>
      <w:r>
        <w:rPr>
          <w:rFonts w:ascii="Times New Roman" w:hAnsi="Times New Roman"/>
          <w:sz w:val="24"/>
        </w:rPr>
        <w:t>（2）检测因子和检测频率：依据场地的水文地质条件，结合厂区内地下水污染源的位置，确定地下水监测井使用功能，力求以最低的采样频次，取得最有时间代表性的样品，达到全面反映厂区内地下水质状况、污染原因和规律的目的。地下水监测因子及监测频率见下表，可根据当地环境保护部分的要求调整监测频率和监测因子。</w:t>
      </w:r>
    </w:p>
    <w:p>
      <w:pPr>
        <w:autoSpaceDE w:val="0"/>
        <w:autoSpaceDN w:val="0"/>
        <w:adjustRightInd w:val="0"/>
        <w:ind w:firstLine="482" w:firstLineChars="200"/>
        <w:jc w:val="center"/>
        <w:rPr>
          <w:rFonts w:ascii="Times New Roman" w:hAnsi="Times New Roman"/>
          <w:b/>
          <w:szCs w:val="21"/>
        </w:rPr>
      </w:pPr>
      <w:r>
        <w:rPr>
          <w:rFonts w:ascii="Times New Roman" w:hAnsi="Times New Roman"/>
          <w:b/>
          <w:sz w:val="24"/>
        </w:rPr>
        <w:t>表7-</w:t>
      </w:r>
      <w:r>
        <w:rPr>
          <w:rFonts w:hint="eastAsia" w:ascii="Times New Roman" w:hAnsi="Times New Roman"/>
          <w:b/>
          <w:sz w:val="24"/>
        </w:rPr>
        <w:t>6</w:t>
      </w:r>
      <w:r>
        <w:rPr>
          <w:rFonts w:ascii="Times New Roman" w:hAnsi="Times New Roman"/>
          <w:b/>
          <w:sz w:val="24"/>
        </w:rPr>
        <w:t xml:space="preserve"> 地下水监测计划</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058"/>
        <w:gridCol w:w="2766"/>
        <w:gridCol w:w="4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81"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监测井编号</w:t>
            </w:r>
          </w:p>
        </w:tc>
        <w:tc>
          <w:tcPr>
            <w:tcW w:w="1058"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用途</w:t>
            </w:r>
          </w:p>
        </w:tc>
        <w:tc>
          <w:tcPr>
            <w:tcW w:w="2766"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监测频率</w:t>
            </w:r>
          </w:p>
        </w:tc>
        <w:tc>
          <w:tcPr>
            <w:tcW w:w="4038"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981"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1</w:t>
            </w:r>
            <w:r>
              <w:rPr>
                <w:rFonts w:ascii="Times New Roman" w:hAnsi="Times New Roman" w:eastAsia="宋体"/>
                <w:kern w:val="2"/>
                <w:sz w:val="21"/>
                <w:szCs w:val="21"/>
                <w:vertAlign w:val="superscript"/>
              </w:rPr>
              <w:t>#</w:t>
            </w:r>
          </w:p>
        </w:tc>
        <w:tc>
          <w:tcPr>
            <w:tcW w:w="1058"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背景</w:t>
            </w:r>
          </w:p>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监测井</w:t>
            </w:r>
          </w:p>
        </w:tc>
        <w:tc>
          <w:tcPr>
            <w:tcW w:w="2766"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每年枯水期检测一次</w:t>
            </w:r>
          </w:p>
        </w:tc>
        <w:tc>
          <w:tcPr>
            <w:tcW w:w="4038"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kern w:val="2"/>
                <w:sz w:val="21"/>
                <w:szCs w:val="22"/>
              </w:rPr>
              <w:t>pH、</w:t>
            </w:r>
            <w:r>
              <w:rPr>
                <w:rFonts w:ascii="Times New Roman" w:hAnsi="Times New Roman" w:eastAsia="宋体"/>
                <w:kern w:val="2"/>
                <w:sz w:val="21"/>
                <w:szCs w:val="22"/>
              </w:rPr>
              <w:t>耗氧量</w:t>
            </w:r>
            <w:r>
              <w:rPr>
                <w:rFonts w:ascii="Times New Roman" w:hAnsi="Times New Roman"/>
                <w:kern w:val="2"/>
                <w:sz w:val="21"/>
                <w:szCs w:val="22"/>
              </w:rPr>
              <w:t>、氨氮、总硬度、硝酸盐、亚硝酸盐、挥发性酚类、氰化物、砷、硫酸盐、氯化物、铁、锰、铬（六价）、铅、氟、镉、铜、锌、汞、溶解性总固体、镍等22项。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81"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2</w:t>
            </w:r>
            <w:r>
              <w:rPr>
                <w:rFonts w:ascii="Times New Roman" w:hAnsi="Times New Roman" w:eastAsia="宋体"/>
                <w:kern w:val="2"/>
                <w:sz w:val="21"/>
                <w:szCs w:val="21"/>
                <w:vertAlign w:val="superscript"/>
              </w:rPr>
              <w:t>#</w:t>
            </w:r>
          </w:p>
        </w:tc>
        <w:tc>
          <w:tcPr>
            <w:tcW w:w="1058"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污染扩散监测井</w:t>
            </w:r>
          </w:p>
        </w:tc>
        <w:tc>
          <w:tcPr>
            <w:tcW w:w="2766" w:type="dxa"/>
            <w:vMerge w:val="restart"/>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每单月采样一次，一年六次。在监测井水质没有上升趋势，且变化不大，而现有污染源排污量未增的情况下，可每年在枯水期监测一次，一旦监测结果存在明显的上升趋势，或在监测井附近有新的污染源或现有污染源新增排污量时，即恢复正常监测频次。</w:t>
            </w:r>
          </w:p>
        </w:tc>
        <w:tc>
          <w:tcPr>
            <w:tcW w:w="4038" w:type="dxa"/>
            <w:vMerge w:val="restart"/>
            <w:vAlign w:val="center"/>
          </w:tcPr>
          <w:p>
            <w:pPr>
              <w:pStyle w:val="33"/>
              <w:spacing w:line="240" w:lineRule="auto"/>
              <w:ind w:firstLine="0" w:firstLineChars="0"/>
              <w:contextualSpacing/>
              <w:rPr>
                <w:rFonts w:ascii="Times New Roman" w:hAnsi="Times New Roman" w:eastAsia="宋体"/>
                <w:kern w:val="2"/>
                <w:sz w:val="21"/>
                <w:szCs w:val="21"/>
              </w:rPr>
            </w:pPr>
            <w:r>
              <w:rPr>
                <w:rFonts w:ascii="Times New Roman" w:hAnsi="Times New Roman" w:eastAsia="宋体"/>
                <w:kern w:val="2"/>
                <w:sz w:val="21"/>
                <w:szCs w:val="21"/>
              </w:rPr>
              <w:t>单月采样监测因子：COD、SS、铁</w:t>
            </w:r>
          </w:p>
          <w:p>
            <w:pPr>
              <w:pStyle w:val="33"/>
              <w:spacing w:line="240" w:lineRule="auto"/>
              <w:ind w:firstLine="0" w:firstLineChars="0"/>
              <w:contextualSpacing/>
              <w:rPr>
                <w:rFonts w:ascii="Times New Roman" w:hAnsi="Times New Roman" w:eastAsia="宋体"/>
                <w:kern w:val="2"/>
                <w:sz w:val="21"/>
                <w:szCs w:val="21"/>
              </w:rPr>
            </w:pPr>
            <w:r>
              <w:rPr>
                <w:rFonts w:ascii="Times New Roman" w:hAnsi="Times New Roman" w:eastAsia="宋体"/>
                <w:kern w:val="2"/>
                <w:sz w:val="21"/>
                <w:szCs w:val="21"/>
              </w:rPr>
              <w:t>枯水期采样监测因子：</w:t>
            </w:r>
          </w:p>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kern w:val="2"/>
                <w:sz w:val="21"/>
                <w:szCs w:val="22"/>
              </w:rPr>
              <w:t>pH、</w:t>
            </w:r>
            <w:r>
              <w:rPr>
                <w:rFonts w:ascii="Times New Roman" w:hAnsi="Times New Roman" w:eastAsia="宋体"/>
                <w:kern w:val="2"/>
                <w:sz w:val="21"/>
                <w:szCs w:val="22"/>
              </w:rPr>
              <w:t>耗氧量</w:t>
            </w:r>
            <w:r>
              <w:rPr>
                <w:rFonts w:ascii="Times New Roman" w:hAnsi="Times New Roman"/>
                <w:kern w:val="2"/>
                <w:sz w:val="21"/>
                <w:szCs w:val="22"/>
              </w:rPr>
              <w:t>、氨氮、总硬度、硝酸盐、亚硝酸盐、挥发性酚类、氰化物、砷、硫酸盐、氯化物、铁、锰、铬（六价）、铅、氟、镉、铜、锌、汞、溶解性总固体、镍等22项。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81"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3</w:t>
            </w:r>
            <w:r>
              <w:rPr>
                <w:rFonts w:ascii="Times New Roman" w:hAnsi="Times New Roman" w:eastAsia="宋体"/>
                <w:kern w:val="2"/>
                <w:sz w:val="21"/>
                <w:szCs w:val="21"/>
                <w:vertAlign w:val="superscript"/>
              </w:rPr>
              <w:t>#</w:t>
            </w:r>
          </w:p>
        </w:tc>
        <w:tc>
          <w:tcPr>
            <w:tcW w:w="1058" w:type="dxa"/>
            <w:vAlign w:val="center"/>
          </w:tcPr>
          <w:p>
            <w:pPr>
              <w:pStyle w:val="33"/>
              <w:spacing w:line="240" w:lineRule="auto"/>
              <w:ind w:firstLine="0" w:firstLineChars="0"/>
              <w:contextualSpacing/>
              <w:jc w:val="center"/>
              <w:rPr>
                <w:rFonts w:ascii="Times New Roman" w:hAnsi="Times New Roman" w:eastAsia="宋体"/>
                <w:kern w:val="2"/>
                <w:sz w:val="21"/>
                <w:szCs w:val="21"/>
              </w:rPr>
            </w:pPr>
            <w:r>
              <w:rPr>
                <w:rFonts w:ascii="Times New Roman" w:hAnsi="Times New Roman" w:eastAsia="宋体"/>
                <w:kern w:val="2"/>
                <w:sz w:val="21"/>
                <w:szCs w:val="21"/>
              </w:rPr>
              <w:t>污染扩散监测井</w:t>
            </w:r>
          </w:p>
        </w:tc>
        <w:tc>
          <w:tcPr>
            <w:tcW w:w="2766" w:type="dxa"/>
            <w:vMerge w:val="continue"/>
            <w:vAlign w:val="center"/>
          </w:tcPr>
          <w:p>
            <w:pPr>
              <w:pStyle w:val="33"/>
              <w:spacing w:line="240" w:lineRule="auto"/>
              <w:ind w:firstLine="0" w:firstLineChars="0"/>
              <w:contextualSpacing/>
              <w:jc w:val="center"/>
              <w:rPr>
                <w:rFonts w:ascii="Times New Roman" w:hAnsi="Times New Roman" w:eastAsia="宋体"/>
                <w:kern w:val="2"/>
                <w:sz w:val="21"/>
                <w:szCs w:val="21"/>
              </w:rPr>
            </w:pPr>
          </w:p>
        </w:tc>
        <w:tc>
          <w:tcPr>
            <w:tcW w:w="4038" w:type="dxa"/>
            <w:vMerge w:val="continue"/>
            <w:vAlign w:val="center"/>
          </w:tcPr>
          <w:p>
            <w:pPr>
              <w:pStyle w:val="33"/>
              <w:spacing w:line="240" w:lineRule="auto"/>
              <w:ind w:firstLine="0" w:firstLineChars="0"/>
              <w:contextualSpacing/>
              <w:jc w:val="center"/>
              <w:rPr>
                <w:rFonts w:ascii="Times New Roman" w:hAnsi="Times New Roman" w:eastAsia="宋体"/>
                <w:kern w:val="2"/>
                <w:sz w:val="21"/>
                <w:szCs w:val="21"/>
              </w:rPr>
            </w:pPr>
          </w:p>
        </w:tc>
      </w:tr>
    </w:tbl>
    <w:p>
      <w:pPr>
        <w:pStyle w:val="33"/>
      </w:pPr>
      <w:r>
        <w:rPr>
          <w:rFonts w:hint="eastAsia" w:eastAsia="宋体"/>
        </w:rPr>
        <w:t>本项目</w:t>
      </w:r>
      <w:r>
        <w:rPr>
          <w:rFonts w:eastAsia="宋体"/>
        </w:rPr>
        <w:t>可将该3口井作为地下水永久监测井使用，建设单位在日常运营过程中应做好监测井的运行维护，以防因井口外漏、管壁破裂或者其他原因造成废水与废液倒灌或渗入</w:t>
      </w:r>
      <w:r>
        <w:rPr>
          <w:rFonts w:hint="eastAsia" w:eastAsia="宋体"/>
        </w:rPr>
        <w:t xml:space="preserve"> </w:t>
      </w:r>
      <w:r>
        <w:rPr>
          <w:rFonts w:eastAsia="宋体"/>
        </w:rPr>
        <w:t>井内而造成地下水污染。</w:t>
      </w:r>
    </w:p>
    <w:p>
      <w:pPr>
        <w:widowControl/>
        <w:adjustRightInd w:val="0"/>
        <w:snapToGrid w:val="0"/>
        <w:spacing w:line="360" w:lineRule="auto"/>
        <w:outlineLvl w:val="0"/>
        <w:rPr>
          <w:b/>
          <w:sz w:val="24"/>
        </w:rPr>
      </w:pPr>
      <w:bookmarkStart w:id="531" w:name="_Toc11806"/>
      <w:bookmarkStart w:id="532" w:name="_Toc30245"/>
      <w:bookmarkStart w:id="533" w:name="_Toc22547"/>
      <w:r>
        <w:rPr>
          <w:rFonts w:hint="eastAsia"/>
          <w:b/>
          <w:sz w:val="24"/>
        </w:rPr>
        <w:t>7.2.4.3</w:t>
      </w:r>
      <w:r>
        <w:rPr>
          <w:b/>
          <w:sz w:val="24"/>
        </w:rPr>
        <w:t>监测机构和人员</w:t>
      </w:r>
      <w:bookmarkEnd w:id="531"/>
      <w:bookmarkEnd w:id="532"/>
      <w:bookmarkEnd w:id="533"/>
    </w:p>
    <w:p>
      <w:pPr>
        <w:pStyle w:val="33"/>
        <w:rPr>
          <w:rFonts w:ascii="Times New Roman" w:hAnsi="Times New Roman"/>
        </w:rPr>
      </w:pPr>
      <w:r>
        <w:rPr>
          <w:rFonts w:ascii="Times New Roman" w:hAnsi="Times New Roman" w:eastAsia="宋体"/>
        </w:rPr>
        <w:t>地下水跟踪监测应聘请专业的采样人员进行采样，地下水水质监测通常采集瞬时水样。在采样前应先测地下水位。从井中采集水样，必须在充分抽汲后进行，抽汲水量不得少于井内水体积的2倍，采样深度应在地下水水面</w:t>
      </w:r>
      <w:r>
        <w:rPr>
          <w:rFonts w:ascii="Times New Roman" w:hAnsi="Times New Roman"/>
        </w:rPr>
        <w:t xml:space="preserve">1m </w:t>
      </w:r>
      <w:r>
        <w:rPr>
          <w:rFonts w:ascii="Times New Roman" w:hAnsi="Times New Roman" w:eastAsia="宋体"/>
        </w:rPr>
        <w:t>以下，以保证水样能代表地下水水质。</w:t>
      </w:r>
    </w:p>
    <w:p>
      <w:pPr>
        <w:pStyle w:val="33"/>
        <w:rPr>
          <w:rFonts w:ascii="Times New Roman" w:hAnsi="Times New Roman" w:eastAsia="宋体"/>
        </w:rPr>
      </w:pPr>
      <w:r>
        <w:rPr>
          <w:rFonts w:ascii="Times New Roman" w:hAnsi="Times New Roman" w:eastAsia="宋体"/>
        </w:rPr>
        <w:t>采集的地下水样品应妥善保存运送至具有地下水监测因子</w:t>
      </w:r>
      <w:r>
        <w:rPr>
          <w:rFonts w:ascii="Times New Roman" w:hAnsi="Times New Roman"/>
        </w:rPr>
        <w:t>CMA</w:t>
      </w:r>
      <w:r>
        <w:rPr>
          <w:rFonts w:ascii="Times New Roman" w:hAnsi="Times New Roman" w:eastAsia="宋体"/>
        </w:rPr>
        <w:t>资质的专业实验室进行检测。</w:t>
      </w:r>
    </w:p>
    <w:p>
      <w:pPr>
        <w:widowControl/>
        <w:adjustRightInd w:val="0"/>
        <w:snapToGrid w:val="0"/>
        <w:spacing w:line="360" w:lineRule="auto"/>
        <w:outlineLvl w:val="0"/>
        <w:rPr>
          <w:b/>
          <w:sz w:val="24"/>
        </w:rPr>
      </w:pPr>
      <w:bookmarkStart w:id="534" w:name="_Toc30246"/>
      <w:bookmarkStart w:id="535" w:name="_Toc21309"/>
      <w:bookmarkStart w:id="536" w:name="_Toc13484"/>
      <w:r>
        <w:rPr>
          <w:rFonts w:hint="eastAsia"/>
          <w:b/>
          <w:sz w:val="24"/>
        </w:rPr>
        <w:t>7.2.4.4</w:t>
      </w:r>
      <w:r>
        <w:rPr>
          <w:b/>
          <w:sz w:val="24"/>
        </w:rPr>
        <w:t>地下水跟踪监测与信息公开计划</w:t>
      </w:r>
      <w:bookmarkEnd w:id="534"/>
      <w:bookmarkEnd w:id="535"/>
      <w:bookmarkEnd w:id="536"/>
    </w:p>
    <w:p>
      <w:pPr>
        <w:pStyle w:val="33"/>
        <w:rPr>
          <w:rFonts w:ascii="Times New Roman" w:hAnsi="Times New Roman"/>
        </w:rPr>
      </w:pPr>
      <w:r>
        <w:rPr>
          <w:rFonts w:ascii="Times New Roman" w:hAnsi="Times New Roman" w:eastAsia="宋体"/>
        </w:rPr>
        <w:t>厂方的安全环保部门应设立地下水动态监测小组，专人负责监测，并编写地下水跟踪监测报告。监测报告的内容一般包括：</w:t>
      </w:r>
    </w:p>
    <w:p>
      <w:pPr>
        <w:pStyle w:val="33"/>
        <w:rPr>
          <w:rFonts w:ascii="Times New Roman" w:hAnsi="Times New Roman"/>
        </w:rPr>
      </w:pPr>
      <w:r>
        <w:rPr>
          <w:rFonts w:ascii="Times New Roman" w:hAnsi="Times New Roman"/>
        </w:rPr>
        <w:t>a</w:t>
      </w:r>
      <w:r>
        <w:rPr>
          <w:rFonts w:ascii="Times New Roman" w:hAnsi="Times New Roman" w:eastAsia="宋体"/>
        </w:rPr>
        <w:t>）建设项目所在场地的地下水环境跟踪监测数据，排放污染物的种类、数量、浓度。</w:t>
      </w:r>
    </w:p>
    <w:p>
      <w:pPr>
        <w:pStyle w:val="33"/>
        <w:rPr>
          <w:rFonts w:ascii="Times New Roman" w:hAnsi="Times New Roman"/>
        </w:rPr>
      </w:pPr>
      <w:r>
        <w:rPr>
          <w:rFonts w:ascii="Times New Roman" w:hAnsi="Times New Roman"/>
        </w:rPr>
        <w:t>b</w:t>
      </w:r>
      <w:r>
        <w:rPr>
          <w:rFonts w:ascii="Times New Roman" w:hAnsi="Times New Roman" w:eastAsia="宋体"/>
        </w:rPr>
        <w:t>）生产设备、管廊或管线、贮存与运输装置、污染物贮存与处理装置、事故应急装置等设施的运行状况、跑冒滴漏记录、维护记录。</w:t>
      </w:r>
    </w:p>
    <w:p>
      <w:pPr>
        <w:pStyle w:val="33"/>
        <w:rPr>
          <w:rFonts w:ascii="Times New Roman" w:hAnsi="Times New Roman" w:eastAsia="宋体"/>
        </w:rPr>
      </w:pPr>
      <w:r>
        <w:rPr>
          <w:rFonts w:ascii="Times New Roman" w:hAnsi="Times New Roman" w:eastAsia="宋体"/>
        </w:rPr>
        <w:t>监测报告应按项目有关规定及时建立档案，并定期向安全环保部门汇报，同时还应定期向主管环境保护部门汇报，对于常规监测数据应该进行公开，根据</w:t>
      </w:r>
      <w:r>
        <w:rPr>
          <w:rFonts w:ascii="Times New Roman" w:hAnsi="Times New Roman"/>
        </w:rPr>
        <w:t>HJ610-2016</w:t>
      </w:r>
      <w:r>
        <w:rPr>
          <w:rFonts w:ascii="Times New Roman" w:hAnsi="Times New Roman" w:eastAsia="宋体"/>
        </w:rPr>
        <w:t>的要求，厂方应定期公开建设项目特征因子的地下水监测值。满足法律中关于知情权的要求。如发现异常或发生事故，加密监测频次，改为每天监测一次，并分析污染原因，确定泄漏污染源，及时采取对应应急措施。</w:t>
      </w:r>
    </w:p>
    <w:p>
      <w:pPr>
        <w:widowControl/>
        <w:adjustRightInd w:val="0"/>
        <w:snapToGrid w:val="0"/>
        <w:spacing w:line="360" w:lineRule="auto"/>
        <w:outlineLvl w:val="0"/>
        <w:rPr>
          <w:rFonts w:ascii="Times New Roman" w:hAnsi="Times New Roman"/>
          <w:b/>
          <w:color w:val="000000"/>
          <w:sz w:val="24"/>
        </w:rPr>
      </w:pPr>
      <w:bookmarkStart w:id="537" w:name="_Toc28009"/>
      <w:bookmarkStart w:id="538" w:name="_Toc27808"/>
      <w:bookmarkStart w:id="539" w:name="_Toc13642"/>
      <w:r>
        <w:rPr>
          <w:rFonts w:hint="eastAsia" w:ascii="Times New Roman" w:hAnsi="Times New Roman"/>
          <w:b/>
          <w:color w:val="000000"/>
          <w:sz w:val="24"/>
        </w:rPr>
        <w:t>7.2.5固体废物</w:t>
      </w:r>
      <w:bookmarkEnd w:id="537"/>
      <w:bookmarkEnd w:id="538"/>
      <w:bookmarkEnd w:id="539"/>
    </w:p>
    <w:p>
      <w:pPr>
        <w:spacing w:line="360" w:lineRule="auto"/>
        <w:ind w:firstLine="480" w:firstLineChars="200"/>
        <w:jc w:val="left"/>
        <w:rPr>
          <w:bCs/>
          <w:color w:val="000000"/>
          <w:sz w:val="24"/>
          <w:szCs w:val="24"/>
        </w:rPr>
      </w:pPr>
      <w:r>
        <w:rPr>
          <w:rFonts w:ascii="Times New Roman" w:hAnsi="Times New Roman"/>
          <w:bCs/>
          <w:color w:val="000000"/>
          <w:sz w:val="24"/>
          <w:szCs w:val="24"/>
        </w:rPr>
        <w:t>本项目固体废物主要为尾渣、压滤间沉淀池污泥、尾矿库沉淀池污泥、废机油</w:t>
      </w:r>
      <w:r>
        <w:rPr>
          <w:rFonts w:hint="eastAsia"/>
          <w:bCs/>
          <w:color w:val="000000"/>
          <w:sz w:val="24"/>
          <w:szCs w:val="24"/>
        </w:rPr>
        <w:t>。</w:t>
      </w:r>
    </w:p>
    <w:p>
      <w:pPr>
        <w:spacing w:line="360" w:lineRule="auto"/>
        <w:ind w:firstLine="480" w:firstLineChars="200"/>
        <w:jc w:val="left"/>
        <w:rPr>
          <w:rFonts w:ascii="Times New Roman" w:hAnsi="Times New Roman"/>
          <w:bCs/>
          <w:color w:val="000000"/>
          <w:sz w:val="24"/>
          <w:szCs w:val="24"/>
        </w:rPr>
      </w:pPr>
      <w:r>
        <w:rPr>
          <w:rFonts w:hint="eastAsia" w:ascii="Times New Roman" w:hAnsi="Times New Roman"/>
          <w:bCs/>
          <w:color w:val="000000"/>
          <w:sz w:val="24"/>
          <w:szCs w:val="24"/>
        </w:rPr>
        <w:t>（1）尾矿泥饼</w:t>
      </w:r>
    </w:p>
    <w:p>
      <w:pPr>
        <w:spacing w:line="360" w:lineRule="auto"/>
        <w:ind w:firstLine="480" w:firstLineChars="200"/>
        <w:jc w:val="left"/>
        <w:rPr>
          <w:rFonts w:ascii="Times New Roman" w:hAnsi="Times New Roman"/>
          <w:bCs/>
          <w:color w:val="000000"/>
          <w:sz w:val="24"/>
          <w:szCs w:val="24"/>
        </w:rPr>
      </w:pPr>
      <w:r>
        <w:rPr>
          <w:rFonts w:ascii="Times New Roman" w:hAnsi="Times New Roman"/>
          <w:bCs/>
          <w:color w:val="000000"/>
          <w:sz w:val="24"/>
          <w:szCs w:val="24"/>
        </w:rPr>
        <w:t>本项目选矿产生的尾矿渣经压滤后为细沙状，为一般固废。</w:t>
      </w:r>
      <w:r>
        <w:rPr>
          <w:rFonts w:hint="eastAsia" w:ascii="Times New Roman" w:hAnsi="Times New Roman"/>
          <w:sz w:val="24"/>
          <w:szCs w:val="24"/>
        </w:rPr>
        <w:t>根据尾渣浸出毒性检测报告得出，此废石属于第</w:t>
      </w:r>
      <w:r>
        <w:rPr>
          <w:rFonts w:hint="eastAsia" w:ascii="宋体" w:hAnsi="宋体" w:cs="宋体"/>
          <w:sz w:val="24"/>
          <w:szCs w:val="24"/>
        </w:rPr>
        <w:t>Ⅰ</w:t>
      </w:r>
      <w:r>
        <w:rPr>
          <w:rFonts w:hint="eastAsia" w:ascii="Times New Roman" w:hAnsi="Times New Roman"/>
          <w:sz w:val="24"/>
          <w:szCs w:val="24"/>
        </w:rPr>
        <w:t>类一般工业固体废物，</w:t>
      </w:r>
      <w:r>
        <w:rPr>
          <w:rFonts w:ascii="Times New Roman" w:hAnsi="Times New Roman"/>
          <w:sz w:val="24"/>
          <w:szCs w:val="24"/>
        </w:rPr>
        <w:t>其中</w:t>
      </w:r>
      <w:r>
        <w:rPr>
          <w:rFonts w:hint="eastAsia" w:ascii="Times New Roman" w:hAnsi="Times New Roman"/>
          <w:sz w:val="24"/>
          <w:szCs w:val="24"/>
        </w:rPr>
        <w:t>一部分</w:t>
      </w:r>
      <w:r>
        <w:rPr>
          <w:rFonts w:ascii="Times New Roman" w:hAnsi="Times New Roman"/>
          <w:sz w:val="24"/>
          <w:szCs w:val="24"/>
        </w:rPr>
        <w:t>存入尾矿库，其余外卖吉林市智德利商贸有限公司（每日清运两次，由两量汽车汽车定时外运）。</w:t>
      </w:r>
    </w:p>
    <w:p>
      <w:pPr>
        <w:spacing w:line="360" w:lineRule="auto"/>
        <w:ind w:firstLine="480" w:firstLineChars="200"/>
        <w:jc w:val="left"/>
        <w:rPr>
          <w:rFonts w:ascii="Times New Roman" w:hAnsi="Times New Roman"/>
          <w:bCs/>
          <w:color w:val="000000"/>
          <w:sz w:val="24"/>
          <w:szCs w:val="24"/>
        </w:rPr>
      </w:pPr>
      <w:r>
        <w:rPr>
          <w:rFonts w:hint="eastAsia" w:ascii="Times New Roman" w:hAnsi="Times New Roman"/>
          <w:bCs/>
          <w:color w:val="000000"/>
          <w:sz w:val="24"/>
          <w:szCs w:val="24"/>
        </w:rPr>
        <w:t>（2）</w:t>
      </w:r>
      <w:r>
        <w:rPr>
          <w:rFonts w:ascii="Times New Roman" w:hAnsi="Times New Roman"/>
          <w:sz w:val="24"/>
          <w:szCs w:val="24"/>
        </w:rPr>
        <w:t>压滤间污泥</w:t>
      </w:r>
    </w:p>
    <w:p>
      <w:pPr>
        <w:spacing w:line="360" w:lineRule="auto"/>
        <w:ind w:firstLine="480" w:firstLineChars="200"/>
        <w:jc w:val="left"/>
        <w:rPr>
          <w:rFonts w:ascii="Times New Roman" w:hAnsi="Times New Roman"/>
          <w:bCs/>
          <w:color w:val="000000"/>
          <w:sz w:val="24"/>
          <w:szCs w:val="24"/>
        </w:rPr>
      </w:pPr>
      <w:r>
        <w:rPr>
          <w:rFonts w:ascii="Times New Roman" w:hAnsi="Times New Roman"/>
          <w:sz w:val="24"/>
          <w:szCs w:val="24"/>
        </w:rPr>
        <w:t>压滤间产生污泥，为一般固废，与尾渣泥饼一同堆放至尾矿库内</w:t>
      </w:r>
      <w:r>
        <w:rPr>
          <w:rFonts w:ascii="Times New Roman" w:hAnsi="Times New Roman"/>
          <w:bCs/>
          <w:color w:val="000000"/>
          <w:sz w:val="24"/>
          <w:szCs w:val="24"/>
        </w:rPr>
        <w:t>。</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（3）尾矿库沉淀池污泥</w:t>
      </w:r>
    </w:p>
    <w:p>
      <w:pPr>
        <w:spacing w:line="360" w:lineRule="auto"/>
        <w:ind w:firstLine="480" w:firstLineChars="200"/>
        <w:jc w:val="left"/>
        <w:rPr>
          <w:rFonts w:ascii="Times New Roman" w:hAnsi="Times New Roman"/>
          <w:color w:val="000000"/>
          <w:sz w:val="24"/>
        </w:rPr>
      </w:pPr>
      <w:r>
        <w:rPr>
          <w:rFonts w:ascii="Times New Roman" w:hAnsi="Times New Roman"/>
          <w:sz w:val="24"/>
          <w:szCs w:val="24"/>
        </w:rPr>
        <w:t>尾矿库沉淀池污泥主要为汛期尾矿库干堆场淋溶水沉淀后污泥，为一般固废，与尾渣泥饼一同堆放至尾矿库内</w:t>
      </w:r>
      <w:r>
        <w:rPr>
          <w:rFonts w:hint="eastAsia" w:ascii="Times New Roman" w:hAnsi="Times New Roman"/>
          <w:color w:val="000000"/>
          <w:sz w:val="24"/>
        </w:rPr>
        <w:t>。</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（4）</w:t>
      </w:r>
      <w:r>
        <w:rPr>
          <w:rFonts w:ascii="Times New Roman" w:hAnsi="Times New Roman"/>
          <w:color w:val="000000"/>
          <w:sz w:val="24"/>
        </w:rPr>
        <w:t>废机油</w:t>
      </w:r>
    </w:p>
    <w:p>
      <w:pPr>
        <w:pStyle w:val="23"/>
        <w:spacing w:after="0" w:line="360" w:lineRule="auto"/>
        <w:ind w:firstLine="480" w:firstLineChars="200"/>
        <w:rPr>
          <w:rFonts w:ascii="Times New Roman" w:hAnsi="Times New Roman"/>
          <w:sz w:val="24"/>
          <w:szCs w:val="21"/>
        </w:rPr>
      </w:pPr>
      <w:bookmarkStart w:id="540" w:name="_Toc3485"/>
      <w:r>
        <w:rPr>
          <w:rFonts w:ascii="Times New Roman" w:hAnsi="Times New Roman"/>
          <w:color w:val="000000"/>
          <w:sz w:val="24"/>
        </w:rPr>
        <w:t>企业的机械设备定期检修与保养，由正规维修站到现场进行维修及保养，废机油统一收集在塑料桶中，储存至厂区内现有危废暂存间内，定期委托有资质单位处理</w:t>
      </w:r>
      <w:r>
        <w:rPr>
          <w:rFonts w:hint="eastAsia" w:ascii="Times New Roman" w:hAnsi="Times New Roman"/>
          <w:sz w:val="24"/>
          <w:szCs w:val="21"/>
        </w:rPr>
        <w:t>。</w:t>
      </w:r>
    </w:p>
    <w:p>
      <w:pPr>
        <w:pStyle w:val="23"/>
        <w:spacing w:after="0" w:line="360" w:lineRule="auto"/>
        <w:ind w:firstLine="480" w:firstLineChars="200"/>
        <w:rPr>
          <w:rFonts w:ascii="Times New Roman" w:hAnsi="Times New Roman"/>
          <w:color w:val="000000"/>
          <w:sz w:val="24"/>
        </w:rPr>
      </w:pPr>
      <w:r>
        <w:rPr>
          <w:rFonts w:hint="eastAsia" w:ascii="Times New Roman" w:hAnsi="Times New Roman"/>
          <w:sz w:val="24"/>
          <w:szCs w:val="21"/>
        </w:rPr>
        <w:t>综上所述，各项固体废物经过合理的处理/处置，不会对周围环境产生二次污染。</w:t>
      </w:r>
      <w:r>
        <w:rPr>
          <w:rFonts w:hint="eastAsia" w:ascii="Times New Roman" w:hAnsi="Times New Roman"/>
          <w:color w:val="000000"/>
          <w:sz w:val="24"/>
        </w:rPr>
        <w:t>该措施可行。</w:t>
      </w:r>
    </w:p>
    <w:p>
      <w:pPr>
        <w:pStyle w:val="23"/>
        <w:spacing w:after="0" w:line="360" w:lineRule="auto"/>
        <w:ind w:firstLine="480" w:firstLineChars="200"/>
        <w:rPr>
          <w:rFonts w:ascii="Times New Roman" w:hAnsi="Times New Roman"/>
          <w:color w:val="000000"/>
          <w:sz w:val="24"/>
        </w:rPr>
      </w:pPr>
    </w:p>
    <w:p>
      <w:pPr>
        <w:pStyle w:val="23"/>
        <w:spacing w:after="0" w:line="360" w:lineRule="auto"/>
        <w:ind w:firstLine="480" w:firstLineChars="200"/>
        <w:rPr>
          <w:rFonts w:ascii="Times New Roman" w:hAnsi="Times New Roman"/>
          <w:color w:val="000000"/>
          <w:sz w:val="24"/>
        </w:rPr>
      </w:pPr>
    </w:p>
    <w:p>
      <w:pPr>
        <w:widowControl/>
        <w:adjustRightInd w:val="0"/>
        <w:snapToGrid w:val="0"/>
        <w:spacing w:line="360" w:lineRule="auto"/>
        <w:outlineLvl w:val="0"/>
        <w:rPr>
          <w:rFonts w:ascii="Times New Roman" w:hAnsi="Times New Roman"/>
          <w:b/>
          <w:color w:val="000000"/>
          <w:sz w:val="24"/>
        </w:rPr>
      </w:pPr>
      <w:bookmarkStart w:id="541" w:name="_Toc20638"/>
      <w:bookmarkStart w:id="542" w:name="_Toc25114"/>
      <w:r>
        <w:rPr>
          <w:rFonts w:hint="eastAsia" w:ascii="Times New Roman" w:hAnsi="Times New Roman"/>
          <w:b/>
          <w:color w:val="000000"/>
          <w:sz w:val="24"/>
        </w:rPr>
        <w:t>7.2.6生态保护措施</w:t>
      </w:r>
      <w:bookmarkEnd w:id="540"/>
      <w:bookmarkEnd w:id="541"/>
      <w:bookmarkEnd w:id="542"/>
    </w:p>
    <w:p>
      <w:pPr>
        <w:spacing w:line="360" w:lineRule="auto"/>
        <w:ind w:firstLine="480" w:firstLineChars="200"/>
        <w:rPr>
          <w:color w:val="000000"/>
          <w:sz w:val="24"/>
          <w:szCs w:val="24"/>
        </w:rPr>
      </w:pPr>
      <w:r>
        <w:rPr>
          <w:rFonts w:hint="eastAsia"/>
          <w:color w:val="000000"/>
          <w:sz w:val="24"/>
          <w:szCs w:val="24"/>
        </w:rPr>
        <w:t>（1）为了减轻对周围森林植被的影响，建议对于尾矿库适当地采取洒水降尘，覆盖苫布，尾渣及时外运出售。</w:t>
      </w:r>
    </w:p>
    <w:p>
      <w:pPr>
        <w:spacing w:line="360" w:lineRule="auto"/>
        <w:ind w:firstLine="480" w:firstLineChars="200"/>
        <w:rPr>
          <w:rFonts w:ascii="Times New Roman" w:hAnsi="Times New Roman"/>
          <w:bCs/>
          <w:sz w:val="24"/>
        </w:rPr>
      </w:pPr>
      <w:r>
        <w:rPr>
          <w:rFonts w:hint="eastAsia" w:ascii="Times New Roman" w:hAnsi="Times New Roman"/>
          <w:bCs/>
          <w:sz w:val="24"/>
        </w:rPr>
        <w:t>（2）</w:t>
      </w:r>
      <w:r>
        <w:rPr>
          <w:rFonts w:ascii="Times New Roman" w:hAnsi="Times New Roman"/>
          <w:bCs/>
          <w:sz w:val="24"/>
        </w:rPr>
        <w:t>企业在项目建设过程中严格控制矿区用地，生产过程中，尽量将高噪声设备放置在单独的隔声间内，避免和减少机械设备噪声对野生动物的影响。</w:t>
      </w:r>
    </w:p>
    <w:p>
      <w:pPr>
        <w:spacing w:line="360" w:lineRule="auto"/>
        <w:ind w:firstLine="480" w:firstLineChars="200"/>
      </w:pPr>
      <w:r>
        <w:rPr>
          <w:rFonts w:hint="eastAsia" w:ascii="Times New Roman" w:hAnsi="Times New Roman"/>
          <w:bCs/>
          <w:sz w:val="24"/>
        </w:rPr>
        <w:t>（3）</w:t>
      </w:r>
      <w:r>
        <w:rPr>
          <w:rFonts w:ascii="Times New Roman" w:hAnsi="Times New Roman"/>
          <w:bCs/>
          <w:sz w:val="24"/>
        </w:rPr>
        <w:t>企业对道路</w:t>
      </w:r>
      <w:r>
        <w:rPr>
          <w:rFonts w:hint="eastAsia" w:ascii="Times New Roman" w:hAnsi="Times New Roman"/>
          <w:bCs/>
          <w:sz w:val="24"/>
        </w:rPr>
        <w:t>及尾矿库</w:t>
      </w:r>
      <w:r>
        <w:rPr>
          <w:rFonts w:ascii="Times New Roman" w:hAnsi="Times New Roman"/>
          <w:bCs/>
          <w:sz w:val="24"/>
        </w:rPr>
        <w:t>进行定期洒水降尘或加设围挡，降低扬尘产生量，减少本项目运营过程中对野生动物及其生境的影响。</w:t>
      </w:r>
    </w:p>
    <w:p>
      <w:pPr>
        <w:spacing w:line="360" w:lineRule="auto"/>
        <w:ind w:firstLine="480" w:firstLineChars="200"/>
        <w:rPr>
          <w:rFonts w:ascii="Times New Roman" w:hAnsi="Times New Roman"/>
          <w:bCs/>
          <w:sz w:val="24"/>
        </w:rPr>
      </w:pPr>
      <w:r>
        <w:rPr>
          <w:rFonts w:hint="eastAsia" w:ascii="Times New Roman" w:hAnsi="Times New Roman"/>
          <w:bCs/>
          <w:sz w:val="24"/>
        </w:rPr>
        <w:t>本项目占地均利用现有工程用地，尾矿库扩建会占用少量林地，目前企业正在办理相关林业手续（见附件）。对物种生存环境影响微乎其微，不会破坏生物多样性，不会对该区域生态效能产生影响。</w:t>
      </w:r>
    </w:p>
    <w:p>
      <w:pPr>
        <w:spacing w:line="360" w:lineRule="auto"/>
        <w:ind w:firstLine="480" w:firstLineChars="200"/>
      </w:pPr>
      <w:r>
        <w:rPr>
          <w:rFonts w:hint="eastAsia" w:ascii="Times New Roman" w:hAnsi="Times New Roman"/>
          <w:bCs/>
          <w:sz w:val="24"/>
        </w:rPr>
        <w:t>本项目运营期间尾矿库以及胶带运输的尾渣均会产生扬尘，对周围森林植物造成一定的影响，但是没有直接砍伐林木，因此不会破坏森林生态系统的完整性。同时本项目区域动物分布较少，对其生存环境造成影响较小。</w:t>
      </w:r>
    </w:p>
    <w:p>
      <w:pPr>
        <w:pStyle w:val="4"/>
        <w:rPr>
          <w:rFonts w:ascii="Times New Roman" w:hAnsi="Times New Roman"/>
        </w:rPr>
      </w:pPr>
      <w:bookmarkStart w:id="543" w:name="_Toc27578"/>
      <w:bookmarkStart w:id="544" w:name="_Toc3522"/>
      <w:bookmarkStart w:id="545" w:name="_Toc19762"/>
      <w:r>
        <w:rPr>
          <w:rFonts w:ascii="Times New Roman" w:hAnsi="Times New Roman"/>
        </w:rPr>
        <w:t>7.</w:t>
      </w:r>
      <w:r>
        <w:rPr>
          <w:rFonts w:hint="eastAsia" w:ascii="Times New Roman" w:hAnsi="Times New Roman"/>
        </w:rPr>
        <w:t>3闭矿期生态保护</w:t>
      </w:r>
      <w:r>
        <w:rPr>
          <w:rFonts w:ascii="Times New Roman" w:hAnsi="Times New Roman"/>
        </w:rPr>
        <w:t>措施</w:t>
      </w:r>
      <w:bookmarkEnd w:id="543"/>
      <w:bookmarkEnd w:id="544"/>
      <w:bookmarkEnd w:id="545"/>
    </w:p>
    <w:p>
      <w:pPr>
        <w:spacing w:line="360" w:lineRule="auto"/>
        <w:ind w:firstLine="480" w:firstLineChars="200"/>
        <w:rPr>
          <w:rFonts w:ascii="Times New Roman" w:hAnsi="Times New Roman"/>
          <w:sz w:val="24"/>
          <w:szCs w:val="24"/>
        </w:rPr>
      </w:pPr>
      <w:r>
        <w:rPr>
          <w:rFonts w:ascii="Times New Roman" w:hAnsi="Times New Roman"/>
          <w:sz w:val="24"/>
          <w:szCs w:val="24"/>
        </w:rPr>
        <w:t>闭矿期的生态修复主要是对尾矿库采取系统、全面的工程技术措施和植被恢复措施。</w:t>
      </w:r>
    </w:p>
    <w:p>
      <w:pPr>
        <w:spacing w:line="360" w:lineRule="auto"/>
        <w:ind w:firstLine="480" w:firstLineChars="200"/>
        <w:rPr>
          <w:rFonts w:ascii="Times New Roman" w:hAnsi="Times New Roman"/>
          <w:sz w:val="24"/>
          <w:szCs w:val="24"/>
        </w:rPr>
      </w:pPr>
      <w:r>
        <w:rPr>
          <w:rFonts w:ascii="Times New Roman" w:hAnsi="Times New Roman"/>
          <w:sz w:val="24"/>
          <w:szCs w:val="24"/>
        </w:rPr>
        <w:t>1、首先要制定一个切实可行的生态修复的规划。规划中应包括土地适宜性的分析，即对不同的复垦土地原有功能的分析，以及复垦后土地使用新功能的分析，以确定复垦对象是否具有较好的土地利用的适宜性。</w:t>
      </w:r>
    </w:p>
    <w:p>
      <w:pPr>
        <w:spacing w:line="360" w:lineRule="auto"/>
        <w:ind w:firstLine="480" w:firstLineChars="200"/>
        <w:rPr>
          <w:rFonts w:ascii="Times New Roman" w:hAnsi="Times New Roman"/>
          <w:sz w:val="24"/>
          <w:szCs w:val="24"/>
        </w:rPr>
      </w:pPr>
      <w:r>
        <w:rPr>
          <w:rFonts w:ascii="Times New Roman" w:hAnsi="Times New Roman"/>
          <w:sz w:val="24"/>
          <w:szCs w:val="24"/>
        </w:rPr>
        <w:t>针对本项目，生态修复或复垦的对象主要为尾矿库，应提出复或复垦方案和措施。尾矿库主要采取植树、种草等生物措施，以及滩面平整、排水设施、监测、维护等工程措施；采空沉陷区主要采取平整地表、修复损坏的树木等工程与生物措施；采矿工业广场的修复主要采取场地平整、树木种植的措施；选矿厂的修复措施主要为场地平整和农田复垦。</w:t>
      </w:r>
    </w:p>
    <w:p>
      <w:pPr>
        <w:spacing w:line="360" w:lineRule="auto"/>
        <w:ind w:firstLine="480" w:firstLineChars="200"/>
        <w:rPr>
          <w:rFonts w:ascii="Times New Roman" w:hAnsi="Times New Roman"/>
          <w:sz w:val="24"/>
          <w:szCs w:val="24"/>
        </w:rPr>
      </w:pPr>
      <w:r>
        <w:rPr>
          <w:rFonts w:ascii="Times New Roman" w:hAnsi="Times New Roman"/>
          <w:sz w:val="24"/>
          <w:szCs w:val="24"/>
        </w:rPr>
        <w:t>2、尾矿库修复工程</w:t>
      </w:r>
    </w:p>
    <w:p>
      <w:pPr>
        <w:spacing w:line="360" w:lineRule="auto"/>
        <w:ind w:firstLine="480" w:firstLineChars="200"/>
        <w:rPr>
          <w:rFonts w:ascii="Times New Roman" w:hAnsi="Times New Roman"/>
          <w:sz w:val="24"/>
          <w:szCs w:val="24"/>
        </w:rPr>
      </w:pPr>
      <w:r>
        <w:rPr>
          <w:rFonts w:ascii="Times New Roman" w:hAnsi="Times New Roman"/>
          <w:sz w:val="24"/>
          <w:szCs w:val="24"/>
        </w:rPr>
        <w:t>尾矿库终场后，由于在其运行期间已经要求对初期坝、蓄水坝、各级堆积子坝的坡面和滩面采取了一定的植被恢复措施和水土保持措施，期间水保措施逐渐在发挥生态效应。矿山全面闭矿后，还需要对尾矿库进行系统的植被恢复和绿化，需对库区进行全覆盖植被恢复，恢复面积应不小于尾矿库占地面积</w:t>
      </w:r>
      <w:r>
        <w:rPr>
          <w:rFonts w:hint="eastAsia" w:ascii="Times New Roman" w:hAnsi="Times New Roman"/>
          <w:sz w:val="24"/>
          <w:szCs w:val="24"/>
        </w:rPr>
        <w:t>76000</w:t>
      </w:r>
      <w:r>
        <w:rPr>
          <w:rFonts w:ascii="Times New Roman" w:hAnsi="Times New Roman"/>
          <w:sz w:val="24"/>
          <w:szCs w:val="24"/>
        </w:rPr>
        <w:t>m</w:t>
      </w:r>
      <w:r>
        <w:rPr>
          <w:rFonts w:ascii="Times New Roman" w:hAnsi="Times New Roman"/>
          <w:sz w:val="24"/>
          <w:szCs w:val="24"/>
          <w:vertAlign w:val="superscript"/>
        </w:rPr>
        <w:t>2</w:t>
      </w:r>
      <w:r>
        <w:rPr>
          <w:rFonts w:ascii="Times New Roman" w:hAnsi="Times New Roman"/>
          <w:sz w:val="24"/>
          <w:szCs w:val="24"/>
        </w:rPr>
        <w:t>。终场前，各级堆积坝的滩面均为向内具有1％的坡度，可保证雨水汇集在滩面后部，有利于堆积坝的稳定。应首先在各级堆积坝滩面覆盖一层种植土，再进行植被恢复。</w:t>
      </w:r>
    </w:p>
    <w:p>
      <w:pPr>
        <w:spacing w:line="360" w:lineRule="auto"/>
        <w:ind w:firstLine="480" w:firstLineChars="200"/>
        <w:rPr>
          <w:rFonts w:ascii="Times New Roman" w:hAnsi="Times New Roman"/>
          <w:sz w:val="24"/>
          <w:szCs w:val="24"/>
        </w:rPr>
      </w:pPr>
      <w:r>
        <w:rPr>
          <w:rFonts w:ascii="Times New Roman" w:hAnsi="Times New Roman"/>
          <w:sz w:val="24"/>
          <w:szCs w:val="24"/>
        </w:rPr>
        <w:t>终场后首先应该检查闭矿前恢复的植被成活情况、植被覆盖率是否达到要求、还有哪些裸露的地方，应针对上述可能存在的问题采取补救措施，如在裸露的尾矿滩面上首先铺一层粘土覆盖层，然后上覆20～30cm的种植土，播撒草种，然后补植灌木和乔木。草种选择的原则，应以根系发达、抗寒、抗旱、抗冲刷、速生的当地品种为首选，以三叶草、冰草、大叶章、小叶章、羊胡子草、乌苏里苔草等为首选草种。草本植物作为先锋物种，可以起到固结土壤、丰富土壤有机质的作用，为其后的乔、灌木生长提供条件。</w:t>
      </w:r>
    </w:p>
    <w:p>
      <w:pPr>
        <w:spacing w:line="360" w:lineRule="auto"/>
        <w:ind w:firstLine="480" w:firstLineChars="200"/>
        <w:rPr>
          <w:rFonts w:ascii="Times New Roman" w:hAnsi="Times New Roman"/>
          <w:sz w:val="24"/>
          <w:szCs w:val="24"/>
        </w:rPr>
      </w:pPr>
      <w:r>
        <w:rPr>
          <w:rFonts w:ascii="Times New Roman" w:hAnsi="Times New Roman"/>
          <w:sz w:val="24"/>
          <w:szCs w:val="24"/>
        </w:rPr>
        <w:t>终场后在周围补建截洪沟，将库区周围雨水引至下游地表水体，避免地表径流水进入。按栽种苗木1棵/m</w:t>
      </w:r>
      <w:r>
        <w:rPr>
          <w:rFonts w:ascii="Times New Roman" w:hAnsi="Times New Roman"/>
          <w:sz w:val="24"/>
          <w:szCs w:val="24"/>
          <w:vertAlign w:val="superscript"/>
        </w:rPr>
        <w:t>2</w:t>
      </w:r>
      <w:r>
        <w:rPr>
          <w:rFonts w:ascii="Times New Roman" w:hAnsi="Times New Roman"/>
          <w:sz w:val="24"/>
          <w:szCs w:val="24"/>
        </w:rPr>
        <w:t>计，预计尾矿库库区范围内需要栽种苗木</w:t>
      </w:r>
      <w:r>
        <w:rPr>
          <w:rFonts w:hint="eastAsia" w:ascii="Times New Roman" w:hAnsi="Times New Roman"/>
          <w:sz w:val="24"/>
          <w:szCs w:val="24"/>
        </w:rPr>
        <w:t>7.6</w:t>
      </w:r>
      <w:r>
        <w:rPr>
          <w:rFonts w:ascii="Times New Roman" w:hAnsi="Times New Roman"/>
          <w:sz w:val="24"/>
          <w:szCs w:val="24"/>
        </w:rPr>
        <w:t>万棵左右。栽种的树木应以当地树种为首选树种，如长白落叶松、日本落叶松等速生针叶树种，同时混交必要的红松、樟子松、云杉等常绿针叶树种；在植树时避免形成纯林，以减少森林虫害，更有效的发挥森林生态系统的综合功能，因此必须同时混交种植一些阔叶树种，如杨、槐、柳等速生种类以及榆、白桦、色木槭等慢生树种；同时辅以灌木，如栽种紫穗槐、胡枝子、绣线菊等。植被修复后的尾矿库库区应该形成乔、灌、草的立体绿化结构，无论是林地的功能，还是林地的景观都应与原来更加接近。</w:t>
      </w:r>
    </w:p>
    <w:p>
      <w:pPr>
        <w:spacing w:line="360" w:lineRule="auto"/>
        <w:ind w:firstLine="480" w:firstLineChars="200"/>
        <w:rPr>
          <w:rFonts w:ascii="Times New Roman" w:hAnsi="Times New Roman"/>
          <w:sz w:val="24"/>
          <w:szCs w:val="24"/>
        </w:rPr>
      </w:pPr>
      <w:r>
        <w:rPr>
          <w:rFonts w:ascii="Times New Roman" w:hAnsi="Times New Roman"/>
          <w:sz w:val="24"/>
          <w:szCs w:val="24"/>
        </w:rPr>
        <w:t>尾矿库终场并生态修复后，应对地下水是否还能造成污染进行一定时期的监测，主要是通过运行期设置的监测井和其下游民井进行地下水水质监测。如果发现地下水水质有明显恶化趋势，需要寻找原因（判断是否是残留污染物泄漏造成的），并立即采取有效措施予以解决（如封堵泄漏点）。终场生态修复后，需要对恢复的植被进行定期的管护，并保证植被的成活率不低于90％，才能起到水土保持的作用和发挥林木的生态功能。</w:t>
      </w:r>
    </w:p>
    <w:p>
      <w:pPr>
        <w:spacing w:line="360" w:lineRule="auto"/>
        <w:ind w:firstLine="480" w:firstLineChars="200"/>
        <w:rPr>
          <w:rFonts w:ascii="Times New Roman" w:hAnsi="Times New Roman"/>
          <w:sz w:val="24"/>
          <w:szCs w:val="24"/>
        </w:rPr>
      </w:pPr>
      <w:r>
        <w:rPr>
          <w:rFonts w:ascii="Times New Roman" w:hAnsi="Times New Roman"/>
          <w:sz w:val="24"/>
          <w:szCs w:val="24"/>
        </w:rPr>
        <w:t>由于尾矿库植被恢复面积较大，需要做好充分的准备：一是草种和树种的准备，二是资金的落实，三是落实植被恢复方案。建设单位每年都应该预留出一部份闭矿期的生态恢复专用资金，闭矿后统一使用。</w:t>
      </w:r>
    </w:p>
    <w:p>
      <w:pPr>
        <w:pStyle w:val="4"/>
        <w:rPr>
          <w:rFonts w:ascii="Times New Roman" w:hAnsi="Times New Roman"/>
        </w:rPr>
      </w:pPr>
      <w:bookmarkStart w:id="546" w:name="_Toc13548"/>
      <w:bookmarkStart w:id="547" w:name="_Toc14336"/>
      <w:bookmarkStart w:id="548" w:name="_Toc25379"/>
      <w:r>
        <w:rPr>
          <w:rFonts w:ascii="Times New Roman" w:hAnsi="Times New Roman"/>
        </w:rPr>
        <w:t>7.4“以新带老”措施</w:t>
      </w:r>
      <w:bookmarkEnd w:id="546"/>
      <w:bookmarkEnd w:id="547"/>
    </w:p>
    <w:p>
      <w:pPr>
        <w:spacing w:line="360" w:lineRule="auto"/>
        <w:ind w:firstLine="480" w:firstLineChars="200"/>
        <w:jc w:val="left"/>
        <w:rPr>
          <w:rFonts w:ascii="Times New Roman" w:hAnsi="Times New Roman"/>
          <w:sz w:val="24"/>
          <w:szCs w:val="24"/>
        </w:rPr>
      </w:pPr>
      <w:bookmarkStart w:id="549" w:name="_Toc5594"/>
      <w:r>
        <w:rPr>
          <w:rFonts w:hint="eastAsia" w:ascii="Times New Roman" w:hAnsi="Times New Roman"/>
          <w:sz w:val="24"/>
          <w:szCs w:val="24"/>
        </w:rPr>
        <w:t>（1）现有尾矿库接近设计库容，排洪沟建设不全面。</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整改措施：本次对尾矿库进行扩建，在扩建期间对尾矿库周围建设排洪沟。</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（2）企业选矿区现有1台0.6t/h燃煤锅炉，目前尚无任何环保措施，根据监测可知，烟尘浓度不满足《锅炉大气污染物排放标准》（GB13271-2014）要求。</w:t>
      </w:r>
    </w:p>
    <w:p>
      <w:pPr>
        <w:spacing w:line="360" w:lineRule="auto"/>
        <w:ind w:firstLine="480" w:firstLineChars="200"/>
        <w:jc w:val="left"/>
        <w:rPr>
          <w:sz w:val="24"/>
          <w:szCs w:val="24"/>
        </w:rPr>
      </w:pPr>
      <w:r>
        <w:rPr>
          <w:rFonts w:hint="eastAsia" w:ascii="Times New Roman" w:hAnsi="Times New Roman"/>
          <w:sz w:val="24"/>
          <w:szCs w:val="24"/>
        </w:rPr>
        <w:t>整改措施：本次扩建项目现有锅炉拟拆除，采用电锅炉满足生活供热。</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（3）现有项目危废暂存间无相关危废标识、无围堰且与其他储存物在同一区域内储存，不符合要求。</w:t>
      </w:r>
    </w:p>
    <w:p>
      <w:pPr>
        <w:pStyle w:val="2"/>
        <w:spacing w:line="360" w:lineRule="auto"/>
        <w:ind w:firstLine="480" w:firstLineChars="200"/>
        <w:rPr>
          <w:sz w:val="24"/>
          <w:szCs w:val="24"/>
        </w:rPr>
      </w:pPr>
      <w:r>
        <w:rPr>
          <w:rFonts w:hint="eastAsia"/>
          <w:sz w:val="24"/>
          <w:szCs w:val="24"/>
        </w:rPr>
        <w:t>整改措施：将现有危废暂存间单独独立出来，不与其他物质一同储存，危废间内用混凝土设置围堰，封闭并贴相关标识。</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（4）企业尚未按照环评批复要求邀请相关水利部门就排洪等进行论证。</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整改措施：本次扩建期间企业将邀请相关部门就排洪措施等进行论证。</w:t>
      </w:r>
    </w:p>
    <w:p>
      <w:pPr>
        <w:spacing w:line="360" w:lineRule="auto"/>
        <w:ind w:firstLine="480" w:firstLineChars="200"/>
        <w:jc w:val="left"/>
        <w:rPr>
          <w:rFonts w:ascii="Times New Roman" w:hAnsi="Times New Roman"/>
          <w:i/>
          <w:iCs/>
          <w:color w:val="000000"/>
          <w:sz w:val="24"/>
          <w:szCs w:val="24"/>
          <w:u w:val="single"/>
        </w:rPr>
      </w:pPr>
      <w:r>
        <w:rPr>
          <w:rFonts w:hint="eastAsia" w:ascii="Times New Roman" w:hAnsi="Times New Roman"/>
          <w:sz w:val="24"/>
          <w:szCs w:val="24"/>
        </w:rPr>
        <w:t>（5）由于现有尾矿库排矿渣方式为湿排，且无剩余库容，本次扩建在现有基础上选矿尾矿排出工序增加压滤系统后堆放至尾矿库，排渣方式更改为干排</w:t>
      </w:r>
      <w:r>
        <w:rPr>
          <w:rFonts w:hint="eastAsia" w:ascii="Times New Roman" w:hAnsi="Times New Roman"/>
          <w:i/>
          <w:iCs/>
          <w:color w:val="000000"/>
          <w:sz w:val="24"/>
          <w:szCs w:val="24"/>
        </w:rPr>
        <w:t>。</w:t>
      </w:r>
    </w:p>
    <w:p>
      <w:pPr>
        <w:pStyle w:val="4"/>
        <w:rPr>
          <w:rFonts w:ascii="Times New Roman" w:hAnsi="Times New Roman"/>
        </w:rPr>
      </w:pPr>
      <w:bookmarkStart w:id="550" w:name="_Toc12610"/>
      <w:r>
        <w:rPr>
          <w:rFonts w:hint="eastAsia" w:ascii="Times New Roman" w:hAnsi="Times New Roman"/>
        </w:rPr>
        <w:t>7.5污染防治措施清单</w:t>
      </w:r>
      <w:bookmarkEnd w:id="548"/>
      <w:bookmarkEnd w:id="549"/>
      <w:bookmarkEnd w:id="550"/>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本项目的污染防治措施清单详见</w:t>
      </w:r>
      <w:r>
        <w:rPr>
          <w:rFonts w:hint="eastAsia" w:ascii="Times New Roman" w:hAnsi="Times New Roman"/>
          <w:sz w:val="24"/>
        </w:rPr>
        <w:t>下表</w:t>
      </w:r>
      <w:r>
        <w:rPr>
          <w:rFonts w:ascii="Times New Roman" w:hAnsi="Times New Roman"/>
          <w:sz w:val="24"/>
        </w:rPr>
        <w:t>。</w:t>
      </w:r>
    </w:p>
    <w:p>
      <w:pPr>
        <w:pStyle w:val="12"/>
        <w:spacing w:line="360" w:lineRule="exact"/>
        <w:jc w:val="center"/>
        <w:rPr>
          <w:rFonts w:ascii="Times New Roman" w:hAnsi="Times New Roman" w:cs="Times New Roman"/>
          <w:b/>
          <w:bCs/>
          <w:sz w:val="24"/>
        </w:rPr>
      </w:pPr>
      <w:r>
        <w:rPr>
          <w:rFonts w:ascii="Times New Roman" w:hAnsi="Times New Roman" w:cs="Times New Roman"/>
          <w:b/>
          <w:bCs/>
          <w:sz w:val="24"/>
        </w:rPr>
        <w:t>表7-</w:t>
      </w:r>
      <w:r>
        <w:rPr>
          <w:rFonts w:hint="eastAsia" w:ascii="Times New Roman" w:hAnsi="Times New Roman" w:cs="Times New Roman"/>
          <w:b/>
          <w:bCs/>
          <w:sz w:val="24"/>
        </w:rPr>
        <w:t>7</w:t>
      </w:r>
      <w:r>
        <w:rPr>
          <w:rFonts w:ascii="Times New Roman" w:hAnsi="Times New Roman" w:cs="Times New Roman"/>
          <w:b/>
          <w:bCs/>
          <w:sz w:val="24"/>
        </w:rPr>
        <w:t xml:space="preserve"> 本项目的污染防治措施清单</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134"/>
        <w:gridCol w:w="30"/>
        <w:gridCol w:w="43"/>
        <w:gridCol w:w="1704"/>
        <w:gridCol w:w="4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827" w:type="dxa"/>
            <w:vAlign w:val="center"/>
          </w:tcPr>
          <w:p>
            <w:pPr>
              <w:adjustRightInd w:val="0"/>
              <w:snapToGrid w:val="0"/>
              <w:jc w:val="center"/>
              <w:rPr>
                <w:rFonts w:ascii="Times New Roman" w:hAnsi="Times New Roman"/>
                <w:szCs w:val="21"/>
              </w:rPr>
            </w:pPr>
            <w:r>
              <w:rPr>
                <w:rFonts w:ascii="Times New Roman" w:hAnsi="Times New Roman"/>
                <w:szCs w:val="21"/>
              </w:rPr>
              <w:t>序号</w:t>
            </w:r>
          </w:p>
        </w:tc>
        <w:tc>
          <w:tcPr>
            <w:tcW w:w="2911" w:type="dxa"/>
            <w:gridSpan w:val="4"/>
            <w:vAlign w:val="center"/>
          </w:tcPr>
          <w:p>
            <w:pPr>
              <w:adjustRightInd w:val="0"/>
              <w:snapToGrid w:val="0"/>
              <w:jc w:val="center"/>
              <w:rPr>
                <w:rFonts w:ascii="Times New Roman" w:hAnsi="Times New Roman"/>
                <w:szCs w:val="21"/>
              </w:rPr>
            </w:pPr>
            <w:r>
              <w:rPr>
                <w:rFonts w:ascii="Times New Roman" w:hAnsi="Times New Roman"/>
                <w:szCs w:val="21"/>
              </w:rPr>
              <w:t>类别</w:t>
            </w:r>
          </w:p>
        </w:tc>
        <w:tc>
          <w:tcPr>
            <w:tcW w:w="4982" w:type="dxa"/>
            <w:vAlign w:val="center"/>
          </w:tcPr>
          <w:p>
            <w:pPr>
              <w:adjustRightInd w:val="0"/>
              <w:snapToGrid w:val="0"/>
              <w:jc w:val="center"/>
              <w:rPr>
                <w:rFonts w:ascii="Times New Roman" w:hAnsi="Times New Roman"/>
                <w:szCs w:val="21"/>
              </w:rPr>
            </w:pPr>
            <w:r>
              <w:rPr>
                <w:rFonts w:ascii="Times New Roman" w:hAnsi="Times New Roman"/>
                <w:szCs w:val="21"/>
              </w:rPr>
              <w:t>工程措施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27" w:type="dxa"/>
            <w:vMerge w:val="restart"/>
            <w:vAlign w:val="center"/>
          </w:tcPr>
          <w:p>
            <w:pPr>
              <w:adjustRightInd w:val="0"/>
              <w:snapToGrid w:val="0"/>
              <w:jc w:val="center"/>
              <w:rPr>
                <w:rFonts w:ascii="Times New Roman" w:hAnsi="Times New Roman"/>
                <w:szCs w:val="21"/>
              </w:rPr>
            </w:pPr>
            <w:r>
              <w:rPr>
                <w:rFonts w:ascii="Times New Roman" w:hAnsi="Times New Roman"/>
                <w:szCs w:val="21"/>
              </w:rPr>
              <w:t>1</w:t>
            </w:r>
          </w:p>
        </w:tc>
        <w:tc>
          <w:tcPr>
            <w:tcW w:w="2911" w:type="dxa"/>
            <w:gridSpan w:val="4"/>
            <w:vAlign w:val="center"/>
          </w:tcPr>
          <w:p>
            <w:pPr>
              <w:adjustRightInd w:val="0"/>
              <w:snapToGrid w:val="0"/>
              <w:jc w:val="center"/>
              <w:rPr>
                <w:rFonts w:ascii="Times New Roman" w:hAnsi="Times New Roman"/>
                <w:szCs w:val="21"/>
              </w:rPr>
            </w:pPr>
            <w:r>
              <w:rPr>
                <w:rFonts w:ascii="Times New Roman" w:hAnsi="Times New Roman"/>
                <w:szCs w:val="21"/>
              </w:rPr>
              <w:t>水污染防治</w:t>
            </w:r>
          </w:p>
        </w:tc>
        <w:tc>
          <w:tcPr>
            <w:tcW w:w="4982" w:type="dxa"/>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Merge w:val="restart"/>
            <w:vAlign w:val="center"/>
          </w:tcPr>
          <w:p>
            <w:pPr>
              <w:adjustRightInd w:val="0"/>
              <w:snapToGrid w:val="0"/>
              <w:jc w:val="center"/>
              <w:rPr>
                <w:rFonts w:ascii="Times New Roman" w:hAnsi="Times New Roman"/>
                <w:szCs w:val="21"/>
              </w:rPr>
            </w:pPr>
            <w:r>
              <w:rPr>
                <w:rFonts w:ascii="Times New Roman" w:hAnsi="Times New Roman"/>
                <w:szCs w:val="21"/>
              </w:rPr>
              <w:t>施工期</w:t>
            </w:r>
          </w:p>
        </w:tc>
        <w:tc>
          <w:tcPr>
            <w:tcW w:w="1704" w:type="dxa"/>
            <w:vAlign w:val="center"/>
          </w:tcPr>
          <w:p>
            <w:pPr>
              <w:adjustRightInd w:val="0"/>
              <w:snapToGrid w:val="0"/>
              <w:jc w:val="center"/>
              <w:rPr>
                <w:rFonts w:ascii="Times New Roman" w:hAnsi="Times New Roman"/>
                <w:szCs w:val="21"/>
              </w:rPr>
            </w:pPr>
            <w:r>
              <w:rPr>
                <w:rFonts w:ascii="Times New Roman" w:hAnsi="Times New Roman"/>
                <w:szCs w:val="21"/>
              </w:rPr>
              <w:t>生产废水</w:t>
            </w:r>
          </w:p>
        </w:tc>
        <w:tc>
          <w:tcPr>
            <w:tcW w:w="4982" w:type="dxa"/>
            <w:vAlign w:val="center"/>
          </w:tcPr>
          <w:p>
            <w:pPr>
              <w:adjustRightInd w:val="0"/>
              <w:snapToGrid w:val="0"/>
              <w:jc w:val="center"/>
              <w:rPr>
                <w:rFonts w:ascii="Times New Roman" w:hAnsi="Times New Roman"/>
                <w:szCs w:val="21"/>
              </w:rPr>
            </w:pPr>
            <w:r>
              <w:rPr>
                <w:rFonts w:hint="eastAsia" w:ascii="Times New Roman" w:hAnsi="Times New Roman"/>
                <w:szCs w:val="21"/>
              </w:rPr>
              <w:t>排入</w:t>
            </w:r>
            <w:r>
              <w:rPr>
                <w:rFonts w:ascii="Times New Roman" w:hAnsi="Times New Roman"/>
                <w:szCs w:val="21"/>
              </w:rPr>
              <w:t>沉淀池</w:t>
            </w:r>
            <w:r>
              <w:rPr>
                <w:rFonts w:hint="eastAsia" w:ascii="Times New Roman" w:hAnsi="Times New Roman"/>
                <w:szCs w:val="21"/>
              </w:rPr>
              <w:t>（20m</w:t>
            </w:r>
            <w:r>
              <w:rPr>
                <w:rFonts w:hint="eastAsia" w:ascii="Times New Roman" w:hAnsi="Times New Roman"/>
                <w:szCs w:val="21"/>
                <w:vertAlign w:val="superscript"/>
              </w:rPr>
              <w:t>3</w:t>
            </w:r>
            <w:r>
              <w:rPr>
                <w:rFonts w:hint="eastAsia" w:ascii="Times New Roman" w:hAnsi="Times New Roman"/>
                <w:szCs w:val="21"/>
              </w:rPr>
              <w:t>）沉降，回用于生产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Merge w:val="continue"/>
            <w:vAlign w:val="center"/>
          </w:tcPr>
          <w:p>
            <w:pPr>
              <w:adjustRightInd w:val="0"/>
              <w:snapToGrid w:val="0"/>
              <w:jc w:val="center"/>
              <w:rPr>
                <w:rFonts w:ascii="Times New Roman" w:hAnsi="Times New Roman"/>
                <w:szCs w:val="21"/>
              </w:rPr>
            </w:pPr>
          </w:p>
        </w:tc>
        <w:tc>
          <w:tcPr>
            <w:tcW w:w="1704" w:type="dxa"/>
            <w:vAlign w:val="center"/>
          </w:tcPr>
          <w:p>
            <w:pPr>
              <w:adjustRightInd w:val="0"/>
              <w:snapToGrid w:val="0"/>
              <w:jc w:val="center"/>
              <w:rPr>
                <w:rFonts w:ascii="Times New Roman" w:hAnsi="Times New Roman"/>
                <w:szCs w:val="21"/>
              </w:rPr>
            </w:pPr>
            <w:r>
              <w:rPr>
                <w:rFonts w:ascii="Times New Roman" w:hAnsi="Times New Roman"/>
                <w:szCs w:val="21"/>
              </w:rPr>
              <w:t>生活污水</w:t>
            </w:r>
          </w:p>
        </w:tc>
        <w:tc>
          <w:tcPr>
            <w:tcW w:w="4982" w:type="dxa"/>
            <w:vAlign w:val="center"/>
          </w:tcPr>
          <w:p>
            <w:pPr>
              <w:adjustRightInd w:val="0"/>
              <w:snapToGrid w:val="0"/>
              <w:jc w:val="center"/>
              <w:rPr>
                <w:rFonts w:ascii="Times New Roman" w:hAnsi="Times New Roman"/>
                <w:szCs w:val="21"/>
              </w:rPr>
            </w:pPr>
            <w:r>
              <w:rPr>
                <w:rFonts w:hint="eastAsia" w:ascii="Times New Roman" w:hAnsi="Times New Roman"/>
                <w:szCs w:val="21"/>
              </w:rPr>
              <w:t>现有厂区内</w:t>
            </w:r>
            <w:r>
              <w:rPr>
                <w:rFonts w:ascii="Times New Roman" w:hAnsi="Times New Roman"/>
                <w:szCs w:val="21"/>
              </w:rPr>
              <w:t>防渗旱厕</w:t>
            </w:r>
            <w:r>
              <w:rPr>
                <w:rFonts w:hint="eastAsia" w:ascii="Times New Roman" w:hAnsi="Times New Roman"/>
                <w:szCs w:val="21"/>
              </w:rPr>
              <w:t>，定情清掏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Align w:val="center"/>
          </w:tcPr>
          <w:p>
            <w:pPr>
              <w:adjustRightInd w:val="0"/>
              <w:snapToGrid w:val="0"/>
              <w:jc w:val="center"/>
              <w:rPr>
                <w:rFonts w:ascii="Times New Roman" w:hAnsi="Times New Roman"/>
                <w:szCs w:val="21"/>
              </w:rPr>
            </w:pPr>
            <w:r>
              <w:rPr>
                <w:rFonts w:hint="eastAsia" w:ascii="Times New Roman" w:hAnsi="Times New Roman"/>
                <w:szCs w:val="21"/>
              </w:rPr>
              <w:t>运营期</w:t>
            </w:r>
          </w:p>
        </w:tc>
        <w:tc>
          <w:tcPr>
            <w:tcW w:w="1704" w:type="dxa"/>
            <w:vAlign w:val="center"/>
          </w:tcPr>
          <w:p>
            <w:pPr>
              <w:adjustRightInd w:val="0"/>
              <w:snapToGrid w:val="0"/>
              <w:jc w:val="center"/>
              <w:rPr>
                <w:rFonts w:ascii="Times New Roman" w:hAnsi="Times New Roman"/>
                <w:szCs w:val="21"/>
              </w:rPr>
            </w:pPr>
            <w:r>
              <w:rPr>
                <w:rFonts w:hint="eastAsia" w:ascii="Times New Roman" w:hAnsi="Times New Roman"/>
                <w:szCs w:val="21"/>
              </w:rPr>
              <w:t>尾矿浆废水、尾矿库淋溶水</w:t>
            </w:r>
          </w:p>
        </w:tc>
        <w:tc>
          <w:tcPr>
            <w:tcW w:w="4982" w:type="dxa"/>
            <w:vAlign w:val="center"/>
          </w:tcPr>
          <w:p>
            <w:pPr>
              <w:ind w:firstLine="420" w:firstLineChars="200"/>
              <w:jc w:val="left"/>
              <w:rPr>
                <w:rFonts w:ascii="Times New Roman" w:hAnsi="Times New Roman"/>
                <w:szCs w:val="21"/>
              </w:rPr>
            </w:pPr>
            <w:r>
              <w:rPr>
                <w:rFonts w:hint="eastAsia"/>
                <w:bCs/>
                <w:color w:val="000000"/>
                <w:szCs w:val="21"/>
              </w:rPr>
              <w:t>尾矿浆废水经拟建压滤间压滤设备后，在沉淀池内沉</w:t>
            </w:r>
            <w:r>
              <w:rPr>
                <w:rFonts w:ascii="Times New Roman" w:hAnsi="Times New Roman"/>
                <w:bCs/>
                <w:color w:val="000000"/>
                <w:szCs w:val="21"/>
              </w:rPr>
              <w:t>淀（150m</w:t>
            </w:r>
            <w:r>
              <w:rPr>
                <w:rFonts w:ascii="Times New Roman" w:hAnsi="Times New Roman"/>
                <w:bCs/>
                <w:color w:val="000000"/>
                <w:szCs w:val="21"/>
                <w:vertAlign w:val="superscript"/>
              </w:rPr>
              <w:t>3</w:t>
            </w:r>
            <w:r>
              <w:rPr>
                <w:rFonts w:ascii="Times New Roman" w:hAnsi="Times New Roman"/>
                <w:bCs/>
                <w:color w:val="000000"/>
                <w:szCs w:val="21"/>
              </w:rPr>
              <w:t>）</w:t>
            </w:r>
            <w:r>
              <w:rPr>
                <w:rFonts w:hint="eastAsia" w:ascii="Times New Roman" w:hAnsi="Times New Roman"/>
                <w:bCs/>
                <w:color w:val="000000"/>
                <w:szCs w:val="21"/>
              </w:rPr>
              <w:t>通过水泵打回选矿车间高位水池；尾矿库淋溶水通过沉淀池沉淀（50m</w:t>
            </w:r>
            <w:r>
              <w:rPr>
                <w:rFonts w:hint="eastAsia" w:ascii="Times New Roman" w:hAnsi="Times New Roman"/>
                <w:bCs/>
                <w:color w:val="000000"/>
                <w:szCs w:val="21"/>
                <w:vertAlign w:val="superscript"/>
              </w:rPr>
              <w:t>3</w:t>
            </w:r>
            <w:r>
              <w:rPr>
                <w:rFonts w:hint="eastAsia" w:ascii="Times New Roman" w:hAnsi="Times New Roman"/>
                <w:bCs/>
                <w:color w:val="000000"/>
                <w:szCs w:val="21"/>
              </w:rPr>
              <w:t>）后通过水泵打会压滤车间沉淀池内</w:t>
            </w:r>
            <w:r>
              <w:rPr>
                <w:rFonts w:hint="eastAsia"/>
                <w:bCs/>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27" w:type="dxa"/>
            <w:vMerge w:val="restart"/>
            <w:vAlign w:val="center"/>
          </w:tcPr>
          <w:p>
            <w:pPr>
              <w:adjustRightInd w:val="0"/>
              <w:snapToGrid w:val="0"/>
              <w:jc w:val="center"/>
              <w:rPr>
                <w:rFonts w:ascii="Times New Roman" w:hAnsi="Times New Roman"/>
                <w:szCs w:val="21"/>
              </w:rPr>
            </w:pPr>
            <w:r>
              <w:rPr>
                <w:rFonts w:ascii="Times New Roman" w:hAnsi="Times New Roman"/>
                <w:szCs w:val="21"/>
              </w:rPr>
              <w:t>2</w:t>
            </w:r>
          </w:p>
        </w:tc>
        <w:tc>
          <w:tcPr>
            <w:tcW w:w="2911" w:type="dxa"/>
            <w:gridSpan w:val="4"/>
            <w:vAlign w:val="center"/>
          </w:tcPr>
          <w:p>
            <w:pPr>
              <w:adjustRightInd w:val="0"/>
              <w:snapToGrid w:val="0"/>
              <w:jc w:val="center"/>
              <w:rPr>
                <w:rFonts w:ascii="Times New Roman" w:hAnsi="Times New Roman"/>
                <w:szCs w:val="21"/>
              </w:rPr>
            </w:pPr>
            <w:r>
              <w:rPr>
                <w:rFonts w:ascii="Times New Roman" w:hAnsi="Times New Roman"/>
                <w:szCs w:val="21"/>
              </w:rPr>
              <w:t>大气污染防治</w:t>
            </w:r>
          </w:p>
        </w:tc>
        <w:tc>
          <w:tcPr>
            <w:tcW w:w="4982" w:type="dxa"/>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Align w:val="center"/>
          </w:tcPr>
          <w:p>
            <w:pPr>
              <w:pStyle w:val="64"/>
              <w:adjustRightInd w:val="0"/>
              <w:snapToGrid w:val="0"/>
              <w:spacing w:line="240" w:lineRule="auto"/>
              <w:rPr>
                <w:rFonts w:ascii="Times New Roman" w:hAnsi="Times New Roman"/>
                <w:szCs w:val="21"/>
              </w:rPr>
            </w:pPr>
            <w:r>
              <w:rPr>
                <w:rFonts w:ascii="Times New Roman" w:hAnsi="Times New Roman"/>
                <w:szCs w:val="21"/>
              </w:rPr>
              <w:t>施工期</w:t>
            </w:r>
          </w:p>
        </w:tc>
        <w:tc>
          <w:tcPr>
            <w:tcW w:w="1704" w:type="dxa"/>
            <w:vAlign w:val="center"/>
          </w:tcPr>
          <w:p>
            <w:pPr>
              <w:adjustRightInd w:val="0"/>
              <w:snapToGrid w:val="0"/>
              <w:jc w:val="center"/>
              <w:rPr>
                <w:rFonts w:ascii="Times New Roman" w:hAnsi="Times New Roman"/>
                <w:szCs w:val="21"/>
              </w:rPr>
            </w:pPr>
            <w:r>
              <w:rPr>
                <w:rFonts w:ascii="Times New Roman" w:hAnsi="Times New Roman"/>
                <w:szCs w:val="21"/>
              </w:rPr>
              <w:t>扬尘</w:t>
            </w:r>
          </w:p>
        </w:tc>
        <w:tc>
          <w:tcPr>
            <w:tcW w:w="4982" w:type="dxa"/>
            <w:vAlign w:val="center"/>
          </w:tcPr>
          <w:p>
            <w:pPr>
              <w:adjustRightInd w:val="0"/>
              <w:snapToGrid w:val="0"/>
              <w:jc w:val="left"/>
              <w:rPr>
                <w:szCs w:val="21"/>
              </w:rPr>
            </w:pPr>
            <w:r>
              <w:rPr>
                <w:szCs w:val="21"/>
              </w:rPr>
              <w:t>洒水车</w:t>
            </w:r>
            <w:r>
              <w:rPr>
                <w:rFonts w:hint="eastAsia"/>
                <w:szCs w:val="21"/>
              </w:rPr>
              <w:t>及时</w:t>
            </w:r>
            <w:r>
              <w:rPr>
                <w:szCs w:val="21"/>
              </w:rPr>
              <w:t>洒水降尘</w:t>
            </w:r>
            <w:r>
              <w:rPr>
                <w:rFonts w:hint="eastAsia"/>
                <w:szCs w:val="21"/>
              </w:rPr>
              <w:t>，</w:t>
            </w:r>
            <w:r>
              <w:rPr>
                <w:rFonts w:ascii="Times New Roman" w:hAnsi="Times New Roman"/>
                <w:szCs w:val="21"/>
              </w:rPr>
              <w:t>施工现场全封闭设置围挡，严禁敞开式作业，施工现场道路应进行地面硬化，各种堆料应封闭储存或建设防风抑尘设施。渣土运输车辆要全部采取密闭措施，严查渣土车沿途洒落，在建筑工地集中区域设置运输指定通道，规定时间、路线进行运输作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Merge w:val="restart"/>
            <w:vAlign w:val="center"/>
          </w:tcPr>
          <w:p>
            <w:pPr>
              <w:adjustRightInd w:val="0"/>
              <w:snapToGrid w:val="0"/>
              <w:jc w:val="center"/>
              <w:rPr>
                <w:rFonts w:ascii="Times New Roman" w:hAnsi="Times New Roman"/>
                <w:szCs w:val="21"/>
              </w:rPr>
            </w:pPr>
            <w:r>
              <w:rPr>
                <w:rFonts w:hint="eastAsia" w:ascii="Times New Roman" w:hAnsi="Times New Roman"/>
                <w:szCs w:val="21"/>
              </w:rPr>
              <w:t>营运期</w:t>
            </w:r>
          </w:p>
        </w:tc>
        <w:tc>
          <w:tcPr>
            <w:tcW w:w="1704" w:type="dxa"/>
            <w:vAlign w:val="center"/>
          </w:tcPr>
          <w:p>
            <w:pPr>
              <w:adjustRightInd w:val="0"/>
              <w:snapToGrid w:val="0"/>
              <w:jc w:val="center"/>
              <w:rPr>
                <w:rFonts w:ascii="Times New Roman" w:hAnsi="Times New Roman"/>
                <w:szCs w:val="21"/>
              </w:rPr>
            </w:pPr>
            <w:r>
              <w:rPr>
                <w:rFonts w:hint="eastAsia" w:ascii="Times New Roman" w:hAnsi="Times New Roman"/>
                <w:szCs w:val="21"/>
              </w:rPr>
              <w:t>尾矿库扬尘</w:t>
            </w:r>
          </w:p>
        </w:tc>
        <w:tc>
          <w:tcPr>
            <w:tcW w:w="4982" w:type="dxa"/>
            <w:vAlign w:val="center"/>
          </w:tcPr>
          <w:p>
            <w:pPr>
              <w:adjustRightInd w:val="0"/>
              <w:snapToGrid w:val="0"/>
              <w:jc w:val="center"/>
              <w:rPr>
                <w:rFonts w:ascii="Times New Roman" w:hAnsi="Times New Roman"/>
                <w:szCs w:val="21"/>
              </w:rPr>
            </w:pPr>
            <w:r>
              <w:rPr>
                <w:rFonts w:hint="eastAsia" w:ascii="Times New Roman" w:hAnsi="Times New Roman"/>
                <w:szCs w:val="21"/>
              </w:rPr>
              <w:t>尾矿库扬尘采取洒水降尘，</w:t>
            </w:r>
            <w:r>
              <w:rPr>
                <w:rFonts w:ascii="Times New Roman" w:hAnsi="Times New Roman"/>
                <w:szCs w:val="21"/>
              </w:rPr>
              <w:t>加盖苫布</w:t>
            </w:r>
            <w:r>
              <w:rPr>
                <w:rFonts w:hint="eastAsia" w:ascii="Times New Roman" w:hAnsi="Times New Roman"/>
                <w:szCs w:val="21"/>
              </w:rPr>
              <w:t>，</w:t>
            </w:r>
            <w:r>
              <w:rPr>
                <w:rFonts w:ascii="Times New Roman" w:hAnsi="Times New Roman"/>
                <w:szCs w:val="21"/>
              </w:rPr>
              <w:t>洒水降尘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Merge w:val="continue"/>
            <w:vAlign w:val="center"/>
          </w:tcPr>
          <w:p>
            <w:pPr>
              <w:adjustRightInd w:val="0"/>
              <w:snapToGrid w:val="0"/>
              <w:jc w:val="center"/>
              <w:rPr>
                <w:rFonts w:ascii="Times New Roman" w:hAnsi="Times New Roman"/>
                <w:szCs w:val="21"/>
              </w:rPr>
            </w:pPr>
          </w:p>
        </w:tc>
        <w:tc>
          <w:tcPr>
            <w:tcW w:w="1704" w:type="dxa"/>
            <w:vAlign w:val="center"/>
          </w:tcPr>
          <w:p>
            <w:pPr>
              <w:adjustRightInd w:val="0"/>
              <w:snapToGrid w:val="0"/>
              <w:jc w:val="center"/>
              <w:rPr>
                <w:rFonts w:ascii="Times New Roman" w:hAnsi="Times New Roman"/>
                <w:szCs w:val="21"/>
              </w:rPr>
            </w:pPr>
            <w:r>
              <w:rPr>
                <w:rFonts w:hint="eastAsia" w:ascii="Times New Roman" w:hAnsi="Times New Roman"/>
                <w:szCs w:val="21"/>
              </w:rPr>
              <w:t>胶带运输粉尘</w:t>
            </w:r>
          </w:p>
        </w:tc>
        <w:tc>
          <w:tcPr>
            <w:tcW w:w="4982" w:type="dxa"/>
            <w:vAlign w:val="center"/>
          </w:tcPr>
          <w:p>
            <w:pPr>
              <w:adjustRightInd w:val="0"/>
              <w:snapToGrid w:val="0"/>
              <w:jc w:val="center"/>
              <w:textAlignment w:val="baseline"/>
              <w:rPr>
                <w:rFonts w:ascii="Times New Roman" w:hAnsi="Times New Roman"/>
                <w:szCs w:val="21"/>
              </w:rPr>
            </w:pPr>
            <w:r>
              <w:rPr>
                <w:rFonts w:hint="eastAsia" w:ascii="Times New Roman" w:hAnsi="Times New Roman"/>
                <w:spacing w:val="6"/>
                <w:kern w:val="0"/>
                <w:szCs w:val="21"/>
              </w:rPr>
              <w:t>封闭措施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Merge w:val="continue"/>
            <w:vAlign w:val="center"/>
          </w:tcPr>
          <w:p>
            <w:pPr>
              <w:adjustRightInd w:val="0"/>
              <w:snapToGrid w:val="0"/>
              <w:jc w:val="center"/>
              <w:rPr>
                <w:rFonts w:ascii="Times New Roman" w:hAnsi="Times New Roman"/>
                <w:szCs w:val="21"/>
              </w:rPr>
            </w:pPr>
          </w:p>
        </w:tc>
        <w:tc>
          <w:tcPr>
            <w:tcW w:w="1704" w:type="dxa"/>
            <w:vAlign w:val="center"/>
          </w:tcPr>
          <w:p>
            <w:pPr>
              <w:adjustRightInd w:val="0"/>
              <w:snapToGrid w:val="0"/>
              <w:jc w:val="center"/>
              <w:rPr>
                <w:rFonts w:ascii="Times New Roman" w:hAnsi="Times New Roman"/>
                <w:szCs w:val="21"/>
              </w:rPr>
            </w:pPr>
            <w:r>
              <w:rPr>
                <w:rFonts w:hint="eastAsia" w:ascii="Times New Roman" w:hAnsi="Times New Roman"/>
                <w:szCs w:val="21"/>
              </w:rPr>
              <w:t>汽车运输扬尘</w:t>
            </w:r>
          </w:p>
        </w:tc>
        <w:tc>
          <w:tcPr>
            <w:tcW w:w="4982" w:type="dxa"/>
            <w:vAlign w:val="center"/>
          </w:tcPr>
          <w:p>
            <w:pPr>
              <w:adjustRightInd w:val="0"/>
              <w:snapToGrid w:val="0"/>
              <w:jc w:val="center"/>
              <w:textAlignment w:val="baseline"/>
              <w:rPr>
                <w:rFonts w:ascii="Times New Roman" w:hAnsi="Times New Roman"/>
                <w:spacing w:val="6"/>
                <w:kern w:val="0"/>
                <w:szCs w:val="21"/>
              </w:rPr>
            </w:pPr>
            <w:r>
              <w:rPr>
                <w:rFonts w:ascii="Times New Roman" w:hAnsi="Times New Roman"/>
                <w:color w:val="000000"/>
                <w:szCs w:val="21"/>
                <w:lang w:val="zh-CN"/>
              </w:rPr>
              <w:t>采用篷布遮盖，并要求车辆行驶过程中，降低行车速度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Align w:val="center"/>
          </w:tcPr>
          <w:p>
            <w:pPr>
              <w:adjustRightInd w:val="0"/>
              <w:snapToGrid w:val="0"/>
              <w:jc w:val="center"/>
              <w:rPr>
                <w:rFonts w:ascii="Times New Roman" w:hAnsi="Times New Roman"/>
                <w:szCs w:val="21"/>
              </w:rPr>
            </w:pPr>
            <w:r>
              <w:rPr>
                <w:rFonts w:hint="eastAsia" w:ascii="Times New Roman" w:hAnsi="Times New Roman"/>
                <w:szCs w:val="21"/>
              </w:rPr>
              <w:t>现有工程改造</w:t>
            </w:r>
          </w:p>
        </w:tc>
        <w:tc>
          <w:tcPr>
            <w:tcW w:w="1704" w:type="dxa"/>
            <w:vAlign w:val="center"/>
          </w:tcPr>
          <w:p>
            <w:pPr>
              <w:adjustRightInd w:val="0"/>
              <w:snapToGrid w:val="0"/>
              <w:jc w:val="center"/>
              <w:rPr>
                <w:rFonts w:ascii="Times New Roman" w:hAnsi="Times New Roman"/>
                <w:szCs w:val="21"/>
              </w:rPr>
            </w:pPr>
            <w:r>
              <w:rPr>
                <w:rFonts w:hint="eastAsia" w:ascii="Times New Roman" w:hAnsi="Times New Roman"/>
                <w:szCs w:val="21"/>
              </w:rPr>
              <w:t>现有厂区0.6t/h燃煤锅炉烟尘</w:t>
            </w:r>
          </w:p>
        </w:tc>
        <w:tc>
          <w:tcPr>
            <w:tcW w:w="4982" w:type="dxa"/>
            <w:vAlign w:val="center"/>
          </w:tcPr>
          <w:p>
            <w:pPr>
              <w:adjustRightInd w:val="0"/>
              <w:snapToGrid w:val="0"/>
              <w:jc w:val="center"/>
              <w:textAlignment w:val="baseline"/>
              <w:rPr>
                <w:rFonts w:ascii="Times New Roman" w:hAnsi="Times New Roman"/>
                <w:spacing w:val="6"/>
                <w:kern w:val="0"/>
                <w:szCs w:val="21"/>
              </w:rPr>
            </w:pPr>
            <w:r>
              <w:rPr>
                <w:rFonts w:hint="eastAsia" w:ascii="Times New Roman" w:hAnsi="Times New Roman"/>
                <w:spacing w:val="6"/>
                <w:kern w:val="0"/>
                <w:szCs w:val="21"/>
              </w:rPr>
              <w:t>冬季职工采用电采暖。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27" w:type="dxa"/>
            <w:vMerge w:val="restart"/>
            <w:vAlign w:val="center"/>
          </w:tcPr>
          <w:p>
            <w:pPr>
              <w:adjustRightInd w:val="0"/>
              <w:snapToGrid w:val="0"/>
              <w:jc w:val="center"/>
              <w:rPr>
                <w:rFonts w:ascii="Times New Roman" w:hAnsi="Times New Roman"/>
                <w:szCs w:val="21"/>
              </w:rPr>
            </w:pPr>
            <w:r>
              <w:rPr>
                <w:rFonts w:ascii="Times New Roman" w:hAnsi="Times New Roman"/>
                <w:szCs w:val="21"/>
              </w:rPr>
              <w:t>3</w:t>
            </w:r>
          </w:p>
        </w:tc>
        <w:tc>
          <w:tcPr>
            <w:tcW w:w="2911" w:type="dxa"/>
            <w:gridSpan w:val="4"/>
            <w:vAlign w:val="center"/>
          </w:tcPr>
          <w:p>
            <w:pPr>
              <w:adjustRightInd w:val="0"/>
              <w:snapToGrid w:val="0"/>
              <w:jc w:val="center"/>
              <w:rPr>
                <w:rFonts w:ascii="Times New Roman" w:hAnsi="Times New Roman"/>
                <w:szCs w:val="21"/>
              </w:rPr>
            </w:pPr>
            <w:r>
              <w:rPr>
                <w:rFonts w:ascii="Times New Roman" w:hAnsi="Times New Roman"/>
                <w:szCs w:val="21"/>
              </w:rPr>
              <w:t>噪声污染防治</w:t>
            </w:r>
          </w:p>
        </w:tc>
        <w:tc>
          <w:tcPr>
            <w:tcW w:w="4982" w:type="dxa"/>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Align w:val="center"/>
          </w:tcPr>
          <w:p>
            <w:pPr>
              <w:pStyle w:val="64"/>
              <w:adjustRightInd w:val="0"/>
              <w:snapToGrid w:val="0"/>
              <w:spacing w:line="240" w:lineRule="auto"/>
              <w:rPr>
                <w:rFonts w:ascii="Times New Roman" w:hAnsi="Times New Roman"/>
                <w:szCs w:val="21"/>
              </w:rPr>
            </w:pPr>
            <w:r>
              <w:rPr>
                <w:rFonts w:hint="eastAsia" w:ascii="Times New Roman" w:hAnsi="Times New Roman"/>
                <w:szCs w:val="21"/>
              </w:rPr>
              <w:t>施工期</w:t>
            </w:r>
          </w:p>
        </w:tc>
        <w:tc>
          <w:tcPr>
            <w:tcW w:w="1704" w:type="dxa"/>
            <w:vAlign w:val="center"/>
          </w:tcPr>
          <w:p>
            <w:pPr>
              <w:pStyle w:val="45"/>
              <w:snapToGrid w:val="0"/>
              <w:spacing w:line="240" w:lineRule="auto"/>
              <w:textAlignment w:val="auto"/>
              <w:rPr>
                <w:rFonts w:ascii="Times New Roman" w:hAnsi="Times New Roman"/>
                <w:kern w:val="2"/>
                <w:sz w:val="21"/>
                <w:szCs w:val="21"/>
              </w:rPr>
            </w:pPr>
            <w:r>
              <w:rPr>
                <w:rFonts w:hint="eastAsia" w:ascii="Times New Roman" w:hAnsi="Times New Roman"/>
                <w:kern w:val="2"/>
                <w:sz w:val="21"/>
                <w:szCs w:val="21"/>
              </w:rPr>
              <w:t>设备噪声</w:t>
            </w:r>
          </w:p>
        </w:tc>
        <w:tc>
          <w:tcPr>
            <w:tcW w:w="4982" w:type="dxa"/>
            <w:vAlign w:val="center"/>
          </w:tcPr>
          <w:p>
            <w:pPr>
              <w:adjustRightInd w:val="0"/>
              <w:snapToGrid w:val="0"/>
              <w:jc w:val="center"/>
              <w:rPr>
                <w:rFonts w:ascii="Times New Roman" w:hAnsi="Times New Roman"/>
                <w:szCs w:val="21"/>
              </w:rPr>
            </w:pPr>
            <w:r>
              <w:rPr>
                <w:rFonts w:hint="eastAsia" w:ascii="Times New Roman" w:hAnsi="Times New Roman"/>
                <w:szCs w:val="21"/>
              </w:rPr>
              <w:t>树林距离衰减达标排放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Merge w:val="restart"/>
            <w:vAlign w:val="center"/>
          </w:tcPr>
          <w:p>
            <w:pPr>
              <w:pStyle w:val="64"/>
              <w:adjustRightInd w:val="0"/>
              <w:snapToGrid w:val="0"/>
              <w:spacing w:line="240" w:lineRule="auto"/>
              <w:rPr>
                <w:rFonts w:ascii="Times New Roman" w:hAnsi="Times New Roman"/>
                <w:szCs w:val="21"/>
              </w:rPr>
            </w:pPr>
            <w:r>
              <w:rPr>
                <w:rFonts w:hint="eastAsia" w:ascii="Times New Roman" w:hAnsi="Times New Roman"/>
                <w:szCs w:val="21"/>
              </w:rPr>
              <w:t>运营期</w:t>
            </w:r>
          </w:p>
        </w:tc>
        <w:tc>
          <w:tcPr>
            <w:tcW w:w="1704" w:type="dxa"/>
            <w:vAlign w:val="center"/>
          </w:tcPr>
          <w:p>
            <w:pPr>
              <w:pStyle w:val="45"/>
              <w:snapToGrid w:val="0"/>
              <w:spacing w:line="240" w:lineRule="auto"/>
              <w:textAlignment w:val="auto"/>
              <w:rPr>
                <w:rFonts w:ascii="Times New Roman" w:hAnsi="Times New Roman"/>
                <w:kern w:val="2"/>
                <w:sz w:val="21"/>
                <w:szCs w:val="21"/>
              </w:rPr>
            </w:pPr>
            <w:r>
              <w:rPr>
                <w:rFonts w:hint="eastAsia" w:ascii="Times New Roman" w:hAnsi="Times New Roman"/>
                <w:kern w:val="2"/>
                <w:sz w:val="21"/>
                <w:szCs w:val="21"/>
              </w:rPr>
              <w:t>设备噪声</w:t>
            </w:r>
          </w:p>
        </w:tc>
        <w:tc>
          <w:tcPr>
            <w:tcW w:w="4982" w:type="dxa"/>
            <w:vAlign w:val="center"/>
          </w:tcPr>
          <w:p>
            <w:pPr>
              <w:rPr>
                <w:rFonts w:ascii="Times New Roman" w:hAnsi="Times New Roman"/>
                <w:color w:val="000000"/>
                <w:szCs w:val="21"/>
              </w:rPr>
            </w:pPr>
            <w:r>
              <w:rPr>
                <w:rFonts w:ascii="Times New Roman" w:hAnsi="Times New Roman"/>
                <w:color w:val="000000"/>
                <w:szCs w:val="21"/>
              </w:rPr>
              <w:t>尽量选用低噪声型号的设备；</w:t>
            </w:r>
            <w:r>
              <w:rPr>
                <w:rFonts w:hint="eastAsia" w:ascii="Times New Roman" w:hAnsi="Times New Roman"/>
                <w:color w:val="000000"/>
                <w:szCs w:val="21"/>
              </w:rPr>
              <w:t>设备</w:t>
            </w:r>
            <w:r>
              <w:rPr>
                <w:rFonts w:ascii="Times New Roman" w:hAnsi="Times New Roman"/>
                <w:color w:val="000000"/>
                <w:szCs w:val="21"/>
              </w:rPr>
              <w:t>安装消声器、隔声罩和基础减振等</w:t>
            </w:r>
            <w:r>
              <w:rPr>
                <w:rFonts w:hint="eastAsia" w:ascii="Times New Roman" w:hAnsi="Times New Roman"/>
                <w:color w:val="000000"/>
                <w:szCs w:val="21"/>
              </w:rPr>
              <w:t>；将选矿厂内的</w:t>
            </w:r>
            <w:r>
              <w:rPr>
                <w:rFonts w:ascii="Times New Roman" w:hAnsi="Times New Roman"/>
                <w:color w:val="000000"/>
                <w:szCs w:val="21"/>
              </w:rPr>
              <w:t>强噪声设备</w:t>
            </w:r>
            <w:r>
              <w:rPr>
                <w:rFonts w:hint="eastAsia" w:ascii="Times New Roman" w:hAnsi="Times New Roman"/>
                <w:color w:val="000000"/>
                <w:szCs w:val="21"/>
              </w:rPr>
              <w:t>放置于封闭厂房内，</w:t>
            </w:r>
            <w:r>
              <w:rPr>
                <w:rFonts w:ascii="Times New Roman" w:hAnsi="Times New Roman"/>
                <w:color w:val="000000"/>
                <w:szCs w:val="21"/>
              </w:rPr>
              <w:t>采取隔声、吸声材料制作门窗、砌体等</w:t>
            </w:r>
            <w:r>
              <w:rPr>
                <w:rFonts w:hint="eastAsia" w:ascii="Times New Roman" w:hAnsi="Times New Roman"/>
                <w:color w:val="000000"/>
                <w:szCs w:val="21"/>
              </w:rPr>
              <w:t>；经过周围山林的吸声降噪，达标排放。</w:t>
            </w:r>
          </w:p>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207" w:type="dxa"/>
            <w:gridSpan w:val="3"/>
            <w:vMerge w:val="continue"/>
            <w:vAlign w:val="center"/>
          </w:tcPr>
          <w:p>
            <w:pPr>
              <w:pStyle w:val="64"/>
              <w:adjustRightInd w:val="0"/>
              <w:snapToGrid w:val="0"/>
              <w:spacing w:line="240" w:lineRule="auto"/>
              <w:rPr>
                <w:rFonts w:ascii="Times New Roman" w:hAnsi="Times New Roman"/>
                <w:szCs w:val="21"/>
              </w:rPr>
            </w:pPr>
          </w:p>
        </w:tc>
        <w:tc>
          <w:tcPr>
            <w:tcW w:w="1704" w:type="dxa"/>
            <w:vAlign w:val="center"/>
          </w:tcPr>
          <w:p>
            <w:pPr>
              <w:pStyle w:val="45"/>
              <w:snapToGrid w:val="0"/>
              <w:spacing w:line="240" w:lineRule="auto"/>
              <w:textAlignment w:val="auto"/>
              <w:rPr>
                <w:rFonts w:ascii="Times New Roman" w:hAnsi="Times New Roman"/>
                <w:kern w:val="2"/>
                <w:sz w:val="21"/>
                <w:szCs w:val="21"/>
              </w:rPr>
            </w:pPr>
            <w:r>
              <w:rPr>
                <w:rFonts w:hint="eastAsia" w:ascii="Times New Roman" w:hAnsi="Times New Roman"/>
                <w:kern w:val="2"/>
                <w:sz w:val="21"/>
                <w:szCs w:val="21"/>
              </w:rPr>
              <w:t>交通运输噪声</w:t>
            </w:r>
          </w:p>
        </w:tc>
        <w:tc>
          <w:tcPr>
            <w:tcW w:w="4982" w:type="dxa"/>
            <w:vAlign w:val="center"/>
          </w:tcPr>
          <w:p>
            <w:pPr>
              <w:adjustRightInd w:val="0"/>
              <w:snapToGrid w:val="0"/>
              <w:jc w:val="center"/>
              <w:rPr>
                <w:rFonts w:ascii="Times New Roman" w:hAnsi="Times New Roman"/>
                <w:szCs w:val="21"/>
              </w:rPr>
            </w:pPr>
            <w:r>
              <w:rPr>
                <w:rFonts w:ascii="Times New Roman" w:hAnsi="Times New Roman"/>
                <w:color w:val="000000"/>
                <w:szCs w:val="21"/>
              </w:rPr>
              <w:t>运输车辆夜间经过村屯时，限制行车速递，严禁鸣笛等，减少夜间行车速度等</w:t>
            </w:r>
            <w:r>
              <w:rPr>
                <w:rFonts w:hint="eastAsia" w:ascii="Times New Roman" w:hAnsi="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27" w:type="dxa"/>
            <w:vMerge w:val="restart"/>
            <w:vAlign w:val="center"/>
          </w:tcPr>
          <w:p>
            <w:pPr>
              <w:adjustRightInd w:val="0"/>
              <w:snapToGrid w:val="0"/>
              <w:jc w:val="center"/>
              <w:rPr>
                <w:rFonts w:ascii="Times New Roman" w:hAnsi="Times New Roman"/>
                <w:szCs w:val="21"/>
              </w:rPr>
            </w:pPr>
            <w:r>
              <w:rPr>
                <w:rFonts w:ascii="Times New Roman" w:hAnsi="Times New Roman"/>
                <w:szCs w:val="21"/>
              </w:rPr>
              <w:t>4</w:t>
            </w:r>
          </w:p>
        </w:tc>
        <w:tc>
          <w:tcPr>
            <w:tcW w:w="2911" w:type="dxa"/>
            <w:gridSpan w:val="4"/>
            <w:vAlign w:val="center"/>
          </w:tcPr>
          <w:p>
            <w:pPr>
              <w:adjustRightInd w:val="0"/>
              <w:snapToGrid w:val="0"/>
              <w:jc w:val="center"/>
              <w:rPr>
                <w:rFonts w:ascii="Times New Roman" w:hAnsi="Times New Roman"/>
                <w:szCs w:val="21"/>
              </w:rPr>
            </w:pPr>
            <w:r>
              <w:rPr>
                <w:rFonts w:ascii="Times New Roman" w:hAnsi="Times New Roman"/>
                <w:szCs w:val="21"/>
              </w:rPr>
              <w:t>固体废物处理</w:t>
            </w:r>
          </w:p>
        </w:tc>
        <w:tc>
          <w:tcPr>
            <w:tcW w:w="4982" w:type="dxa"/>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164" w:type="dxa"/>
            <w:gridSpan w:val="2"/>
            <w:vMerge w:val="restart"/>
            <w:vAlign w:val="center"/>
          </w:tcPr>
          <w:p>
            <w:pPr>
              <w:snapToGrid w:val="0"/>
              <w:jc w:val="center"/>
              <w:rPr>
                <w:rFonts w:ascii="Times New Roman" w:hAnsi="Times New Roman"/>
                <w:szCs w:val="21"/>
              </w:rPr>
            </w:pPr>
            <w:r>
              <w:rPr>
                <w:rFonts w:hint="eastAsia" w:ascii="Times New Roman" w:hAnsi="Times New Roman"/>
                <w:szCs w:val="21"/>
              </w:rPr>
              <w:t>施工期</w:t>
            </w:r>
          </w:p>
        </w:tc>
        <w:tc>
          <w:tcPr>
            <w:tcW w:w="1747" w:type="dxa"/>
            <w:gridSpan w:val="2"/>
            <w:vAlign w:val="center"/>
          </w:tcPr>
          <w:p>
            <w:pPr>
              <w:snapToGrid w:val="0"/>
              <w:jc w:val="center"/>
              <w:rPr>
                <w:rFonts w:ascii="Times New Roman" w:hAnsi="Times New Roman"/>
                <w:szCs w:val="21"/>
              </w:rPr>
            </w:pPr>
            <w:r>
              <w:rPr>
                <w:rFonts w:hint="eastAsia" w:ascii="Times New Roman" w:hAnsi="Times New Roman"/>
                <w:szCs w:val="21"/>
              </w:rPr>
              <w:t>建筑垃圾</w:t>
            </w:r>
          </w:p>
        </w:tc>
        <w:tc>
          <w:tcPr>
            <w:tcW w:w="4982" w:type="dxa"/>
            <w:vAlign w:val="center"/>
          </w:tcPr>
          <w:p>
            <w:pPr>
              <w:pStyle w:val="9"/>
              <w:snapToGrid w:val="0"/>
              <w:spacing w:line="240" w:lineRule="auto"/>
              <w:ind w:firstLine="0"/>
              <w:rPr>
                <w:sz w:val="21"/>
                <w:szCs w:val="21"/>
              </w:rPr>
            </w:pPr>
            <w:r>
              <w:rPr>
                <w:sz w:val="21"/>
                <w:szCs w:val="21"/>
              </w:rPr>
              <w:t>建筑垃圾全部运至建筑垃圾填埋场堆存。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164" w:type="dxa"/>
            <w:gridSpan w:val="2"/>
            <w:vMerge w:val="continue"/>
            <w:vAlign w:val="center"/>
          </w:tcPr>
          <w:p>
            <w:pPr>
              <w:snapToGrid w:val="0"/>
              <w:jc w:val="center"/>
              <w:rPr>
                <w:rFonts w:ascii="Times New Roman" w:hAnsi="Times New Roman"/>
                <w:szCs w:val="21"/>
              </w:rPr>
            </w:pPr>
          </w:p>
        </w:tc>
        <w:tc>
          <w:tcPr>
            <w:tcW w:w="1747" w:type="dxa"/>
            <w:gridSpan w:val="2"/>
            <w:vAlign w:val="center"/>
          </w:tcPr>
          <w:p>
            <w:pPr>
              <w:snapToGrid w:val="0"/>
              <w:jc w:val="center"/>
              <w:rPr>
                <w:rFonts w:ascii="Times New Roman" w:hAnsi="Times New Roman"/>
                <w:szCs w:val="21"/>
              </w:rPr>
            </w:pPr>
            <w:r>
              <w:rPr>
                <w:rFonts w:hint="eastAsia" w:ascii="Times New Roman" w:hAnsi="Times New Roman"/>
                <w:szCs w:val="21"/>
              </w:rPr>
              <w:t>生活垃圾</w:t>
            </w:r>
          </w:p>
        </w:tc>
        <w:tc>
          <w:tcPr>
            <w:tcW w:w="4982" w:type="dxa"/>
            <w:vAlign w:val="center"/>
          </w:tcPr>
          <w:p>
            <w:pPr>
              <w:pStyle w:val="23"/>
              <w:spacing w:after="0"/>
              <w:ind w:firstLine="0" w:firstLineChars="0"/>
              <w:jc w:val="center"/>
              <w:rPr>
                <w:rFonts w:ascii="Times New Roman" w:hAnsi="Times New Roman"/>
                <w:snapToGrid w:val="0"/>
                <w:kern w:val="0"/>
                <w:szCs w:val="21"/>
              </w:rPr>
            </w:pPr>
            <w:r>
              <w:rPr>
                <w:szCs w:val="21"/>
              </w:rPr>
              <w:t>生活垃圾全部定期运至当地生活垃圾填埋场。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164" w:type="dxa"/>
            <w:gridSpan w:val="2"/>
            <w:vMerge w:val="restart"/>
            <w:vAlign w:val="center"/>
          </w:tcPr>
          <w:p>
            <w:pPr>
              <w:adjustRightInd w:val="0"/>
              <w:snapToGrid w:val="0"/>
              <w:jc w:val="center"/>
              <w:textAlignment w:val="baseline"/>
              <w:rPr>
                <w:rFonts w:ascii="Times New Roman" w:hAnsi="Times New Roman"/>
                <w:szCs w:val="21"/>
              </w:rPr>
            </w:pPr>
            <w:r>
              <w:rPr>
                <w:rFonts w:hint="eastAsia" w:ascii="Times New Roman" w:hAnsi="Times New Roman"/>
                <w:szCs w:val="21"/>
              </w:rPr>
              <w:t>运营期</w:t>
            </w:r>
          </w:p>
        </w:tc>
        <w:tc>
          <w:tcPr>
            <w:tcW w:w="1747" w:type="dxa"/>
            <w:gridSpan w:val="2"/>
            <w:vAlign w:val="center"/>
          </w:tcPr>
          <w:p>
            <w:pPr>
              <w:adjustRightInd w:val="0"/>
              <w:snapToGrid w:val="0"/>
              <w:jc w:val="center"/>
              <w:textAlignment w:val="baseline"/>
              <w:rPr>
                <w:rFonts w:ascii="Times New Roman" w:hAnsi="Times New Roman"/>
                <w:szCs w:val="21"/>
              </w:rPr>
            </w:pPr>
            <w:r>
              <w:rPr>
                <w:rFonts w:hint="eastAsia" w:ascii="Times New Roman" w:hAnsi="Times New Roman"/>
                <w:color w:val="000000"/>
                <w:spacing w:val="6"/>
                <w:kern w:val="0"/>
                <w:szCs w:val="21"/>
              </w:rPr>
              <w:t>尾矿泥饼</w:t>
            </w:r>
          </w:p>
        </w:tc>
        <w:tc>
          <w:tcPr>
            <w:tcW w:w="4982" w:type="dxa"/>
            <w:vAlign w:val="center"/>
          </w:tcPr>
          <w:p>
            <w:pPr>
              <w:jc w:val="center"/>
              <w:rPr>
                <w:rFonts w:ascii="Times New Roman" w:hAnsi="Times New Roman"/>
                <w:spacing w:val="6"/>
                <w:kern w:val="0"/>
                <w:szCs w:val="21"/>
              </w:rPr>
            </w:pPr>
            <w:r>
              <w:rPr>
                <w:rFonts w:hint="eastAsia" w:ascii="Times New Roman" w:hAnsi="Times New Roman"/>
                <w:color w:val="000000"/>
                <w:spacing w:val="6"/>
                <w:kern w:val="0"/>
                <w:szCs w:val="21"/>
              </w:rPr>
              <w:t>一部分外卖吉林市智德利商贸有限公司，另一部分堆放至尾矿库内。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164" w:type="dxa"/>
            <w:gridSpan w:val="2"/>
            <w:vMerge w:val="continue"/>
            <w:vAlign w:val="center"/>
          </w:tcPr>
          <w:p>
            <w:pPr>
              <w:adjustRightInd w:val="0"/>
              <w:snapToGrid w:val="0"/>
              <w:jc w:val="center"/>
              <w:textAlignment w:val="baseline"/>
              <w:rPr>
                <w:rFonts w:ascii="Times New Roman" w:hAnsi="Times New Roman"/>
                <w:szCs w:val="21"/>
              </w:rPr>
            </w:pPr>
          </w:p>
        </w:tc>
        <w:tc>
          <w:tcPr>
            <w:tcW w:w="1747" w:type="dxa"/>
            <w:gridSpan w:val="2"/>
            <w:vAlign w:val="center"/>
          </w:tcPr>
          <w:p>
            <w:pPr>
              <w:adjustRightInd w:val="0"/>
              <w:snapToGrid w:val="0"/>
              <w:jc w:val="center"/>
              <w:textAlignment w:val="baseline"/>
              <w:rPr>
                <w:rFonts w:ascii="Times New Roman" w:hAnsi="Times New Roman"/>
                <w:szCs w:val="21"/>
              </w:rPr>
            </w:pPr>
            <w:r>
              <w:rPr>
                <w:rFonts w:hint="eastAsia" w:ascii="Times New Roman" w:hAnsi="Times New Roman"/>
                <w:color w:val="000000"/>
                <w:spacing w:val="6"/>
                <w:kern w:val="0"/>
                <w:szCs w:val="21"/>
              </w:rPr>
              <w:t>压滤间沉淀池污泥</w:t>
            </w:r>
          </w:p>
        </w:tc>
        <w:tc>
          <w:tcPr>
            <w:tcW w:w="4982" w:type="dxa"/>
            <w:vAlign w:val="center"/>
          </w:tcPr>
          <w:p>
            <w:pPr>
              <w:adjustRightInd w:val="0"/>
              <w:snapToGrid w:val="0"/>
              <w:jc w:val="center"/>
              <w:rPr>
                <w:rFonts w:ascii="Times New Roman" w:hAnsi="Times New Roman"/>
                <w:spacing w:val="6"/>
                <w:kern w:val="0"/>
                <w:szCs w:val="21"/>
              </w:rPr>
            </w:pPr>
            <w:r>
              <w:rPr>
                <w:rFonts w:hint="eastAsia" w:ascii="Times New Roman" w:hAnsi="Times New Roman"/>
                <w:color w:val="000000"/>
                <w:spacing w:val="6"/>
                <w:kern w:val="0"/>
                <w:szCs w:val="21"/>
              </w:rPr>
              <w:t>堆放至尾矿库内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164" w:type="dxa"/>
            <w:gridSpan w:val="2"/>
            <w:vMerge w:val="continue"/>
            <w:vAlign w:val="center"/>
          </w:tcPr>
          <w:p>
            <w:pPr>
              <w:adjustRightInd w:val="0"/>
              <w:snapToGrid w:val="0"/>
              <w:jc w:val="center"/>
              <w:textAlignment w:val="baseline"/>
              <w:rPr>
                <w:rFonts w:ascii="Times New Roman" w:hAnsi="Times New Roman"/>
                <w:szCs w:val="21"/>
              </w:rPr>
            </w:pPr>
          </w:p>
        </w:tc>
        <w:tc>
          <w:tcPr>
            <w:tcW w:w="1747" w:type="dxa"/>
            <w:gridSpan w:val="2"/>
            <w:vAlign w:val="center"/>
          </w:tcPr>
          <w:p>
            <w:pPr>
              <w:adjustRightInd w:val="0"/>
              <w:snapToGrid w:val="0"/>
              <w:jc w:val="center"/>
              <w:textAlignment w:val="baseline"/>
              <w:rPr>
                <w:rFonts w:ascii="Times New Roman" w:hAnsi="Times New Roman"/>
                <w:szCs w:val="21"/>
              </w:rPr>
            </w:pPr>
            <w:r>
              <w:rPr>
                <w:rFonts w:hint="eastAsia" w:ascii="Times New Roman" w:hAnsi="Times New Roman"/>
                <w:color w:val="000000"/>
                <w:spacing w:val="6"/>
                <w:kern w:val="0"/>
                <w:szCs w:val="21"/>
              </w:rPr>
              <w:t>尾矿库沉淀池污泥</w:t>
            </w:r>
          </w:p>
        </w:tc>
        <w:tc>
          <w:tcPr>
            <w:tcW w:w="4982" w:type="dxa"/>
            <w:vAlign w:val="center"/>
          </w:tcPr>
          <w:p>
            <w:pPr>
              <w:adjustRightInd w:val="0"/>
              <w:snapToGrid w:val="0"/>
              <w:jc w:val="center"/>
              <w:rPr>
                <w:rFonts w:ascii="Times New Roman" w:hAnsi="Times New Roman"/>
                <w:spacing w:val="6"/>
                <w:kern w:val="0"/>
                <w:szCs w:val="21"/>
              </w:rPr>
            </w:pPr>
            <w:r>
              <w:rPr>
                <w:rFonts w:hint="eastAsia" w:ascii="Times New Roman" w:hAnsi="Times New Roman"/>
                <w:color w:val="000000"/>
                <w:spacing w:val="6"/>
                <w:kern w:val="0"/>
                <w:szCs w:val="21"/>
              </w:rPr>
              <w:t>堆放至尾矿库内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164" w:type="dxa"/>
            <w:gridSpan w:val="2"/>
            <w:vMerge w:val="continue"/>
            <w:vAlign w:val="center"/>
          </w:tcPr>
          <w:p>
            <w:pPr>
              <w:adjustRightInd w:val="0"/>
              <w:snapToGrid w:val="0"/>
              <w:jc w:val="center"/>
              <w:textAlignment w:val="baseline"/>
              <w:rPr>
                <w:rFonts w:ascii="Times New Roman" w:hAnsi="Times New Roman"/>
                <w:szCs w:val="21"/>
              </w:rPr>
            </w:pPr>
          </w:p>
        </w:tc>
        <w:tc>
          <w:tcPr>
            <w:tcW w:w="1747" w:type="dxa"/>
            <w:gridSpan w:val="2"/>
            <w:vAlign w:val="center"/>
          </w:tcPr>
          <w:p>
            <w:pPr>
              <w:adjustRightInd w:val="0"/>
              <w:snapToGrid w:val="0"/>
              <w:jc w:val="center"/>
              <w:textAlignment w:val="baseline"/>
              <w:rPr>
                <w:rFonts w:ascii="Times New Roman" w:hAnsi="Times New Roman"/>
                <w:szCs w:val="21"/>
              </w:rPr>
            </w:pPr>
            <w:r>
              <w:rPr>
                <w:rFonts w:hint="eastAsia" w:ascii="Times New Roman" w:hAnsi="Times New Roman"/>
                <w:color w:val="000000"/>
                <w:spacing w:val="6"/>
                <w:kern w:val="0"/>
                <w:szCs w:val="21"/>
              </w:rPr>
              <w:t>废机油</w:t>
            </w:r>
          </w:p>
        </w:tc>
        <w:tc>
          <w:tcPr>
            <w:tcW w:w="4982" w:type="dxa"/>
            <w:vAlign w:val="center"/>
          </w:tcPr>
          <w:p>
            <w:pPr>
              <w:adjustRightInd w:val="0"/>
              <w:snapToGrid w:val="0"/>
              <w:jc w:val="center"/>
              <w:rPr>
                <w:rFonts w:ascii="Times New Roman" w:hAnsi="Times New Roman"/>
                <w:color w:val="000000"/>
                <w:szCs w:val="21"/>
              </w:rPr>
            </w:pPr>
            <w:r>
              <w:rPr>
                <w:rFonts w:hint="eastAsia" w:ascii="Times New Roman" w:hAnsi="Times New Roman"/>
                <w:color w:val="000000"/>
                <w:spacing w:val="6"/>
                <w:kern w:val="0"/>
                <w:szCs w:val="21"/>
              </w:rPr>
              <w:t>统一交由有资质部门集中处理处置。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27" w:type="dxa"/>
            <w:vMerge w:val="restart"/>
            <w:vAlign w:val="center"/>
          </w:tcPr>
          <w:p>
            <w:pPr>
              <w:adjustRightInd w:val="0"/>
              <w:snapToGrid w:val="0"/>
              <w:jc w:val="center"/>
              <w:rPr>
                <w:rFonts w:ascii="Times New Roman" w:hAnsi="Times New Roman"/>
                <w:szCs w:val="21"/>
              </w:rPr>
            </w:pPr>
            <w:r>
              <w:rPr>
                <w:rFonts w:hint="eastAsia" w:ascii="Times New Roman" w:hAnsi="Times New Roman"/>
                <w:szCs w:val="21"/>
              </w:rPr>
              <w:t>5</w:t>
            </w:r>
          </w:p>
        </w:tc>
        <w:tc>
          <w:tcPr>
            <w:tcW w:w="2911" w:type="dxa"/>
            <w:gridSpan w:val="4"/>
            <w:vAlign w:val="center"/>
          </w:tcPr>
          <w:p>
            <w:pPr>
              <w:adjustRightInd w:val="0"/>
              <w:snapToGrid w:val="0"/>
              <w:jc w:val="center"/>
              <w:textAlignment w:val="baseline"/>
              <w:rPr>
                <w:rFonts w:ascii="Times New Roman" w:hAnsi="Times New Roman"/>
                <w:szCs w:val="21"/>
              </w:rPr>
            </w:pPr>
            <w:r>
              <w:rPr>
                <w:rFonts w:hint="eastAsia" w:ascii="Times New Roman" w:hAnsi="Times New Roman"/>
                <w:szCs w:val="21"/>
              </w:rPr>
              <w:t>地下水</w:t>
            </w:r>
          </w:p>
        </w:tc>
        <w:tc>
          <w:tcPr>
            <w:tcW w:w="4982" w:type="dxa"/>
            <w:vAlign w:val="center"/>
          </w:tcPr>
          <w:p>
            <w:pPr>
              <w:adjustRightInd w:val="0"/>
              <w:snapToGri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164" w:type="dxa"/>
            <w:gridSpan w:val="2"/>
            <w:vAlign w:val="center"/>
          </w:tcPr>
          <w:p>
            <w:pPr>
              <w:adjustRightInd w:val="0"/>
              <w:snapToGrid w:val="0"/>
              <w:jc w:val="center"/>
              <w:textAlignment w:val="baseline"/>
              <w:rPr>
                <w:rFonts w:ascii="Times New Roman" w:hAnsi="Times New Roman"/>
                <w:szCs w:val="21"/>
              </w:rPr>
            </w:pPr>
            <w:r>
              <w:rPr>
                <w:rFonts w:hint="eastAsia" w:ascii="Times New Roman" w:hAnsi="Times New Roman"/>
                <w:szCs w:val="21"/>
              </w:rPr>
              <w:t>运营期</w:t>
            </w:r>
          </w:p>
        </w:tc>
        <w:tc>
          <w:tcPr>
            <w:tcW w:w="1747" w:type="dxa"/>
            <w:gridSpan w:val="2"/>
            <w:vAlign w:val="center"/>
          </w:tcPr>
          <w:p>
            <w:pPr>
              <w:adjustRightInd w:val="0"/>
              <w:snapToGrid w:val="0"/>
              <w:jc w:val="center"/>
              <w:textAlignment w:val="baseline"/>
              <w:rPr>
                <w:rFonts w:ascii="Times New Roman" w:hAnsi="Times New Roman"/>
                <w:szCs w:val="21"/>
              </w:rPr>
            </w:pPr>
            <w:r>
              <w:rPr>
                <w:rFonts w:hint="eastAsia" w:ascii="Times New Roman" w:hAnsi="Times New Roman"/>
                <w:szCs w:val="21"/>
              </w:rPr>
              <w:t>沉淀池渗滤液</w:t>
            </w:r>
          </w:p>
        </w:tc>
        <w:tc>
          <w:tcPr>
            <w:tcW w:w="4982" w:type="dxa"/>
            <w:vAlign w:val="center"/>
          </w:tcPr>
          <w:p>
            <w:pPr>
              <w:adjustRightInd w:val="0"/>
              <w:snapToGrid w:val="0"/>
              <w:jc w:val="center"/>
              <w:rPr>
                <w:rFonts w:ascii="Times New Roman" w:hAnsi="Times New Roman"/>
                <w:color w:val="000000"/>
                <w:szCs w:val="21"/>
              </w:rPr>
            </w:pPr>
            <w:r>
              <w:rPr>
                <w:rFonts w:hint="eastAsia" w:ascii="Times New Roman" w:hAnsi="Times New Roman"/>
                <w:color w:val="000000"/>
                <w:szCs w:val="21"/>
              </w:rPr>
              <w:t>尾矿库沉淀池防渗措施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27" w:type="dxa"/>
            <w:vMerge w:val="restart"/>
            <w:vAlign w:val="center"/>
          </w:tcPr>
          <w:p>
            <w:pPr>
              <w:adjustRightInd w:val="0"/>
              <w:snapToGrid w:val="0"/>
              <w:jc w:val="center"/>
              <w:rPr>
                <w:rFonts w:ascii="Times New Roman" w:hAnsi="Times New Roman"/>
                <w:szCs w:val="21"/>
              </w:rPr>
            </w:pPr>
            <w:r>
              <w:rPr>
                <w:rFonts w:hint="eastAsia" w:ascii="Times New Roman" w:hAnsi="Times New Roman"/>
                <w:szCs w:val="21"/>
              </w:rPr>
              <w:t>6</w:t>
            </w:r>
          </w:p>
        </w:tc>
        <w:tc>
          <w:tcPr>
            <w:tcW w:w="2911" w:type="dxa"/>
            <w:gridSpan w:val="4"/>
            <w:vAlign w:val="center"/>
          </w:tcPr>
          <w:p>
            <w:pPr>
              <w:adjustRightInd w:val="0"/>
              <w:snapToGrid w:val="0"/>
              <w:jc w:val="center"/>
              <w:rPr>
                <w:rFonts w:ascii="Times New Roman" w:hAnsi="Times New Roman"/>
                <w:szCs w:val="21"/>
              </w:rPr>
            </w:pPr>
            <w:r>
              <w:rPr>
                <w:rFonts w:ascii="Times New Roman" w:hAnsi="Times New Roman"/>
                <w:szCs w:val="21"/>
              </w:rPr>
              <w:t>生态环境保护</w:t>
            </w:r>
          </w:p>
        </w:tc>
        <w:tc>
          <w:tcPr>
            <w:tcW w:w="4982" w:type="dxa"/>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134" w:type="dxa"/>
            <w:vMerge w:val="restart"/>
            <w:vAlign w:val="center"/>
          </w:tcPr>
          <w:p>
            <w:pPr>
              <w:adjustRightInd w:val="0"/>
              <w:snapToGrid w:val="0"/>
              <w:jc w:val="center"/>
              <w:rPr>
                <w:rFonts w:ascii="Times New Roman" w:hAnsi="Times New Roman"/>
                <w:szCs w:val="21"/>
              </w:rPr>
            </w:pPr>
            <w:r>
              <w:rPr>
                <w:rFonts w:hint="eastAsia" w:ascii="Times New Roman" w:hAnsi="Times New Roman"/>
                <w:szCs w:val="21"/>
              </w:rPr>
              <w:t>施工期</w:t>
            </w:r>
          </w:p>
        </w:tc>
        <w:tc>
          <w:tcPr>
            <w:tcW w:w="1777" w:type="dxa"/>
            <w:gridSpan w:val="3"/>
            <w:vAlign w:val="center"/>
          </w:tcPr>
          <w:p>
            <w:pPr>
              <w:adjustRightInd w:val="0"/>
              <w:snapToGrid w:val="0"/>
              <w:jc w:val="center"/>
              <w:rPr>
                <w:rFonts w:ascii="Times New Roman" w:hAnsi="Times New Roman"/>
                <w:szCs w:val="21"/>
              </w:rPr>
            </w:pPr>
            <w:r>
              <w:rPr>
                <w:rFonts w:hint="eastAsia" w:ascii="Times New Roman" w:hAnsi="Times New Roman"/>
                <w:szCs w:val="21"/>
              </w:rPr>
              <w:t>植物保护</w:t>
            </w:r>
          </w:p>
        </w:tc>
        <w:tc>
          <w:tcPr>
            <w:tcW w:w="4982" w:type="dxa"/>
            <w:vAlign w:val="center"/>
          </w:tcPr>
          <w:p>
            <w:pPr>
              <w:adjustRightInd w:val="0"/>
              <w:snapToGrid w:val="0"/>
              <w:jc w:val="center"/>
              <w:rPr>
                <w:rFonts w:ascii="Times New Roman" w:hAnsi="Times New Roman"/>
                <w:szCs w:val="21"/>
              </w:rPr>
            </w:pPr>
            <w:r>
              <w:rPr>
                <w:rFonts w:hint="eastAsia" w:ascii="Times New Roman" w:hAnsi="Times New Roman"/>
                <w:szCs w:val="21"/>
              </w:rPr>
              <w:t>施工场地设置在选矿厂用地范围内，利用现有道路，施工动土作业应安排在晴朗无风天气下，尽量避免大风天，适当地采取洒水降尘措施。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27" w:type="dxa"/>
            <w:vMerge w:val="continue"/>
            <w:vAlign w:val="center"/>
          </w:tcPr>
          <w:p>
            <w:pPr>
              <w:adjustRightInd w:val="0"/>
              <w:snapToGrid w:val="0"/>
              <w:jc w:val="center"/>
              <w:rPr>
                <w:rFonts w:ascii="Times New Roman" w:hAnsi="Times New Roman"/>
                <w:szCs w:val="21"/>
              </w:rPr>
            </w:pPr>
          </w:p>
        </w:tc>
        <w:tc>
          <w:tcPr>
            <w:tcW w:w="1134" w:type="dxa"/>
            <w:vMerge w:val="continue"/>
            <w:vAlign w:val="center"/>
          </w:tcPr>
          <w:p>
            <w:pPr>
              <w:adjustRightInd w:val="0"/>
              <w:snapToGrid w:val="0"/>
              <w:jc w:val="center"/>
              <w:rPr>
                <w:rFonts w:ascii="Times New Roman" w:hAnsi="Times New Roman"/>
                <w:szCs w:val="21"/>
              </w:rPr>
            </w:pPr>
          </w:p>
        </w:tc>
        <w:tc>
          <w:tcPr>
            <w:tcW w:w="1777" w:type="dxa"/>
            <w:gridSpan w:val="3"/>
            <w:vAlign w:val="center"/>
          </w:tcPr>
          <w:p>
            <w:pPr>
              <w:adjustRightInd w:val="0"/>
              <w:snapToGrid w:val="0"/>
              <w:jc w:val="center"/>
              <w:rPr>
                <w:rFonts w:ascii="Times New Roman" w:hAnsi="Times New Roman"/>
                <w:szCs w:val="21"/>
              </w:rPr>
            </w:pPr>
            <w:r>
              <w:rPr>
                <w:rFonts w:hint="eastAsia" w:ascii="Times New Roman" w:hAnsi="Times New Roman"/>
                <w:szCs w:val="21"/>
              </w:rPr>
              <w:t>动物保护</w:t>
            </w:r>
          </w:p>
        </w:tc>
        <w:tc>
          <w:tcPr>
            <w:tcW w:w="4982" w:type="dxa"/>
            <w:vAlign w:val="center"/>
          </w:tcPr>
          <w:p>
            <w:pPr>
              <w:rPr>
                <w:rFonts w:ascii="Times New Roman" w:hAnsi="Times New Roman"/>
                <w:szCs w:val="21"/>
              </w:rPr>
            </w:pPr>
            <w:r>
              <w:rPr>
                <w:rFonts w:ascii="Times New Roman" w:hAnsi="Times New Roman"/>
                <w:szCs w:val="21"/>
              </w:rPr>
              <w:t>提高施工及工作人员的保护意识，在场地设置警示牌，以提醒施工人员加强野生动物保护意识，不人为伤害野生动物。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27" w:type="dxa"/>
            <w:vMerge w:val="continue"/>
            <w:vAlign w:val="center"/>
          </w:tcPr>
          <w:p>
            <w:pPr>
              <w:pStyle w:val="2"/>
              <w:rPr>
                <w:szCs w:val="21"/>
              </w:rPr>
            </w:pPr>
          </w:p>
        </w:tc>
        <w:tc>
          <w:tcPr>
            <w:tcW w:w="1134" w:type="dxa"/>
            <w:vMerge w:val="continue"/>
            <w:vAlign w:val="center"/>
          </w:tcPr>
          <w:p>
            <w:pPr>
              <w:adjustRightInd w:val="0"/>
              <w:snapToGrid w:val="0"/>
              <w:jc w:val="center"/>
              <w:rPr>
                <w:rFonts w:ascii="Times New Roman" w:hAnsi="Times New Roman"/>
                <w:szCs w:val="21"/>
              </w:rPr>
            </w:pPr>
          </w:p>
        </w:tc>
        <w:tc>
          <w:tcPr>
            <w:tcW w:w="1777" w:type="dxa"/>
            <w:gridSpan w:val="3"/>
            <w:vAlign w:val="center"/>
          </w:tcPr>
          <w:p>
            <w:pPr>
              <w:adjustRightInd w:val="0"/>
              <w:snapToGrid w:val="0"/>
              <w:jc w:val="center"/>
              <w:rPr>
                <w:rFonts w:ascii="Times New Roman" w:hAnsi="Times New Roman"/>
                <w:szCs w:val="21"/>
              </w:rPr>
            </w:pPr>
            <w:r>
              <w:rPr>
                <w:rFonts w:hint="eastAsia" w:ascii="Times New Roman" w:hAnsi="Times New Roman"/>
                <w:szCs w:val="21"/>
              </w:rPr>
              <w:t>水土流失防治</w:t>
            </w:r>
          </w:p>
        </w:tc>
        <w:tc>
          <w:tcPr>
            <w:tcW w:w="4982" w:type="dxa"/>
            <w:vAlign w:val="center"/>
          </w:tcPr>
          <w:p>
            <w:pPr>
              <w:adjustRightInd w:val="0"/>
              <w:snapToGrid w:val="0"/>
              <w:jc w:val="center"/>
              <w:rPr>
                <w:rFonts w:ascii="Times New Roman" w:hAnsi="Times New Roman"/>
                <w:szCs w:val="21"/>
              </w:rPr>
            </w:pPr>
            <w:r>
              <w:rPr>
                <w:rFonts w:ascii="Times New Roman" w:hAnsi="Times New Roman"/>
                <w:color w:val="000000"/>
                <w:szCs w:val="21"/>
              </w:rPr>
              <w:t>合理安排施工季节和作业时间，优化施工方案，尽量避免雨季进行大量开挖工程，减小水土流失。</w:t>
            </w:r>
            <w:r>
              <w:rPr>
                <w:rFonts w:hint="eastAsia" w:ascii="新宋体" w:hAnsi="新宋体" w:eastAsia="新宋体"/>
                <w:color w:val="000000"/>
                <w:szCs w:val="21"/>
              </w:rPr>
              <w:t>场地平整后尽快夯实、硬化，大风天气适量洒水等。</w:t>
            </w:r>
            <w:r>
              <w:rPr>
                <w:rFonts w:ascii="Times New Roman" w:hAnsi="Times New Roman" w:eastAsia="新宋体"/>
                <w:color w:val="000000"/>
                <w:spacing w:val="-2"/>
                <w:szCs w:val="21"/>
              </w:rPr>
              <w:t>施工前应在施工场</w:t>
            </w:r>
            <w:r>
              <w:rPr>
                <w:rFonts w:ascii="Times New Roman" w:hAnsi="Times New Roman" w:eastAsia="新宋体"/>
                <w:color w:val="000000"/>
                <w:szCs w:val="21"/>
              </w:rPr>
              <w:t>地内布设临时简易排水沟，以便于施工期能及时导出地面径流</w:t>
            </w:r>
            <w:r>
              <w:rPr>
                <w:rFonts w:hint="eastAsia" w:ascii="Times New Roman" w:hAnsi="Times New Roman" w:eastAsia="新宋体"/>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27" w:type="dxa"/>
            <w:vMerge w:val="continue"/>
            <w:vAlign w:val="center"/>
          </w:tcPr>
          <w:p>
            <w:pPr>
              <w:pStyle w:val="2"/>
              <w:rPr>
                <w:szCs w:val="21"/>
              </w:rPr>
            </w:pPr>
          </w:p>
        </w:tc>
        <w:tc>
          <w:tcPr>
            <w:tcW w:w="1134" w:type="dxa"/>
            <w:vMerge w:val="restart"/>
            <w:vAlign w:val="center"/>
          </w:tcPr>
          <w:p>
            <w:pPr>
              <w:adjustRightInd w:val="0"/>
              <w:snapToGrid w:val="0"/>
              <w:jc w:val="center"/>
              <w:rPr>
                <w:rFonts w:ascii="Times New Roman" w:hAnsi="Times New Roman"/>
                <w:szCs w:val="21"/>
              </w:rPr>
            </w:pPr>
            <w:r>
              <w:rPr>
                <w:rFonts w:hint="eastAsia" w:ascii="Times New Roman" w:hAnsi="Times New Roman"/>
                <w:szCs w:val="21"/>
              </w:rPr>
              <w:t>运营期</w:t>
            </w:r>
          </w:p>
        </w:tc>
        <w:tc>
          <w:tcPr>
            <w:tcW w:w="1777" w:type="dxa"/>
            <w:gridSpan w:val="3"/>
            <w:vAlign w:val="center"/>
          </w:tcPr>
          <w:p>
            <w:pPr>
              <w:adjustRightInd w:val="0"/>
              <w:snapToGrid w:val="0"/>
              <w:jc w:val="center"/>
              <w:rPr>
                <w:rFonts w:ascii="Times New Roman" w:hAnsi="Times New Roman"/>
                <w:szCs w:val="21"/>
              </w:rPr>
            </w:pPr>
            <w:r>
              <w:rPr>
                <w:rFonts w:hint="eastAsia" w:ascii="Times New Roman" w:hAnsi="Times New Roman"/>
                <w:szCs w:val="21"/>
              </w:rPr>
              <w:t>植被保护</w:t>
            </w:r>
          </w:p>
        </w:tc>
        <w:tc>
          <w:tcPr>
            <w:tcW w:w="4982" w:type="dxa"/>
            <w:vAlign w:val="center"/>
          </w:tcPr>
          <w:p>
            <w:pPr>
              <w:adjustRightInd w:val="0"/>
              <w:snapToGrid w:val="0"/>
              <w:jc w:val="center"/>
              <w:rPr>
                <w:rFonts w:ascii="Times New Roman" w:hAnsi="Times New Roman"/>
                <w:szCs w:val="21"/>
              </w:rPr>
            </w:pPr>
            <w:r>
              <w:rPr>
                <w:rFonts w:hint="eastAsia"/>
                <w:color w:val="000000"/>
                <w:szCs w:val="21"/>
              </w:rPr>
              <w:t>对于尾矿库适当地采取洒水降尘，覆盖苫布，及时外运出售。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27" w:type="dxa"/>
            <w:vMerge w:val="continue"/>
            <w:vAlign w:val="center"/>
          </w:tcPr>
          <w:p>
            <w:pPr>
              <w:pStyle w:val="2"/>
              <w:rPr>
                <w:szCs w:val="21"/>
              </w:rPr>
            </w:pPr>
          </w:p>
        </w:tc>
        <w:tc>
          <w:tcPr>
            <w:tcW w:w="1134" w:type="dxa"/>
            <w:vMerge w:val="continue"/>
            <w:vAlign w:val="center"/>
          </w:tcPr>
          <w:p>
            <w:pPr>
              <w:adjustRightInd w:val="0"/>
              <w:snapToGrid w:val="0"/>
              <w:jc w:val="center"/>
              <w:rPr>
                <w:rFonts w:ascii="Times New Roman" w:hAnsi="Times New Roman"/>
                <w:szCs w:val="21"/>
              </w:rPr>
            </w:pPr>
          </w:p>
        </w:tc>
        <w:tc>
          <w:tcPr>
            <w:tcW w:w="1777" w:type="dxa"/>
            <w:gridSpan w:val="3"/>
            <w:vAlign w:val="center"/>
          </w:tcPr>
          <w:p>
            <w:pPr>
              <w:adjustRightInd w:val="0"/>
              <w:snapToGrid w:val="0"/>
              <w:jc w:val="center"/>
              <w:rPr>
                <w:rFonts w:ascii="Times New Roman" w:hAnsi="Times New Roman"/>
                <w:szCs w:val="21"/>
              </w:rPr>
            </w:pPr>
            <w:r>
              <w:rPr>
                <w:rFonts w:hint="eastAsia" w:ascii="Times New Roman" w:hAnsi="Times New Roman"/>
                <w:szCs w:val="21"/>
              </w:rPr>
              <w:t>动物保护</w:t>
            </w:r>
          </w:p>
        </w:tc>
        <w:tc>
          <w:tcPr>
            <w:tcW w:w="4982" w:type="dxa"/>
            <w:vAlign w:val="center"/>
          </w:tcPr>
          <w:p>
            <w:pPr>
              <w:ind w:firstLine="420" w:firstLineChars="200"/>
              <w:rPr>
                <w:rFonts w:ascii="Times New Roman" w:hAnsi="Times New Roman"/>
                <w:szCs w:val="21"/>
              </w:rPr>
            </w:pPr>
            <w:r>
              <w:rPr>
                <w:rFonts w:ascii="Times New Roman" w:hAnsi="Times New Roman"/>
                <w:bCs/>
                <w:szCs w:val="21"/>
              </w:rPr>
              <w:t>企业在项目建设过程中严格控制用地，生产过程中，尽量将高噪声设备放置在单独的隔声间内，避免和减少机械设备噪声对野生动物的影响。企业对道路进行定期洒水降尘或加设围挡，降低扬尘产生量，减少本项目运营过程中对野生动物及其生境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27" w:type="dxa"/>
            <w:vMerge w:val="continue"/>
            <w:vAlign w:val="center"/>
          </w:tcPr>
          <w:p>
            <w:pPr>
              <w:pStyle w:val="2"/>
              <w:rPr>
                <w:szCs w:val="21"/>
              </w:rPr>
            </w:pPr>
          </w:p>
        </w:tc>
        <w:tc>
          <w:tcPr>
            <w:tcW w:w="1134" w:type="dxa"/>
            <w:vAlign w:val="center"/>
          </w:tcPr>
          <w:p>
            <w:pPr>
              <w:adjustRightInd w:val="0"/>
              <w:snapToGrid w:val="0"/>
              <w:jc w:val="center"/>
              <w:rPr>
                <w:rFonts w:ascii="Times New Roman" w:hAnsi="Times New Roman"/>
                <w:szCs w:val="21"/>
              </w:rPr>
            </w:pPr>
            <w:r>
              <w:rPr>
                <w:rFonts w:hint="eastAsia" w:ascii="Times New Roman" w:hAnsi="Times New Roman"/>
                <w:szCs w:val="21"/>
              </w:rPr>
              <w:t>闭矿期</w:t>
            </w:r>
          </w:p>
        </w:tc>
        <w:tc>
          <w:tcPr>
            <w:tcW w:w="1777" w:type="dxa"/>
            <w:gridSpan w:val="3"/>
            <w:vAlign w:val="center"/>
          </w:tcPr>
          <w:p>
            <w:pPr>
              <w:adjustRightInd w:val="0"/>
              <w:snapToGrid w:val="0"/>
              <w:jc w:val="center"/>
              <w:rPr>
                <w:rFonts w:ascii="Times New Roman" w:hAnsi="Times New Roman"/>
                <w:szCs w:val="21"/>
              </w:rPr>
            </w:pPr>
            <w:r>
              <w:rPr>
                <w:rFonts w:hint="eastAsia" w:ascii="Times New Roman" w:hAnsi="Times New Roman"/>
                <w:szCs w:val="21"/>
              </w:rPr>
              <w:t>植被</w:t>
            </w:r>
          </w:p>
        </w:tc>
        <w:tc>
          <w:tcPr>
            <w:tcW w:w="4982" w:type="dxa"/>
            <w:vAlign w:val="center"/>
          </w:tcPr>
          <w:p>
            <w:pPr>
              <w:adjustRightInd w:val="0"/>
              <w:snapToGrid w:val="0"/>
              <w:jc w:val="center"/>
              <w:rPr>
                <w:rFonts w:ascii="Times New Roman" w:hAnsi="Times New Roman"/>
                <w:szCs w:val="21"/>
              </w:rPr>
            </w:pPr>
            <w:r>
              <w:rPr>
                <w:rFonts w:hint="eastAsia" w:ascii="Times New Roman" w:hAnsi="Times New Roman"/>
                <w:szCs w:val="21"/>
              </w:rPr>
              <w:t>尾矿库全面植被恢复措施</w:t>
            </w:r>
          </w:p>
        </w:tc>
      </w:tr>
    </w:tbl>
    <w:p>
      <w:pPr>
        <w:pStyle w:val="2"/>
      </w:pPr>
    </w:p>
    <w:p>
      <w:pPr>
        <w:pStyle w:val="3"/>
        <w:spacing w:beforeLines="150" w:beforeAutospacing="0" w:afterLines="150" w:afterAutospacing="0" w:line="360" w:lineRule="auto"/>
      </w:pPr>
      <w:bookmarkStart w:id="551" w:name="_Toc7849"/>
      <w:bookmarkStart w:id="552" w:name="_Toc22847"/>
      <w:bookmarkStart w:id="553" w:name="_Toc7641"/>
      <w:r>
        <w:rPr>
          <w:rFonts w:hint="eastAsia"/>
        </w:rPr>
        <w:br w:type="page"/>
      </w:r>
      <w:r>
        <w:rPr>
          <w:rFonts w:hint="eastAsia"/>
        </w:rPr>
        <w:t>第八章 环境风险分析</w:t>
      </w:r>
      <w:bookmarkEnd w:id="551"/>
      <w:bookmarkEnd w:id="552"/>
      <w:bookmarkEnd w:id="553"/>
    </w:p>
    <w:p>
      <w:pPr>
        <w:pStyle w:val="4"/>
        <w:rPr>
          <w:rFonts w:ascii="Times New Roman" w:hAnsi="Times New Roman"/>
        </w:rPr>
      </w:pPr>
      <w:bookmarkStart w:id="554" w:name="_Toc30814"/>
      <w:bookmarkStart w:id="555" w:name="_Toc24633"/>
      <w:bookmarkStart w:id="556" w:name="_Toc18518"/>
      <w:r>
        <w:rPr>
          <w:rFonts w:ascii="Times New Roman" w:hAnsi="Times New Roman"/>
        </w:rPr>
        <w:t>8.1风险评价的目的</w:t>
      </w:r>
      <w:bookmarkEnd w:id="554"/>
      <w:bookmarkEnd w:id="555"/>
      <w:bookmarkEnd w:id="556"/>
    </w:p>
    <w:p>
      <w:pPr>
        <w:spacing w:line="360" w:lineRule="auto"/>
        <w:ind w:firstLine="480" w:firstLineChars="200"/>
        <w:rPr>
          <w:rFonts w:ascii="Times New Roman" w:hAnsi="Times New Roman"/>
          <w:sz w:val="24"/>
        </w:rPr>
      </w:pPr>
      <w:r>
        <w:rPr>
          <w:rFonts w:ascii="Times New Roman" w:hAnsi="Times New Roman"/>
          <w:sz w:val="24"/>
        </w:rPr>
        <w:t>环境风险评价是环境影响评价领域中的一个重要组成部分，伴随着人们对环境危险及其灾害的认识日益增强和环境影响评价工作的深入开展，人们已经逐渐从正常事件转移到对偶然事件发生可能性的环境影响进行风险研究。</w:t>
      </w:r>
    </w:p>
    <w:p>
      <w:pPr>
        <w:spacing w:line="360" w:lineRule="auto"/>
        <w:ind w:firstLine="480" w:firstLineChars="200"/>
        <w:rPr>
          <w:rFonts w:ascii="Times New Roman" w:hAnsi="Times New Roman"/>
          <w:sz w:val="24"/>
        </w:rPr>
      </w:pPr>
      <w:r>
        <w:rPr>
          <w:rFonts w:ascii="Times New Roman" w:hAnsi="Times New Roman"/>
          <w:sz w:val="24"/>
        </w:rPr>
        <w:t>环境风险评价的目的是分析和预测建设项目存在的潜在危险、有害因素，建设项目建设和运行期间可能产生的突发性事件或事故（一般不包括人为破坏及自然灾害），引起有毒有害和易燃易爆等物质泄漏，所造成的人身安全与环境影响和损害程度，提出合理可行的防范、应急于减缓措施，以使建设项目的事故率、损失和环境影响降低到可接受水平。</w:t>
      </w:r>
    </w:p>
    <w:p>
      <w:pPr>
        <w:pStyle w:val="4"/>
        <w:rPr>
          <w:rFonts w:ascii="Times New Roman" w:hAnsi="Times New Roman"/>
        </w:rPr>
      </w:pPr>
      <w:bookmarkStart w:id="557" w:name="_Toc16565"/>
      <w:bookmarkStart w:id="558" w:name="_Toc4561"/>
      <w:bookmarkStart w:id="559" w:name="_Toc3265"/>
      <w:r>
        <w:rPr>
          <w:rFonts w:ascii="Times New Roman" w:hAnsi="Times New Roman"/>
        </w:rPr>
        <w:t>8.</w:t>
      </w:r>
      <w:r>
        <w:rPr>
          <w:rFonts w:hint="eastAsia" w:ascii="Times New Roman" w:hAnsi="Times New Roman"/>
        </w:rPr>
        <w:t>2</w:t>
      </w:r>
      <w:bookmarkEnd w:id="557"/>
      <w:r>
        <w:rPr>
          <w:rFonts w:hint="eastAsia" w:ascii="Times New Roman" w:hAnsi="Times New Roman"/>
        </w:rPr>
        <w:t>尾矿库风险评价依据</w:t>
      </w:r>
      <w:bookmarkEnd w:id="558"/>
      <w:bookmarkEnd w:id="559"/>
    </w:p>
    <w:p>
      <w:pPr>
        <w:spacing w:line="360" w:lineRule="auto"/>
        <w:ind w:firstLine="480" w:firstLineChars="200"/>
        <w:rPr>
          <w:rFonts w:ascii="Times New Roman" w:hAnsi="Times New Roman"/>
          <w:sz w:val="24"/>
        </w:rPr>
      </w:pPr>
      <w:bookmarkStart w:id="560" w:name="_Toc6406"/>
      <w:bookmarkStart w:id="561" w:name="_Toc484616322"/>
      <w:bookmarkStart w:id="562" w:name="_Toc9600"/>
      <w:bookmarkStart w:id="563" w:name="_Toc486350026"/>
      <w:r>
        <w:rPr>
          <w:rFonts w:ascii="Times New Roman" w:hAnsi="Times New Roman"/>
          <w:sz w:val="24"/>
        </w:rPr>
        <w:t>本项目风险评价参照《尾矿库环境风险评估技术导则（试行）》（HJ740-2015）执行。</w:t>
      </w:r>
    </w:p>
    <w:p>
      <w:pPr>
        <w:pStyle w:val="4"/>
        <w:rPr>
          <w:rFonts w:ascii="Times New Roman" w:hAnsi="Times New Roman"/>
        </w:rPr>
      </w:pPr>
      <w:bookmarkStart w:id="564" w:name="_Toc8145"/>
      <w:bookmarkStart w:id="565" w:name="_Toc25588"/>
      <w:r>
        <w:rPr>
          <w:rFonts w:ascii="Times New Roman" w:hAnsi="Times New Roman"/>
        </w:rPr>
        <w:t>8.3</w:t>
      </w:r>
      <w:bookmarkEnd w:id="560"/>
      <w:bookmarkEnd w:id="561"/>
      <w:bookmarkEnd w:id="562"/>
      <w:bookmarkEnd w:id="563"/>
      <w:r>
        <w:rPr>
          <w:rFonts w:hint="eastAsia" w:ascii="Times New Roman" w:hAnsi="Times New Roman"/>
        </w:rPr>
        <w:t>资料准备与环境风险识别</w:t>
      </w:r>
      <w:bookmarkEnd w:id="564"/>
      <w:bookmarkEnd w:id="565"/>
    </w:p>
    <w:p>
      <w:pPr>
        <w:pStyle w:val="5"/>
        <w:spacing w:beforeLines="50" w:afterLines="50" w:line="360" w:lineRule="auto"/>
        <w:rPr>
          <w:sz w:val="24"/>
          <w:szCs w:val="24"/>
        </w:rPr>
      </w:pPr>
      <w:bookmarkStart w:id="566" w:name="_Toc12970"/>
      <w:bookmarkStart w:id="567" w:name="_Toc9320"/>
      <w:r>
        <w:rPr>
          <w:sz w:val="24"/>
          <w:szCs w:val="24"/>
        </w:rPr>
        <w:t>8.3.1尾矿库基本信息</w:t>
      </w:r>
      <w:bookmarkEnd w:id="566"/>
      <w:bookmarkEnd w:id="567"/>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尾矿库基本情况介绍详情参见本报告 第三章工程分析中3.2部分。</w:t>
      </w:r>
    </w:p>
    <w:p>
      <w:pPr>
        <w:pStyle w:val="5"/>
        <w:spacing w:beforeLines="50" w:afterLines="50" w:line="360" w:lineRule="auto"/>
        <w:rPr>
          <w:sz w:val="24"/>
          <w:szCs w:val="24"/>
        </w:rPr>
      </w:pPr>
      <w:bookmarkStart w:id="568" w:name="_Toc25159"/>
      <w:bookmarkStart w:id="569" w:name="_Toc15259"/>
      <w:r>
        <w:rPr>
          <w:sz w:val="24"/>
          <w:szCs w:val="24"/>
        </w:rPr>
        <w:t>8.3.</w:t>
      </w:r>
      <w:r>
        <w:rPr>
          <w:rFonts w:hint="eastAsia"/>
          <w:sz w:val="24"/>
          <w:szCs w:val="24"/>
        </w:rPr>
        <w:t>2尾矿库周边环境风险受体情况</w:t>
      </w:r>
      <w:bookmarkEnd w:id="568"/>
      <w:bookmarkEnd w:id="569"/>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本项目环境风险评价范围以</w:t>
      </w:r>
      <w:r>
        <w:rPr>
          <w:rFonts w:hint="eastAsia" w:ascii="Times New Roman" w:hAnsi="Times New Roman"/>
          <w:sz w:val="24"/>
        </w:rPr>
        <w:t>尾矿库</w:t>
      </w:r>
      <w:r>
        <w:rPr>
          <w:rFonts w:ascii="Times New Roman" w:hAnsi="Times New Roman"/>
          <w:sz w:val="24"/>
        </w:rPr>
        <w:t>为圆心，半径为3km的圆形区域。</w:t>
      </w:r>
      <w:r>
        <w:rPr>
          <w:rFonts w:hint="eastAsia" w:ascii="Times New Roman" w:hAnsi="Times New Roman"/>
          <w:sz w:val="24"/>
          <w:szCs w:val="24"/>
        </w:rPr>
        <w:t>本项目四周均为山林环境，本项目厂界东侧隔林地；南侧10m为西南岔河自西向东流；西侧140m为林蛙养殖基地；北侧紧邻一条无名林间小路，127m为鹤大高速；西北侧566m隔鹤大高速为九道阳岔养鸡场。</w:t>
      </w:r>
      <w:r>
        <w:rPr>
          <w:rFonts w:hint="eastAsia" w:ascii="Times New Roman" w:hAnsi="Times New Roman"/>
          <w:sz w:val="24"/>
        </w:rPr>
        <w:t>经过实地勘察得出，本项目2km内无村民等环境敏感点。</w:t>
      </w:r>
    </w:p>
    <w:p>
      <w:pPr>
        <w:pStyle w:val="5"/>
        <w:spacing w:beforeLines="50" w:afterLines="50" w:line="360" w:lineRule="auto"/>
        <w:rPr>
          <w:sz w:val="24"/>
          <w:szCs w:val="24"/>
        </w:rPr>
      </w:pPr>
      <w:bookmarkStart w:id="570" w:name="_Toc15056"/>
      <w:bookmarkStart w:id="571" w:name="_Toc14258"/>
      <w:r>
        <w:rPr>
          <w:sz w:val="24"/>
          <w:szCs w:val="24"/>
        </w:rPr>
        <w:t>8.3.</w:t>
      </w:r>
      <w:r>
        <w:rPr>
          <w:rFonts w:hint="eastAsia"/>
          <w:sz w:val="24"/>
          <w:szCs w:val="24"/>
        </w:rPr>
        <w:t>3生产工艺</w:t>
      </w:r>
      <w:bookmarkEnd w:id="570"/>
      <w:bookmarkEnd w:id="571"/>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本次扩建项目尾矿浆废水采取压滤工艺。尾矿采用干排方式。详细工艺详见本报告第三章工程分析中3.3.5部分。</w:t>
      </w:r>
    </w:p>
    <w:p>
      <w:pPr>
        <w:pStyle w:val="5"/>
        <w:spacing w:beforeLines="50" w:afterLines="50" w:line="360" w:lineRule="auto"/>
        <w:rPr>
          <w:sz w:val="24"/>
          <w:szCs w:val="24"/>
        </w:rPr>
      </w:pPr>
      <w:bookmarkStart w:id="572" w:name="_Toc21798"/>
      <w:bookmarkStart w:id="573" w:name="_Toc15514"/>
      <w:r>
        <w:rPr>
          <w:sz w:val="24"/>
          <w:szCs w:val="24"/>
        </w:rPr>
        <w:t>8.3.</w:t>
      </w:r>
      <w:r>
        <w:rPr>
          <w:rFonts w:hint="eastAsia"/>
          <w:sz w:val="24"/>
          <w:szCs w:val="24"/>
        </w:rPr>
        <w:t>4生产安全管理</w:t>
      </w:r>
      <w:bookmarkEnd w:id="572"/>
      <w:bookmarkEnd w:id="573"/>
    </w:p>
    <w:p>
      <w:pPr>
        <w:spacing w:line="360" w:lineRule="auto"/>
        <w:ind w:firstLine="480" w:firstLineChars="200"/>
        <w:rPr>
          <w:rFonts w:ascii="Times New Roman" w:hAnsi="Times New Roman"/>
          <w:bCs/>
          <w:iCs/>
          <w:sz w:val="24"/>
          <w:szCs w:val="24"/>
        </w:rPr>
      </w:pPr>
      <w:r>
        <w:rPr>
          <w:rFonts w:ascii="Times New Roman" w:hAnsi="Times New Roman"/>
          <w:bCs/>
          <w:iCs/>
          <w:sz w:val="24"/>
          <w:szCs w:val="24"/>
        </w:rPr>
        <w:t>按照相关规定制定防汛安全生产责任制。在暴雨和汛期期间，应根据实际情况对尾矿库增加检查次数。检查中如发现重大隐患，必须立即采取措施进行整改，并向安全生产监督部门报告。汛期前应采取下列措施做好防汛工作：</w:t>
      </w:r>
    </w:p>
    <w:p>
      <w:pPr>
        <w:spacing w:line="360" w:lineRule="auto"/>
        <w:ind w:firstLine="480" w:firstLineChars="200"/>
        <w:rPr>
          <w:rFonts w:ascii="Times New Roman" w:hAnsi="Times New Roman"/>
          <w:bCs/>
          <w:iCs/>
          <w:sz w:val="24"/>
          <w:szCs w:val="24"/>
        </w:rPr>
      </w:pPr>
      <w:r>
        <w:rPr>
          <w:rFonts w:ascii="Times New Roman" w:hAnsi="Times New Roman"/>
          <w:bCs/>
          <w:iCs/>
          <w:sz w:val="24"/>
          <w:szCs w:val="24"/>
        </w:rPr>
        <w:t>①明确防汛安全生产责任制，建立值班、巡查和下游居民撤离方案等各项制度，组建防洪抢险队伍；</w:t>
      </w:r>
    </w:p>
    <w:p>
      <w:pPr>
        <w:spacing w:line="360" w:lineRule="auto"/>
        <w:ind w:firstLine="480" w:firstLineChars="200"/>
        <w:rPr>
          <w:rFonts w:ascii="Times New Roman" w:hAnsi="Times New Roman"/>
          <w:bCs/>
          <w:iCs/>
          <w:sz w:val="24"/>
          <w:szCs w:val="24"/>
        </w:rPr>
      </w:pPr>
      <w:r>
        <w:rPr>
          <w:rFonts w:ascii="Times New Roman" w:hAnsi="Times New Roman"/>
          <w:bCs/>
          <w:iCs/>
          <w:sz w:val="24"/>
          <w:szCs w:val="24"/>
        </w:rPr>
        <w:t>②疏浚库内坝肩排水沟、坝面排水沟及下游排洪河道：详细检查排洪系统及坝体的安全情况，要根据实际条件确定排洪口底坝高程，将排洪口底坝以上1.5倍调洪高度内的堵板全部打开。清除排洪口前水面漂浮物，确保排洪设施畅通；库内设清晰醒目的水位观测标尺，标明正常运行水位和警戒水位；</w:t>
      </w:r>
    </w:p>
    <w:p>
      <w:pPr>
        <w:spacing w:line="360" w:lineRule="auto"/>
        <w:ind w:firstLine="480" w:firstLineChars="200"/>
        <w:rPr>
          <w:rFonts w:ascii="Times New Roman" w:hAnsi="Times New Roman"/>
          <w:bCs/>
          <w:iCs/>
          <w:sz w:val="24"/>
          <w:szCs w:val="24"/>
        </w:rPr>
      </w:pPr>
      <w:r>
        <w:rPr>
          <w:rFonts w:ascii="Times New Roman" w:hAnsi="Times New Roman"/>
          <w:bCs/>
          <w:iCs/>
          <w:sz w:val="24"/>
          <w:szCs w:val="24"/>
        </w:rPr>
        <w:t>③备足抗洪抢险所需物资（沙如袋等），落实应急救援措施；及时了解和掌握汛期水情和气象预报情况，确保上坝道路、通讯、供电及照明线路可靠和畅通。</w:t>
      </w:r>
    </w:p>
    <w:p>
      <w:pPr>
        <w:pStyle w:val="5"/>
        <w:spacing w:beforeLines="50" w:afterLines="50" w:line="360" w:lineRule="auto"/>
        <w:rPr>
          <w:sz w:val="24"/>
          <w:szCs w:val="24"/>
        </w:rPr>
      </w:pPr>
      <w:bookmarkStart w:id="574" w:name="_Toc20895"/>
      <w:bookmarkStart w:id="575" w:name="_Toc14837"/>
      <w:r>
        <w:rPr>
          <w:sz w:val="24"/>
          <w:szCs w:val="24"/>
        </w:rPr>
        <w:t>8.3.</w:t>
      </w:r>
      <w:r>
        <w:rPr>
          <w:rFonts w:hint="eastAsia"/>
          <w:sz w:val="24"/>
          <w:szCs w:val="24"/>
        </w:rPr>
        <w:t>5环境风险防控与应急措施情况</w:t>
      </w:r>
      <w:bookmarkEnd w:id="574"/>
      <w:bookmarkEnd w:id="575"/>
    </w:p>
    <w:p>
      <w:pPr>
        <w:spacing w:line="360" w:lineRule="auto"/>
        <w:ind w:firstLine="480" w:firstLineChars="200"/>
        <w:rPr>
          <w:rFonts w:ascii="Times New Roman" w:hAnsi="Times New Roman"/>
          <w:sz w:val="24"/>
          <w:szCs w:val="24"/>
        </w:rPr>
      </w:pPr>
      <w:r>
        <w:rPr>
          <w:rFonts w:ascii="Times New Roman" w:hAnsi="Times New Roman"/>
          <w:sz w:val="24"/>
          <w:szCs w:val="24"/>
        </w:rPr>
        <w:t>（1）人力资源配备：</w:t>
      </w:r>
    </w:p>
    <w:p>
      <w:pPr>
        <w:spacing w:line="360" w:lineRule="auto"/>
        <w:ind w:firstLine="480" w:firstLineChars="200"/>
        <w:rPr>
          <w:rFonts w:ascii="Times New Roman" w:hAnsi="Times New Roman"/>
          <w:sz w:val="24"/>
          <w:szCs w:val="24"/>
        </w:rPr>
      </w:pPr>
      <w:r>
        <w:rPr>
          <w:rFonts w:ascii="Times New Roman" w:hAnsi="Times New Roman"/>
          <w:sz w:val="24"/>
          <w:szCs w:val="24"/>
        </w:rPr>
        <w:t>尾矿库配设特种作业人员7人，包括：尾矿工3人，负责放矿、看坝、尾矿库巡检及管路巡视；水泵工3人；专职安全管理员1人。以上员工为经培训、经验丰富的技术人员，可以及时发现尾矿库运行异常，并制定措施及时处理。</w:t>
      </w:r>
    </w:p>
    <w:p>
      <w:pPr>
        <w:spacing w:line="360" w:lineRule="auto"/>
        <w:ind w:firstLine="480" w:firstLineChars="200"/>
        <w:rPr>
          <w:sz w:val="24"/>
          <w:szCs w:val="24"/>
        </w:rPr>
      </w:pPr>
      <w:r>
        <w:rPr>
          <w:sz w:val="24"/>
          <w:szCs w:val="24"/>
        </w:rPr>
        <w:t>（2）应急物资配备：</w:t>
      </w:r>
    </w:p>
    <w:p>
      <w:pPr>
        <w:spacing w:line="360" w:lineRule="auto"/>
        <w:ind w:firstLine="480" w:firstLineChars="200"/>
        <w:rPr>
          <w:sz w:val="24"/>
          <w:szCs w:val="24"/>
        </w:rPr>
      </w:pPr>
      <w:r>
        <w:rPr>
          <w:sz w:val="24"/>
          <w:szCs w:val="24"/>
        </w:rPr>
        <w:t>尾矿库工作区备有土袋、麻绳、木材、铲子和环保药剂等应急物资，用以对抗如洪水漫顶、溃坝等突发事故，并为抗险工作人员提供有救生衣、救生圈、救生绳索等保护装置，在确保公共财产安全的同时保障救援人员的生命健康安全。</w:t>
      </w:r>
    </w:p>
    <w:p>
      <w:pPr>
        <w:pStyle w:val="5"/>
        <w:spacing w:beforeLines="50" w:afterLines="50" w:line="360" w:lineRule="auto"/>
        <w:rPr>
          <w:sz w:val="24"/>
          <w:szCs w:val="24"/>
        </w:rPr>
      </w:pPr>
      <w:bookmarkStart w:id="576" w:name="_Toc28964"/>
      <w:bookmarkStart w:id="577" w:name="_Toc22685"/>
      <w:r>
        <w:rPr>
          <w:sz w:val="24"/>
          <w:szCs w:val="24"/>
        </w:rPr>
        <w:t>8.3.</w:t>
      </w:r>
      <w:r>
        <w:rPr>
          <w:rFonts w:hint="eastAsia"/>
          <w:sz w:val="24"/>
          <w:szCs w:val="24"/>
        </w:rPr>
        <w:t>6应急物资与装备、救援队伍情况</w:t>
      </w:r>
      <w:bookmarkEnd w:id="576"/>
      <w:bookmarkEnd w:id="577"/>
    </w:p>
    <w:p>
      <w:pPr>
        <w:spacing w:line="360" w:lineRule="auto"/>
        <w:ind w:firstLine="480" w:firstLineChars="200"/>
        <w:rPr>
          <w:rFonts w:ascii="Times New Roman" w:hAnsi="Times New Roman"/>
          <w:sz w:val="24"/>
          <w:szCs w:val="24"/>
        </w:rPr>
      </w:pPr>
      <w:r>
        <w:rPr>
          <w:rFonts w:ascii="Times New Roman" w:hAnsi="Times New Roman"/>
          <w:sz w:val="24"/>
          <w:szCs w:val="24"/>
        </w:rPr>
        <w:t>（1）应急指挥机构和救援队伍</w:t>
      </w:r>
    </w:p>
    <w:p>
      <w:pPr>
        <w:spacing w:line="360" w:lineRule="auto"/>
        <w:ind w:firstLine="480" w:firstLineChars="200"/>
        <w:rPr>
          <w:rFonts w:ascii="Times New Roman" w:hAnsi="Times New Roman"/>
          <w:sz w:val="24"/>
          <w:szCs w:val="24"/>
        </w:rPr>
      </w:pPr>
      <w:r>
        <w:rPr>
          <w:rFonts w:ascii="Times New Roman" w:hAnsi="Times New Roman"/>
          <w:sz w:val="24"/>
          <w:szCs w:val="24"/>
        </w:rPr>
        <w:t>厂内可成立应急救援指挥部，要由主管领导负责，并组织相应岗位的人员进行分工，确定各岗位人员的职责。</w:t>
      </w:r>
    </w:p>
    <w:p>
      <w:pPr>
        <w:spacing w:line="360" w:lineRule="auto"/>
        <w:ind w:firstLine="480" w:firstLineChars="200"/>
        <w:rPr>
          <w:rFonts w:ascii="Times New Roman" w:hAnsi="Times New Roman"/>
          <w:sz w:val="24"/>
          <w:szCs w:val="24"/>
        </w:rPr>
      </w:pPr>
      <w:r>
        <w:rPr>
          <w:rFonts w:ascii="Times New Roman" w:hAnsi="Times New Roman"/>
          <w:sz w:val="24"/>
          <w:szCs w:val="24"/>
        </w:rPr>
        <w:t>（2）应急救援保障</w:t>
      </w:r>
    </w:p>
    <w:p>
      <w:pPr>
        <w:spacing w:line="360" w:lineRule="auto"/>
        <w:ind w:firstLine="480" w:firstLineChars="200"/>
        <w:rPr>
          <w:rFonts w:ascii="Times New Roman" w:hAnsi="Times New Roman"/>
          <w:sz w:val="24"/>
          <w:szCs w:val="24"/>
        </w:rPr>
      </w:pPr>
      <w:r>
        <w:rPr>
          <w:rFonts w:ascii="Times New Roman" w:hAnsi="Times New Roman"/>
          <w:sz w:val="24"/>
          <w:szCs w:val="24"/>
        </w:rPr>
        <w:t>厂内应该配备应急设施、设备与器材等。</w:t>
      </w:r>
    </w:p>
    <w:p>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3</w:t>
      </w:r>
      <w:r>
        <w:rPr>
          <w:rFonts w:ascii="Times New Roman" w:hAnsi="Times New Roman"/>
          <w:sz w:val="24"/>
          <w:szCs w:val="24"/>
        </w:rPr>
        <w:t>）报警和通讯设施</w:t>
      </w:r>
    </w:p>
    <w:p>
      <w:pPr>
        <w:spacing w:line="360" w:lineRule="auto"/>
        <w:ind w:firstLine="480" w:firstLineChars="200"/>
        <w:rPr>
          <w:rFonts w:ascii="Times New Roman" w:hAnsi="Times New Roman"/>
          <w:sz w:val="24"/>
          <w:szCs w:val="24"/>
        </w:rPr>
      </w:pPr>
      <w:r>
        <w:rPr>
          <w:rFonts w:ascii="Times New Roman" w:hAnsi="Times New Roman"/>
          <w:sz w:val="24"/>
          <w:szCs w:val="24"/>
        </w:rPr>
        <w:t>必须规定在应急状态下的报警方式、通知方式和交通保障、管制。</w:t>
      </w:r>
    </w:p>
    <w:p>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4</w:t>
      </w:r>
      <w:r>
        <w:rPr>
          <w:rFonts w:ascii="Times New Roman" w:hAnsi="Times New Roman"/>
          <w:sz w:val="24"/>
          <w:szCs w:val="24"/>
        </w:rPr>
        <w:t>）应急环境监测、抢救、救援及控制措施</w:t>
      </w:r>
    </w:p>
    <w:p>
      <w:pPr>
        <w:spacing w:line="360" w:lineRule="auto"/>
        <w:ind w:firstLine="480" w:firstLineChars="200"/>
        <w:rPr>
          <w:rFonts w:ascii="Times New Roman" w:hAnsi="Times New Roman"/>
          <w:sz w:val="24"/>
          <w:szCs w:val="24"/>
        </w:rPr>
      </w:pPr>
      <w:r>
        <w:rPr>
          <w:rFonts w:ascii="Times New Roman" w:hAnsi="Times New Roman"/>
          <w:sz w:val="24"/>
          <w:szCs w:val="24"/>
        </w:rPr>
        <w:t>在出现应急事故的情况下，委托当地政府相关部门成立一个专业的对服务对事故现场进行监测，对事故的性质、参数与后果进行评估，为指挥部门提供决策依据。</w:t>
      </w:r>
    </w:p>
    <w:p>
      <w:pPr>
        <w:spacing w:line="360" w:lineRule="auto"/>
        <w:ind w:firstLine="480" w:firstLineChars="200"/>
        <w:rPr>
          <w:rFonts w:ascii="Times New Roman" w:hAnsi="Times New Roman"/>
          <w:sz w:val="24"/>
          <w:szCs w:val="24"/>
        </w:rPr>
      </w:pPr>
      <w:r>
        <w:rPr>
          <w:rFonts w:ascii="Times New Roman" w:hAnsi="Times New Roman"/>
          <w:sz w:val="24"/>
          <w:szCs w:val="24"/>
        </w:rPr>
        <w:t>（</w:t>
      </w:r>
      <w:r>
        <w:rPr>
          <w:rFonts w:hint="eastAsia" w:ascii="Times New Roman" w:hAnsi="Times New Roman"/>
          <w:sz w:val="24"/>
          <w:szCs w:val="24"/>
        </w:rPr>
        <w:t>5</w:t>
      </w:r>
      <w:r>
        <w:rPr>
          <w:rFonts w:ascii="Times New Roman" w:hAnsi="Times New Roman"/>
          <w:sz w:val="24"/>
          <w:szCs w:val="24"/>
        </w:rPr>
        <w:t>）应急检测、防护措施、清除泄漏措施和器材、人员紧急撤离组织计划；</w:t>
      </w:r>
    </w:p>
    <w:p>
      <w:pPr>
        <w:spacing w:line="360" w:lineRule="auto"/>
        <w:ind w:firstLine="480" w:firstLineChars="200"/>
        <w:rPr>
          <w:rFonts w:ascii="Times New Roman" w:hAnsi="Times New Roman"/>
          <w:sz w:val="24"/>
          <w:szCs w:val="24"/>
        </w:rPr>
      </w:pPr>
      <w:r>
        <w:rPr>
          <w:rFonts w:ascii="Times New Roman" w:hAnsi="Times New Roman"/>
          <w:sz w:val="24"/>
          <w:szCs w:val="24"/>
        </w:rPr>
        <w:t>在出现应急事故的情况下，应该委托委托当地政府相关部门进行协助，对事故现场、邻近区域、受事故影响的区域人员进行疏散，出现异常现象的要立即送医院进行治疗，维护公众健康。</w:t>
      </w:r>
    </w:p>
    <w:p>
      <w:pPr>
        <w:pStyle w:val="5"/>
        <w:spacing w:line="360" w:lineRule="auto"/>
        <w:rPr>
          <w:color w:val="000000"/>
          <w:sz w:val="24"/>
          <w:szCs w:val="24"/>
        </w:rPr>
      </w:pPr>
      <w:bookmarkStart w:id="578" w:name="_Toc499285222"/>
      <w:bookmarkStart w:id="579" w:name="_Toc29999"/>
      <w:bookmarkStart w:id="580" w:name="_Toc18344"/>
      <w:bookmarkStart w:id="581" w:name="_Toc496191465"/>
      <w:r>
        <w:rPr>
          <w:rFonts w:hint="eastAsia"/>
          <w:color w:val="000000"/>
          <w:sz w:val="24"/>
          <w:szCs w:val="24"/>
        </w:rPr>
        <w:t>8.3.7</w:t>
      </w:r>
      <w:r>
        <w:rPr>
          <w:color w:val="000000"/>
          <w:sz w:val="24"/>
          <w:szCs w:val="24"/>
        </w:rPr>
        <w:t>相关环境安全管理制度情况</w:t>
      </w:r>
      <w:bookmarkEnd w:id="578"/>
      <w:bookmarkEnd w:id="579"/>
      <w:bookmarkEnd w:id="580"/>
      <w:bookmarkEnd w:id="581"/>
    </w:p>
    <w:p>
      <w:pPr>
        <w:spacing w:line="360" w:lineRule="auto"/>
        <w:ind w:firstLine="480" w:firstLineChars="200"/>
        <w:rPr>
          <w:rFonts w:ascii="Times New Roman" w:hAnsi="Times New Roman"/>
          <w:sz w:val="24"/>
          <w:szCs w:val="24"/>
        </w:rPr>
      </w:pPr>
      <w:r>
        <w:rPr>
          <w:rFonts w:ascii="Times New Roman" w:hAnsi="Times New Roman"/>
          <w:sz w:val="24"/>
          <w:szCs w:val="24"/>
        </w:rPr>
        <w:t>（1）管理制度和原则</w:t>
      </w:r>
    </w:p>
    <w:p>
      <w:pPr>
        <w:spacing w:line="360" w:lineRule="auto"/>
        <w:ind w:firstLine="480" w:firstLineChars="200"/>
        <w:rPr>
          <w:rFonts w:ascii="Times New Roman" w:hAnsi="Times New Roman"/>
          <w:sz w:val="24"/>
          <w:szCs w:val="24"/>
        </w:rPr>
      </w:pPr>
      <w:r>
        <w:rPr>
          <w:rFonts w:ascii="Times New Roman" w:hAnsi="Times New Roman"/>
          <w:sz w:val="24"/>
          <w:szCs w:val="24"/>
        </w:rPr>
        <w:t>①企业严格按照设计文件的要求和有关技术规范，做好尾矿</w:t>
      </w:r>
      <w:r>
        <w:rPr>
          <w:rFonts w:hint="eastAsia" w:ascii="Times New Roman" w:hAnsi="Times New Roman"/>
          <w:sz w:val="24"/>
          <w:szCs w:val="24"/>
        </w:rPr>
        <w:t>压滤</w:t>
      </w:r>
      <w:r>
        <w:rPr>
          <w:rFonts w:ascii="Times New Roman" w:hAnsi="Times New Roman"/>
          <w:sz w:val="24"/>
          <w:szCs w:val="24"/>
        </w:rPr>
        <w:t>分选、回水排水、防汛度汛、抗震等安全检查和监测工作；</w:t>
      </w:r>
    </w:p>
    <w:p>
      <w:pPr>
        <w:spacing w:line="360" w:lineRule="auto"/>
        <w:ind w:firstLine="480" w:firstLineChars="200"/>
        <w:rPr>
          <w:rFonts w:ascii="Times New Roman" w:hAnsi="Times New Roman"/>
          <w:sz w:val="24"/>
          <w:szCs w:val="24"/>
        </w:rPr>
      </w:pPr>
      <w:r>
        <w:rPr>
          <w:rFonts w:ascii="Times New Roman" w:hAnsi="Times New Roman"/>
          <w:sz w:val="24"/>
          <w:szCs w:val="24"/>
        </w:rPr>
        <w:t>②明确防汛安全生产责任制，建立值班、巡查和下游居民撤离方案等各项制度，组建防洪抢险队伍；</w:t>
      </w:r>
    </w:p>
    <w:p>
      <w:pPr>
        <w:spacing w:line="360" w:lineRule="auto"/>
        <w:ind w:firstLine="480" w:firstLineChars="200"/>
        <w:rPr>
          <w:rFonts w:ascii="Times New Roman" w:hAnsi="Times New Roman"/>
          <w:sz w:val="24"/>
          <w:szCs w:val="24"/>
        </w:rPr>
      </w:pPr>
      <w:r>
        <w:rPr>
          <w:rFonts w:ascii="Times New Roman" w:hAnsi="Times New Roman"/>
          <w:sz w:val="24"/>
          <w:szCs w:val="24"/>
        </w:rPr>
        <w:t>③尾矿库闭库期间，根据国家有关法律、法规和积水规范，报省级以上安全生产监督管理部门审查。</w:t>
      </w:r>
    </w:p>
    <w:p>
      <w:pPr>
        <w:spacing w:line="360" w:lineRule="auto"/>
        <w:ind w:firstLine="480" w:firstLineChars="200"/>
        <w:rPr>
          <w:rFonts w:ascii="Times New Roman" w:hAnsi="Times New Roman"/>
          <w:sz w:val="24"/>
          <w:szCs w:val="24"/>
        </w:rPr>
      </w:pPr>
      <w:r>
        <w:rPr>
          <w:rFonts w:ascii="Times New Roman" w:hAnsi="Times New Roman"/>
          <w:sz w:val="24"/>
          <w:szCs w:val="24"/>
        </w:rPr>
        <w:t>（2）安全管理要求</w:t>
      </w:r>
    </w:p>
    <w:p>
      <w:pPr>
        <w:spacing w:line="360" w:lineRule="auto"/>
        <w:ind w:firstLine="480" w:firstLineChars="200"/>
        <w:rPr>
          <w:rFonts w:ascii="Times New Roman" w:hAnsi="Times New Roman"/>
          <w:sz w:val="24"/>
          <w:szCs w:val="24"/>
        </w:rPr>
      </w:pPr>
      <w:r>
        <w:rPr>
          <w:rFonts w:ascii="Times New Roman" w:hAnsi="Times New Roman"/>
          <w:sz w:val="24"/>
          <w:szCs w:val="24"/>
        </w:rPr>
        <w:t>①尾矿库使用到设计最终坝高2/3高度时，应对尾矿坝进行工程进行勘察和稳定性分析。</w:t>
      </w:r>
    </w:p>
    <w:p>
      <w:pPr>
        <w:spacing w:line="360" w:lineRule="auto"/>
        <w:ind w:firstLine="480" w:firstLineChars="200"/>
        <w:rPr>
          <w:rFonts w:ascii="Times New Roman" w:hAnsi="Times New Roman"/>
          <w:sz w:val="24"/>
          <w:szCs w:val="24"/>
        </w:rPr>
      </w:pPr>
      <w:r>
        <w:rPr>
          <w:rFonts w:ascii="Times New Roman" w:hAnsi="Times New Roman"/>
          <w:sz w:val="24"/>
          <w:szCs w:val="24"/>
        </w:rPr>
        <w:t>②在暴雨期和汛期，应根据实际情况对尾矿库增加检查次数。当检查中发现明显隐患，立即采取措施进行整改，并向生产监督部门及时汇报。</w:t>
      </w:r>
    </w:p>
    <w:p>
      <w:pPr>
        <w:spacing w:line="360" w:lineRule="auto"/>
        <w:ind w:firstLine="480" w:firstLineChars="200"/>
        <w:rPr>
          <w:rFonts w:ascii="Times New Roman" w:hAnsi="Times New Roman"/>
          <w:sz w:val="24"/>
          <w:szCs w:val="24"/>
        </w:rPr>
      </w:pPr>
      <w:r>
        <w:rPr>
          <w:rFonts w:ascii="Times New Roman" w:hAnsi="Times New Roman"/>
          <w:sz w:val="24"/>
          <w:szCs w:val="24"/>
        </w:rPr>
        <w:t>③建议在距离尾矿库最近居民区（</w:t>
      </w:r>
      <w:r>
        <w:rPr>
          <w:rFonts w:hint="eastAsia" w:ascii="Times New Roman" w:hAnsi="Times New Roman"/>
          <w:sz w:val="24"/>
          <w:szCs w:val="24"/>
        </w:rPr>
        <w:t>八道阳岔村</w:t>
      </w:r>
      <w:r>
        <w:rPr>
          <w:rFonts w:ascii="Times New Roman" w:hAnsi="Times New Roman"/>
          <w:sz w:val="24"/>
          <w:szCs w:val="24"/>
        </w:rPr>
        <w:t>）约</w:t>
      </w:r>
      <w:r>
        <w:rPr>
          <w:rFonts w:hint="eastAsia" w:ascii="Times New Roman" w:hAnsi="Times New Roman"/>
          <w:sz w:val="24"/>
          <w:szCs w:val="24"/>
        </w:rPr>
        <w:t>2.1</w:t>
      </w:r>
      <w:r>
        <w:rPr>
          <w:rFonts w:ascii="Times New Roman" w:hAnsi="Times New Roman"/>
          <w:sz w:val="24"/>
          <w:szCs w:val="24"/>
        </w:rPr>
        <w:t>km各设置了一口监测井，用以监测尾矿库对当地地下水水质，定期对地下水进行采样和检测，及时观测地下水的是否受到污染。</w:t>
      </w:r>
    </w:p>
    <w:p>
      <w:pPr>
        <w:pStyle w:val="4"/>
        <w:spacing w:line="360" w:lineRule="auto"/>
        <w:rPr>
          <w:rFonts w:ascii="Times New Roman" w:hAnsi="Times New Roman" w:eastAsia="宋体"/>
          <w:color w:val="000000"/>
        </w:rPr>
      </w:pPr>
      <w:bookmarkStart w:id="582" w:name="_Toc499285223"/>
      <w:bookmarkStart w:id="583" w:name="_Toc10762"/>
      <w:bookmarkStart w:id="584" w:name="_Toc11250"/>
      <w:bookmarkStart w:id="585" w:name="_Toc496191466"/>
      <w:bookmarkStart w:id="586" w:name="_Toc15799"/>
      <w:r>
        <w:rPr>
          <w:rFonts w:ascii="Times New Roman" w:hAnsi="Times New Roman" w:eastAsia="宋体"/>
          <w:color w:val="000000"/>
        </w:rPr>
        <w:t>8.4尾矿库环境风险评估情况</w:t>
      </w:r>
      <w:bookmarkEnd w:id="582"/>
      <w:bookmarkEnd w:id="583"/>
      <w:bookmarkEnd w:id="584"/>
      <w:bookmarkEnd w:id="585"/>
      <w:bookmarkEnd w:id="586"/>
    </w:p>
    <w:p>
      <w:pPr>
        <w:pStyle w:val="5"/>
        <w:spacing w:line="360" w:lineRule="auto"/>
        <w:rPr>
          <w:color w:val="000000"/>
          <w:sz w:val="24"/>
          <w:szCs w:val="24"/>
        </w:rPr>
      </w:pPr>
      <w:bookmarkStart w:id="587" w:name="_Toc496191467"/>
      <w:bookmarkStart w:id="588" w:name="_Toc499285224"/>
      <w:bookmarkStart w:id="589" w:name="_Toc29571"/>
      <w:bookmarkStart w:id="590" w:name="_Toc12306"/>
      <w:r>
        <w:rPr>
          <w:color w:val="000000"/>
          <w:sz w:val="24"/>
          <w:szCs w:val="24"/>
        </w:rPr>
        <w:t>8.4.1环境风险预判</w:t>
      </w:r>
      <w:bookmarkEnd w:id="587"/>
      <w:bookmarkEnd w:id="588"/>
      <w:r>
        <w:rPr>
          <w:rFonts w:hint="eastAsia"/>
          <w:color w:val="000000"/>
          <w:sz w:val="24"/>
          <w:szCs w:val="24"/>
        </w:rPr>
        <w:t>情况</w:t>
      </w:r>
      <w:bookmarkEnd w:id="589"/>
      <w:bookmarkEnd w:id="590"/>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综合本次建设尾矿库工程情况，经过查询对照尾矿库环境风险预判表，可以得出本项目为一般环境监管尾矿库。</w:t>
      </w:r>
    </w:p>
    <w:p>
      <w:pPr>
        <w:pStyle w:val="5"/>
        <w:spacing w:line="360" w:lineRule="auto"/>
        <w:rPr>
          <w:color w:val="000000"/>
          <w:sz w:val="24"/>
          <w:szCs w:val="24"/>
        </w:rPr>
      </w:pPr>
      <w:bookmarkStart w:id="591" w:name="_Toc496191468"/>
      <w:bookmarkStart w:id="592" w:name="_Toc499285225"/>
      <w:bookmarkStart w:id="593" w:name="_Toc25966"/>
      <w:bookmarkStart w:id="594" w:name="_Toc22361"/>
      <w:r>
        <w:rPr>
          <w:rFonts w:hint="eastAsia"/>
          <w:color w:val="000000"/>
          <w:sz w:val="24"/>
          <w:szCs w:val="24"/>
        </w:rPr>
        <w:t>8.4</w:t>
      </w:r>
      <w:r>
        <w:rPr>
          <w:color w:val="000000"/>
          <w:sz w:val="24"/>
          <w:szCs w:val="24"/>
        </w:rPr>
        <w:t>.2环境风险等级划分情况</w:t>
      </w:r>
      <w:bookmarkEnd w:id="591"/>
      <w:bookmarkEnd w:id="592"/>
      <w:bookmarkEnd w:id="593"/>
      <w:bookmarkEnd w:id="594"/>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（1）尾矿库环境风险等级划分指标体系</w:t>
      </w:r>
    </w:p>
    <w:p>
      <w:pPr>
        <w:spacing w:line="360" w:lineRule="auto"/>
        <w:ind w:firstLine="480" w:firstLineChars="200"/>
        <w:rPr>
          <w:rFonts w:ascii="Times New Roman" w:hAnsi="Times New Roman"/>
          <w:color w:val="000000"/>
          <w:sz w:val="24"/>
        </w:rPr>
      </w:pPr>
      <w:r>
        <w:rPr>
          <w:rFonts w:ascii="Times New Roman" w:hAnsi="Times New Roman"/>
          <w:color w:val="000000"/>
          <w:sz w:val="24"/>
        </w:rPr>
        <w:t>根据《尾矿库环境风险评估技术导则（试行）》（HJ740-2015），利用层次分析法，从尾矿库的环境危害性（H）、周边环境敏感性（S）、控制机制可靠性（R）三方面进行尾矿库环境风险等级划分。</w:t>
      </w:r>
    </w:p>
    <w:p>
      <w:pPr>
        <w:spacing w:line="360" w:lineRule="auto"/>
        <w:rPr>
          <w:rFonts w:ascii="Times New Roman" w:hAnsi="Times New Roman"/>
          <w:color w:val="000000"/>
          <w:sz w:val="24"/>
        </w:rPr>
      </w:pPr>
      <w:r>
        <w:rPr>
          <w:rFonts w:ascii="Times New Roman" w:hAnsi="Times New Roman"/>
          <w:color w:val="000000"/>
          <w:sz w:val="24"/>
        </w:rPr>
        <w:drawing>
          <wp:inline distT="0" distB="0" distL="0" distR="0">
            <wp:extent cx="5866130" cy="1224915"/>
            <wp:effectExtent l="19050" t="0" r="1270" b="0"/>
            <wp:docPr id="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pic:cNvPicPr>
                      <a:picLocks noChangeAspect="1" noChangeArrowheads="1"/>
                    </pic:cNvPicPr>
                  </pic:nvPicPr>
                  <pic:blipFill>
                    <a:blip r:embed="rId10" cstate="print"/>
                    <a:srcRect/>
                    <a:stretch>
                      <a:fillRect/>
                    </a:stretch>
                  </pic:blipFill>
                  <pic:spPr>
                    <a:xfrm>
                      <a:off x="0" y="0"/>
                      <a:ext cx="5866130" cy="1224915"/>
                    </a:xfrm>
                    <a:prstGeom prst="rect">
                      <a:avLst/>
                    </a:prstGeom>
                    <a:noFill/>
                    <a:ln w="9525" cmpd="sng">
                      <a:noFill/>
                      <a:miter lim="800000"/>
                      <a:headEnd/>
                      <a:tailEnd/>
                    </a:ln>
                  </pic:spPr>
                </pic:pic>
              </a:graphicData>
            </a:graphic>
          </wp:inline>
        </w:drawing>
      </w:r>
    </w:p>
    <w:p>
      <w:pPr>
        <w:pStyle w:val="76"/>
        <w:jc w:val="center"/>
        <w:rPr>
          <w:b/>
          <w:color w:val="000000"/>
          <w:sz w:val="24"/>
        </w:rPr>
      </w:pPr>
      <w:r>
        <w:rPr>
          <w:b/>
          <w:color w:val="000000"/>
          <w:sz w:val="24"/>
        </w:rPr>
        <w:t>图</w:t>
      </w:r>
      <w:r>
        <w:rPr>
          <w:rFonts w:hint="eastAsia"/>
          <w:b/>
          <w:color w:val="000000"/>
          <w:sz w:val="24"/>
        </w:rPr>
        <w:t>8</w:t>
      </w:r>
      <w:r>
        <w:rPr>
          <w:b/>
          <w:color w:val="000000"/>
          <w:sz w:val="24"/>
        </w:rPr>
        <w:t>-1  尾矿库环境风险等级划分指标体系</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（2）尾矿库环境危害性评估情况</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采用评分方法，对类型、性质和规模三方面指标进行评分（各指标评分方法详见附录B）与累加求和，评估尾矿库环境危害性（H）。</w:t>
      </w:r>
    </w:p>
    <w:p>
      <w:pPr>
        <w:jc w:val="center"/>
        <w:rPr>
          <w:rFonts w:ascii="Times New Roman" w:hAnsi="Times New Roman"/>
          <w:b/>
          <w:bCs/>
          <w:sz w:val="24"/>
          <w:szCs w:val="24"/>
        </w:rPr>
      </w:pPr>
      <w:r>
        <w:rPr>
          <w:rFonts w:ascii="Times New Roman" w:hAnsi="Times New Roman"/>
          <w:b/>
          <w:bCs/>
          <w:sz w:val="24"/>
          <w:szCs w:val="24"/>
        </w:rPr>
        <w:t>表</w:t>
      </w:r>
      <w:r>
        <w:rPr>
          <w:rFonts w:hint="eastAsia" w:ascii="Times New Roman" w:hAnsi="Times New Roman"/>
          <w:b/>
          <w:bCs/>
          <w:sz w:val="24"/>
          <w:szCs w:val="24"/>
        </w:rPr>
        <w:t>8-1</w:t>
      </w:r>
      <w:r>
        <w:rPr>
          <w:rFonts w:ascii="Times New Roman" w:hAnsi="Times New Roman"/>
          <w:b/>
          <w:bCs/>
          <w:sz w:val="24"/>
          <w:szCs w:val="24"/>
        </w:rPr>
        <w:t xml:space="preserve"> 尾矿库环境危害性（H）等别划分指标体系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6"/>
        <w:gridCol w:w="1066"/>
        <w:gridCol w:w="1066"/>
        <w:gridCol w:w="1067"/>
        <w:gridCol w:w="1067"/>
        <w:gridCol w:w="1067"/>
        <w:gridCol w:w="1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序号</w:t>
            </w:r>
          </w:p>
        </w:tc>
        <w:tc>
          <w:tcPr>
            <w:tcW w:w="5332" w:type="dxa"/>
            <w:gridSpan w:val="5"/>
            <w:vAlign w:val="center"/>
          </w:tcPr>
          <w:p>
            <w:pPr>
              <w:jc w:val="center"/>
              <w:rPr>
                <w:rFonts w:ascii="Times New Roman" w:hAnsi="Times New Roman"/>
                <w:szCs w:val="21"/>
              </w:rPr>
            </w:pPr>
            <w:r>
              <w:rPr>
                <w:rFonts w:hint="eastAsia" w:ascii="Times New Roman" w:hAnsi="Times New Roman"/>
                <w:szCs w:val="21"/>
              </w:rPr>
              <w:t>指标项目</w:t>
            </w:r>
          </w:p>
        </w:tc>
        <w:tc>
          <w:tcPr>
            <w:tcW w:w="1067" w:type="dxa"/>
            <w:vAlign w:val="center"/>
          </w:tcPr>
          <w:p>
            <w:pPr>
              <w:jc w:val="center"/>
              <w:rPr>
                <w:rFonts w:ascii="Times New Roman" w:hAnsi="Times New Roman"/>
                <w:szCs w:val="21"/>
              </w:rPr>
            </w:pPr>
            <w:r>
              <w:rPr>
                <w:rFonts w:hint="eastAsia" w:ascii="Times New Roman" w:hAnsi="Times New Roman"/>
                <w:szCs w:val="21"/>
              </w:rPr>
              <w:t>指标分值</w:t>
            </w:r>
          </w:p>
        </w:tc>
        <w:tc>
          <w:tcPr>
            <w:tcW w:w="1067" w:type="dxa"/>
            <w:vAlign w:val="center"/>
          </w:tcPr>
          <w:p>
            <w:pPr>
              <w:jc w:val="center"/>
              <w:rPr>
                <w:rFonts w:ascii="Times New Roman" w:hAnsi="Times New Roman"/>
                <w:szCs w:val="21"/>
              </w:rPr>
            </w:pPr>
            <w:r>
              <w:rPr>
                <w:rFonts w:hint="eastAsia" w:ascii="Times New Roman" w:hAnsi="Times New Roman"/>
                <w:szCs w:val="21"/>
              </w:rPr>
              <w:t>本项目</w:t>
            </w:r>
          </w:p>
          <w:p>
            <w:pPr>
              <w:jc w:val="center"/>
              <w:rPr>
                <w:rFonts w:ascii="Times New Roman" w:hAnsi="Times New Roman"/>
                <w:szCs w:val="21"/>
              </w:rPr>
            </w:pPr>
            <w:r>
              <w:rPr>
                <w:rFonts w:hint="eastAsia" w:ascii="Times New Roman" w:hAnsi="Times New Roman"/>
                <w:szCs w:val="21"/>
              </w:rPr>
              <w:t>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1</w:t>
            </w:r>
          </w:p>
        </w:tc>
        <w:tc>
          <w:tcPr>
            <w:tcW w:w="1066" w:type="dxa"/>
            <w:vMerge w:val="restart"/>
            <w:vAlign w:val="center"/>
          </w:tcPr>
          <w:p>
            <w:pPr>
              <w:jc w:val="center"/>
              <w:rPr>
                <w:rFonts w:ascii="Times New Roman" w:hAnsi="Times New Roman"/>
                <w:szCs w:val="21"/>
              </w:rPr>
            </w:pPr>
          </w:p>
          <w:p>
            <w:pPr>
              <w:jc w:val="center"/>
              <w:rPr>
                <w:rFonts w:ascii="Times New Roman" w:hAnsi="Times New Roman"/>
                <w:szCs w:val="21"/>
              </w:rPr>
            </w:pPr>
            <w:r>
              <w:rPr>
                <w:rFonts w:hint="eastAsia" w:ascii="Times New Roman" w:hAnsi="Times New Roman"/>
                <w:szCs w:val="21"/>
              </w:rPr>
              <w:t>尾矿库环境危害性</w:t>
            </w:r>
          </w:p>
        </w:tc>
        <w:tc>
          <w:tcPr>
            <w:tcW w:w="1066" w:type="dxa"/>
            <w:vAlign w:val="center"/>
          </w:tcPr>
          <w:p>
            <w:pPr>
              <w:jc w:val="center"/>
              <w:rPr>
                <w:rFonts w:ascii="Times New Roman" w:hAnsi="Times New Roman"/>
                <w:szCs w:val="21"/>
              </w:rPr>
            </w:pPr>
            <w:r>
              <w:rPr>
                <w:rFonts w:hint="eastAsia" w:ascii="Times New Roman" w:hAnsi="Times New Roman"/>
                <w:szCs w:val="21"/>
              </w:rPr>
              <w:t>类型</w:t>
            </w:r>
          </w:p>
        </w:tc>
        <w:tc>
          <w:tcPr>
            <w:tcW w:w="3200" w:type="dxa"/>
            <w:gridSpan w:val="3"/>
            <w:vAlign w:val="center"/>
          </w:tcPr>
          <w:p>
            <w:pPr>
              <w:jc w:val="center"/>
              <w:rPr>
                <w:rFonts w:ascii="Times New Roman" w:hAnsi="Times New Roman"/>
                <w:szCs w:val="21"/>
              </w:rPr>
            </w:pPr>
            <w:r>
              <w:rPr>
                <w:rFonts w:hint="eastAsia" w:ascii="Times New Roman" w:hAnsi="Times New Roman"/>
                <w:szCs w:val="21"/>
              </w:rPr>
              <w:t>矿种类型/固体废物类型/尾矿（或尾矿水）成分类型</w:t>
            </w:r>
          </w:p>
        </w:tc>
        <w:tc>
          <w:tcPr>
            <w:tcW w:w="1067" w:type="dxa"/>
            <w:vAlign w:val="center"/>
          </w:tcPr>
          <w:p>
            <w:pPr>
              <w:jc w:val="center"/>
              <w:rPr>
                <w:rFonts w:ascii="Times New Roman" w:hAnsi="Times New Roman"/>
                <w:szCs w:val="21"/>
              </w:rPr>
            </w:pPr>
            <w:r>
              <w:rPr>
                <w:rFonts w:hint="eastAsia" w:ascii="Times New Roman" w:hAnsi="Times New Roman"/>
                <w:szCs w:val="21"/>
              </w:rPr>
              <w:t>48</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2</w:t>
            </w:r>
          </w:p>
        </w:tc>
        <w:tc>
          <w:tcPr>
            <w:tcW w:w="1066" w:type="dxa"/>
            <w:vMerge w:val="continue"/>
            <w:vAlign w:val="center"/>
          </w:tcPr>
          <w:p>
            <w:pPr>
              <w:jc w:val="center"/>
              <w:rPr>
                <w:rFonts w:ascii="Times New Roman" w:hAnsi="Times New Roman"/>
                <w:szCs w:val="21"/>
              </w:rPr>
            </w:pPr>
          </w:p>
        </w:tc>
        <w:tc>
          <w:tcPr>
            <w:tcW w:w="1066" w:type="dxa"/>
            <w:vMerge w:val="restart"/>
            <w:vAlign w:val="center"/>
          </w:tcPr>
          <w:p>
            <w:pPr>
              <w:jc w:val="center"/>
              <w:rPr>
                <w:rFonts w:ascii="Times New Roman" w:hAnsi="Times New Roman"/>
                <w:szCs w:val="21"/>
              </w:rPr>
            </w:pPr>
            <w:r>
              <w:rPr>
                <w:rFonts w:hint="eastAsia" w:ascii="Times New Roman" w:hAnsi="Times New Roman"/>
                <w:szCs w:val="21"/>
              </w:rPr>
              <w:t>性质</w:t>
            </w:r>
          </w:p>
        </w:tc>
        <w:tc>
          <w:tcPr>
            <w:tcW w:w="1066" w:type="dxa"/>
            <w:vMerge w:val="restart"/>
            <w:vAlign w:val="center"/>
          </w:tcPr>
          <w:p>
            <w:pPr>
              <w:jc w:val="center"/>
              <w:rPr>
                <w:rFonts w:ascii="Times New Roman" w:hAnsi="Times New Roman"/>
                <w:szCs w:val="21"/>
              </w:rPr>
            </w:pPr>
            <w:r>
              <w:rPr>
                <w:rFonts w:hint="eastAsia" w:ascii="Times New Roman" w:hAnsi="Times New Roman"/>
                <w:szCs w:val="21"/>
              </w:rPr>
              <w:t>特征污染物指标浓度情况</w:t>
            </w:r>
          </w:p>
        </w:tc>
        <w:tc>
          <w:tcPr>
            <w:tcW w:w="1067" w:type="dxa"/>
            <w:vMerge w:val="restart"/>
            <w:vAlign w:val="center"/>
          </w:tcPr>
          <w:p>
            <w:pPr>
              <w:jc w:val="center"/>
              <w:rPr>
                <w:rFonts w:ascii="Times New Roman" w:hAnsi="Times New Roman"/>
                <w:szCs w:val="21"/>
              </w:rPr>
            </w:pPr>
            <w:r>
              <w:rPr>
                <w:rFonts w:hint="eastAsia" w:ascii="Times New Roman" w:hAnsi="Times New Roman"/>
                <w:szCs w:val="21"/>
              </w:rPr>
              <w:t>浓度倍数情况</w:t>
            </w:r>
          </w:p>
        </w:tc>
        <w:tc>
          <w:tcPr>
            <w:tcW w:w="1067" w:type="dxa"/>
            <w:vAlign w:val="center"/>
          </w:tcPr>
          <w:p>
            <w:pPr>
              <w:jc w:val="center"/>
              <w:rPr>
                <w:rFonts w:ascii="Times New Roman" w:hAnsi="Times New Roman"/>
                <w:szCs w:val="21"/>
              </w:rPr>
            </w:pPr>
            <w:r>
              <w:rPr>
                <w:rFonts w:hint="eastAsia" w:ascii="Times New Roman" w:hAnsi="Times New Roman"/>
                <w:szCs w:val="21"/>
              </w:rPr>
              <w:t>pH值</w:t>
            </w:r>
          </w:p>
        </w:tc>
        <w:tc>
          <w:tcPr>
            <w:tcW w:w="1067" w:type="dxa"/>
            <w:vAlign w:val="center"/>
          </w:tcPr>
          <w:p>
            <w:pPr>
              <w:jc w:val="center"/>
              <w:rPr>
                <w:rFonts w:ascii="Times New Roman" w:hAnsi="Times New Roman"/>
                <w:szCs w:val="21"/>
              </w:rPr>
            </w:pPr>
            <w:r>
              <w:rPr>
                <w:rFonts w:hint="eastAsia" w:ascii="Times New Roman" w:hAnsi="Times New Roman"/>
                <w:szCs w:val="21"/>
              </w:rPr>
              <w:t>8</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3</w:t>
            </w:r>
          </w:p>
        </w:tc>
        <w:tc>
          <w:tcPr>
            <w:tcW w:w="1066" w:type="dxa"/>
            <w:vMerge w:val="continue"/>
            <w:vAlign w:val="center"/>
          </w:tcPr>
          <w:p>
            <w:pPr>
              <w:jc w:val="center"/>
              <w:rPr>
                <w:rFonts w:ascii="Times New Roman" w:hAnsi="Times New Roman"/>
                <w:szCs w:val="21"/>
              </w:rPr>
            </w:pPr>
          </w:p>
        </w:tc>
        <w:tc>
          <w:tcPr>
            <w:tcW w:w="1066" w:type="dxa"/>
            <w:vMerge w:val="continue"/>
            <w:vAlign w:val="center"/>
          </w:tcPr>
          <w:p>
            <w:pPr>
              <w:jc w:val="center"/>
              <w:rPr>
                <w:rFonts w:ascii="Times New Roman" w:hAnsi="Times New Roman"/>
                <w:szCs w:val="21"/>
              </w:rPr>
            </w:pPr>
          </w:p>
        </w:tc>
        <w:tc>
          <w:tcPr>
            <w:tcW w:w="1066" w:type="dxa"/>
            <w:vMerge w:val="continue"/>
            <w:vAlign w:val="center"/>
          </w:tcPr>
          <w:p>
            <w:pPr>
              <w:jc w:val="center"/>
              <w:rPr>
                <w:rFonts w:ascii="Times New Roman" w:hAnsi="Times New Roman"/>
                <w:szCs w:val="21"/>
              </w:rPr>
            </w:pPr>
          </w:p>
        </w:tc>
        <w:tc>
          <w:tcPr>
            <w:tcW w:w="1067" w:type="dxa"/>
            <w:vMerge w:val="continue"/>
            <w:vAlign w:val="center"/>
          </w:tcPr>
          <w:p>
            <w:pPr>
              <w:jc w:val="center"/>
              <w:rPr>
                <w:rFonts w:ascii="Times New Roman" w:hAnsi="Times New Roman"/>
                <w:szCs w:val="21"/>
              </w:rPr>
            </w:pPr>
          </w:p>
        </w:tc>
        <w:tc>
          <w:tcPr>
            <w:tcW w:w="1067" w:type="dxa"/>
            <w:vAlign w:val="center"/>
          </w:tcPr>
          <w:p>
            <w:pPr>
              <w:jc w:val="center"/>
              <w:rPr>
                <w:rFonts w:ascii="Times New Roman" w:hAnsi="Times New Roman"/>
                <w:szCs w:val="21"/>
              </w:rPr>
            </w:pPr>
            <w:r>
              <w:rPr>
                <w:rFonts w:hint="eastAsia" w:ascii="Times New Roman" w:hAnsi="Times New Roman"/>
                <w:szCs w:val="21"/>
              </w:rPr>
              <w:t>指标最高浓度倍数</w:t>
            </w:r>
          </w:p>
        </w:tc>
        <w:tc>
          <w:tcPr>
            <w:tcW w:w="1067" w:type="dxa"/>
            <w:vAlign w:val="center"/>
          </w:tcPr>
          <w:p>
            <w:pPr>
              <w:jc w:val="center"/>
              <w:rPr>
                <w:rFonts w:ascii="Times New Roman" w:hAnsi="Times New Roman"/>
                <w:szCs w:val="21"/>
              </w:rPr>
            </w:pPr>
            <w:r>
              <w:rPr>
                <w:rFonts w:hint="eastAsia" w:ascii="Times New Roman" w:hAnsi="Times New Roman"/>
                <w:szCs w:val="21"/>
              </w:rPr>
              <w:t>14</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4</w:t>
            </w:r>
          </w:p>
        </w:tc>
        <w:tc>
          <w:tcPr>
            <w:tcW w:w="1066" w:type="dxa"/>
            <w:vMerge w:val="continue"/>
            <w:vAlign w:val="center"/>
          </w:tcPr>
          <w:p>
            <w:pPr>
              <w:jc w:val="center"/>
              <w:rPr>
                <w:rFonts w:ascii="Times New Roman" w:hAnsi="Times New Roman"/>
                <w:szCs w:val="21"/>
              </w:rPr>
            </w:pPr>
          </w:p>
        </w:tc>
        <w:tc>
          <w:tcPr>
            <w:tcW w:w="1066" w:type="dxa"/>
            <w:vMerge w:val="continue"/>
            <w:vAlign w:val="center"/>
          </w:tcPr>
          <w:p>
            <w:pPr>
              <w:jc w:val="center"/>
              <w:rPr>
                <w:rFonts w:ascii="Times New Roman" w:hAnsi="Times New Roman"/>
                <w:szCs w:val="21"/>
              </w:rPr>
            </w:pPr>
          </w:p>
        </w:tc>
        <w:tc>
          <w:tcPr>
            <w:tcW w:w="1066" w:type="dxa"/>
            <w:vMerge w:val="continue"/>
            <w:vAlign w:val="center"/>
          </w:tcPr>
          <w:p>
            <w:pPr>
              <w:jc w:val="center"/>
              <w:rPr>
                <w:rFonts w:ascii="Times New Roman" w:hAnsi="Times New Roman"/>
                <w:szCs w:val="21"/>
              </w:rPr>
            </w:pPr>
          </w:p>
        </w:tc>
        <w:tc>
          <w:tcPr>
            <w:tcW w:w="2134" w:type="dxa"/>
            <w:gridSpan w:val="2"/>
            <w:vAlign w:val="center"/>
          </w:tcPr>
          <w:p>
            <w:pPr>
              <w:jc w:val="center"/>
              <w:rPr>
                <w:rFonts w:ascii="Times New Roman" w:hAnsi="Times New Roman"/>
                <w:szCs w:val="21"/>
              </w:rPr>
            </w:pPr>
            <w:r>
              <w:rPr>
                <w:rFonts w:hint="eastAsia" w:ascii="Times New Roman" w:hAnsi="Times New Roman"/>
                <w:szCs w:val="21"/>
              </w:rPr>
              <w:t>浓度倍数3倍及以上指标项数</w:t>
            </w:r>
          </w:p>
        </w:tc>
        <w:tc>
          <w:tcPr>
            <w:tcW w:w="1067" w:type="dxa"/>
            <w:vAlign w:val="center"/>
          </w:tcPr>
          <w:p>
            <w:pPr>
              <w:jc w:val="center"/>
              <w:rPr>
                <w:rFonts w:ascii="Times New Roman" w:hAnsi="Times New Roman"/>
                <w:szCs w:val="21"/>
              </w:rPr>
            </w:pPr>
            <w:r>
              <w:rPr>
                <w:rFonts w:hint="eastAsia" w:ascii="Times New Roman" w:hAnsi="Times New Roman"/>
                <w:szCs w:val="21"/>
              </w:rPr>
              <w:t>6</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pPr>
              <w:jc w:val="center"/>
              <w:rPr>
                <w:rFonts w:ascii="Times New Roman" w:hAnsi="Times New Roman"/>
                <w:szCs w:val="21"/>
              </w:rPr>
            </w:pPr>
            <w:r>
              <w:rPr>
                <w:rFonts w:hint="eastAsia" w:ascii="Times New Roman" w:hAnsi="Times New Roman"/>
                <w:szCs w:val="21"/>
              </w:rPr>
              <w:t>5</w:t>
            </w:r>
          </w:p>
        </w:tc>
        <w:tc>
          <w:tcPr>
            <w:tcW w:w="1066" w:type="dxa"/>
            <w:vMerge w:val="continue"/>
            <w:vAlign w:val="center"/>
          </w:tcPr>
          <w:p>
            <w:pPr>
              <w:jc w:val="center"/>
              <w:rPr>
                <w:rFonts w:ascii="Times New Roman" w:hAnsi="Times New Roman"/>
                <w:szCs w:val="21"/>
              </w:rPr>
            </w:pPr>
          </w:p>
        </w:tc>
        <w:tc>
          <w:tcPr>
            <w:tcW w:w="1066" w:type="dxa"/>
            <w:vAlign w:val="center"/>
          </w:tcPr>
          <w:p>
            <w:pPr>
              <w:jc w:val="center"/>
              <w:rPr>
                <w:rFonts w:ascii="Times New Roman" w:hAnsi="Times New Roman"/>
                <w:szCs w:val="21"/>
              </w:rPr>
            </w:pPr>
            <w:r>
              <w:rPr>
                <w:rFonts w:hint="eastAsia" w:ascii="Times New Roman" w:hAnsi="Times New Roman"/>
                <w:szCs w:val="21"/>
              </w:rPr>
              <w:t>规模</w:t>
            </w:r>
          </w:p>
        </w:tc>
        <w:tc>
          <w:tcPr>
            <w:tcW w:w="3200" w:type="dxa"/>
            <w:gridSpan w:val="3"/>
            <w:vAlign w:val="center"/>
          </w:tcPr>
          <w:p>
            <w:pPr>
              <w:jc w:val="center"/>
              <w:rPr>
                <w:rFonts w:ascii="Times New Roman" w:hAnsi="Times New Roman"/>
                <w:szCs w:val="21"/>
              </w:rPr>
            </w:pPr>
            <w:r>
              <w:rPr>
                <w:rFonts w:hint="eastAsia" w:ascii="Times New Roman" w:hAnsi="Times New Roman"/>
                <w:szCs w:val="21"/>
              </w:rPr>
              <w:t>现状库容</w:t>
            </w:r>
          </w:p>
        </w:tc>
        <w:tc>
          <w:tcPr>
            <w:tcW w:w="1067" w:type="dxa"/>
            <w:vAlign w:val="center"/>
          </w:tcPr>
          <w:p>
            <w:pPr>
              <w:jc w:val="center"/>
              <w:rPr>
                <w:rFonts w:ascii="Times New Roman" w:hAnsi="Times New Roman"/>
                <w:szCs w:val="21"/>
              </w:rPr>
            </w:pPr>
            <w:r>
              <w:rPr>
                <w:rFonts w:hint="eastAsia" w:ascii="Times New Roman" w:hAnsi="Times New Roman"/>
                <w:szCs w:val="21"/>
              </w:rPr>
              <w:t>24</w:t>
            </w:r>
          </w:p>
        </w:tc>
        <w:tc>
          <w:tcPr>
            <w:tcW w:w="1067" w:type="dxa"/>
            <w:vAlign w:val="center"/>
          </w:tcPr>
          <w:p>
            <w:pPr>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65" w:type="dxa"/>
            <w:gridSpan w:val="7"/>
            <w:vAlign w:val="center"/>
          </w:tcPr>
          <w:p>
            <w:pPr>
              <w:jc w:val="center"/>
              <w:rPr>
                <w:rFonts w:ascii="Times New Roman" w:hAnsi="Times New Roman"/>
                <w:b/>
                <w:bCs/>
                <w:szCs w:val="21"/>
              </w:rPr>
            </w:pPr>
            <w:r>
              <w:rPr>
                <w:rFonts w:hint="eastAsia" w:ascii="Times New Roman" w:hAnsi="Times New Roman"/>
                <w:b/>
                <w:bCs/>
                <w:szCs w:val="21"/>
              </w:rPr>
              <w:t>本项目尾矿库环境危害性（H）</w:t>
            </w:r>
          </w:p>
        </w:tc>
        <w:tc>
          <w:tcPr>
            <w:tcW w:w="1067" w:type="dxa"/>
            <w:vAlign w:val="center"/>
          </w:tcPr>
          <w:p>
            <w:pPr>
              <w:jc w:val="center"/>
              <w:rPr>
                <w:rFonts w:ascii="Times New Roman" w:hAnsi="Times New Roman"/>
                <w:b/>
                <w:bCs/>
                <w:szCs w:val="21"/>
              </w:rPr>
            </w:pPr>
            <w:r>
              <w:rPr>
                <w:rFonts w:hint="eastAsia" w:ascii="Times New Roman" w:hAnsi="Times New Roman"/>
                <w:b/>
                <w:bCs/>
                <w:szCs w:val="21"/>
              </w:rPr>
              <w:t>0</w:t>
            </w:r>
          </w:p>
        </w:tc>
      </w:tr>
    </w:tbl>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依据尾矿库环境危害性等别划分表，将环境危害性（H）划分为H1、H2、H3三个等别。本项目尾矿库环境危害性等别为H3。</w:t>
      </w:r>
    </w:p>
    <w:p>
      <w:pPr>
        <w:ind w:firstLine="482" w:firstLineChars="200"/>
        <w:jc w:val="center"/>
        <w:rPr>
          <w:rFonts w:ascii="Times New Roman" w:hAnsi="Times New Roman"/>
          <w:b/>
          <w:bCs/>
          <w:color w:val="000000"/>
          <w:sz w:val="24"/>
        </w:rPr>
      </w:pPr>
      <w:r>
        <w:rPr>
          <w:rFonts w:hint="eastAsia" w:ascii="Times New Roman" w:hAnsi="Times New Roman"/>
          <w:b/>
          <w:bCs/>
          <w:color w:val="000000"/>
          <w:sz w:val="24"/>
        </w:rPr>
        <w:t>表8-2 尾矿库环境危害性（H）等别划分表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4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尾矿库环境危害性得分（D</w:t>
            </w:r>
            <w:r>
              <w:rPr>
                <w:rFonts w:hint="eastAsia" w:ascii="Times New Roman" w:hAnsi="Times New Roman"/>
                <w:color w:val="000000"/>
                <w:szCs w:val="21"/>
                <w:vertAlign w:val="subscript"/>
              </w:rPr>
              <w:t>H</w:t>
            </w:r>
            <w:r>
              <w:rPr>
                <w:rFonts w:hint="eastAsia" w:ascii="Times New Roman" w:hAnsi="Times New Roman"/>
                <w:color w:val="000000"/>
                <w:szCs w:val="21"/>
              </w:rPr>
              <w:t>）</w:t>
            </w:r>
          </w:p>
        </w:tc>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尾矿库环境危害性等别代码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vertAlign w:val="subscript"/>
              </w:rPr>
              <w:t>H</w:t>
            </w:r>
            <w:r>
              <w:rPr>
                <w:rFonts w:hint="eastAsia" w:ascii="Times New Roman" w:hAnsi="Times New Roman"/>
                <w:color w:val="000000"/>
                <w:szCs w:val="21"/>
              </w:rPr>
              <w:t>＞60</w:t>
            </w:r>
          </w:p>
        </w:tc>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H1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30＜D</w:t>
            </w:r>
            <w:r>
              <w:rPr>
                <w:rFonts w:hint="eastAsia" w:ascii="Times New Roman" w:hAnsi="Times New Roman"/>
                <w:color w:val="000000"/>
                <w:szCs w:val="21"/>
                <w:vertAlign w:val="subscript"/>
              </w:rPr>
              <w:t>H</w:t>
            </w:r>
            <w:r>
              <w:rPr>
                <w:rFonts w:hint="eastAsia" w:ascii="Times New Roman" w:hAnsi="Times New Roman"/>
                <w:color w:val="000000"/>
                <w:szCs w:val="21"/>
              </w:rPr>
              <w:t>≤60</w:t>
            </w:r>
          </w:p>
        </w:tc>
        <w:tc>
          <w:tcPr>
            <w:tcW w:w="4290" w:type="dxa"/>
            <w:vAlign w:val="center"/>
          </w:tcPr>
          <w:p>
            <w:pPr>
              <w:jc w:val="center"/>
              <w:rPr>
                <w:rFonts w:ascii="Times New Roman" w:hAnsi="Times New Roman"/>
                <w:color w:val="000000"/>
                <w:szCs w:val="21"/>
              </w:rPr>
            </w:pPr>
            <w:r>
              <w:rPr>
                <w:rFonts w:hint="eastAsia" w:ascii="Times New Roman" w:hAnsi="Times New Roman"/>
                <w:color w:val="000000"/>
                <w:szCs w:val="21"/>
              </w:rPr>
              <w:t>H2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290"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D</w:t>
            </w:r>
            <w:r>
              <w:rPr>
                <w:rFonts w:hint="eastAsia" w:ascii="Times New Roman" w:hAnsi="Times New Roman"/>
                <w:b/>
                <w:bCs/>
                <w:color w:val="000000"/>
                <w:szCs w:val="21"/>
                <w:vertAlign w:val="subscript"/>
              </w:rPr>
              <w:t>H</w:t>
            </w:r>
            <w:r>
              <w:rPr>
                <w:rFonts w:hint="eastAsia" w:ascii="Times New Roman" w:hAnsi="Times New Roman"/>
                <w:b/>
                <w:bCs/>
                <w:color w:val="000000"/>
                <w:szCs w:val="21"/>
              </w:rPr>
              <w:t>≤30</w:t>
            </w:r>
          </w:p>
        </w:tc>
        <w:tc>
          <w:tcPr>
            <w:tcW w:w="4290"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H3</w:t>
            </w:r>
          </w:p>
        </w:tc>
      </w:tr>
    </w:tbl>
    <w:p>
      <w:pPr>
        <w:spacing w:beforeLines="50" w:line="360" w:lineRule="auto"/>
        <w:ind w:firstLine="480" w:firstLineChars="200"/>
        <w:rPr>
          <w:rFonts w:ascii="Times New Roman" w:hAnsi="Times New Roman"/>
          <w:color w:val="000000"/>
          <w:sz w:val="24"/>
        </w:rPr>
      </w:pPr>
      <w:r>
        <w:rPr>
          <w:rFonts w:hint="eastAsia" w:ascii="Times New Roman" w:hAnsi="Times New Roman"/>
          <w:color w:val="000000"/>
          <w:sz w:val="24"/>
        </w:rPr>
        <w:t>（3）尾矿库周边环境敏感性评估情况</w:t>
      </w:r>
    </w:p>
    <w:p>
      <w:pPr>
        <w:spacing w:line="360" w:lineRule="auto"/>
        <w:ind w:firstLine="480" w:firstLineChars="200"/>
        <w:rPr>
          <w:rFonts w:ascii="Times New Roman" w:hAnsi="Times New Roman"/>
          <w:b/>
          <w:bCs/>
          <w:color w:val="000000"/>
          <w:sz w:val="24"/>
          <w:szCs w:val="24"/>
        </w:rPr>
      </w:pPr>
      <w:r>
        <w:rPr>
          <w:rFonts w:hint="eastAsia" w:ascii="Times New Roman" w:hAnsi="Times New Roman"/>
          <w:color w:val="000000"/>
          <w:sz w:val="24"/>
        </w:rPr>
        <w:t>采用评分方法，对尾矿库下游涉及的跨界情况、周边环境风险受体情况、周边环境功能类别情况三方面指标进行评分（各指标评分方法详见附录C）与累加求和，评估尾矿库周边环境敏感性（S）。</w:t>
      </w:r>
    </w:p>
    <w:p>
      <w:pPr>
        <w:ind w:firstLine="482" w:firstLineChars="200"/>
        <w:jc w:val="center"/>
        <w:rPr>
          <w:rFonts w:ascii="Times New Roman" w:hAnsi="Times New Roman"/>
          <w:b/>
          <w:bCs/>
          <w:color w:val="000000"/>
          <w:sz w:val="24"/>
        </w:rPr>
      </w:pPr>
      <w:r>
        <w:rPr>
          <w:rFonts w:hint="eastAsia" w:ascii="Times New Roman" w:hAnsi="Times New Roman"/>
          <w:b/>
          <w:bCs/>
          <w:color w:val="000000"/>
          <w:sz w:val="24"/>
        </w:rPr>
        <w:t>表8-3  尾矿库周边环境敏感性（S）等别划分指标体系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6"/>
        <w:gridCol w:w="1065"/>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序号</w:t>
            </w:r>
          </w:p>
        </w:tc>
        <w:tc>
          <w:tcPr>
            <w:tcW w:w="5326" w:type="dxa"/>
            <w:gridSpan w:val="5"/>
            <w:vAlign w:val="center"/>
          </w:tcPr>
          <w:p>
            <w:pPr>
              <w:jc w:val="center"/>
              <w:rPr>
                <w:rFonts w:ascii="Times New Roman" w:hAnsi="Times New Roman"/>
                <w:color w:val="000000"/>
                <w:szCs w:val="21"/>
              </w:rPr>
            </w:pPr>
            <w:r>
              <w:rPr>
                <w:rFonts w:hint="eastAsia" w:ascii="Times New Roman" w:hAnsi="Times New Roman"/>
                <w:color w:val="000000"/>
                <w:szCs w:val="21"/>
              </w:rPr>
              <w:t>指标项目</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指标分值</w:t>
            </w:r>
          </w:p>
        </w:tc>
        <w:tc>
          <w:tcPr>
            <w:tcW w:w="1066" w:type="dxa"/>
            <w:vAlign w:val="center"/>
          </w:tcPr>
          <w:p>
            <w:pPr>
              <w:jc w:val="center"/>
              <w:rPr>
                <w:rFonts w:ascii="Times New Roman" w:hAnsi="Times New Roman"/>
                <w:szCs w:val="21"/>
              </w:rPr>
            </w:pPr>
            <w:r>
              <w:rPr>
                <w:rFonts w:hint="eastAsia" w:ascii="Times New Roman" w:hAnsi="Times New Roman"/>
                <w:szCs w:val="21"/>
              </w:rPr>
              <w:t>本项目</w:t>
            </w:r>
          </w:p>
          <w:p>
            <w:pPr>
              <w:jc w:val="center"/>
              <w:rPr>
                <w:rFonts w:ascii="Times New Roman" w:hAnsi="Times New Roman"/>
                <w:color w:val="000000"/>
                <w:szCs w:val="21"/>
              </w:rPr>
            </w:pPr>
            <w:r>
              <w:rPr>
                <w:rFonts w:hint="eastAsia" w:ascii="Times New Roman" w:hAnsi="Times New Roman"/>
                <w:szCs w:val="21"/>
              </w:rPr>
              <w:t>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5" w:type="dxa"/>
            <w:vMerge w:val="restart"/>
            <w:vAlign w:val="center"/>
          </w:tcPr>
          <w:p>
            <w:pPr>
              <w:jc w:val="center"/>
              <w:rPr>
                <w:rFonts w:ascii="Times New Roman" w:hAnsi="Times New Roman"/>
                <w:color w:val="000000"/>
                <w:szCs w:val="21"/>
              </w:rPr>
            </w:pPr>
          </w:p>
          <w:p>
            <w:pPr>
              <w:jc w:val="center"/>
              <w:rPr>
                <w:rFonts w:ascii="Times New Roman" w:hAnsi="Times New Roman"/>
                <w:color w:val="000000"/>
                <w:szCs w:val="21"/>
              </w:rPr>
            </w:pPr>
            <w:r>
              <w:rPr>
                <w:rFonts w:hint="eastAsia" w:ascii="Times New Roman" w:hAnsi="Times New Roman"/>
                <w:color w:val="000000"/>
                <w:szCs w:val="21"/>
              </w:rPr>
              <w:t>尾矿库周边环境敏感性</w:t>
            </w:r>
          </w:p>
        </w:tc>
        <w:tc>
          <w:tcPr>
            <w:tcW w:w="1065"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下游涉及的跨界情况</w:t>
            </w:r>
          </w:p>
        </w:tc>
        <w:tc>
          <w:tcPr>
            <w:tcW w:w="319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涉及跨界类型</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18</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319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涉及跨界距离</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6</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5" w:type="dxa"/>
            <w:vMerge w:val="continue"/>
            <w:vAlign w:val="center"/>
          </w:tcPr>
          <w:p>
            <w:pPr>
              <w:jc w:val="center"/>
              <w:rPr>
                <w:rFonts w:ascii="Times New Roman" w:hAnsi="Times New Roman"/>
                <w:color w:val="000000"/>
                <w:szCs w:val="21"/>
              </w:rPr>
            </w:pPr>
          </w:p>
        </w:tc>
        <w:tc>
          <w:tcPr>
            <w:tcW w:w="4261" w:type="dxa"/>
            <w:gridSpan w:val="4"/>
            <w:vAlign w:val="center"/>
          </w:tcPr>
          <w:p>
            <w:pPr>
              <w:jc w:val="center"/>
              <w:rPr>
                <w:rFonts w:ascii="Times New Roman" w:hAnsi="Times New Roman"/>
                <w:color w:val="000000"/>
                <w:szCs w:val="21"/>
              </w:rPr>
            </w:pPr>
            <w:r>
              <w:rPr>
                <w:rFonts w:hint="eastAsia" w:ascii="Times New Roman" w:hAnsi="Times New Roman"/>
                <w:color w:val="000000"/>
                <w:szCs w:val="21"/>
              </w:rPr>
              <w:t>周边环境风险受体情况</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54</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4</w:t>
            </w:r>
          </w:p>
        </w:tc>
        <w:tc>
          <w:tcPr>
            <w:tcW w:w="1065" w:type="dxa"/>
            <w:vMerge w:val="continue"/>
            <w:vAlign w:val="center"/>
          </w:tcPr>
          <w:p>
            <w:pPr>
              <w:jc w:val="center"/>
              <w:rPr>
                <w:rFonts w:ascii="Times New Roman" w:hAnsi="Times New Roman"/>
                <w:color w:val="000000"/>
                <w:szCs w:val="21"/>
              </w:rPr>
            </w:pPr>
          </w:p>
        </w:tc>
        <w:tc>
          <w:tcPr>
            <w:tcW w:w="1065"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周边环境功能类别情况</w:t>
            </w:r>
          </w:p>
        </w:tc>
        <w:tc>
          <w:tcPr>
            <w:tcW w:w="1065"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水环境</w:t>
            </w:r>
          </w:p>
        </w:tc>
        <w:tc>
          <w:tcPr>
            <w:tcW w:w="1065"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下游水体</w:t>
            </w:r>
          </w:p>
        </w:tc>
        <w:tc>
          <w:tcPr>
            <w:tcW w:w="1066" w:type="dxa"/>
            <w:vAlign w:val="center"/>
          </w:tcPr>
          <w:p>
            <w:pPr>
              <w:rPr>
                <w:rFonts w:ascii="Times New Roman" w:hAnsi="Times New Roman"/>
                <w:color w:val="000000"/>
                <w:szCs w:val="21"/>
              </w:rPr>
            </w:pPr>
            <w:r>
              <w:rPr>
                <w:rFonts w:hint="eastAsia" w:ascii="宋体" w:hAnsi="宋体" w:cs="宋体"/>
                <w:color w:val="000000"/>
                <w:szCs w:val="21"/>
              </w:rPr>
              <w:t>Ο</w:t>
            </w:r>
            <w:r>
              <w:rPr>
                <w:rFonts w:hint="eastAsia" w:ascii="Times New Roman" w:hAnsi="Times New Roman"/>
                <w:color w:val="000000"/>
                <w:szCs w:val="21"/>
              </w:rPr>
              <w:t>地表水</w:t>
            </w:r>
          </w:p>
        </w:tc>
        <w:tc>
          <w:tcPr>
            <w:tcW w:w="1065"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9</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5</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66" w:type="dxa"/>
            <w:vAlign w:val="center"/>
          </w:tcPr>
          <w:p>
            <w:pPr>
              <w:rPr>
                <w:rFonts w:ascii="Times New Roman" w:hAnsi="Times New Roman"/>
                <w:color w:val="000000"/>
                <w:szCs w:val="21"/>
              </w:rPr>
            </w:pPr>
            <w:r>
              <w:rPr>
                <w:rFonts w:hint="eastAsia" w:ascii="宋体" w:hAnsi="宋体" w:cs="宋体"/>
                <w:color w:val="000000"/>
                <w:szCs w:val="21"/>
              </w:rPr>
              <w:t>Ο</w:t>
            </w:r>
            <w:r>
              <w:rPr>
                <w:rFonts w:hint="eastAsia" w:ascii="Times New Roman" w:hAnsi="Times New Roman"/>
                <w:color w:val="000000"/>
                <w:szCs w:val="21"/>
              </w:rPr>
              <w:t>海水</w:t>
            </w:r>
          </w:p>
        </w:tc>
        <w:tc>
          <w:tcPr>
            <w:tcW w:w="1065" w:type="dxa"/>
            <w:vMerge w:val="continue"/>
            <w:vAlign w:val="center"/>
          </w:tcPr>
          <w:p>
            <w:pPr>
              <w:jc w:val="center"/>
              <w:rPr>
                <w:rFonts w:ascii="Times New Roman" w:hAnsi="Times New Roman"/>
                <w:color w:val="000000"/>
                <w:szCs w:val="21"/>
              </w:rPr>
            </w:pP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6</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2131"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地下水</w:t>
            </w:r>
          </w:p>
        </w:tc>
        <w:tc>
          <w:tcPr>
            <w:tcW w:w="1065" w:type="dxa"/>
            <w:vMerge w:val="continue"/>
            <w:vAlign w:val="center"/>
          </w:tcPr>
          <w:p>
            <w:pPr>
              <w:jc w:val="center"/>
              <w:rPr>
                <w:rFonts w:ascii="Times New Roman" w:hAnsi="Times New Roman"/>
                <w:color w:val="000000"/>
                <w:szCs w:val="21"/>
              </w:rPr>
            </w:pP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7</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319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土壤环境</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4</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8</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3196"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大气环境</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56" w:type="dxa"/>
            <w:gridSpan w:val="7"/>
            <w:vAlign w:val="center"/>
          </w:tcPr>
          <w:p>
            <w:pPr>
              <w:jc w:val="center"/>
              <w:rPr>
                <w:rFonts w:ascii="Times New Roman" w:hAnsi="Times New Roman"/>
                <w:b/>
                <w:bCs/>
                <w:color w:val="000000"/>
                <w:szCs w:val="21"/>
              </w:rPr>
            </w:pPr>
            <w:r>
              <w:rPr>
                <w:rFonts w:hint="eastAsia" w:ascii="Times New Roman" w:hAnsi="Times New Roman"/>
                <w:b/>
                <w:bCs/>
                <w:color w:val="000000"/>
                <w:szCs w:val="21"/>
              </w:rPr>
              <w:t>本项目尾矿库周围环境敏感性（S）</w:t>
            </w:r>
          </w:p>
        </w:tc>
        <w:tc>
          <w:tcPr>
            <w:tcW w:w="1066"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32.5</w:t>
            </w:r>
          </w:p>
        </w:tc>
      </w:tr>
    </w:tbl>
    <w:p>
      <w:pPr>
        <w:tabs>
          <w:tab w:val="left" w:pos="598"/>
        </w:tabs>
        <w:spacing w:line="360" w:lineRule="auto"/>
        <w:ind w:firstLine="482" w:firstLineChars="200"/>
        <w:jc w:val="left"/>
        <w:rPr>
          <w:rFonts w:ascii="Times New Roman" w:hAnsi="Times New Roman"/>
          <w:color w:val="000000"/>
          <w:sz w:val="24"/>
        </w:rPr>
      </w:pPr>
      <w:r>
        <w:rPr>
          <w:rFonts w:hint="eastAsia" w:ascii="Times New Roman" w:hAnsi="Times New Roman"/>
          <w:b/>
          <w:bCs/>
          <w:color w:val="000000"/>
          <w:sz w:val="24"/>
        </w:rPr>
        <w:tab/>
      </w:r>
      <w:r>
        <w:rPr>
          <w:rFonts w:hint="eastAsia" w:ascii="Times New Roman" w:hAnsi="Times New Roman"/>
          <w:color w:val="000000"/>
          <w:sz w:val="24"/>
        </w:rPr>
        <w:t>依据尾矿库周边环境敏感性等别划分表，将周边环境敏感性（S）划分为S1、S2、S3三个等别。本项目尾矿库周边环境敏感性等别为S2。</w:t>
      </w:r>
    </w:p>
    <w:p>
      <w:pPr>
        <w:tabs>
          <w:tab w:val="left" w:pos="598"/>
        </w:tabs>
        <w:spacing w:line="360" w:lineRule="auto"/>
        <w:ind w:firstLine="482" w:firstLineChars="200"/>
        <w:jc w:val="center"/>
        <w:rPr>
          <w:rFonts w:ascii="Times New Roman" w:hAnsi="Times New Roman"/>
          <w:b/>
          <w:bCs/>
          <w:color w:val="000000"/>
          <w:sz w:val="24"/>
        </w:rPr>
      </w:pPr>
      <w:r>
        <w:rPr>
          <w:rFonts w:hint="eastAsia" w:ascii="Times New Roman" w:hAnsi="Times New Roman"/>
          <w:b/>
          <w:bCs/>
          <w:color w:val="000000"/>
          <w:sz w:val="24"/>
        </w:rPr>
        <w:t>表8-4 尾矿库周边环境敏感性（S）等别划分表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1"/>
        <w:gridCol w:w="4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top w:val="single" w:color="auto" w:sz="12" w:space="0"/>
              <w:left w:val="nil"/>
            </w:tcBorders>
            <w:vAlign w:val="center"/>
          </w:tcPr>
          <w:p>
            <w:pPr>
              <w:jc w:val="center"/>
              <w:rPr>
                <w:rFonts w:ascii="Times New Roman" w:hAnsi="Times New Roman"/>
                <w:color w:val="000000"/>
                <w:szCs w:val="21"/>
              </w:rPr>
            </w:pPr>
            <w:r>
              <w:rPr>
                <w:rFonts w:hint="eastAsia" w:ascii="Times New Roman" w:hAnsi="Times New Roman"/>
                <w:color w:val="000000"/>
                <w:szCs w:val="21"/>
              </w:rPr>
              <w:t>尾矿库周边环境敏感性得分（D</w:t>
            </w:r>
            <w:r>
              <w:rPr>
                <w:rFonts w:hint="eastAsia" w:ascii="Times New Roman" w:hAnsi="Times New Roman"/>
                <w:color w:val="000000"/>
                <w:szCs w:val="21"/>
                <w:vertAlign w:val="subscript"/>
              </w:rPr>
              <w:t>S</w:t>
            </w:r>
            <w:r>
              <w:rPr>
                <w:rFonts w:hint="eastAsia" w:ascii="Times New Roman" w:hAnsi="Times New Roman"/>
                <w:color w:val="000000"/>
                <w:szCs w:val="21"/>
              </w:rPr>
              <w:t>）</w:t>
            </w:r>
          </w:p>
        </w:tc>
        <w:tc>
          <w:tcPr>
            <w:tcW w:w="4561" w:type="dxa"/>
            <w:tcBorders>
              <w:top w:val="single" w:color="auto" w:sz="12" w:space="0"/>
              <w:right w:val="nil"/>
            </w:tcBorders>
            <w:vAlign w:val="center"/>
          </w:tcPr>
          <w:p>
            <w:pPr>
              <w:jc w:val="center"/>
              <w:rPr>
                <w:rFonts w:ascii="Times New Roman" w:hAnsi="Times New Roman"/>
                <w:color w:val="000000"/>
                <w:szCs w:val="21"/>
              </w:rPr>
            </w:pPr>
            <w:r>
              <w:rPr>
                <w:rFonts w:hint="eastAsia" w:ascii="Times New Roman" w:hAnsi="Times New Roman"/>
                <w:color w:val="000000"/>
                <w:szCs w:val="21"/>
              </w:rPr>
              <w:t>尾矿库周边环境敏感性（S）等别代码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tcBorders>
            <w:vAlign w:val="center"/>
          </w:tcPr>
          <w:p>
            <w:pPr>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vertAlign w:val="subscript"/>
              </w:rPr>
              <w:t>S</w:t>
            </w:r>
            <w:r>
              <w:rPr>
                <w:rFonts w:hint="eastAsia" w:ascii="Times New Roman" w:hAnsi="Times New Roman"/>
                <w:color w:val="000000"/>
                <w:szCs w:val="21"/>
              </w:rPr>
              <w:t>＞60</w:t>
            </w:r>
          </w:p>
        </w:tc>
        <w:tc>
          <w:tcPr>
            <w:tcW w:w="4561" w:type="dxa"/>
            <w:tcBorders>
              <w:right w:val="nil"/>
            </w:tcBorders>
            <w:vAlign w:val="center"/>
          </w:tcPr>
          <w:p>
            <w:pPr>
              <w:jc w:val="center"/>
              <w:rPr>
                <w:rFonts w:ascii="Times New Roman" w:hAnsi="Times New Roman"/>
                <w:color w:val="000000"/>
                <w:szCs w:val="21"/>
              </w:rPr>
            </w:pPr>
            <w:r>
              <w:rPr>
                <w:rFonts w:hint="eastAsia" w:ascii="Times New Roman" w:hAnsi="Times New Roman"/>
                <w:color w:val="000000"/>
                <w:szCs w:val="21"/>
              </w:rPr>
              <w:t>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tcBorders>
            <w:vAlign w:val="center"/>
          </w:tcPr>
          <w:p>
            <w:pPr>
              <w:jc w:val="center"/>
              <w:rPr>
                <w:rFonts w:ascii="Times New Roman" w:hAnsi="Times New Roman"/>
                <w:b/>
                <w:bCs/>
                <w:color w:val="000000"/>
                <w:szCs w:val="21"/>
              </w:rPr>
            </w:pPr>
            <w:r>
              <w:rPr>
                <w:rFonts w:hint="eastAsia" w:ascii="Times New Roman" w:hAnsi="Times New Roman"/>
                <w:b/>
                <w:bCs/>
                <w:color w:val="000000"/>
                <w:szCs w:val="21"/>
              </w:rPr>
              <w:t>30＜D</w:t>
            </w:r>
            <w:r>
              <w:rPr>
                <w:rFonts w:hint="eastAsia" w:ascii="Times New Roman" w:hAnsi="Times New Roman"/>
                <w:b/>
                <w:bCs/>
                <w:color w:val="000000"/>
                <w:szCs w:val="21"/>
                <w:vertAlign w:val="subscript"/>
              </w:rPr>
              <w:t>S</w:t>
            </w:r>
            <w:r>
              <w:rPr>
                <w:rFonts w:hint="eastAsia" w:ascii="Times New Roman" w:hAnsi="Times New Roman"/>
                <w:b/>
                <w:bCs/>
                <w:color w:val="000000"/>
                <w:szCs w:val="21"/>
              </w:rPr>
              <w:t>≤60</w:t>
            </w:r>
          </w:p>
        </w:tc>
        <w:tc>
          <w:tcPr>
            <w:tcW w:w="4561" w:type="dxa"/>
            <w:tcBorders>
              <w:right w:val="nil"/>
            </w:tcBorders>
            <w:vAlign w:val="center"/>
          </w:tcPr>
          <w:p>
            <w:pPr>
              <w:jc w:val="center"/>
              <w:rPr>
                <w:rFonts w:ascii="Times New Roman" w:hAnsi="Times New Roman"/>
                <w:b/>
                <w:bCs/>
                <w:color w:val="000000"/>
                <w:szCs w:val="21"/>
              </w:rPr>
            </w:pPr>
            <w:r>
              <w:rPr>
                <w:rFonts w:hint="eastAsia" w:ascii="Times New Roman" w:hAnsi="Times New Roman"/>
                <w:b/>
                <w:bCs/>
                <w:color w:val="000000"/>
                <w:szCs w:val="21"/>
              </w:rPr>
              <w:t>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bottom w:val="single" w:color="auto" w:sz="12" w:space="0"/>
            </w:tcBorders>
            <w:vAlign w:val="center"/>
          </w:tcPr>
          <w:p>
            <w:pPr>
              <w:jc w:val="center"/>
              <w:rPr>
                <w:rFonts w:ascii="Times New Roman" w:hAnsi="Times New Roman"/>
                <w:color w:val="000000"/>
                <w:szCs w:val="21"/>
              </w:rPr>
            </w:pPr>
            <w:r>
              <w:rPr>
                <w:rFonts w:hint="eastAsia" w:ascii="Times New Roman" w:hAnsi="Times New Roman"/>
                <w:color w:val="000000"/>
                <w:szCs w:val="21"/>
              </w:rPr>
              <w:t>D</w:t>
            </w:r>
            <w:r>
              <w:rPr>
                <w:rFonts w:hint="eastAsia" w:ascii="Times New Roman" w:hAnsi="Times New Roman"/>
                <w:color w:val="000000"/>
                <w:szCs w:val="21"/>
                <w:vertAlign w:val="subscript"/>
              </w:rPr>
              <w:t>S</w:t>
            </w:r>
            <w:r>
              <w:rPr>
                <w:rFonts w:hint="eastAsia" w:ascii="Times New Roman" w:hAnsi="Times New Roman"/>
                <w:color w:val="000000"/>
                <w:szCs w:val="21"/>
              </w:rPr>
              <w:t>≤30</w:t>
            </w:r>
          </w:p>
        </w:tc>
        <w:tc>
          <w:tcPr>
            <w:tcW w:w="4561" w:type="dxa"/>
            <w:tcBorders>
              <w:bottom w:val="single" w:color="auto" w:sz="12" w:space="0"/>
              <w:right w:val="nil"/>
            </w:tcBorders>
            <w:vAlign w:val="center"/>
          </w:tcPr>
          <w:p>
            <w:pPr>
              <w:jc w:val="center"/>
              <w:rPr>
                <w:rFonts w:ascii="Times New Roman" w:hAnsi="Times New Roman"/>
                <w:color w:val="000000"/>
                <w:szCs w:val="21"/>
              </w:rPr>
            </w:pPr>
            <w:r>
              <w:rPr>
                <w:rFonts w:hint="eastAsia" w:ascii="Times New Roman" w:hAnsi="Times New Roman"/>
                <w:color w:val="000000"/>
                <w:szCs w:val="21"/>
              </w:rPr>
              <w:t>S3</w:t>
            </w:r>
          </w:p>
        </w:tc>
      </w:tr>
    </w:tbl>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（4）尾矿库控制机制可靠性评估情况</w:t>
      </w:r>
    </w:p>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采用评分方法，对尾矿库的基本情况、自然条件情况、生产安全情况、环境保护情况和历史事件情况五方面指标进行评分（各指标评分方法详见附录D）与累加求和，评估尾矿库控制机制可靠性（R）。</w:t>
      </w:r>
    </w:p>
    <w:p>
      <w:pPr>
        <w:pStyle w:val="2"/>
      </w:pPr>
    </w:p>
    <w:p>
      <w:pPr>
        <w:spacing w:line="360" w:lineRule="auto"/>
        <w:ind w:firstLine="482" w:firstLineChars="200"/>
        <w:jc w:val="center"/>
        <w:rPr>
          <w:rFonts w:ascii="Times New Roman" w:hAnsi="Times New Roman"/>
          <w:b/>
          <w:bCs/>
          <w:color w:val="000000"/>
          <w:sz w:val="24"/>
        </w:rPr>
      </w:pPr>
      <w:r>
        <w:rPr>
          <w:rFonts w:hint="eastAsia" w:ascii="Times New Roman" w:hAnsi="Times New Roman"/>
          <w:b/>
          <w:bCs/>
          <w:color w:val="000000"/>
          <w:sz w:val="24"/>
        </w:rPr>
        <w:t>表8-5尾矿库控制机制可靠性（R）等别划分指标体系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993"/>
        <w:gridCol w:w="104"/>
        <w:gridCol w:w="1034"/>
        <w:gridCol w:w="1065"/>
        <w:gridCol w:w="1065"/>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序号</w:t>
            </w:r>
          </w:p>
        </w:tc>
        <w:tc>
          <w:tcPr>
            <w:tcW w:w="5326" w:type="dxa"/>
            <w:gridSpan w:val="6"/>
            <w:vAlign w:val="center"/>
          </w:tcPr>
          <w:p>
            <w:pPr>
              <w:jc w:val="center"/>
              <w:rPr>
                <w:rFonts w:ascii="Times New Roman" w:hAnsi="Times New Roman"/>
                <w:color w:val="000000"/>
                <w:szCs w:val="21"/>
              </w:rPr>
            </w:pPr>
            <w:r>
              <w:rPr>
                <w:rFonts w:hint="eastAsia" w:ascii="Times New Roman" w:hAnsi="Times New Roman"/>
                <w:color w:val="000000"/>
                <w:szCs w:val="21"/>
              </w:rPr>
              <w:t>指标项目</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指标分值</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本项目</w:t>
            </w:r>
          </w:p>
          <w:p>
            <w:pPr>
              <w:jc w:val="center"/>
              <w:rPr>
                <w:rFonts w:ascii="Times New Roman" w:hAnsi="Times New Roman"/>
                <w:color w:val="000000"/>
                <w:szCs w:val="21"/>
              </w:rPr>
            </w:pPr>
            <w:r>
              <w:rPr>
                <w:rFonts w:hint="eastAsia" w:ascii="Times New Roman" w:hAnsi="Times New Roman"/>
                <w:color w:val="000000"/>
                <w:szCs w:val="21"/>
              </w:rPr>
              <w:t>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5"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尾矿库控制机制可靠性</w:t>
            </w:r>
          </w:p>
        </w:tc>
        <w:tc>
          <w:tcPr>
            <w:tcW w:w="1065"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基本情况</w:t>
            </w:r>
          </w:p>
        </w:tc>
        <w:tc>
          <w:tcPr>
            <w:tcW w:w="1097"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堆存</w:t>
            </w: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堆存种类</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continue"/>
            <w:vAlign w:val="center"/>
          </w:tcPr>
          <w:p>
            <w:pPr>
              <w:jc w:val="center"/>
              <w:rPr>
                <w:rFonts w:ascii="Times New Roman" w:hAnsi="Times New Roman"/>
                <w:color w:val="000000"/>
                <w:szCs w:val="21"/>
              </w:rPr>
            </w:pP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堆存方式</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continue"/>
            <w:vAlign w:val="center"/>
          </w:tcPr>
          <w:p>
            <w:pPr>
              <w:jc w:val="center"/>
              <w:rPr>
                <w:rFonts w:ascii="Times New Roman" w:hAnsi="Times New Roman"/>
                <w:color w:val="000000"/>
                <w:szCs w:val="21"/>
              </w:rPr>
            </w:pP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坝体透水情况</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4</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输送</w:t>
            </w: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输送方式</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5</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continue"/>
            <w:vAlign w:val="center"/>
          </w:tcPr>
          <w:p>
            <w:pPr>
              <w:jc w:val="center"/>
              <w:rPr>
                <w:rFonts w:ascii="Times New Roman" w:hAnsi="Times New Roman"/>
                <w:color w:val="000000"/>
                <w:szCs w:val="21"/>
              </w:rPr>
            </w:pP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输送量</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6</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continue"/>
            <w:vAlign w:val="center"/>
          </w:tcPr>
          <w:p>
            <w:pPr>
              <w:jc w:val="center"/>
              <w:rPr>
                <w:rFonts w:ascii="Times New Roman" w:hAnsi="Times New Roman"/>
                <w:color w:val="000000"/>
                <w:szCs w:val="21"/>
              </w:rPr>
            </w:pP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输送距离</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7</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回水</w:t>
            </w: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回水方式</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8</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continue"/>
            <w:vAlign w:val="center"/>
          </w:tcPr>
          <w:p>
            <w:pPr>
              <w:jc w:val="center"/>
              <w:rPr>
                <w:rFonts w:ascii="Times New Roman" w:hAnsi="Times New Roman"/>
                <w:color w:val="000000"/>
                <w:szCs w:val="21"/>
              </w:rPr>
            </w:pP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回水量</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0.5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9</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continue"/>
            <w:vAlign w:val="center"/>
          </w:tcPr>
          <w:p>
            <w:pPr>
              <w:jc w:val="center"/>
              <w:rPr>
                <w:rFonts w:ascii="Times New Roman" w:hAnsi="Times New Roman"/>
                <w:color w:val="000000"/>
                <w:szCs w:val="21"/>
              </w:rPr>
            </w:pP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回水距离</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10</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防洪</w:t>
            </w: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库外截洪设施</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11</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1097" w:type="dxa"/>
            <w:gridSpan w:val="2"/>
            <w:vMerge w:val="continue"/>
            <w:vAlign w:val="center"/>
          </w:tcPr>
          <w:p>
            <w:pPr>
              <w:jc w:val="center"/>
              <w:rPr>
                <w:rFonts w:ascii="Times New Roman" w:hAnsi="Times New Roman"/>
                <w:color w:val="000000"/>
                <w:szCs w:val="21"/>
              </w:rPr>
            </w:pPr>
          </w:p>
        </w:tc>
        <w:tc>
          <w:tcPr>
            <w:tcW w:w="2099" w:type="dxa"/>
            <w:gridSpan w:val="2"/>
            <w:vAlign w:val="center"/>
          </w:tcPr>
          <w:p>
            <w:pPr>
              <w:jc w:val="center"/>
              <w:rPr>
                <w:rFonts w:ascii="Times New Roman" w:hAnsi="Times New Roman"/>
                <w:color w:val="000000"/>
                <w:szCs w:val="21"/>
              </w:rPr>
            </w:pPr>
            <w:r>
              <w:rPr>
                <w:rFonts w:hint="eastAsia" w:ascii="Times New Roman" w:hAnsi="Times New Roman"/>
                <w:color w:val="000000"/>
                <w:szCs w:val="21"/>
              </w:rPr>
              <w:t>库内排洪设施</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12</w:t>
            </w:r>
          </w:p>
        </w:tc>
        <w:tc>
          <w:tcPr>
            <w:tcW w:w="1065" w:type="dxa"/>
            <w:vMerge w:val="continue"/>
            <w:vAlign w:val="center"/>
          </w:tcPr>
          <w:p>
            <w:pPr>
              <w:jc w:val="center"/>
              <w:rPr>
                <w:rFonts w:ascii="Times New Roman" w:hAnsi="Times New Roman"/>
                <w:color w:val="000000"/>
                <w:szCs w:val="21"/>
              </w:rPr>
            </w:pP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自然条件情况</w:t>
            </w:r>
          </w:p>
        </w:tc>
        <w:tc>
          <w:tcPr>
            <w:tcW w:w="3196" w:type="dxa"/>
            <w:gridSpan w:val="4"/>
            <w:vAlign w:val="center"/>
          </w:tcPr>
          <w:p>
            <w:pPr>
              <w:jc w:val="center"/>
              <w:rPr>
                <w:rFonts w:ascii="Times New Roman" w:hAnsi="Times New Roman"/>
                <w:color w:val="000000"/>
                <w:szCs w:val="21"/>
              </w:rPr>
            </w:pPr>
            <w:r>
              <w:rPr>
                <w:rFonts w:hint="eastAsia" w:ascii="Times New Roman" w:hAnsi="Times New Roman"/>
                <w:color w:val="000000"/>
                <w:szCs w:val="21"/>
              </w:rPr>
              <w:t>是否处于按《地质灾害危险性评估技术要求（试行）》评定为“危害性中等”或“危害性大”的区域，或者处于地质灾害易灾区、岩溶（喀斯特）地貌区。</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9</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13</w:t>
            </w:r>
          </w:p>
        </w:tc>
        <w:tc>
          <w:tcPr>
            <w:tcW w:w="1065" w:type="dxa"/>
            <w:vMerge w:val="continue"/>
            <w:vAlign w:val="center"/>
          </w:tcPr>
          <w:p>
            <w:pPr>
              <w:jc w:val="center"/>
              <w:rPr>
                <w:rFonts w:ascii="Times New Roman" w:hAnsi="Times New Roman"/>
                <w:color w:val="000000"/>
                <w:szCs w:val="21"/>
              </w:rPr>
            </w:pP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生产安全情况</w:t>
            </w:r>
          </w:p>
        </w:tc>
        <w:tc>
          <w:tcPr>
            <w:tcW w:w="3196" w:type="dxa"/>
            <w:gridSpan w:val="4"/>
            <w:vAlign w:val="center"/>
          </w:tcPr>
          <w:p>
            <w:pPr>
              <w:jc w:val="center"/>
              <w:rPr>
                <w:rFonts w:ascii="Times New Roman" w:hAnsi="Times New Roman"/>
                <w:color w:val="000000"/>
                <w:szCs w:val="21"/>
              </w:rPr>
            </w:pPr>
            <w:r>
              <w:rPr>
                <w:rFonts w:hint="eastAsia" w:ascii="Times New Roman" w:hAnsi="Times New Roman"/>
                <w:color w:val="000000"/>
                <w:szCs w:val="21"/>
              </w:rPr>
              <w:t>尾矿库安全度等别</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14</w:t>
            </w:r>
          </w:p>
        </w:tc>
        <w:tc>
          <w:tcPr>
            <w:tcW w:w="1065" w:type="dxa"/>
            <w:vMerge w:val="continue"/>
            <w:vAlign w:val="center"/>
          </w:tcPr>
          <w:p>
            <w:pPr>
              <w:jc w:val="center"/>
              <w:rPr>
                <w:rFonts w:ascii="Times New Roman" w:hAnsi="Times New Roman"/>
                <w:color w:val="000000"/>
                <w:szCs w:val="21"/>
              </w:rPr>
            </w:pPr>
          </w:p>
        </w:tc>
        <w:tc>
          <w:tcPr>
            <w:tcW w:w="1065"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环境保护情况</w:t>
            </w:r>
          </w:p>
        </w:tc>
        <w:tc>
          <w:tcPr>
            <w:tcW w:w="993" w:type="dxa"/>
            <w:vAlign w:val="center"/>
          </w:tcPr>
          <w:p>
            <w:pPr>
              <w:jc w:val="center"/>
              <w:rPr>
                <w:rFonts w:ascii="Times New Roman" w:hAnsi="Times New Roman"/>
                <w:color w:val="000000"/>
                <w:szCs w:val="21"/>
              </w:rPr>
            </w:pPr>
            <w:r>
              <w:rPr>
                <w:rFonts w:hint="eastAsia" w:ascii="Times New Roman" w:hAnsi="Times New Roman"/>
                <w:color w:val="000000"/>
                <w:szCs w:val="21"/>
              </w:rPr>
              <w:t>环保审批</w:t>
            </w: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是否通过“三同时”验收</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8</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污染防治</w:t>
            </w: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水排放情况</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16</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防流失情况</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17</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防渗漏情况</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18</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防扬散情况</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19</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环境应急</w:t>
            </w:r>
          </w:p>
        </w:tc>
        <w:tc>
          <w:tcPr>
            <w:tcW w:w="1138"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环境应急设施</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事故应急池建设情况</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20</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1138" w:type="dxa"/>
            <w:gridSpan w:val="2"/>
            <w:vMerge w:val="continue"/>
            <w:vAlign w:val="center"/>
          </w:tcPr>
          <w:p>
            <w:pPr>
              <w:jc w:val="center"/>
              <w:rPr>
                <w:rFonts w:ascii="Times New Roman" w:hAnsi="Times New Roman"/>
                <w:color w:val="000000"/>
                <w:szCs w:val="21"/>
              </w:rPr>
            </w:pP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输送系统环境应急设施建设情况</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21</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1138" w:type="dxa"/>
            <w:gridSpan w:val="2"/>
            <w:vMerge w:val="continue"/>
            <w:vAlign w:val="center"/>
          </w:tcPr>
          <w:p>
            <w:pPr>
              <w:jc w:val="center"/>
              <w:rPr>
                <w:rFonts w:ascii="Times New Roman" w:hAnsi="Times New Roman"/>
                <w:color w:val="000000"/>
                <w:szCs w:val="21"/>
              </w:rPr>
            </w:pP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回水系统环境应急设施建设项目</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1.5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22</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环境应急预案</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6.5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23</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环境应急资源</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24</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1138"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环境监测预警与日常检查</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监测预警</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1138" w:type="dxa"/>
            <w:gridSpan w:val="2"/>
            <w:vMerge w:val="continue"/>
            <w:vAlign w:val="center"/>
          </w:tcPr>
          <w:p>
            <w:pPr>
              <w:jc w:val="center"/>
              <w:rPr>
                <w:rFonts w:ascii="Times New Roman" w:hAnsi="Times New Roman"/>
                <w:color w:val="000000"/>
                <w:szCs w:val="21"/>
              </w:rPr>
            </w:pP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日常检查</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26</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Align w:val="center"/>
          </w:tcPr>
          <w:p>
            <w:pPr>
              <w:jc w:val="center"/>
              <w:rPr>
                <w:rFonts w:ascii="Times New Roman" w:hAnsi="Times New Roman"/>
                <w:color w:val="000000"/>
                <w:szCs w:val="21"/>
              </w:rPr>
            </w:pPr>
          </w:p>
        </w:tc>
        <w:tc>
          <w:tcPr>
            <w:tcW w:w="1138" w:type="dxa"/>
            <w:gridSpan w:val="2"/>
            <w:vMerge w:val="restart"/>
            <w:vAlign w:val="center"/>
          </w:tcPr>
          <w:p>
            <w:pPr>
              <w:jc w:val="center"/>
              <w:rPr>
                <w:rFonts w:ascii="Times New Roman" w:hAnsi="Times New Roman"/>
                <w:color w:val="000000"/>
                <w:szCs w:val="21"/>
              </w:rPr>
            </w:pPr>
            <w:r>
              <w:rPr>
                <w:rFonts w:hint="eastAsia" w:ascii="Times New Roman" w:hAnsi="Times New Roman"/>
                <w:color w:val="000000"/>
                <w:szCs w:val="21"/>
              </w:rPr>
              <w:t>环境安全隐患排查与治理</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环境安全隐患排查</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27</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Align w:val="center"/>
          </w:tcPr>
          <w:p>
            <w:pPr>
              <w:jc w:val="center"/>
              <w:rPr>
                <w:rFonts w:ascii="Times New Roman" w:hAnsi="Times New Roman"/>
                <w:color w:val="000000"/>
                <w:szCs w:val="21"/>
              </w:rPr>
            </w:pPr>
          </w:p>
        </w:tc>
        <w:tc>
          <w:tcPr>
            <w:tcW w:w="1138" w:type="dxa"/>
            <w:gridSpan w:val="2"/>
            <w:vMerge w:val="continue"/>
            <w:vAlign w:val="center"/>
          </w:tcPr>
          <w:p>
            <w:pPr>
              <w:jc w:val="center"/>
              <w:rPr>
                <w:rFonts w:ascii="Times New Roman" w:hAnsi="Times New Roman"/>
                <w:color w:val="000000"/>
                <w:szCs w:val="21"/>
              </w:rPr>
            </w:pP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环境安全隐患治理</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28</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Align w:val="center"/>
          </w:tcPr>
          <w:p>
            <w:pPr>
              <w:jc w:val="center"/>
              <w:rPr>
                <w:rFonts w:ascii="Times New Roman" w:hAnsi="Times New Roman"/>
                <w:color w:val="000000"/>
                <w:szCs w:val="21"/>
              </w:rPr>
            </w:pPr>
            <w:r>
              <w:rPr>
                <w:rFonts w:hint="eastAsia" w:ascii="Times New Roman" w:hAnsi="Times New Roman"/>
                <w:color w:val="000000"/>
                <w:szCs w:val="21"/>
              </w:rPr>
              <w:t>环境违法与环境纠纷情况</w:t>
            </w: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近三年来是否存在环境违法行为或与周边存在环境纠纷</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7</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29</w:t>
            </w:r>
          </w:p>
        </w:tc>
        <w:tc>
          <w:tcPr>
            <w:tcW w:w="1065" w:type="dxa"/>
            <w:vMerge w:val="continue"/>
            <w:vAlign w:val="center"/>
          </w:tcPr>
          <w:p>
            <w:pPr>
              <w:jc w:val="center"/>
              <w:rPr>
                <w:rFonts w:ascii="Times New Roman" w:hAnsi="Times New Roman"/>
                <w:color w:val="000000"/>
                <w:szCs w:val="21"/>
              </w:rPr>
            </w:pPr>
          </w:p>
        </w:tc>
        <w:tc>
          <w:tcPr>
            <w:tcW w:w="1065"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历史事件情况</w:t>
            </w:r>
          </w:p>
        </w:tc>
        <w:tc>
          <w:tcPr>
            <w:tcW w:w="993" w:type="dxa"/>
            <w:vMerge w:val="restart"/>
            <w:vAlign w:val="center"/>
          </w:tcPr>
          <w:p>
            <w:pPr>
              <w:jc w:val="center"/>
              <w:rPr>
                <w:rFonts w:ascii="Times New Roman" w:hAnsi="Times New Roman"/>
                <w:color w:val="000000"/>
                <w:szCs w:val="21"/>
              </w:rPr>
            </w:pPr>
            <w:r>
              <w:rPr>
                <w:rFonts w:hint="eastAsia" w:ascii="Times New Roman" w:hAnsi="Times New Roman"/>
                <w:color w:val="000000"/>
                <w:szCs w:val="21"/>
              </w:rPr>
              <w:t>近三年来发生事故或事件情况（包括安全和环境方面）</w:t>
            </w: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事件等级</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8</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30</w:t>
            </w:r>
          </w:p>
        </w:tc>
        <w:tc>
          <w:tcPr>
            <w:tcW w:w="1065" w:type="dxa"/>
            <w:vMerge w:val="continue"/>
            <w:vAlign w:val="center"/>
          </w:tcPr>
          <w:p>
            <w:pPr>
              <w:jc w:val="center"/>
              <w:rPr>
                <w:rFonts w:ascii="Times New Roman" w:hAnsi="Times New Roman"/>
                <w:color w:val="000000"/>
                <w:szCs w:val="21"/>
              </w:rPr>
            </w:pPr>
          </w:p>
        </w:tc>
        <w:tc>
          <w:tcPr>
            <w:tcW w:w="1065" w:type="dxa"/>
            <w:vMerge w:val="continue"/>
            <w:vAlign w:val="center"/>
          </w:tcPr>
          <w:p>
            <w:pPr>
              <w:jc w:val="center"/>
              <w:rPr>
                <w:rFonts w:ascii="Times New Roman" w:hAnsi="Times New Roman"/>
                <w:color w:val="000000"/>
                <w:szCs w:val="21"/>
              </w:rPr>
            </w:pPr>
          </w:p>
        </w:tc>
        <w:tc>
          <w:tcPr>
            <w:tcW w:w="993" w:type="dxa"/>
            <w:vMerge w:val="continue"/>
            <w:vAlign w:val="center"/>
          </w:tcPr>
          <w:p>
            <w:pPr>
              <w:jc w:val="center"/>
              <w:rPr>
                <w:rFonts w:ascii="Times New Roman" w:hAnsi="Times New Roman"/>
                <w:color w:val="000000"/>
                <w:szCs w:val="21"/>
              </w:rPr>
            </w:pPr>
          </w:p>
        </w:tc>
        <w:tc>
          <w:tcPr>
            <w:tcW w:w="2203" w:type="dxa"/>
            <w:gridSpan w:val="3"/>
            <w:vAlign w:val="center"/>
          </w:tcPr>
          <w:p>
            <w:pPr>
              <w:jc w:val="center"/>
              <w:rPr>
                <w:rFonts w:ascii="Times New Roman" w:hAnsi="Times New Roman"/>
                <w:color w:val="000000"/>
                <w:szCs w:val="21"/>
              </w:rPr>
            </w:pPr>
            <w:r>
              <w:rPr>
                <w:rFonts w:hint="eastAsia" w:ascii="Times New Roman" w:hAnsi="Times New Roman"/>
                <w:color w:val="000000"/>
                <w:szCs w:val="21"/>
              </w:rPr>
              <w:t>事件次数</w:t>
            </w:r>
          </w:p>
        </w:tc>
        <w:tc>
          <w:tcPr>
            <w:tcW w:w="1065" w:type="dxa"/>
            <w:vAlign w:val="center"/>
          </w:tcPr>
          <w:p>
            <w:pPr>
              <w:jc w:val="center"/>
              <w:rPr>
                <w:rFonts w:ascii="Times New Roman" w:hAnsi="Times New Roman"/>
                <w:color w:val="000000"/>
                <w:szCs w:val="21"/>
              </w:rPr>
            </w:pPr>
            <w:r>
              <w:rPr>
                <w:rFonts w:hint="eastAsia" w:ascii="Times New Roman" w:hAnsi="Times New Roman"/>
                <w:color w:val="000000"/>
                <w:szCs w:val="21"/>
              </w:rPr>
              <w:t>3</w:t>
            </w:r>
          </w:p>
        </w:tc>
        <w:tc>
          <w:tcPr>
            <w:tcW w:w="1066" w:type="dxa"/>
            <w:vAlign w:val="center"/>
          </w:tcPr>
          <w:p>
            <w:pPr>
              <w:jc w:val="center"/>
              <w:rPr>
                <w:rFonts w:ascii="Times New Roman" w:hAnsi="Times New Roman"/>
                <w:color w:val="000000"/>
                <w:szCs w:val="21"/>
              </w:rPr>
            </w:pPr>
            <w:r>
              <w:rPr>
                <w:rFonts w:hint="eastAsia" w:ascii="Times New Roman" w:hAnsi="Times New Roman"/>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56" w:type="dxa"/>
            <w:gridSpan w:val="8"/>
            <w:vAlign w:val="center"/>
          </w:tcPr>
          <w:p>
            <w:pPr>
              <w:jc w:val="center"/>
              <w:rPr>
                <w:rFonts w:ascii="Times New Roman" w:hAnsi="Times New Roman"/>
                <w:b/>
                <w:bCs/>
                <w:color w:val="000000"/>
                <w:szCs w:val="21"/>
              </w:rPr>
            </w:pPr>
            <w:r>
              <w:rPr>
                <w:rFonts w:hint="eastAsia" w:ascii="Times New Roman" w:hAnsi="Times New Roman"/>
                <w:b/>
                <w:bCs/>
                <w:color w:val="000000"/>
                <w:szCs w:val="21"/>
              </w:rPr>
              <w:t>本项目尾矿库控制机制可靠性（R）</w:t>
            </w:r>
          </w:p>
        </w:tc>
        <w:tc>
          <w:tcPr>
            <w:tcW w:w="1066" w:type="dxa"/>
            <w:vAlign w:val="center"/>
          </w:tcPr>
          <w:p>
            <w:pPr>
              <w:jc w:val="center"/>
              <w:rPr>
                <w:rFonts w:ascii="Times New Roman" w:hAnsi="Times New Roman"/>
                <w:b/>
                <w:bCs/>
                <w:color w:val="000000"/>
                <w:szCs w:val="21"/>
              </w:rPr>
            </w:pPr>
            <w:r>
              <w:rPr>
                <w:rFonts w:hint="eastAsia" w:ascii="Times New Roman" w:hAnsi="Times New Roman"/>
                <w:b/>
                <w:bCs/>
                <w:color w:val="000000"/>
                <w:szCs w:val="21"/>
              </w:rPr>
              <w:t>36</w:t>
            </w:r>
          </w:p>
        </w:tc>
      </w:tr>
    </w:tbl>
    <w:p>
      <w:pPr>
        <w:spacing w:line="360" w:lineRule="auto"/>
        <w:ind w:firstLine="480" w:firstLineChars="200"/>
        <w:jc w:val="left"/>
        <w:rPr>
          <w:rFonts w:ascii="宋体" w:hAnsi="宋体"/>
          <w:sz w:val="24"/>
          <w:szCs w:val="24"/>
        </w:rPr>
      </w:pPr>
      <w:r>
        <w:rPr>
          <w:rFonts w:hint="eastAsia" w:ascii="宋体" w:hAnsi="宋体"/>
          <w:sz w:val="24"/>
          <w:szCs w:val="24"/>
        </w:rPr>
        <w:t>依据尾矿库控制机制可靠性等别划分表，将控制机制可靠性（</w:t>
      </w:r>
      <w:r>
        <w:rPr>
          <w:rFonts w:hint="eastAsia" w:ascii="TimesNewRomanPSMT" w:hAnsi="TimesNewRomanPSMT" w:eastAsia="TimesNewRomanPSMT"/>
          <w:sz w:val="24"/>
          <w:szCs w:val="24"/>
        </w:rPr>
        <w:t>R</w:t>
      </w:r>
      <w:r>
        <w:rPr>
          <w:rFonts w:hint="eastAsia" w:ascii="宋体" w:hAnsi="宋体"/>
          <w:sz w:val="24"/>
          <w:szCs w:val="24"/>
        </w:rPr>
        <w:t>）划分为</w:t>
      </w:r>
      <w:r>
        <w:rPr>
          <w:rFonts w:hint="eastAsia" w:ascii="TimesNewRomanPSMT" w:hAnsi="TimesNewRomanPSMT" w:eastAsia="TimesNewRomanPSMT"/>
          <w:sz w:val="24"/>
          <w:szCs w:val="24"/>
        </w:rPr>
        <w:t>R1</w:t>
      </w:r>
      <w:r>
        <w:rPr>
          <w:rFonts w:hint="eastAsia" w:ascii="宋体" w:hAnsi="宋体"/>
          <w:sz w:val="24"/>
          <w:szCs w:val="24"/>
        </w:rPr>
        <w:t>、</w:t>
      </w:r>
      <w:r>
        <w:rPr>
          <w:rFonts w:hint="eastAsia" w:ascii="TimesNewRomanPSMT" w:hAnsi="TimesNewRomanPSMT" w:eastAsia="TimesNewRomanPSMT"/>
          <w:sz w:val="24"/>
          <w:szCs w:val="24"/>
        </w:rPr>
        <w:t>R2</w:t>
      </w:r>
      <w:r>
        <w:rPr>
          <w:rFonts w:hint="eastAsia" w:ascii="宋体" w:hAnsi="宋体"/>
          <w:sz w:val="24"/>
          <w:szCs w:val="24"/>
        </w:rPr>
        <w:t>、</w:t>
      </w:r>
      <w:r>
        <w:rPr>
          <w:rFonts w:hint="eastAsia" w:ascii="TimesNewRomanPSMT" w:hAnsi="TimesNewRomanPSMT" w:eastAsia="TimesNewRomanPSMT"/>
          <w:sz w:val="24"/>
          <w:szCs w:val="24"/>
        </w:rPr>
        <w:t xml:space="preserve">R3 </w:t>
      </w:r>
      <w:r>
        <w:rPr>
          <w:rFonts w:hint="eastAsia" w:ascii="宋体" w:hAnsi="宋体"/>
          <w:sz w:val="24"/>
          <w:szCs w:val="24"/>
        </w:rPr>
        <w:t>三个等别。本项目尾矿库控制机制可靠性等别为R2。</w:t>
      </w:r>
    </w:p>
    <w:p>
      <w:pPr>
        <w:spacing w:line="360" w:lineRule="auto"/>
        <w:ind w:firstLine="482" w:firstLineChars="200"/>
        <w:jc w:val="center"/>
        <w:rPr>
          <w:rFonts w:ascii="Times New Roman" w:hAnsi="Times New Roman"/>
          <w:b/>
          <w:bCs/>
          <w:sz w:val="24"/>
          <w:szCs w:val="24"/>
        </w:rPr>
      </w:pPr>
      <w:r>
        <w:rPr>
          <w:rFonts w:ascii="Times New Roman" w:hAnsi="Times New Roman"/>
          <w:b/>
          <w:bCs/>
          <w:sz w:val="24"/>
          <w:szCs w:val="24"/>
        </w:rPr>
        <w:t>表8-6  尾矿库控制机制可靠性（R）等别划分表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1"/>
        <w:gridCol w:w="4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top w:val="single" w:color="auto" w:sz="12" w:space="0"/>
              <w:left w:val="nil"/>
            </w:tcBorders>
            <w:vAlign w:val="center"/>
          </w:tcPr>
          <w:p>
            <w:pPr>
              <w:jc w:val="center"/>
              <w:rPr>
                <w:rFonts w:ascii="Times New Roman" w:hAnsi="Times New Roman"/>
                <w:color w:val="000000"/>
                <w:szCs w:val="21"/>
              </w:rPr>
            </w:pPr>
            <w:r>
              <w:rPr>
                <w:rFonts w:ascii="Times New Roman" w:hAnsi="Times New Roman"/>
                <w:color w:val="000000"/>
                <w:szCs w:val="21"/>
              </w:rPr>
              <w:t>尾矿库控制机制可靠性（D</w:t>
            </w:r>
            <w:r>
              <w:rPr>
                <w:rFonts w:ascii="Times New Roman" w:hAnsi="Times New Roman"/>
                <w:color w:val="000000"/>
                <w:szCs w:val="21"/>
                <w:vertAlign w:val="subscript"/>
              </w:rPr>
              <w:t>R</w:t>
            </w:r>
            <w:r>
              <w:rPr>
                <w:rFonts w:ascii="Times New Roman" w:hAnsi="Times New Roman"/>
                <w:color w:val="000000"/>
                <w:szCs w:val="21"/>
              </w:rPr>
              <w:t>）</w:t>
            </w:r>
          </w:p>
        </w:tc>
        <w:tc>
          <w:tcPr>
            <w:tcW w:w="4561" w:type="dxa"/>
            <w:tcBorders>
              <w:top w:val="single" w:color="auto" w:sz="12" w:space="0"/>
              <w:right w:val="nil"/>
            </w:tcBorders>
            <w:vAlign w:val="center"/>
          </w:tcPr>
          <w:p>
            <w:pPr>
              <w:jc w:val="center"/>
              <w:rPr>
                <w:rFonts w:ascii="Times New Roman" w:hAnsi="Times New Roman"/>
                <w:color w:val="000000"/>
                <w:szCs w:val="21"/>
              </w:rPr>
            </w:pPr>
            <w:r>
              <w:rPr>
                <w:rFonts w:ascii="Times New Roman" w:hAnsi="Times New Roman"/>
                <w:color w:val="000000"/>
                <w:szCs w:val="21"/>
              </w:rPr>
              <w:t>尾矿库控制机制可靠性（R）等别代码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tcBorders>
            <w:vAlign w:val="center"/>
          </w:tcPr>
          <w:p>
            <w:pPr>
              <w:jc w:val="center"/>
              <w:rPr>
                <w:rFonts w:ascii="Times New Roman" w:hAnsi="Times New Roman"/>
                <w:color w:val="000000"/>
                <w:szCs w:val="21"/>
              </w:rPr>
            </w:pPr>
            <w:r>
              <w:rPr>
                <w:rFonts w:ascii="Times New Roman" w:hAnsi="Times New Roman"/>
                <w:color w:val="000000"/>
                <w:szCs w:val="21"/>
              </w:rPr>
              <w:t>D</w:t>
            </w:r>
            <w:r>
              <w:rPr>
                <w:rFonts w:ascii="Times New Roman" w:hAnsi="Times New Roman"/>
                <w:color w:val="000000"/>
                <w:szCs w:val="21"/>
                <w:vertAlign w:val="subscript"/>
              </w:rPr>
              <w:t>R</w:t>
            </w:r>
            <w:r>
              <w:rPr>
                <w:rFonts w:ascii="Times New Roman" w:hAnsi="Times New Roman"/>
                <w:color w:val="000000"/>
                <w:szCs w:val="21"/>
              </w:rPr>
              <w:t>＞60</w:t>
            </w:r>
          </w:p>
        </w:tc>
        <w:tc>
          <w:tcPr>
            <w:tcW w:w="4561" w:type="dxa"/>
            <w:tcBorders>
              <w:right w:val="nil"/>
            </w:tcBorders>
            <w:vAlign w:val="center"/>
          </w:tcPr>
          <w:p>
            <w:pPr>
              <w:jc w:val="center"/>
              <w:rPr>
                <w:rFonts w:ascii="Times New Roman" w:hAnsi="Times New Roman"/>
                <w:color w:val="000000"/>
                <w:szCs w:val="21"/>
              </w:rPr>
            </w:pPr>
            <w:r>
              <w:rPr>
                <w:rFonts w:ascii="Times New Roman" w:hAnsi="Times New Roman"/>
                <w:color w:val="000000"/>
                <w:szCs w:val="21"/>
              </w:rPr>
              <w:t>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tcBorders>
            <w:vAlign w:val="center"/>
          </w:tcPr>
          <w:p>
            <w:pPr>
              <w:jc w:val="center"/>
              <w:rPr>
                <w:rFonts w:ascii="Times New Roman" w:hAnsi="Times New Roman"/>
                <w:b/>
                <w:bCs/>
                <w:color w:val="000000"/>
                <w:szCs w:val="21"/>
              </w:rPr>
            </w:pPr>
            <w:r>
              <w:rPr>
                <w:rFonts w:ascii="Times New Roman" w:hAnsi="Times New Roman"/>
                <w:b/>
                <w:bCs/>
                <w:color w:val="000000"/>
                <w:szCs w:val="21"/>
              </w:rPr>
              <w:t>30＜D</w:t>
            </w:r>
            <w:r>
              <w:rPr>
                <w:rFonts w:ascii="Times New Roman" w:hAnsi="Times New Roman"/>
                <w:b/>
                <w:bCs/>
                <w:color w:val="000000"/>
                <w:szCs w:val="21"/>
                <w:vertAlign w:val="subscript"/>
              </w:rPr>
              <w:t>R</w:t>
            </w:r>
            <w:r>
              <w:rPr>
                <w:rFonts w:ascii="Times New Roman" w:hAnsi="Times New Roman"/>
                <w:b/>
                <w:bCs/>
                <w:color w:val="000000"/>
                <w:szCs w:val="21"/>
              </w:rPr>
              <w:t>≤60</w:t>
            </w:r>
          </w:p>
        </w:tc>
        <w:tc>
          <w:tcPr>
            <w:tcW w:w="4561" w:type="dxa"/>
            <w:tcBorders>
              <w:right w:val="nil"/>
            </w:tcBorders>
            <w:vAlign w:val="center"/>
          </w:tcPr>
          <w:p>
            <w:pPr>
              <w:jc w:val="center"/>
              <w:rPr>
                <w:rFonts w:ascii="Times New Roman" w:hAnsi="Times New Roman"/>
                <w:b/>
                <w:bCs/>
                <w:color w:val="000000"/>
                <w:szCs w:val="21"/>
              </w:rPr>
            </w:pPr>
            <w:r>
              <w:rPr>
                <w:rFonts w:ascii="Times New Roman" w:hAnsi="Times New Roman"/>
                <w:b/>
                <w:bCs/>
                <w:color w:val="000000"/>
                <w:szCs w:val="21"/>
              </w:rPr>
              <w:t>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1" w:type="dxa"/>
            <w:tcBorders>
              <w:left w:val="nil"/>
              <w:bottom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D</w:t>
            </w:r>
            <w:r>
              <w:rPr>
                <w:rFonts w:ascii="Times New Roman" w:hAnsi="Times New Roman"/>
                <w:color w:val="000000"/>
                <w:szCs w:val="21"/>
                <w:vertAlign w:val="subscript"/>
              </w:rPr>
              <w:t>R</w:t>
            </w:r>
            <w:r>
              <w:rPr>
                <w:rFonts w:ascii="Times New Roman" w:hAnsi="Times New Roman"/>
                <w:color w:val="000000"/>
                <w:szCs w:val="21"/>
              </w:rPr>
              <w:t>≤30</w:t>
            </w:r>
          </w:p>
        </w:tc>
        <w:tc>
          <w:tcPr>
            <w:tcW w:w="4561" w:type="dxa"/>
            <w:tcBorders>
              <w:bottom w:val="single" w:color="auto" w:sz="12" w:space="0"/>
              <w:right w:val="nil"/>
            </w:tcBorders>
            <w:vAlign w:val="center"/>
          </w:tcPr>
          <w:p>
            <w:pPr>
              <w:jc w:val="center"/>
              <w:rPr>
                <w:rFonts w:ascii="Times New Roman" w:hAnsi="Times New Roman"/>
                <w:color w:val="000000"/>
                <w:szCs w:val="21"/>
              </w:rPr>
            </w:pPr>
            <w:r>
              <w:rPr>
                <w:rFonts w:ascii="Times New Roman" w:hAnsi="Times New Roman"/>
                <w:color w:val="000000"/>
                <w:szCs w:val="21"/>
              </w:rPr>
              <w:t>R3</w:t>
            </w:r>
          </w:p>
        </w:tc>
      </w:tr>
    </w:tbl>
    <w:p>
      <w:pPr>
        <w:tabs>
          <w:tab w:val="left" w:pos="328"/>
        </w:tabs>
        <w:spacing w:line="360" w:lineRule="auto"/>
        <w:ind w:firstLine="480" w:firstLineChars="200"/>
        <w:jc w:val="left"/>
        <w:rPr>
          <w:rFonts w:ascii="宋体" w:hAnsi="宋体"/>
          <w:sz w:val="24"/>
          <w:szCs w:val="24"/>
        </w:rPr>
      </w:pPr>
      <w:r>
        <w:rPr>
          <w:rFonts w:hint="eastAsia" w:ascii="宋体" w:hAnsi="宋体"/>
          <w:sz w:val="24"/>
          <w:szCs w:val="24"/>
        </w:rPr>
        <w:t>(5)尾矿库环境风险等级划分及其表征情况</w:t>
      </w:r>
    </w:p>
    <w:p>
      <w:pPr>
        <w:tabs>
          <w:tab w:val="left" w:pos="328"/>
        </w:tabs>
        <w:spacing w:line="360" w:lineRule="auto"/>
        <w:ind w:firstLine="480" w:firstLineChars="200"/>
        <w:jc w:val="left"/>
        <w:rPr>
          <w:rFonts w:ascii="宋体" w:hAnsi="宋体"/>
          <w:sz w:val="24"/>
          <w:szCs w:val="24"/>
        </w:rPr>
      </w:pPr>
      <w:r>
        <w:rPr>
          <w:rFonts w:hint="eastAsia" w:ascii="宋体" w:hAnsi="宋体"/>
          <w:sz w:val="24"/>
          <w:szCs w:val="24"/>
        </w:rPr>
        <w:t>综合尾矿库环境危害性（H）、周边环境敏感性（S）、控制机制可靠性（R）三方面的等别，对照尾矿库环境风险等级划分矩阵，将尾矿库环境风险划分为重大、较大、一般三个等级。</w:t>
      </w:r>
    </w:p>
    <w:p>
      <w:pPr>
        <w:ind w:firstLine="482" w:firstLineChars="200"/>
        <w:jc w:val="center"/>
        <w:rPr>
          <w:rFonts w:ascii="宋体" w:hAnsi="宋体"/>
          <w:b/>
          <w:bCs/>
          <w:sz w:val="24"/>
          <w:szCs w:val="24"/>
        </w:rPr>
      </w:pPr>
      <w:r>
        <w:rPr>
          <w:rFonts w:hint="eastAsia" w:ascii="宋体" w:hAnsi="宋体"/>
          <w:b/>
          <w:bCs/>
          <w:sz w:val="24"/>
          <w:szCs w:val="24"/>
        </w:rPr>
        <w:t>表8-7  尾矿库环境风险等级划分矩阵</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restart"/>
            <w:vAlign w:val="center"/>
          </w:tcPr>
          <w:p>
            <w:pPr>
              <w:tabs>
                <w:tab w:val="left" w:pos="328"/>
              </w:tabs>
              <w:jc w:val="center"/>
              <w:rPr>
                <w:rFonts w:ascii="Times New Roman" w:hAnsi="Times New Roman"/>
                <w:szCs w:val="21"/>
              </w:rPr>
            </w:pPr>
            <w:r>
              <w:rPr>
                <w:rFonts w:ascii="Times New Roman" w:hAnsi="Times New Roman"/>
                <w:szCs w:val="21"/>
              </w:rPr>
              <w:t>序号</w:t>
            </w:r>
          </w:p>
        </w:tc>
        <w:tc>
          <w:tcPr>
            <w:tcW w:w="5113" w:type="dxa"/>
            <w:gridSpan w:val="3"/>
            <w:vAlign w:val="center"/>
          </w:tcPr>
          <w:p>
            <w:pPr>
              <w:tabs>
                <w:tab w:val="left" w:pos="328"/>
              </w:tabs>
              <w:jc w:val="center"/>
              <w:rPr>
                <w:rFonts w:ascii="Times New Roman" w:hAnsi="Times New Roman"/>
                <w:szCs w:val="21"/>
              </w:rPr>
            </w:pPr>
            <w:r>
              <w:rPr>
                <w:rFonts w:ascii="Times New Roman" w:hAnsi="Times New Roman"/>
                <w:szCs w:val="21"/>
              </w:rPr>
              <w:t>情形</w:t>
            </w:r>
          </w:p>
        </w:tc>
        <w:tc>
          <w:tcPr>
            <w:tcW w:w="1705" w:type="dxa"/>
            <w:vMerge w:val="restart"/>
            <w:vAlign w:val="center"/>
          </w:tcPr>
          <w:p>
            <w:pPr>
              <w:tabs>
                <w:tab w:val="left" w:pos="328"/>
              </w:tabs>
              <w:jc w:val="center"/>
              <w:rPr>
                <w:rFonts w:ascii="Times New Roman" w:hAnsi="Times New Roman"/>
                <w:szCs w:val="21"/>
              </w:rPr>
            </w:pPr>
            <w:r>
              <w:rPr>
                <w:rFonts w:ascii="Times New Roman" w:hAnsi="Times New Roman"/>
                <w:szCs w:val="21"/>
              </w:rPr>
              <w:t>环境风险等级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Merge w:val="continue"/>
            <w:vAlign w:val="center"/>
          </w:tcPr>
          <w:p>
            <w:pPr>
              <w:tabs>
                <w:tab w:val="left" w:pos="328"/>
              </w:tabs>
              <w:jc w:val="center"/>
              <w:rPr>
                <w:rFonts w:ascii="Times New Roman" w:hAnsi="Times New Roman"/>
                <w:szCs w:val="21"/>
              </w:rPr>
            </w:pPr>
          </w:p>
        </w:tc>
        <w:tc>
          <w:tcPr>
            <w:tcW w:w="1704" w:type="dxa"/>
            <w:vAlign w:val="center"/>
          </w:tcPr>
          <w:p>
            <w:pPr>
              <w:tabs>
                <w:tab w:val="left" w:pos="328"/>
              </w:tabs>
              <w:jc w:val="center"/>
              <w:rPr>
                <w:rFonts w:ascii="Times New Roman" w:hAnsi="Times New Roman"/>
                <w:szCs w:val="21"/>
              </w:rPr>
            </w:pPr>
            <w:r>
              <w:rPr>
                <w:rFonts w:ascii="Times New Roman" w:hAnsi="Times New Roman"/>
                <w:szCs w:val="21"/>
              </w:rPr>
              <w:t>环境危害性（H）</w:t>
            </w:r>
          </w:p>
        </w:tc>
        <w:tc>
          <w:tcPr>
            <w:tcW w:w="1704" w:type="dxa"/>
            <w:vAlign w:val="center"/>
          </w:tcPr>
          <w:p>
            <w:pPr>
              <w:tabs>
                <w:tab w:val="left" w:pos="328"/>
              </w:tabs>
              <w:jc w:val="center"/>
              <w:rPr>
                <w:rFonts w:ascii="Times New Roman" w:hAnsi="Times New Roman"/>
                <w:szCs w:val="21"/>
              </w:rPr>
            </w:pPr>
            <w:r>
              <w:rPr>
                <w:rFonts w:ascii="Times New Roman" w:hAnsi="Times New Roman"/>
                <w:szCs w:val="21"/>
              </w:rPr>
              <w:t>周边环境敏感性（S）</w:t>
            </w:r>
          </w:p>
        </w:tc>
        <w:tc>
          <w:tcPr>
            <w:tcW w:w="1705" w:type="dxa"/>
            <w:vAlign w:val="center"/>
          </w:tcPr>
          <w:p>
            <w:pPr>
              <w:tabs>
                <w:tab w:val="left" w:pos="328"/>
              </w:tabs>
              <w:jc w:val="center"/>
              <w:rPr>
                <w:rFonts w:ascii="Times New Roman" w:hAnsi="Times New Roman"/>
                <w:szCs w:val="21"/>
              </w:rPr>
            </w:pPr>
            <w:r>
              <w:rPr>
                <w:rFonts w:ascii="Times New Roman" w:hAnsi="Times New Roman"/>
                <w:szCs w:val="21"/>
              </w:rPr>
              <w:t>控制机制可靠性（R）</w:t>
            </w:r>
          </w:p>
        </w:tc>
        <w:tc>
          <w:tcPr>
            <w:tcW w:w="1705" w:type="dxa"/>
            <w:vMerge w:val="continue"/>
            <w:vAlign w:val="center"/>
          </w:tcPr>
          <w:p>
            <w:pPr>
              <w:tabs>
                <w:tab w:val="left" w:pos="328"/>
              </w:tabs>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1</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H1</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2</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3</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4</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5</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6</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7</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8</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ascii="Times New Roman" w:hAnsi="Times New Roman"/>
                <w:szCs w:val="21"/>
              </w:rPr>
              <w:t>9</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10</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H2</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11</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12</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13</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14</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15</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16</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17</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18</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19</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b/>
                <w:bCs/>
                <w:szCs w:val="21"/>
              </w:rPr>
              <w:t>H3</w:t>
            </w: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20</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较大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21</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22</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b/>
                <w:bCs/>
                <w:szCs w:val="21"/>
              </w:rPr>
              <w:t>S2</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23</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b/>
                <w:bCs/>
                <w:szCs w:val="21"/>
              </w:rPr>
            </w:pPr>
            <w:r>
              <w:rPr>
                <w:rFonts w:hint="eastAsia" w:ascii="Times New Roman" w:hAnsi="Times New Roman"/>
                <w:b/>
                <w:bCs/>
                <w:szCs w:val="21"/>
              </w:rPr>
              <w:t>R2</w:t>
            </w:r>
          </w:p>
        </w:tc>
        <w:tc>
          <w:tcPr>
            <w:tcW w:w="1705" w:type="dxa"/>
            <w:vAlign w:val="center"/>
          </w:tcPr>
          <w:p>
            <w:pPr>
              <w:jc w:val="center"/>
              <w:rPr>
                <w:rFonts w:ascii="Times New Roman" w:hAnsi="Times New Roman"/>
                <w:b/>
                <w:bCs/>
                <w:szCs w:val="21"/>
              </w:rPr>
            </w:pPr>
            <w:r>
              <w:rPr>
                <w:rFonts w:hint="eastAsia" w:ascii="Times New Roman" w:hAnsi="Times New Roman"/>
                <w:b/>
                <w:bCs/>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24</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25</w:t>
            </w:r>
          </w:p>
        </w:tc>
        <w:tc>
          <w:tcPr>
            <w:tcW w:w="1704" w:type="dxa"/>
            <w:vMerge w:val="continue"/>
            <w:vAlign w:val="center"/>
          </w:tcPr>
          <w:p>
            <w:pPr>
              <w:tabs>
                <w:tab w:val="left" w:pos="328"/>
              </w:tabs>
              <w:jc w:val="center"/>
              <w:rPr>
                <w:rFonts w:ascii="Times New Roman" w:hAnsi="Times New Roman"/>
                <w:szCs w:val="21"/>
              </w:rPr>
            </w:pPr>
          </w:p>
        </w:tc>
        <w:tc>
          <w:tcPr>
            <w:tcW w:w="1704" w:type="dxa"/>
            <w:vMerge w:val="restart"/>
            <w:vAlign w:val="center"/>
          </w:tcPr>
          <w:p>
            <w:pPr>
              <w:tabs>
                <w:tab w:val="left" w:pos="328"/>
              </w:tabs>
              <w:jc w:val="center"/>
              <w:rPr>
                <w:rFonts w:ascii="Times New Roman" w:hAnsi="Times New Roman"/>
                <w:szCs w:val="21"/>
              </w:rPr>
            </w:pPr>
            <w:r>
              <w:rPr>
                <w:rFonts w:hint="eastAsia" w:ascii="Times New Roman" w:hAnsi="Times New Roman"/>
                <w:szCs w:val="21"/>
              </w:rPr>
              <w:t>S3</w:t>
            </w: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R1</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26</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R2</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center"/>
          </w:tcPr>
          <w:p>
            <w:pPr>
              <w:tabs>
                <w:tab w:val="left" w:pos="328"/>
              </w:tabs>
              <w:jc w:val="center"/>
              <w:rPr>
                <w:rFonts w:ascii="Times New Roman" w:hAnsi="Times New Roman"/>
                <w:szCs w:val="21"/>
              </w:rPr>
            </w:pPr>
            <w:r>
              <w:rPr>
                <w:rFonts w:hint="eastAsia" w:ascii="Times New Roman" w:hAnsi="Times New Roman"/>
                <w:szCs w:val="21"/>
              </w:rPr>
              <w:t>27</w:t>
            </w:r>
          </w:p>
        </w:tc>
        <w:tc>
          <w:tcPr>
            <w:tcW w:w="1704" w:type="dxa"/>
            <w:vMerge w:val="continue"/>
            <w:vAlign w:val="center"/>
          </w:tcPr>
          <w:p>
            <w:pPr>
              <w:tabs>
                <w:tab w:val="left" w:pos="328"/>
              </w:tabs>
              <w:jc w:val="center"/>
              <w:rPr>
                <w:rFonts w:ascii="Times New Roman" w:hAnsi="Times New Roman"/>
                <w:szCs w:val="21"/>
              </w:rPr>
            </w:pPr>
          </w:p>
        </w:tc>
        <w:tc>
          <w:tcPr>
            <w:tcW w:w="1704" w:type="dxa"/>
            <w:vMerge w:val="continue"/>
            <w:vAlign w:val="center"/>
          </w:tcPr>
          <w:p>
            <w:pPr>
              <w:tabs>
                <w:tab w:val="left" w:pos="328"/>
              </w:tabs>
              <w:jc w:val="center"/>
              <w:rPr>
                <w:rFonts w:ascii="Times New Roman" w:hAnsi="Times New Roman"/>
                <w:szCs w:val="21"/>
              </w:rPr>
            </w:pPr>
          </w:p>
        </w:tc>
        <w:tc>
          <w:tcPr>
            <w:tcW w:w="1705" w:type="dxa"/>
            <w:vAlign w:val="center"/>
          </w:tcPr>
          <w:p>
            <w:pPr>
              <w:tabs>
                <w:tab w:val="left" w:pos="328"/>
              </w:tabs>
              <w:jc w:val="center"/>
              <w:rPr>
                <w:rFonts w:ascii="Times New Roman" w:hAnsi="Times New Roman"/>
                <w:szCs w:val="21"/>
              </w:rPr>
            </w:pPr>
            <w:r>
              <w:rPr>
                <w:rFonts w:hint="eastAsia" w:ascii="Times New Roman" w:hAnsi="Times New Roman"/>
                <w:szCs w:val="21"/>
              </w:rPr>
              <w:t>R3</w:t>
            </w:r>
          </w:p>
        </w:tc>
        <w:tc>
          <w:tcPr>
            <w:tcW w:w="1705" w:type="dxa"/>
            <w:vAlign w:val="center"/>
          </w:tcPr>
          <w:p>
            <w:pPr>
              <w:jc w:val="center"/>
              <w:rPr>
                <w:rFonts w:ascii="Times New Roman" w:hAnsi="Times New Roman"/>
                <w:szCs w:val="21"/>
              </w:rPr>
            </w:pPr>
            <w:r>
              <w:rPr>
                <w:rFonts w:hint="eastAsia" w:ascii="Times New Roman" w:hAnsi="Times New Roman"/>
                <w:szCs w:val="21"/>
              </w:rPr>
              <w:t>一般</w:t>
            </w:r>
          </w:p>
        </w:tc>
      </w:tr>
    </w:tbl>
    <w:p>
      <w:pPr>
        <w:spacing w:line="360" w:lineRule="auto"/>
        <w:ind w:firstLine="480" w:firstLineChars="200"/>
        <w:rPr>
          <w:rFonts w:ascii="Times New Roman" w:hAnsi="Times New Roman"/>
          <w:color w:val="000000"/>
          <w:sz w:val="24"/>
        </w:rPr>
      </w:pPr>
      <w:r>
        <w:rPr>
          <w:rFonts w:hint="eastAsia" w:ascii="Times New Roman" w:hAnsi="Times New Roman"/>
          <w:color w:val="000000"/>
          <w:sz w:val="24"/>
        </w:rPr>
        <w:t>综上所述</w:t>
      </w:r>
      <w:r>
        <w:rPr>
          <w:rFonts w:ascii="Times New Roman" w:hAnsi="Times New Roman"/>
          <w:color w:val="000000"/>
          <w:sz w:val="24"/>
        </w:rPr>
        <w:t>，本项目</w:t>
      </w:r>
      <w:r>
        <w:rPr>
          <w:rFonts w:hint="eastAsia" w:ascii="Times New Roman" w:hAnsi="Times New Roman"/>
          <w:color w:val="000000"/>
          <w:sz w:val="24"/>
        </w:rPr>
        <w:t>环境危害性为H3类，周边环境敏感性为S2类，控制机制可靠性为R2类，因此</w:t>
      </w:r>
      <w:r>
        <w:rPr>
          <w:rFonts w:ascii="Times New Roman" w:hAnsi="Times New Roman"/>
          <w:color w:val="000000"/>
          <w:sz w:val="24"/>
        </w:rPr>
        <w:t>尾矿库环境风险等级</w:t>
      </w:r>
      <w:r>
        <w:rPr>
          <w:rFonts w:hint="eastAsia" w:ascii="Times New Roman" w:hAnsi="Times New Roman"/>
          <w:color w:val="000000"/>
          <w:sz w:val="24"/>
        </w:rPr>
        <w:t>可以表征为“一般（H3S2R2）”</w:t>
      </w:r>
      <w:r>
        <w:rPr>
          <w:rFonts w:ascii="Times New Roman" w:hAnsi="Times New Roman"/>
          <w:color w:val="000000"/>
          <w:sz w:val="24"/>
        </w:rPr>
        <w:t>。</w:t>
      </w:r>
    </w:p>
    <w:p>
      <w:pPr>
        <w:pStyle w:val="4"/>
        <w:spacing w:line="360" w:lineRule="auto"/>
        <w:rPr>
          <w:rFonts w:ascii="Times New Roman" w:hAnsi="Times New Roman" w:eastAsia="宋体"/>
          <w:color w:val="000000"/>
        </w:rPr>
      </w:pPr>
      <w:bookmarkStart w:id="595" w:name="_Toc1029"/>
      <w:bookmarkStart w:id="596" w:name="_Toc32751"/>
      <w:r>
        <w:rPr>
          <w:rFonts w:ascii="Times New Roman" w:hAnsi="Times New Roman" w:eastAsia="宋体"/>
          <w:color w:val="000000"/>
        </w:rPr>
        <w:t>8.</w:t>
      </w:r>
      <w:r>
        <w:rPr>
          <w:rFonts w:hint="eastAsia" w:ascii="Times New Roman" w:hAnsi="Times New Roman" w:eastAsia="宋体"/>
          <w:color w:val="000000"/>
        </w:rPr>
        <w:t>5环境风险分析情况</w:t>
      </w:r>
      <w:bookmarkEnd w:id="595"/>
      <w:bookmarkEnd w:id="596"/>
    </w:p>
    <w:p>
      <w:pPr>
        <w:pStyle w:val="5"/>
        <w:spacing w:line="360" w:lineRule="auto"/>
        <w:rPr>
          <w:color w:val="000000"/>
          <w:sz w:val="24"/>
          <w:szCs w:val="24"/>
        </w:rPr>
      </w:pPr>
      <w:bookmarkStart w:id="597" w:name="_Toc7841"/>
      <w:bookmarkStart w:id="598" w:name="_Toc8364"/>
      <w:r>
        <w:rPr>
          <w:color w:val="000000"/>
          <w:sz w:val="24"/>
          <w:szCs w:val="24"/>
        </w:rPr>
        <w:t>8.5.1环境风险特征分析情况</w:t>
      </w:r>
      <w:bookmarkEnd w:id="597"/>
      <w:bookmarkEnd w:id="598"/>
    </w:p>
    <w:p>
      <w:pPr>
        <w:spacing w:line="360" w:lineRule="auto"/>
        <w:ind w:firstLine="480" w:firstLineChars="200"/>
        <w:rPr>
          <w:rFonts w:ascii="Times New Roman" w:hAnsi="Times New Roman"/>
          <w:sz w:val="24"/>
          <w:szCs w:val="24"/>
        </w:rPr>
      </w:pPr>
      <w:r>
        <w:rPr>
          <w:rFonts w:ascii="Times New Roman" w:hAnsi="Times New Roman"/>
          <w:sz w:val="24"/>
          <w:szCs w:val="24"/>
        </w:rPr>
        <w:t>（1）溃坝事故</w:t>
      </w:r>
    </w:p>
    <w:p>
      <w:pPr>
        <w:spacing w:line="360" w:lineRule="auto"/>
        <w:ind w:firstLine="480" w:firstLineChars="200"/>
        <w:rPr>
          <w:rFonts w:ascii="Times New Roman" w:hAnsi="Times New Roman"/>
          <w:sz w:val="24"/>
          <w:szCs w:val="24"/>
        </w:rPr>
      </w:pPr>
      <w:r>
        <w:rPr>
          <w:rFonts w:ascii="Times New Roman" w:hAnsi="Times New Roman"/>
          <w:sz w:val="24"/>
          <w:szCs w:val="24"/>
        </w:rPr>
        <w:t>传统的尾矿库溃坝事故在国内外时有发生，其主要原因是由于传统尾矿库采用的为湿排工艺，水力浸润是导致溃坝的主要原因；其他诸如选址不当、施工质量、大的洪水、超高堆存尾矿等也是导致尾矿库溃坝的因素。本项目采用尾矿干排工艺，从根本上避免了溃坝的风险，加上完善的排水设施，尾矿库出现溃坝的几率极低。尾矿库溃坝事件事故树见下图。</w:t>
      </w:r>
    </w:p>
    <w:p>
      <w:pPr>
        <w:pStyle w:val="2"/>
        <w:rPr>
          <w:rFonts w:ascii="Times New Roman" w:hAnsi="Times New Roman"/>
          <w:sz w:val="24"/>
        </w:rPr>
      </w:pPr>
      <w:r>
        <w:rPr>
          <w:rFonts w:hint="eastAsia" w:ascii="Times New Roman" w:hAnsi="Times New Roman"/>
          <w:sz w:val="24"/>
        </w:rPr>
        <w:drawing>
          <wp:inline distT="0" distB="0" distL="0" distR="0">
            <wp:extent cx="5270500" cy="2959100"/>
            <wp:effectExtent l="19050" t="0" r="6350" b="0"/>
            <wp:docPr id="14" name="图片 30" descr="QQ截图2018101309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QQ截图20181013092116"/>
                    <pic:cNvPicPr>
                      <a:picLocks noChangeAspect="1" noChangeArrowheads="1"/>
                    </pic:cNvPicPr>
                  </pic:nvPicPr>
                  <pic:blipFill>
                    <a:blip r:embed="rId28" cstate="print"/>
                    <a:srcRect/>
                    <a:stretch>
                      <a:fillRect/>
                    </a:stretch>
                  </pic:blipFill>
                  <pic:spPr>
                    <a:xfrm>
                      <a:off x="0" y="0"/>
                      <a:ext cx="5270500" cy="2959100"/>
                    </a:xfrm>
                    <a:prstGeom prst="rect">
                      <a:avLst/>
                    </a:prstGeom>
                    <a:noFill/>
                    <a:ln w="9525" cmpd="sng">
                      <a:noFill/>
                      <a:miter lim="800000"/>
                      <a:headEnd/>
                      <a:tailEnd/>
                    </a:ln>
                  </pic:spPr>
                </pic:pic>
              </a:graphicData>
            </a:graphic>
          </wp:inline>
        </w:drawing>
      </w:r>
    </w:p>
    <w:p>
      <w:pPr>
        <w:pStyle w:val="2"/>
        <w:jc w:val="center"/>
        <w:rPr>
          <w:rFonts w:ascii="Times New Roman" w:hAnsi="Times New Roman"/>
          <w:b/>
          <w:bCs/>
          <w:sz w:val="24"/>
        </w:rPr>
      </w:pPr>
      <w:r>
        <w:rPr>
          <w:rFonts w:hint="eastAsia" w:ascii="Times New Roman" w:hAnsi="Times New Roman"/>
          <w:b/>
          <w:bCs/>
          <w:sz w:val="24"/>
        </w:rPr>
        <w:t>图8-2  尾矿库溃坝事件事故树分析图</w:t>
      </w:r>
    </w:p>
    <w:p>
      <w:pPr>
        <w:spacing w:line="360" w:lineRule="auto"/>
        <w:ind w:firstLine="480" w:firstLineChars="200"/>
        <w:rPr>
          <w:rFonts w:ascii="Times New Roman" w:hAnsi="Times New Roman"/>
          <w:sz w:val="24"/>
          <w:szCs w:val="24"/>
        </w:rPr>
      </w:pPr>
      <w:r>
        <w:rPr>
          <w:rFonts w:ascii="Times New Roman" w:hAnsi="Times New Roman"/>
          <w:sz w:val="24"/>
          <w:szCs w:val="24"/>
        </w:rPr>
        <w:t>本项目的尾矿库具有以下明显特点：</w:t>
      </w:r>
    </w:p>
    <w:p>
      <w:pPr>
        <w:spacing w:line="360" w:lineRule="auto"/>
        <w:ind w:firstLine="480" w:firstLineChars="200"/>
        <w:rPr>
          <w:rFonts w:ascii="Times New Roman" w:hAnsi="Times New Roman"/>
          <w:sz w:val="24"/>
          <w:szCs w:val="24"/>
        </w:rPr>
      </w:pPr>
      <w:r>
        <w:rPr>
          <w:rFonts w:ascii="Times New Roman" w:hAnsi="Times New Roman"/>
          <w:sz w:val="24"/>
          <w:szCs w:val="24"/>
        </w:rPr>
        <w:t>库区地质条件较好，主要地层岩性为碎屑岩，即石英砂岩、页岩、泥质粉砂岩等。岩层厚150～250m，为坚硬至半坚硬块状结构，干抗压强度30～90Mpa；构造断裂及充水断裂不发育，富水性较差，渗透性微弱。库区北部有一定面积大理岩分布，为灰白色白云石大理岩和少量肉红色角砾状白云石大理岩，岩体为块状结构，干抗压强度45～78Mpa。</w:t>
      </w:r>
    </w:p>
    <w:p>
      <w:pPr>
        <w:spacing w:line="360" w:lineRule="auto"/>
        <w:ind w:firstLine="480" w:firstLineChars="200"/>
        <w:rPr>
          <w:rFonts w:ascii="Times New Roman" w:hAnsi="Times New Roman"/>
          <w:sz w:val="24"/>
          <w:szCs w:val="24"/>
        </w:rPr>
      </w:pPr>
      <w:r>
        <w:rPr>
          <w:rFonts w:hint="eastAsia" w:ascii="Times New Roman" w:hAnsi="Times New Roman"/>
          <w:color w:val="000000"/>
          <w:sz w:val="24"/>
          <w:szCs w:val="24"/>
        </w:rPr>
        <w:t>由于本项目尾矿库排放工艺由湿排更改为干排，尾矿库溃坝风险从而大大降级</w:t>
      </w:r>
      <w:r>
        <w:rPr>
          <w:rFonts w:ascii="Times New Roman" w:hAnsi="Times New Roman"/>
          <w:color w:val="000000"/>
          <w:sz w:val="24"/>
          <w:szCs w:val="24"/>
        </w:rPr>
        <w:t>。</w:t>
      </w:r>
      <w:r>
        <w:rPr>
          <w:rFonts w:ascii="Times New Roman" w:hAnsi="Times New Roman"/>
          <w:sz w:val="24"/>
          <w:szCs w:val="24"/>
        </w:rPr>
        <w:t>采取了有效的措施予以避免（地震除外），因此本项目的尾矿库溃坝的概率是极小的。</w:t>
      </w:r>
    </w:p>
    <w:p>
      <w:pPr>
        <w:pStyle w:val="82"/>
        <w:ind w:firstLine="480"/>
        <w:rPr>
          <w:rFonts w:ascii="Times New Roman" w:hAnsi="Times New Roman"/>
          <w:color w:val="000000"/>
          <w:sz w:val="24"/>
          <w:szCs w:val="24"/>
        </w:rPr>
      </w:pPr>
      <w:r>
        <w:rPr>
          <w:rFonts w:ascii="Times New Roman" w:hAnsi="Times New Roman"/>
          <w:color w:val="000000"/>
          <w:sz w:val="24"/>
          <w:szCs w:val="24"/>
        </w:rPr>
        <w:t>（</w:t>
      </w:r>
      <w:r>
        <w:rPr>
          <w:rFonts w:hint="eastAsia" w:ascii="Times New Roman" w:hAnsi="Times New Roman"/>
          <w:color w:val="000000"/>
          <w:sz w:val="24"/>
          <w:szCs w:val="24"/>
        </w:rPr>
        <w:t>2</w:t>
      </w:r>
      <w:r>
        <w:rPr>
          <w:rFonts w:ascii="Times New Roman" w:hAnsi="Times New Roman"/>
          <w:color w:val="000000"/>
          <w:sz w:val="24"/>
          <w:szCs w:val="24"/>
        </w:rPr>
        <w:t>）管线泄漏事故</w:t>
      </w:r>
    </w:p>
    <w:p>
      <w:pPr>
        <w:pStyle w:val="82"/>
        <w:ind w:firstLine="480"/>
        <w:rPr>
          <w:rFonts w:ascii="Times New Roman" w:hAnsi="Times New Roman"/>
          <w:color w:val="000000"/>
          <w:sz w:val="24"/>
          <w:szCs w:val="24"/>
        </w:rPr>
      </w:pPr>
      <w:r>
        <w:rPr>
          <w:rFonts w:ascii="Times New Roman" w:hAnsi="Times New Roman"/>
          <w:color w:val="000000"/>
          <w:sz w:val="24"/>
          <w:szCs w:val="24"/>
        </w:rPr>
        <w:t>在人为和自然等因素下，尾矿设施的矿浆输送管线和回水管线有可能发生泄漏风险，导致废水外溢，污染地表水环境。管线泄漏风险事故树见下。</w:t>
      </w:r>
    </w:p>
    <w:p>
      <w:pPr>
        <w:pStyle w:val="2"/>
        <w:jc w:val="center"/>
        <w:rPr>
          <w:rFonts w:ascii="Times New Roman" w:hAnsi="Times New Roman"/>
          <w:b/>
          <w:bCs/>
          <w:sz w:val="24"/>
        </w:rPr>
      </w:pPr>
      <w:r>
        <w:rPr>
          <w:rFonts w:hint="eastAsia" w:ascii="Times New Roman" w:hAnsi="Times New Roman"/>
          <w:b/>
          <w:bCs/>
          <w:sz w:val="24"/>
        </w:rPr>
        <w:drawing>
          <wp:inline distT="0" distB="0" distL="0" distR="0">
            <wp:extent cx="4718685" cy="3209290"/>
            <wp:effectExtent l="19050" t="0" r="5715" b="0"/>
            <wp:docPr id="15"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descr="2"/>
                    <pic:cNvPicPr>
                      <a:picLocks noChangeAspect="1" noChangeArrowheads="1"/>
                    </pic:cNvPicPr>
                  </pic:nvPicPr>
                  <pic:blipFill>
                    <a:blip r:embed="rId29" cstate="print"/>
                    <a:srcRect/>
                    <a:stretch>
                      <a:fillRect/>
                    </a:stretch>
                  </pic:blipFill>
                  <pic:spPr>
                    <a:xfrm>
                      <a:off x="0" y="0"/>
                      <a:ext cx="4718685" cy="3209290"/>
                    </a:xfrm>
                    <a:prstGeom prst="rect">
                      <a:avLst/>
                    </a:prstGeom>
                    <a:noFill/>
                    <a:ln w="9525" cmpd="sng">
                      <a:noFill/>
                      <a:miter lim="800000"/>
                      <a:headEnd/>
                      <a:tailEnd/>
                    </a:ln>
                  </pic:spPr>
                </pic:pic>
              </a:graphicData>
            </a:graphic>
          </wp:inline>
        </w:drawing>
      </w:r>
    </w:p>
    <w:p>
      <w:pPr>
        <w:pStyle w:val="2"/>
        <w:jc w:val="center"/>
        <w:rPr>
          <w:rFonts w:ascii="Times New Roman" w:hAnsi="Times New Roman"/>
          <w:b/>
          <w:bCs/>
          <w:sz w:val="24"/>
        </w:rPr>
      </w:pPr>
      <w:r>
        <w:rPr>
          <w:rFonts w:hint="eastAsia" w:ascii="Times New Roman" w:hAnsi="Times New Roman"/>
          <w:b/>
          <w:bCs/>
          <w:sz w:val="24"/>
        </w:rPr>
        <w:t>图8-3 本项目尾矿管线泄漏风险事故分析图</w:t>
      </w:r>
    </w:p>
    <w:p>
      <w:pPr>
        <w:pStyle w:val="5"/>
        <w:spacing w:line="360" w:lineRule="auto"/>
        <w:rPr>
          <w:color w:val="000000"/>
          <w:sz w:val="24"/>
          <w:szCs w:val="24"/>
        </w:rPr>
      </w:pPr>
      <w:bookmarkStart w:id="599" w:name="_Toc24094"/>
      <w:bookmarkStart w:id="600" w:name="_Toc8482"/>
      <w:bookmarkStart w:id="601" w:name="_Toc496191470"/>
      <w:bookmarkStart w:id="602" w:name="_Toc499285227"/>
      <w:r>
        <w:rPr>
          <w:color w:val="000000"/>
          <w:sz w:val="24"/>
          <w:szCs w:val="24"/>
        </w:rPr>
        <w:t>8.5.2尾矿库突发</w:t>
      </w:r>
      <w:r>
        <w:rPr>
          <w:rFonts w:hint="eastAsia"/>
          <w:color w:val="000000"/>
          <w:sz w:val="24"/>
          <w:szCs w:val="24"/>
        </w:rPr>
        <w:t>环境</w:t>
      </w:r>
      <w:r>
        <w:rPr>
          <w:color w:val="000000"/>
          <w:sz w:val="24"/>
          <w:szCs w:val="24"/>
        </w:rPr>
        <w:t>事件危险因素分析</w:t>
      </w:r>
      <w:bookmarkEnd w:id="599"/>
      <w:bookmarkEnd w:id="600"/>
      <w:bookmarkEnd w:id="601"/>
      <w:bookmarkEnd w:id="602"/>
    </w:p>
    <w:p>
      <w:pPr>
        <w:spacing w:line="360" w:lineRule="auto"/>
        <w:ind w:firstLine="480" w:firstLineChars="200"/>
        <w:rPr>
          <w:rFonts w:ascii="Times New Roman" w:hAnsi="Times New Roman"/>
          <w:sz w:val="24"/>
          <w:szCs w:val="24"/>
        </w:rPr>
      </w:pPr>
      <w:r>
        <w:rPr>
          <w:rFonts w:ascii="Times New Roman" w:hAnsi="Times New Roman"/>
          <w:sz w:val="24"/>
          <w:szCs w:val="24"/>
        </w:rPr>
        <w:t>（1）自然环境因素危险情况分析</w:t>
      </w:r>
    </w:p>
    <w:p>
      <w:pPr>
        <w:spacing w:line="360" w:lineRule="auto"/>
        <w:ind w:firstLine="480" w:firstLineChars="200"/>
        <w:rPr>
          <w:rFonts w:ascii="Times New Roman" w:hAnsi="Times New Roman"/>
          <w:sz w:val="24"/>
          <w:szCs w:val="24"/>
        </w:rPr>
      </w:pPr>
      <w:r>
        <w:rPr>
          <w:rFonts w:ascii="Times New Roman" w:hAnsi="Times New Roman"/>
          <w:sz w:val="24"/>
          <w:szCs w:val="24"/>
        </w:rPr>
        <w:t>①洪水：如果矿区洪水发生率超过设计频率，致使洪水期排水不畅出现渗漏，会使库内尾砂、废水外流甚至溃坝；</w:t>
      </w:r>
    </w:p>
    <w:p>
      <w:pPr>
        <w:spacing w:line="360" w:lineRule="auto"/>
        <w:ind w:firstLine="480" w:firstLineChars="200"/>
        <w:rPr>
          <w:rFonts w:ascii="Times New Roman" w:hAnsi="Times New Roman"/>
          <w:sz w:val="24"/>
          <w:szCs w:val="24"/>
        </w:rPr>
      </w:pPr>
      <w:r>
        <w:rPr>
          <w:rFonts w:ascii="Times New Roman" w:hAnsi="Times New Roman"/>
          <w:sz w:val="24"/>
          <w:szCs w:val="24"/>
        </w:rPr>
        <w:t>②地震等其他地质因素可能造成坝体结构破坏。</w:t>
      </w:r>
    </w:p>
    <w:p>
      <w:pPr>
        <w:spacing w:line="360" w:lineRule="auto"/>
        <w:ind w:firstLine="480" w:firstLineChars="200"/>
        <w:rPr>
          <w:rFonts w:ascii="Times New Roman" w:hAnsi="Times New Roman"/>
          <w:sz w:val="24"/>
          <w:szCs w:val="24"/>
        </w:rPr>
      </w:pPr>
      <w:r>
        <w:rPr>
          <w:rFonts w:ascii="Times New Roman" w:hAnsi="Times New Roman"/>
          <w:sz w:val="24"/>
          <w:szCs w:val="24"/>
        </w:rPr>
        <w:t>（2）人为因素</w:t>
      </w:r>
    </w:p>
    <w:p>
      <w:pPr>
        <w:spacing w:line="360" w:lineRule="auto"/>
        <w:ind w:firstLine="480" w:firstLineChars="200"/>
        <w:rPr>
          <w:rFonts w:ascii="Times New Roman" w:hAnsi="Times New Roman"/>
          <w:sz w:val="24"/>
          <w:szCs w:val="24"/>
        </w:rPr>
      </w:pPr>
      <w:r>
        <w:rPr>
          <w:rFonts w:ascii="Times New Roman" w:hAnsi="Times New Roman"/>
          <w:sz w:val="24"/>
          <w:szCs w:val="24"/>
        </w:rPr>
        <w:t>①设计误差：排洪系统的设计能力偏小，或结构遭到破坏时，影响排洪能力又未及时发现、检修而造成溃坝。</w:t>
      </w:r>
    </w:p>
    <w:p>
      <w:pPr>
        <w:spacing w:line="360" w:lineRule="auto"/>
        <w:ind w:firstLine="480" w:firstLineChars="200"/>
        <w:rPr>
          <w:rFonts w:ascii="Times New Roman" w:hAnsi="Times New Roman"/>
          <w:sz w:val="24"/>
          <w:szCs w:val="24"/>
        </w:rPr>
      </w:pPr>
      <w:r>
        <w:rPr>
          <w:rFonts w:ascii="Times New Roman" w:hAnsi="Times New Roman"/>
          <w:sz w:val="24"/>
          <w:szCs w:val="24"/>
        </w:rPr>
        <w:t>②建筑疏漏：因施工不当使得坝体不稳定而造成坝体破坏，如使用不合格材料或施工过程中不符合设计要求，护坡或护角遭到人为破坏等。</w:t>
      </w:r>
    </w:p>
    <w:p>
      <w:pPr>
        <w:spacing w:line="360" w:lineRule="auto"/>
        <w:ind w:firstLine="480" w:firstLineChars="200"/>
        <w:rPr>
          <w:rFonts w:ascii="Times New Roman" w:hAnsi="Times New Roman"/>
          <w:sz w:val="24"/>
          <w:szCs w:val="24"/>
        </w:rPr>
      </w:pPr>
      <w:r>
        <w:rPr>
          <w:rFonts w:ascii="Times New Roman" w:hAnsi="Times New Roman"/>
          <w:sz w:val="24"/>
          <w:szCs w:val="24"/>
        </w:rPr>
        <w:t>③监管不严：尾矿库日常的监测和安全防护不严格，不能及时发现突发事故而导致溃坝，将带来安全隐患。</w:t>
      </w:r>
    </w:p>
    <w:p>
      <w:pPr>
        <w:pStyle w:val="5"/>
        <w:spacing w:line="360" w:lineRule="auto"/>
        <w:rPr>
          <w:color w:val="000000"/>
          <w:sz w:val="24"/>
          <w:szCs w:val="24"/>
        </w:rPr>
      </w:pPr>
      <w:bookmarkStart w:id="603" w:name="_Toc27824"/>
      <w:bookmarkStart w:id="604" w:name="_Toc24095"/>
      <w:r>
        <w:rPr>
          <w:color w:val="000000"/>
          <w:sz w:val="24"/>
          <w:szCs w:val="24"/>
        </w:rPr>
        <w:t>8.5.</w:t>
      </w:r>
      <w:r>
        <w:rPr>
          <w:rFonts w:hint="eastAsia"/>
          <w:color w:val="000000"/>
          <w:sz w:val="24"/>
          <w:szCs w:val="24"/>
        </w:rPr>
        <w:t>3</w:t>
      </w:r>
      <w:r>
        <w:rPr>
          <w:color w:val="000000"/>
          <w:sz w:val="24"/>
          <w:szCs w:val="24"/>
        </w:rPr>
        <w:t>尾矿库突发</w:t>
      </w:r>
      <w:r>
        <w:rPr>
          <w:rFonts w:hint="eastAsia"/>
          <w:color w:val="000000"/>
          <w:sz w:val="24"/>
          <w:szCs w:val="24"/>
        </w:rPr>
        <w:t>环境</w:t>
      </w:r>
      <w:r>
        <w:rPr>
          <w:color w:val="000000"/>
          <w:sz w:val="24"/>
          <w:szCs w:val="24"/>
        </w:rPr>
        <w:t>事件</w:t>
      </w:r>
      <w:r>
        <w:rPr>
          <w:rFonts w:hint="eastAsia"/>
          <w:color w:val="000000"/>
          <w:sz w:val="24"/>
          <w:szCs w:val="24"/>
        </w:rPr>
        <w:t>情景分析情况</w:t>
      </w:r>
      <w:bookmarkEnd w:id="603"/>
      <w:bookmarkEnd w:id="604"/>
    </w:p>
    <w:p>
      <w:pPr>
        <w:spacing w:line="360" w:lineRule="auto"/>
        <w:ind w:firstLine="480" w:firstLineChars="200"/>
        <w:rPr>
          <w:sz w:val="24"/>
          <w:szCs w:val="24"/>
        </w:rPr>
      </w:pPr>
      <w:r>
        <w:rPr>
          <w:sz w:val="24"/>
          <w:szCs w:val="24"/>
        </w:rPr>
        <w:t>根据建设单位所提供资料及原项目环评报告，本项目可能存在的风险情景主要为洪水漫顶、坝体渗漏和溃坝情景。</w:t>
      </w:r>
    </w:p>
    <w:p>
      <w:pPr>
        <w:spacing w:line="360" w:lineRule="auto"/>
        <w:ind w:firstLine="480" w:firstLineChars="200"/>
        <w:rPr>
          <w:rFonts w:ascii="Times New Roman" w:hAnsi="Times New Roman"/>
          <w:sz w:val="24"/>
          <w:szCs w:val="24"/>
        </w:rPr>
      </w:pPr>
      <w:r>
        <w:rPr>
          <w:rFonts w:ascii="Times New Roman" w:hAnsi="Times New Roman"/>
          <w:sz w:val="24"/>
          <w:szCs w:val="24"/>
        </w:rPr>
        <w:t>（1）洪水漫顶情景：如排洪系统设计能力偏小或结构遭遇破坏且未能及时发现和检修，影响了排洪能力，当遇到洪水或暴雨天气，可能引发洪水漫顶，使库内还有污染物的积存水外溢，污染尾矿库下游土壤和水体环境；</w:t>
      </w:r>
    </w:p>
    <w:p>
      <w:pPr>
        <w:spacing w:line="360" w:lineRule="auto"/>
        <w:ind w:firstLine="480" w:firstLineChars="200"/>
        <w:rPr>
          <w:rFonts w:ascii="Times New Roman" w:hAnsi="Times New Roman"/>
          <w:sz w:val="24"/>
          <w:szCs w:val="24"/>
        </w:rPr>
      </w:pPr>
      <w:r>
        <w:rPr>
          <w:rFonts w:ascii="Times New Roman" w:hAnsi="Times New Roman"/>
          <w:sz w:val="24"/>
          <w:szCs w:val="24"/>
        </w:rPr>
        <w:t>（2）坝体渗漏情景：尾矿坝体由废弃矿渣堆建，尾矿粒度约为60%，如防渗工艺效果不佳，会造成坝体渗漏，出现坝外渗流、坝脚沼泽化等问题，对坝外水体、土壤环境造成污染，并引起坝体稳定性下降，产生坝体崩塌等风险；</w:t>
      </w:r>
    </w:p>
    <w:p>
      <w:pPr>
        <w:spacing w:line="360" w:lineRule="auto"/>
        <w:ind w:firstLine="480" w:firstLineChars="200"/>
        <w:rPr>
          <w:rFonts w:ascii="Times New Roman" w:hAnsi="Times New Roman"/>
          <w:sz w:val="24"/>
          <w:szCs w:val="24"/>
        </w:rPr>
      </w:pPr>
      <w:r>
        <w:rPr>
          <w:rFonts w:ascii="Times New Roman" w:hAnsi="Times New Roman"/>
          <w:sz w:val="24"/>
          <w:szCs w:val="24"/>
        </w:rPr>
        <w:t>（3）溃坝情景：引发尾矿坝溃坝的原因主要为库内水位增高，水体改变了土壤渗透性，从而影响了坝体坡度，引起坝体坍塌和溃坝，溃坝引起的主要环境灾难为泥石流，对下游的生态环境及人民财产安全构成直接威胁。</w:t>
      </w:r>
    </w:p>
    <w:p>
      <w:pPr>
        <w:spacing w:line="360" w:lineRule="auto"/>
        <w:ind w:firstLine="480" w:firstLineChars="200"/>
        <w:rPr>
          <w:rFonts w:ascii="Times New Roman" w:hAnsi="Times New Roman"/>
          <w:sz w:val="24"/>
          <w:szCs w:val="24"/>
        </w:rPr>
      </w:pPr>
      <w:r>
        <w:rPr>
          <w:rFonts w:ascii="Times New Roman" w:hAnsi="Times New Roman"/>
          <w:sz w:val="24"/>
          <w:szCs w:val="24"/>
        </w:rPr>
        <w:t>根据现有资料，本项目正常洪水期为20年一遇，因此项目存在上述环境风险清境的概率较小。</w:t>
      </w:r>
    </w:p>
    <w:p>
      <w:pPr>
        <w:pStyle w:val="5"/>
        <w:spacing w:line="360" w:lineRule="auto"/>
        <w:rPr>
          <w:color w:val="000000"/>
          <w:sz w:val="24"/>
          <w:szCs w:val="24"/>
        </w:rPr>
      </w:pPr>
      <w:bookmarkStart w:id="605" w:name="_Toc12067"/>
      <w:bookmarkStart w:id="606" w:name="_Toc15079"/>
      <w:r>
        <w:rPr>
          <w:color w:val="000000"/>
          <w:sz w:val="24"/>
          <w:szCs w:val="24"/>
        </w:rPr>
        <w:t>8.5.</w:t>
      </w:r>
      <w:r>
        <w:rPr>
          <w:rFonts w:hint="eastAsia"/>
          <w:color w:val="000000"/>
          <w:sz w:val="24"/>
          <w:szCs w:val="24"/>
        </w:rPr>
        <w:t>4事故类比调查</w:t>
      </w:r>
      <w:bookmarkEnd w:id="605"/>
      <w:bookmarkEnd w:id="606"/>
    </w:p>
    <w:p>
      <w:pPr>
        <w:spacing w:line="360" w:lineRule="auto"/>
        <w:ind w:firstLine="480" w:firstLineChars="200"/>
        <w:rPr>
          <w:rFonts w:ascii="Times New Roman" w:hAnsi="Times New Roman"/>
          <w:sz w:val="24"/>
          <w:szCs w:val="24"/>
        </w:rPr>
      </w:pPr>
      <w:r>
        <w:rPr>
          <w:rFonts w:ascii="Times New Roman" w:hAnsi="Times New Roman"/>
          <w:sz w:val="24"/>
          <w:szCs w:val="24"/>
        </w:rPr>
        <w:t>1、尾矿库渗漏案例</w:t>
      </w:r>
    </w:p>
    <w:p>
      <w:pPr>
        <w:spacing w:line="360" w:lineRule="auto"/>
        <w:ind w:firstLine="480" w:firstLineChars="200"/>
        <w:rPr>
          <w:rFonts w:ascii="Times New Roman" w:hAnsi="Times New Roman"/>
          <w:sz w:val="24"/>
          <w:szCs w:val="24"/>
        </w:rPr>
      </w:pPr>
      <w:r>
        <w:rPr>
          <w:rFonts w:ascii="Times New Roman" w:hAnsi="Times New Roman"/>
          <w:sz w:val="24"/>
          <w:szCs w:val="24"/>
        </w:rPr>
        <w:t>在2000年1月30日，罗马尼亚西北部边境城镇奥拉迪亚附近的巴亚马雷金矿的含氰化钠的污水溢过堤坝，流入溪流。300万m</w:t>
      </w:r>
      <w:r>
        <w:rPr>
          <w:rFonts w:ascii="Times New Roman" w:hAnsi="Times New Roman"/>
          <w:sz w:val="24"/>
          <w:szCs w:val="24"/>
          <w:vertAlign w:val="superscript"/>
        </w:rPr>
        <w:t>3</w:t>
      </w:r>
      <w:r>
        <w:rPr>
          <w:rFonts w:ascii="Times New Roman" w:hAnsi="Times New Roman"/>
          <w:sz w:val="24"/>
          <w:szCs w:val="24"/>
        </w:rPr>
        <w:t>受污染的水流入邻国匈牙利的蒂萨河，然后流入南斯拉夫。在蒂萨河面已收集到100多吨死鱼，还有更多的鱼葬身河底，所幸的是河里氰化物的浓度还不致於使人丧命。</w:t>
      </w:r>
    </w:p>
    <w:p>
      <w:pPr>
        <w:spacing w:line="360" w:lineRule="auto"/>
        <w:ind w:firstLine="480" w:firstLineChars="200"/>
        <w:rPr>
          <w:rFonts w:ascii="Times New Roman" w:hAnsi="Times New Roman"/>
          <w:sz w:val="24"/>
          <w:szCs w:val="24"/>
        </w:rPr>
      </w:pPr>
      <w:r>
        <w:rPr>
          <w:rFonts w:ascii="Times New Roman" w:hAnsi="Times New Roman"/>
          <w:sz w:val="24"/>
          <w:szCs w:val="24"/>
        </w:rPr>
        <w:t>早在1984年6月19日巴布亚新几内亚的一个金矿发生了一起1000t氰化钠溶液流入河中的特大污染事故，但未造成人员伤亡。</w:t>
      </w:r>
    </w:p>
    <w:p>
      <w:pPr>
        <w:spacing w:line="360" w:lineRule="auto"/>
        <w:ind w:firstLine="480" w:firstLineChars="200"/>
        <w:rPr>
          <w:rFonts w:ascii="Times New Roman" w:hAnsi="Times New Roman"/>
          <w:sz w:val="24"/>
          <w:szCs w:val="24"/>
        </w:rPr>
      </w:pPr>
      <w:r>
        <w:rPr>
          <w:rFonts w:ascii="Times New Roman" w:hAnsi="Times New Roman"/>
          <w:sz w:val="24"/>
          <w:szCs w:val="24"/>
        </w:rPr>
        <w:t>辽宁省本溪满族自治县草河城镇白水村在90年代中期，在距白水村约200m处的半山腰建了一座金矿，至此河里的鱼虾无影无踪，树木和庄稼长得也不如从前，村内畜生不断地死亡，村民也被环保部门告之不准喝村里的井水。</w:t>
      </w:r>
    </w:p>
    <w:p>
      <w:pPr>
        <w:spacing w:line="360" w:lineRule="auto"/>
        <w:ind w:firstLine="480" w:firstLineChars="200"/>
        <w:rPr>
          <w:rFonts w:ascii="Times New Roman" w:hAnsi="Times New Roman"/>
          <w:sz w:val="24"/>
          <w:szCs w:val="24"/>
        </w:rPr>
      </w:pPr>
      <w:r>
        <w:rPr>
          <w:rFonts w:ascii="Times New Roman" w:hAnsi="Times New Roman"/>
          <w:sz w:val="24"/>
          <w:szCs w:val="24"/>
        </w:rPr>
        <w:t>2001年6月，本溪市环境监测中心站对该金矿的尾矿库、尾矿库渗漏水及村民门前河流水质进行了现场采样监测，其结果令人震惊，尾矿渗漏水中氰化物超标159倍，村民门前河流中氰化物超标372倍。</w:t>
      </w:r>
    </w:p>
    <w:p>
      <w:pPr>
        <w:spacing w:line="360" w:lineRule="auto"/>
        <w:ind w:firstLine="480" w:firstLineChars="200"/>
        <w:rPr>
          <w:rFonts w:ascii="Times New Roman" w:hAnsi="Times New Roman"/>
          <w:sz w:val="24"/>
          <w:szCs w:val="24"/>
        </w:rPr>
      </w:pPr>
      <w:r>
        <w:rPr>
          <w:rFonts w:ascii="Times New Roman" w:hAnsi="Times New Roman"/>
          <w:sz w:val="24"/>
          <w:szCs w:val="24"/>
        </w:rPr>
        <w:t>2、地质灾害事故案例</w:t>
      </w:r>
    </w:p>
    <w:p>
      <w:pPr>
        <w:spacing w:line="360" w:lineRule="auto"/>
        <w:ind w:firstLine="480" w:firstLineChars="200"/>
        <w:rPr>
          <w:rFonts w:ascii="Times New Roman" w:hAnsi="Times New Roman"/>
          <w:sz w:val="24"/>
          <w:szCs w:val="24"/>
        </w:rPr>
      </w:pPr>
      <w:r>
        <w:rPr>
          <w:rFonts w:ascii="Times New Roman" w:hAnsi="Times New Roman"/>
          <w:sz w:val="24"/>
          <w:szCs w:val="24"/>
        </w:rPr>
        <w:t>2006年5月30日中午，陕西省旬阳县鑫源矿业有限公司选矿厂尾矿库施工取土过程中，施工现场上方山体滑塌约2万m</w:t>
      </w:r>
      <w:r>
        <w:rPr>
          <w:rFonts w:ascii="Times New Roman" w:hAnsi="Times New Roman"/>
          <w:sz w:val="24"/>
          <w:szCs w:val="24"/>
          <w:vertAlign w:val="superscript"/>
        </w:rPr>
        <w:t>3</w:t>
      </w:r>
      <w:r>
        <w:rPr>
          <w:rFonts w:ascii="Times New Roman" w:hAnsi="Times New Roman"/>
          <w:sz w:val="24"/>
          <w:szCs w:val="24"/>
        </w:rPr>
        <w:t xml:space="preserve">，造成3名正在现场作业的司机失踪，4辆运输车辆和1台挖掘机被埋。经现场勘察，施工方案缺乏科学性，是造成此次事故的主要原因。 </w:t>
      </w:r>
    </w:p>
    <w:p>
      <w:pPr>
        <w:spacing w:line="360" w:lineRule="auto"/>
        <w:ind w:firstLine="480" w:firstLineChars="200"/>
        <w:rPr>
          <w:rFonts w:ascii="Times New Roman" w:hAnsi="Times New Roman"/>
          <w:sz w:val="24"/>
          <w:szCs w:val="24"/>
        </w:rPr>
      </w:pPr>
      <w:r>
        <w:rPr>
          <w:rFonts w:ascii="Times New Roman" w:hAnsi="Times New Roman"/>
          <w:sz w:val="24"/>
          <w:szCs w:val="24"/>
        </w:rPr>
        <w:t>3、尾矿库溃（垮）坝事故案例</w:t>
      </w:r>
    </w:p>
    <w:p>
      <w:pPr>
        <w:spacing w:line="360" w:lineRule="auto"/>
        <w:ind w:firstLine="480" w:firstLineChars="200"/>
        <w:rPr>
          <w:rFonts w:ascii="Times New Roman" w:hAnsi="Times New Roman"/>
          <w:sz w:val="24"/>
          <w:szCs w:val="24"/>
        </w:rPr>
      </w:pPr>
      <w:r>
        <w:rPr>
          <w:rFonts w:ascii="Times New Roman" w:hAnsi="Times New Roman"/>
          <w:sz w:val="24"/>
          <w:szCs w:val="24"/>
        </w:rPr>
        <w:t>尾矿库在矿山生产中具有十分重要的作用，是维持矿山生产的重要设施，也是重要的危险源。尾矿坝溃坝破坏时，尾矿往往立即液化，扩大坝的缺口，沿山谷往下游倾泄，其危害程度比水坝溃坝严重得多。</w:t>
      </w:r>
    </w:p>
    <w:p>
      <w:pPr>
        <w:spacing w:line="360" w:lineRule="auto"/>
        <w:ind w:firstLine="480" w:firstLineChars="200"/>
        <w:rPr>
          <w:rFonts w:ascii="Times New Roman" w:hAnsi="Times New Roman"/>
          <w:sz w:val="24"/>
          <w:szCs w:val="24"/>
        </w:rPr>
      </w:pPr>
      <w:r>
        <w:rPr>
          <w:rFonts w:ascii="Times New Roman" w:hAnsi="Times New Roman"/>
          <w:sz w:val="24"/>
          <w:szCs w:val="24"/>
        </w:rPr>
        <w:t>我国在从1953年开始，在辽宁省杨家杖子矿务局建设了中国第一个尾矿库，至今已经建设了几千座尾矿库，基本上满足了矿山需要。但由于各种原因，约有1/3属病险库，不同程度存在事故隐患，严重者曾发生溃坝事故。</w:t>
      </w:r>
    </w:p>
    <w:p>
      <w:pPr>
        <w:spacing w:line="360" w:lineRule="auto"/>
        <w:ind w:firstLine="480" w:firstLineChars="200"/>
        <w:rPr>
          <w:rFonts w:ascii="Times New Roman" w:hAnsi="Times New Roman"/>
          <w:sz w:val="24"/>
          <w:szCs w:val="24"/>
        </w:rPr>
      </w:pPr>
      <w:r>
        <w:rPr>
          <w:rFonts w:ascii="Times New Roman" w:hAnsi="Times New Roman"/>
          <w:sz w:val="24"/>
          <w:szCs w:val="24"/>
        </w:rPr>
        <w:t>美国克拉克大学公害评定小组的研究表明，尾矿库事故的危害，在世界93种事故、公害的隐患中名列第18位，它仅次于核爆炸、神经毒气、核幅射等灾害，而比航空失事、火灾等其他60种灾害严重，直接引起百人以上死亡的尾矿库事故并不鲜见。</w:t>
      </w:r>
    </w:p>
    <w:p>
      <w:pPr>
        <w:spacing w:line="360" w:lineRule="auto"/>
        <w:ind w:firstLine="480" w:firstLineChars="200"/>
        <w:rPr>
          <w:rFonts w:ascii="Times New Roman" w:hAnsi="Times New Roman"/>
          <w:sz w:val="24"/>
          <w:szCs w:val="24"/>
        </w:rPr>
      </w:pPr>
      <w:r>
        <w:rPr>
          <w:rFonts w:ascii="Times New Roman" w:hAnsi="Times New Roman"/>
          <w:sz w:val="24"/>
          <w:szCs w:val="24"/>
        </w:rPr>
        <w:t>我们收集和统计了国内外尾矿库溃坝事故典型案例，见表</w:t>
      </w:r>
      <w:r>
        <w:rPr>
          <w:rFonts w:hint="eastAsia" w:ascii="Times New Roman" w:hAnsi="Times New Roman"/>
          <w:sz w:val="24"/>
          <w:szCs w:val="24"/>
        </w:rPr>
        <w:t>8-8</w:t>
      </w:r>
      <w:r>
        <w:rPr>
          <w:rFonts w:ascii="Times New Roman" w:hAnsi="Times New Roman"/>
          <w:sz w:val="24"/>
          <w:szCs w:val="24"/>
        </w:rPr>
        <w:t>～表</w:t>
      </w:r>
      <w:r>
        <w:rPr>
          <w:rFonts w:hint="eastAsia" w:ascii="Times New Roman" w:hAnsi="Times New Roman"/>
          <w:sz w:val="24"/>
          <w:szCs w:val="24"/>
        </w:rPr>
        <w:t>8-11。</w:t>
      </w:r>
    </w:p>
    <w:p>
      <w:pPr>
        <w:pStyle w:val="76"/>
        <w:jc w:val="center"/>
        <w:rPr>
          <w:b/>
          <w:color w:val="000000"/>
          <w:sz w:val="24"/>
        </w:rPr>
      </w:pPr>
      <w:r>
        <w:rPr>
          <w:b/>
          <w:color w:val="000000"/>
          <w:sz w:val="24"/>
        </w:rPr>
        <w:t>表</w:t>
      </w:r>
      <w:r>
        <w:rPr>
          <w:rFonts w:hint="eastAsia"/>
          <w:b/>
          <w:color w:val="000000"/>
          <w:sz w:val="24"/>
        </w:rPr>
        <w:t xml:space="preserve">8-8  </w:t>
      </w:r>
      <w:r>
        <w:rPr>
          <w:b/>
          <w:color w:val="000000"/>
          <w:sz w:val="24"/>
        </w:rPr>
        <w:t>上世纪国内尾矿坝的溃坝事故</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54"/>
        <w:gridCol w:w="1202"/>
        <w:gridCol w:w="4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54" w:type="dxa"/>
            <w:tcBorders>
              <w:top w:val="single" w:color="auto" w:sz="12" w:space="0"/>
              <w:left w:val="nil"/>
              <w:bottom w:val="single" w:color="auto" w:sz="4" w:space="0"/>
            </w:tcBorders>
            <w:vAlign w:val="center"/>
          </w:tcPr>
          <w:p>
            <w:pPr>
              <w:pStyle w:val="56"/>
              <w:rPr>
                <w:color w:val="000000"/>
              </w:rPr>
            </w:pPr>
            <w:r>
              <w:rPr>
                <w:color w:val="000000"/>
              </w:rPr>
              <w:t>坝名</w:t>
            </w:r>
          </w:p>
        </w:tc>
        <w:tc>
          <w:tcPr>
            <w:tcW w:w="1202" w:type="dxa"/>
            <w:tcBorders>
              <w:top w:val="single" w:color="auto" w:sz="12" w:space="0"/>
              <w:bottom w:val="single" w:color="auto" w:sz="4" w:space="0"/>
            </w:tcBorders>
            <w:vAlign w:val="center"/>
          </w:tcPr>
          <w:p>
            <w:pPr>
              <w:pStyle w:val="56"/>
              <w:rPr>
                <w:color w:val="000000"/>
              </w:rPr>
            </w:pPr>
            <w:r>
              <w:rPr>
                <w:color w:val="000000"/>
              </w:rPr>
              <w:t>破坏年代</w:t>
            </w:r>
          </w:p>
        </w:tc>
        <w:tc>
          <w:tcPr>
            <w:tcW w:w="4166" w:type="dxa"/>
            <w:tcBorders>
              <w:top w:val="single" w:color="auto" w:sz="12" w:space="0"/>
              <w:bottom w:val="single" w:color="auto" w:sz="4" w:space="0"/>
              <w:right w:val="nil"/>
            </w:tcBorders>
            <w:vAlign w:val="center"/>
          </w:tcPr>
          <w:p>
            <w:pPr>
              <w:pStyle w:val="56"/>
              <w:rPr>
                <w:color w:val="000000"/>
              </w:rPr>
            </w:pPr>
            <w:r>
              <w:rPr>
                <w:color w:val="000000"/>
              </w:rPr>
              <w:t>事故原因及破坏情况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top w:val="single" w:color="auto" w:sz="4" w:space="0"/>
              <w:left w:val="nil"/>
            </w:tcBorders>
            <w:vAlign w:val="center"/>
          </w:tcPr>
          <w:p>
            <w:pPr>
              <w:pStyle w:val="56"/>
              <w:rPr>
                <w:color w:val="000000"/>
              </w:rPr>
            </w:pPr>
            <w:r>
              <w:rPr>
                <w:color w:val="000000"/>
              </w:rPr>
              <w:t>云锡大屯坝</w:t>
            </w:r>
          </w:p>
        </w:tc>
        <w:tc>
          <w:tcPr>
            <w:tcW w:w="1202" w:type="dxa"/>
            <w:tcBorders>
              <w:top w:val="single" w:color="auto" w:sz="4" w:space="0"/>
            </w:tcBorders>
            <w:vAlign w:val="center"/>
          </w:tcPr>
          <w:p>
            <w:pPr>
              <w:pStyle w:val="56"/>
              <w:rPr>
                <w:color w:val="000000"/>
              </w:rPr>
            </w:pPr>
            <w:r>
              <w:rPr>
                <w:color w:val="000000"/>
              </w:rPr>
              <w:t>1957～1958</w:t>
            </w:r>
          </w:p>
        </w:tc>
        <w:tc>
          <w:tcPr>
            <w:tcW w:w="4166" w:type="dxa"/>
            <w:tcBorders>
              <w:top w:val="single" w:color="auto" w:sz="4" w:space="0"/>
              <w:right w:val="nil"/>
            </w:tcBorders>
            <w:vAlign w:val="center"/>
          </w:tcPr>
          <w:p>
            <w:pPr>
              <w:pStyle w:val="56"/>
              <w:rPr>
                <w:color w:val="000000"/>
              </w:rPr>
            </w:pPr>
            <w:r>
              <w:rPr>
                <w:color w:val="000000"/>
              </w:rPr>
              <w:t>两次洪水漫顶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归美山坝</w:t>
            </w:r>
          </w:p>
        </w:tc>
        <w:tc>
          <w:tcPr>
            <w:tcW w:w="1202" w:type="dxa"/>
            <w:vAlign w:val="center"/>
          </w:tcPr>
          <w:p>
            <w:pPr>
              <w:pStyle w:val="56"/>
              <w:rPr>
                <w:color w:val="000000"/>
              </w:rPr>
            </w:pPr>
            <w:r>
              <w:rPr>
                <w:color w:val="000000"/>
              </w:rPr>
              <w:t>1960</w:t>
            </w:r>
          </w:p>
        </w:tc>
        <w:tc>
          <w:tcPr>
            <w:tcW w:w="4166" w:type="dxa"/>
            <w:tcBorders>
              <w:right w:val="nil"/>
            </w:tcBorders>
            <w:vAlign w:val="center"/>
          </w:tcPr>
          <w:p>
            <w:pPr>
              <w:pStyle w:val="56"/>
              <w:rPr>
                <w:color w:val="000000"/>
              </w:rPr>
            </w:pPr>
            <w:r>
              <w:rPr>
                <w:color w:val="000000"/>
              </w:rPr>
              <w:t>坝高16m，洪水漫顶溃坝淹没农田400余亩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云锡火谷都坝</w:t>
            </w:r>
          </w:p>
        </w:tc>
        <w:tc>
          <w:tcPr>
            <w:tcW w:w="1202" w:type="dxa"/>
            <w:vAlign w:val="center"/>
          </w:tcPr>
          <w:p>
            <w:pPr>
              <w:pStyle w:val="56"/>
              <w:rPr>
                <w:color w:val="000000"/>
              </w:rPr>
            </w:pPr>
            <w:r>
              <w:rPr>
                <w:color w:val="000000"/>
              </w:rPr>
              <w:t>1962</w:t>
            </w:r>
          </w:p>
        </w:tc>
        <w:tc>
          <w:tcPr>
            <w:tcW w:w="4166" w:type="dxa"/>
            <w:tcBorders>
              <w:right w:val="nil"/>
            </w:tcBorders>
            <w:vAlign w:val="center"/>
          </w:tcPr>
          <w:p>
            <w:pPr>
              <w:pStyle w:val="56"/>
              <w:rPr>
                <w:color w:val="000000"/>
              </w:rPr>
            </w:pPr>
            <w:r>
              <w:rPr>
                <w:color w:val="000000"/>
              </w:rPr>
              <w:t>坝高31m，溃坝流失尾矿370万m</w:t>
            </w:r>
            <w:r>
              <w:rPr>
                <w:color w:val="00000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银山铅锌矿尾矿坝</w:t>
            </w:r>
          </w:p>
        </w:tc>
        <w:tc>
          <w:tcPr>
            <w:tcW w:w="1202" w:type="dxa"/>
            <w:vAlign w:val="center"/>
          </w:tcPr>
          <w:p>
            <w:pPr>
              <w:pStyle w:val="56"/>
              <w:rPr>
                <w:color w:val="000000"/>
              </w:rPr>
            </w:pPr>
            <w:r>
              <w:rPr>
                <w:color w:val="000000"/>
              </w:rPr>
              <w:t>1962</w:t>
            </w:r>
          </w:p>
        </w:tc>
        <w:tc>
          <w:tcPr>
            <w:tcW w:w="4166" w:type="dxa"/>
            <w:tcBorders>
              <w:right w:val="nil"/>
            </w:tcBorders>
            <w:vAlign w:val="center"/>
          </w:tcPr>
          <w:p>
            <w:pPr>
              <w:pStyle w:val="56"/>
              <w:rPr>
                <w:color w:val="000000"/>
              </w:rPr>
            </w:pPr>
            <w:r>
              <w:rPr>
                <w:color w:val="000000"/>
              </w:rPr>
              <w:t>坝高12.5m，洪水漫顶溃坝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汝城红卫尾矿坝</w:t>
            </w:r>
          </w:p>
        </w:tc>
        <w:tc>
          <w:tcPr>
            <w:tcW w:w="1202" w:type="dxa"/>
            <w:vAlign w:val="center"/>
          </w:tcPr>
          <w:p>
            <w:pPr>
              <w:pStyle w:val="56"/>
              <w:rPr>
                <w:color w:val="000000"/>
              </w:rPr>
            </w:pPr>
            <w:r>
              <w:rPr>
                <w:color w:val="000000"/>
              </w:rPr>
              <w:t>1980</w:t>
            </w:r>
          </w:p>
        </w:tc>
        <w:tc>
          <w:tcPr>
            <w:tcW w:w="4166" w:type="dxa"/>
            <w:tcBorders>
              <w:right w:val="nil"/>
            </w:tcBorders>
            <w:vAlign w:val="center"/>
          </w:tcPr>
          <w:p>
            <w:pPr>
              <w:pStyle w:val="56"/>
              <w:rPr>
                <w:color w:val="000000"/>
              </w:rPr>
            </w:pPr>
            <w:r>
              <w:rPr>
                <w:color w:val="000000"/>
              </w:rPr>
              <w:t>垮坝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石人嶂师姑山坑口尾矿坝</w:t>
            </w:r>
          </w:p>
        </w:tc>
        <w:tc>
          <w:tcPr>
            <w:tcW w:w="1202" w:type="dxa"/>
            <w:vAlign w:val="center"/>
          </w:tcPr>
          <w:p>
            <w:pPr>
              <w:pStyle w:val="56"/>
              <w:rPr>
                <w:color w:val="000000"/>
              </w:rPr>
            </w:pPr>
            <w:r>
              <w:rPr>
                <w:color w:val="000000"/>
              </w:rPr>
              <w:t>1980</w:t>
            </w:r>
          </w:p>
        </w:tc>
        <w:tc>
          <w:tcPr>
            <w:tcW w:w="4166" w:type="dxa"/>
            <w:tcBorders>
              <w:right w:val="nil"/>
            </w:tcBorders>
            <w:vAlign w:val="center"/>
          </w:tcPr>
          <w:p>
            <w:pPr>
              <w:pStyle w:val="56"/>
              <w:rPr>
                <w:color w:val="000000"/>
              </w:rPr>
            </w:pPr>
            <w:r>
              <w:rPr>
                <w:color w:val="000000"/>
              </w:rPr>
              <w:t>垮坝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新风老尾矿坝</w:t>
            </w:r>
          </w:p>
        </w:tc>
        <w:tc>
          <w:tcPr>
            <w:tcW w:w="1202" w:type="dxa"/>
            <w:vAlign w:val="center"/>
          </w:tcPr>
          <w:p>
            <w:pPr>
              <w:pStyle w:val="56"/>
              <w:rPr>
                <w:color w:val="000000"/>
              </w:rPr>
            </w:pPr>
            <w:r>
              <w:rPr>
                <w:color w:val="000000"/>
              </w:rPr>
              <w:t>1980</w:t>
            </w:r>
          </w:p>
        </w:tc>
        <w:tc>
          <w:tcPr>
            <w:tcW w:w="4166" w:type="dxa"/>
            <w:tcBorders>
              <w:right w:val="nil"/>
            </w:tcBorders>
            <w:vAlign w:val="center"/>
          </w:tcPr>
          <w:p>
            <w:pPr>
              <w:pStyle w:val="56"/>
              <w:rPr>
                <w:color w:val="000000"/>
              </w:rPr>
            </w:pPr>
            <w:r>
              <w:rPr>
                <w:color w:val="000000"/>
              </w:rPr>
              <w:t>垮坝二次，曾被迫停产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山西塔儿山铁矿尾矿坝</w:t>
            </w:r>
          </w:p>
        </w:tc>
        <w:tc>
          <w:tcPr>
            <w:tcW w:w="1202" w:type="dxa"/>
            <w:vAlign w:val="center"/>
          </w:tcPr>
          <w:p>
            <w:pPr>
              <w:pStyle w:val="56"/>
              <w:rPr>
                <w:color w:val="000000"/>
              </w:rPr>
            </w:pPr>
            <w:r>
              <w:rPr>
                <w:color w:val="000000"/>
              </w:rPr>
              <w:t>1985</w:t>
            </w:r>
          </w:p>
        </w:tc>
        <w:tc>
          <w:tcPr>
            <w:tcW w:w="4166" w:type="dxa"/>
            <w:tcBorders>
              <w:right w:val="nil"/>
            </w:tcBorders>
            <w:vAlign w:val="center"/>
          </w:tcPr>
          <w:p>
            <w:pPr>
              <w:pStyle w:val="56"/>
              <w:rPr>
                <w:color w:val="000000"/>
              </w:rPr>
            </w:pPr>
            <w:r>
              <w:rPr>
                <w:color w:val="000000"/>
              </w:rPr>
              <w:t>洪水漫顶溃坝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东坡有色矿尾矿坝</w:t>
            </w:r>
          </w:p>
        </w:tc>
        <w:tc>
          <w:tcPr>
            <w:tcW w:w="1202" w:type="dxa"/>
            <w:vAlign w:val="center"/>
          </w:tcPr>
          <w:p>
            <w:pPr>
              <w:pStyle w:val="56"/>
              <w:rPr>
                <w:color w:val="000000"/>
              </w:rPr>
            </w:pPr>
            <w:r>
              <w:rPr>
                <w:color w:val="000000"/>
              </w:rPr>
              <w:t>1985</w:t>
            </w:r>
          </w:p>
        </w:tc>
        <w:tc>
          <w:tcPr>
            <w:tcW w:w="4166" w:type="dxa"/>
            <w:tcBorders>
              <w:right w:val="nil"/>
            </w:tcBorders>
            <w:vAlign w:val="center"/>
          </w:tcPr>
          <w:p>
            <w:pPr>
              <w:pStyle w:val="56"/>
              <w:rPr>
                <w:color w:val="000000"/>
              </w:rPr>
            </w:pPr>
            <w:r>
              <w:rPr>
                <w:color w:val="000000"/>
              </w:rPr>
              <w:t>洪水漫顶溃坝，摧毁许多房屋，死亡46人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柿竹园多金属矿试选厂</w:t>
            </w:r>
          </w:p>
        </w:tc>
        <w:tc>
          <w:tcPr>
            <w:tcW w:w="1202" w:type="dxa"/>
            <w:vAlign w:val="center"/>
          </w:tcPr>
          <w:p>
            <w:pPr>
              <w:pStyle w:val="56"/>
              <w:rPr>
                <w:color w:val="000000"/>
              </w:rPr>
            </w:pPr>
            <w:r>
              <w:rPr>
                <w:color w:val="000000"/>
              </w:rPr>
              <w:t>1985</w:t>
            </w:r>
          </w:p>
        </w:tc>
        <w:tc>
          <w:tcPr>
            <w:tcW w:w="4166" w:type="dxa"/>
            <w:tcBorders>
              <w:right w:val="nil"/>
            </w:tcBorders>
            <w:vAlign w:val="center"/>
          </w:tcPr>
          <w:p>
            <w:pPr>
              <w:pStyle w:val="56"/>
              <w:rPr>
                <w:color w:val="000000"/>
              </w:rPr>
            </w:pPr>
            <w:r>
              <w:rPr>
                <w:color w:val="000000"/>
              </w:rPr>
              <w:t>洪水溃顶停产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湘东2#尾矿坝</w:t>
            </w:r>
          </w:p>
        </w:tc>
        <w:tc>
          <w:tcPr>
            <w:tcW w:w="1202" w:type="dxa"/>
            <w:vAlign w:val="center"/>
          </w:tcPr>
          <w:p>
            <w:pPr>
              <w:pStyle w:val="56"/>
              <w:rPr>
                <w:color w:val="000000"/>
              </w:rPr>
            </w:pPr>
            <w:r>
              <w:rPr>
                <w:color w:val="000000"/>
              </w:rPr>
              <w:t>1986</w:t>
            </w:r>
          </w:p>
        </w:tc>
        <w:tc>
          <w:tcPr>
            <w:tcW w:w="4166" w:type="dxa"/>
            <w:tcBorders>
              <w:right w:val="nil"/>
            </w:tcBorders>
            <w:vAlign w:val="center"/>
          </w:tcPr>
          <w:p>
            <w:pPr>
              <w:pStyle w:val="56"/>
              <w:rPr>
                <w:color w:val="000000"/>
              </w:rPr>
            </w:pPr>
            <w:r>
              <w:rPr>
                <w:color w:val="000000"/>
              </w:rPr>
              <w:t>洪水冲垮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黄梅山铁矿尾矿坝</w:t>
            </w:r>
          </w:p>
        </w:tc>
        <w:tc>
          <w:tcPr>
            <w:tcW w:w="1202" w:type="dxa"/>
            <w:vAlign w:val="center"/>
          </w:tcPr>
          <w:p>
            <w:pPr>
              <w:pStyle w:val="56"/>
              <w:rPr>
                <w:color w:val="000000"/>
              </w:rPr>
            </w:pPr>
            <w:r>
              <w:rPr>
                <w:color w:val="000000"/>
              </w:rPr>
              <w:t>1986</w:t>
            </w:r>
          </w:p>
        </w:tc>
        <w:tc>
          <w:tcPr>
            <w:tcW w:w="4166" w:type="dxa"/>
            <w:tcBorders>
              <w:right w:val="nil"/>
            </w:tcBorders>
            <w:vAlign w:val="center"/>
          </w:tcPr>
          <w:p>
            <w:pPr>
              <w:pStyle w:val="56"/>
              <w:rPr>
                <w:color w:val="000000"/>
              </w:rPr>
            </w:pPr>
            <w:r>
              <w:rPr>
                <w:color w:val="000000"/>
              </w:rPr>
              <w:t>溃坝，大面积农田被毁，房舍冲塌，死亡19人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河南滦川县赤土店乡钼矿尾矿库</w:t>
            </w:r>
          </w:p>
        </w:tc>
        <w:tc>
          <w:tcPr>
            <w:tcW w:w="1202" w:type="dxa"/>
            <w:vAlign w:val="center"/>
          </w:tcPr>
          <w:p>
            <w:pPr>
              <w:pStyle w:val="56"/>
              <w:rPr>
                <w:color w:val="000000"/>
              </w:rPr>
            </w:pPr>
            <w:r>
              <w:rPr>
                <w:color w:val="000000"/>
              </w:rPr>
              <w:t>1992</w:t>
            </w:r>
          </w:p>
        </w:tc>
        <w:tc>
          <w:tcPr>
            <w:tcW w:w="4166" w:type="dxa"/>
            <w:tcBorders>
              <w:right w:val="nil"/>
            </w:tcBorders>
            <w:vAlign w:val="center"/>
          </w:tcPr>
          <w:p>
            <w:pPr>
              <w:pStyle w:val="56"/>
              <w:rPr>
                <w:color w:val="000000"/>
              </w:rPr>
            </w:pPr>
            <w:r>
              <w:rPr>
                <w:color w:val="000000"/>
              </w:rPr>
              <w:t>大规模坍塌，死亡12人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tcBorders>
            <w:vAlign w:val="center"/>
          </w:tcPr>
          <w:p>
            <w:pPr>
              <w:pStyle w:val="56"/>
              <w:rPr>
                <w:color w:val="000000"/>
              </w:rPr>
            </w:pPr>
            <w:r>
              <w:rPr>
                <w:color w:val="000000"/>
              </w:rPr>
              <w:t>福建省潘洛铁矿库区</w:t>
            </w:r>
          </w:p>
        </w:tc>
        <w:tc>
          <w:tcPr>
            <w:tcW w:w="1202" w:type="dxa"/>
            <w:vAlign w:val="center"/>
          </w:tcPr>
          <w:p>
            <w:pPr>
              <w:pStyle w:val="56"/>
              <w:rPr>
                <w:color w:val="000000"/>
              </w:rPr>
            </w:pPr>
            <w:r>
              <w:rPr>
                <w:color w:val="000000"/>
              </w:rPr>
              <w:t>1993</w:t>
            </w:r>
          </w:p>
        </w:tc>
        <w:tc>
          <w:tcPr>
            <w:tcW w:w="4166" w:type="dxa"/>
            <w:tcBorders>
              <w:right w:val="nil"/>
            </w:tcBorders>
            <w:vAlign w:val="center"/>
          </w:tcPr>
          <w:p>
            <w:pPr>
              <w:pStyle w:val="56"/>
              <w:rPr>
                <w:color w:val="000000"/>
              </w:rPr>
            </w:pPr>
            <w:r>
              <w:rPr>
                <w:color w:val="000000"/>
              </w:rPr>
              <w:t>山体大规模滑坡，造成14人死亡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3154" w:type="dxa"/>
            <w:tcBorders>
              <w:left w:val="nil"/>
              <w:bottom w:val="single" w:color="auto" w:sz="12" w:space="0"/>
            </w:tcBorders>
            <w:vAlign w:val="center"/>
          </w:tcPr>
          <w:p>
            <w:pPr>
              <w:pStyle w:val="56"/>
              <w:rPr>
                <w:color w:val="000000"/>
              </w:rPr>
            </w:pPr>
            <w:r>
              <w:rPr>
                <w:color w:val="000000"/>
              </w:rPr>
              <w:t>湖北省大冶公司龙角山铜矿尾矿库</w:t>
            </w:r>
          </w:p>
        </w:tc>
        <w:tc>
          <w:tcPr>
            <w:tcW w:w="1202" w:type="dxa"/>
            <w:tcBorders>
              <w:bottom w:val="single" w:color="auto" w:sz="12" w:space="0"/>
            </w:tcBorders>
            <w:vAlign w:val="center"/>
          </w:tcPr>
          <w:p>
            <w:pPr>
              <w:pStyle w:val="56"/>
              <w:rPr>
                <w:color w:val="000000"/>
              </w:rPr>
            </w:pPr>
            <w:r>
              <w:rPr>
                <w:color w:val="000000"/>
              </w:rPr>
              <w:t>1994</w:t>
            </w:r>
          </w:p>
        </w:tc>
        <w:tc>
          <w:tcPr>
            <w:tcW w:w="4166" w:type="dxa"/>
            <w:tcBorders>
              <w:bottom w:val="single" w:color="auto" w:sz="12" w:space="0"/>
              <w:right w:val="nil"/>
            </w:tcBorders>
            <w:vAlign w:val="center"/>
          </w:tcPr>
          <w:p>
            <w:pPr>
              <w:pStyle w:val="56"/>
              <w:rPr>
                <w:color w:val="000000"/>
              </w:rPr>
            </w:pPr>
            <w:r>
              <w:rPr>
                <w:color w:val="000000"/>
              </w:rPr>
              <w:t>死亡28人</w:t>
            </w:r>
          </w:p>
        </w:tc>
      </w:tr>
    </w:tbl>
    <w:p>
      <w:pPr>
        <w:pStyle w:val="76"/>
        <w:jc w:val="center"/>
        <w:rPr>
          <w:b/>
          <w:color w:val="000000"/>
          <w:sz w:val="24"/>
        </w:rPr>
      </w:pPr>
    </w:p>
    <w:p>
      <w:pPr>
        <w:pStyle w:val="76"/>
        <w:jc w:val="center"/>
        <w:rPr>
          <w:b/>
          <w:color w:val="000000"/>
          <w:sz w:val="24"/>
        </w:rPr>
      </w:pPr>
      <w:r>
        <w:rPr>
          <w:b/>
          <w:color w:val="000000"/>
          <w:sz w:val="24"/>
        </w:rPr>
        <w:t>表</w:t>
      </w:r>
      <w:r>
        <w:rPr>
          <w:rFonts w:hint="eastAsia"/>
          <w:b/>
          <w:color w:val="000000"/>
          <w:sz w:val="24"/>
        </w:rPr>
        <w:t xml:space="preserve">8-9 </w:t>
      </w:r>
      <w:r>
        <w:rPr>
          <w:b/>
          <w:color w:val="000000"/>
          <w:sz w:val="24"/>
        </w:rPr>
        <w:t>近年国内尾矿库溃坝典型案例</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501"/>
        <w:gridCol w:w="2554"/>
        <w:gridCol w:w="2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8" w:type="dxa"/>
            <w:tcBorders>
              <w:bottom w:val="single" w:color="auto" w:sz="4" w:space="0"/>
            </w:tcBorders>
            <w:vAlign w:val="center"/>
          </w:tcPr>
          <w:p>
            <w:pPr>
              <w:pStyle w:val="56"/>
              <w:rPr>
                <w:color w:val="000000"/>
              </w:rPr>
            </w:pPr>
            <w:r>
              <w:rPr>
                <w:color w:val="000000"/>
              </w:rPr>
              <w:t>时间</w:t>
            </w:r>
          </w:p>
        </w:tc>
        <w:tc>
          <w:tcPr>
            <w:tcW w:w="2501" w:type="dxa"/>
            <w:tcBorders>
              <w:bottom w:val="single" w:color="auto" w:sz="4" w:space="0"/>
            </w:tcBorders>
            <w:vAlign w:val="center"/>
          </w:tcPr>
          <w:p>
            <w:pPr>
              <w:pStyle w:val="56"/>
              <w:rPr>
                <w:color w:val="000000"/>
              </w:rPr>
            </w:pPr>
            <w:r>
              <w:rPr>
                <w:color w:val="000000"/>
              </w:rPr>
              <w:t>地点</w:t>
            </w:r>
          </w:p>
        </w:tc>
        <w:tc>
          <w:tcPr>
            <w:tcW w:w="2554" w:type="dxa"/>
            <w:tcBorders>
              <w:bottom w:val="single" w:color="auto" w:sz="4" w:space="0"/>
            </w:tcBorders>
            <w:vAlign w:val="center"/>
          </w:tcPr>
          <w:p>
            <w:pPr>
              <w:pStyle w:val="56"/>
              <w:rPr>
                <w:color w:val="000000"/>
              </w:rPr>
            </w:pPr>
            <w:r>
              <w:rPr>
                <w:color w:val="000000"/>
              </w:rPr>
              <w:t>事故</w:t>
            </w:r>
          </w:p>
        </w:tc>
        <w:tc>
          <w:tcPr>
            <w:tcW w:w="2339" w:type="dxa"/>
            <w:tcBorders>
              <w:bottom w:val="single" w:color="auto" w:sz="4" w:space="0"/>
            </w:tcBorders>
            <w:vAlign w:val="center"/>
          </w:tcPr>
          <w:p>
            <w:pPr>
              <w:pStyle w:val="56"/>
              <w:rPr>
                <w:color w:val="000000"/>
              </w:rPr>
            </w:pPr>
            <w:r>
              <w:rPr>
                <w:color w:val="000000"/>
              </w:rPr>
              <w:t>事故原因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tcBorders>
              <w:top w:val="single" w:color="auto" w:sz="4" w:space="0"/>
            </w:tcBorders>
            <w:vAlign w:val="center"/>
          </w:tcPr>
          <w:p>
            <w:pPr>
              <w:pStyle w:val="56"/>
              <w:rPr>
                <w:color w:val="000000"/>
              </w:rPr>
            </w:pPr>
            <w:r>
              <w:rPr>
                <w:color w:val="000000"/>
              </w:rPr>
              <w:t>2000.10.18</w:t>
            </w:r>
          </w:p>
        </w:tc>
        <w:tc>
          <w:tcPr>
            <w:tcW w:w="2501" w:type="dxa"/>
            <w:tcBorders>
              <w:top w:val="single" w:color="auto" w:sz="4" w:space="0"/>
            </w:tcBorders>
            <w:vAlign w:val="center"/>
          </w:tcPr>
          <w:p>
            <w:pPr>
              <w:pStyle w:val="56"/>
              <w:rPr>
                <w:color w:val="000000"/>
              </w:rPr>
            </w:pPr>
            <w:r>
              <w:rPr>
                <w:color w:val="000000"/>
              </w:rPr>
              <w:t>广西南丹县鸿图选矿厂</w:t>
            </w:r>
          </w:p>
        </w:tc>
        <w:tc>
          <w:tcPr>
            <w:tcW w:w="2554" w:type="dxa"/>
            <w:tcBorders>
              <w:top w:val="single" w:color="auto" w:sz="4" w:space="0"/>
            </w:tcBorders>
            <w:vAlign w:val="center"/>
          </w:tcPr>
          <w:p>
            <w:pPr>
              <w:pStyle w:val="56"/>
              <w:rPr>
                <w:color w:val="000000"/>
              </w:rPr>
            </w:pPr>
            <w:r>
              <w:rPr>
                <w:color w:val="000000"/>
              </w:rPr>
              <w:t>尾矿库塌坝，泥流延绵600 m</w:t>
            </w:r>
          </w:p>
        </w:tc>
        <w:tc>
          <w:tcPr>
            <w:tcW w:w="2339" w:type="dxa"/>
            <w:tcBorders>
              <w:top w:val="single" w:color="auto" w:sz="4" w:space="0"/>
            </w:tcBorders>
            <w:vAlign w:val="center"/>
          </w:tcPr>
          <w:p>
            <w:pPr>
              <w:pStyle w:val="56"/>
              <w:rPr>
                <w:color w:val="000000"/>
              </w:rPr>
            </w:pPr>
            <w:r>
              <w:rPr>
                <w:color w:val="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pPr>
              <w:pStyle w:val="56"/>
              <w:rPr>
                <w:color w:val="000000"/>
              </w:rPr>
            </w:pPr>
            <w:r>
              <w:rPr>
                <w:color w:val="000000"/>
              </w:rPr>
              <w:t>2006.4.30</w:t>
            </w:r>
          </w:p>
        </w:tc>
        <w:tc>
          <w:tcPr>
            <w:tcW w:w="2501" w:type="dxa"/>
            <w:vAlign w:val="center"/>
          </w:tcPr>
          <w:p>
            <w:pPr>
              <w:pStyle w:val="56"/>
              <w:rPr>
                <w:color w:val="000000"/>
              </w:rPr>
            </w:pPr>
            <w:r>
              <w:rPr>
                <w:color w:val="000000"/>
                <w:szCs w:val="21"/>
              </w:rPr>
              <w:t>河南商洛市镇安县黄金矿业有限责任公司</w:t>
            </w:r>
          </w:p>
        </w:tc>
        <w:tc>
          <w:tcPr>
            <w:tcW w:w="2554" w:type="dxa"/>
            <w:vAlign w:val="center"/>
          </w:tcPr>
          <w:p>
            <w:pPr>
              <w:pStyle w:val="56"/>
              <w:rPr>
                <w:color w:val="000000"/>
              </w:rPr>
            </w:pPr>
            <w:r>
              <w:rPr>
                <w:color w:val="000000"/>
                <w:szCs w:val="21"/>
              </w:rPr>
              <w:t>溃坝, 76间民房毁坏，造成15人死亡、2人失踪、5人受伤</w:t>
            </w:r>
          </w:p>
        </w:tc>
        <w:tc>
          <w:tcPr>
            <w:tcW w:w="2339" w:type="dxa"/>
            <w:vAlign w:val="center"/>
          </w:tcPr>
          <w:p>
            <w:pPr>
              <w:pStyle w:val="56"/>
              <w:rPr>
                <w:color w:val="000000"/>
              </w:rPr>
            </w:pPr>
            <w:r>
              <w:rPr>
                <w:color w:val="000000"/>
                <w:szCs w:val="21"/>
              </w:rPr>
              <w:t>擅自加坝进行扩容，生产中违规放矿，致使干滩长度和安全超高不符合安全规定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pPr>
              <w:pStyle w:val="56"/>
              <w:rPr>
                <w:color w:val="000000"/>
              </w:rPr>
            </w:pPr>
            <w:r>
              <w:rPr>
                <w:color w:val="000000"/>
              </w:rPr>
              <w:t>2006.4.24</w:t>
            </w:r>
          </w:p>
        </w:tc>
        <w:tc>
          <w:tcPr>
            <w:tcW w:w="2501" w:type="dxa"/>
            <w:vAlign w:val="center"/>
          </w:tcPr>
          <w:p>
            <w:pPr>
              <w:pStyle w:val="56"/>
              <w:rPr>
                <w:color w:val="000000"/>
              </w:rPr>
            </w:pPr>
            <w:r>
              <w:rPr>
                <w:color w:val="000000"/>
                <w:szCs w:val="21"/>
              </w:rPr>
              <w:t>迁安市蔡园镇某铁矿</w:t>
            </w:r>
          </w:p>
        </w:tc>
        <w:tc>
          <w:tcPr>
            <w:tcW w:w="2554" w:type="dxa"/>
            <w:vAlign w:val="center"/>
          </w:tcPr>
          <w:p>
            <w:pPr>
              <w:pStyle w:val="56"/>
              <w:jc w:val="both"/>
              <w:rPr>
                <w:color w:val="000000"/>
              </w:rPr>
            </w:pPr>
            <w:r>
              <w:rPr>
                <w:color w:val="000000"/>
              </w:rPr>
              <w:t>溃坝，</w:t>
            </w:r>
            <w:r>
              <w:rPr>
                <w:color w:val="000000"/>
                <w:szCs w:val="21"/>
              </w:rPr>
              <w:t>1人已死亡，被埋的另外5人下落不明</w:t>
            </w:r>
          </w:p>
        </w:tc>
        <w:tc>
          <w:tcPr>
            <w:tcW w:w="2339" w:type="dxa"/>
            <w:vAlign w:val="center"/>
          </w:tcPr>
          <w:p>
            <w:pPr>
              <w:pStyle w:val="56"/>
              <w:rPr>
                <w:color w:val="000000"/>
              </w:rPr>
            </w:pPr>
            <w:r>
              <w:rPr>
                <w:color w:val="000000"/>
                <w:szCs w:val="21"/>
              </w:rPr>
              <w:t>修补尾矿坝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pPr>
              <w:pStyle w:val="56"/>
              <w:rPr>
                <w:color w:val="000000"/>
              </w:rPr>
            </w:pPr>
            <w:r>
              <w:rPr>
                <w:color w:val="000000"/>
              </w:rPr>
              <w:t>2006.12.27</w:t>
            </w:r>
          </w:p>
        </w:tc>
        <w:tc>
          <w:tcPr>
            <w:tcW w:w="2501" w:type="dxa"/>
            <w:vAlign w:val="center"/>
          </w:tcPr>
          <w:p>
            <w:pPr>
              <w:pStyle w:val="56"/>
              <w:rPr>
                <w:color w:val="000000"/>
                <w:szCs w:val="21"/>
              </w:rPr>
            </w:pPr>
            <w:r>
              <w:rPr>
                <w:color w:val="000000"/>
                <w:szCs w:val="21"/>
              </w:rPr>
              <w:t>贵州紫金公司水银洞金矿</w:t>
            </w:r>
          </w:p>
        </w:tc>
        <w:tc>
          <w:tcPr>
            <w:tcW w:w="2554" w:type="dxa"/>
            <w:vAlign w:val="center"/>
          </w:tcPr>
          <w:p>
            <w:pPr>
              <w:pStyle w:val="56"/>
              <w:jc w:val="both"/>
              <w:rPr>
                <w:color w:val="000000"/>
              </w:rPr>
            </w:pPr>
            <w:r>
              <w:rPr>
                <w:color w:val="000000"/>
                <w:szCs w:val="21"/>
              </w:rPr>
              <w:t>子坝滑脱，20万m</w:t>
            </w:r>
            <w:r>
              <w:rPr>
                <w:color w:val="000000"/>
                <w:szCs w:val="21"/>
                <w:vertAlign w:val="superscript"/>
              </w:rPr>
              <w:t>3</w:t>
            </w:r>
            <w:r>
              <w:rPr>
                <w:color w:val="000000"/>
                <w:szCs w:val="21"/>
              </w:rPr>
              <w:t>废渣、废水溢出</w:t>
            </w:r>
          </w:p>
        </w:tc>
        <w:tc>
          <w:tcPr>
            <w:tcW w:w="2339" w:type="dxa"/>
            <w:vAlign w:val="center"/>
          </w:tcPr>
          <w:p>
            <w:pPr>
              <w:pStyle w:val="56"/>
              <w:rPr>
                <w:color w:val="000000"/>
                <w:szCs w:val="21"/>
              </w:rPr>
            </w:pPr>
            <w:r>
              <w:rPr>
                <w:color w:val="000000"/>
                <w:szCs w:val="21"/>
              </w:rPr>
              <w:t>尾矿坝施工质量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pPr>
              <w:pStyle w:val="56"/>
              <w:rPr>
                <w:color w:val="000000"/>
              </w:rPr>
            </w:pPr>
            <w:r>
              <w:rPr>
                <w:color w:val="000000"/>
              </w:rPr>
              <w:t>2006.7.14</w:t>
            </w:r>
          </w:p>
        </w:tc>
        <w:tc>
          <w:tcPr>
            <w:tcW w:w="2501" w:type="dxa"/>
            <w:vAlign w:val="center"/>
          </w:tcPr>
          <w:p>
            <w:pPr>
              <w:pStyle w:val="56"/>
              <w:rPr>
                <w:color w:val="000000"/>
                <w:szCs w:val="21"/>
              </w:rPr>
            </w:pPr>
            <w:r>
              <w:rPr>
                <w:color w:val="000000"/>
                <w:szCs w:val="21"/>
              </w:rPr>
              <w:t>陕西略阳小畅沟金矿</w:t>
            </w:r>
          </w:p>
        </w:tc>
        <w:tc>
          <w:tcPr>
            <w:tcW w:w="2554" w:type="dxa"/>
            <w:vAlign w:val="center"/>
          </w:tcPr>
          <w:p>
            <w:pPr>
              <w:pStyle w:val="56"/>
              <w:rPr>
                <w:color w:val="000000"/>
              </w:rPr>
            </w:pPr>
            <w:r>
              <w:rPr>
                <w:color w:val="000000"/>
              </w:rPr>
              <w:t>尾矿库泄漏</w:t>
            </w:r>
          </w:p>
        </w:tc>
        <w:tc>
          <w:tcPr>
            <w:tcW w:w="2339" w:type="dxa"/>
            <w:vAlign w:val="center"/>
          </w:tcPr>
          <w:p>
            <w:pPr>
              <w:pStyle w:val="56"/>
              <w:rPr>
                <w:color w:val="000000"/>
                <w:szCs w:val="21"/>
              </w:rPr>
            </w:pPr>
            <w:r>
              <w:rPr>
                <w:color w:val="000000"/>
                <w:szCs w:val="21"/>
              </w:rPr>
              <w:t>擅自挖坝掏取尾矿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pPr>
              <w:pStyle w:val="56"/>
              <w:rPr>
                <w:color w:val="000000"/>
              </w:rPr>
            </w:pPr>
            <w:r>
              <w:rPr>
                <w:color w:val="000000"/>
              </w:rPr>
              <w:t>2006.5.30</w:t>
            </w:r>
          </w:p>
        </w:tc>
        <w:tc>
          <w:tcPr>
            <w:tcW w:w="2501" w:type="dxa"/>
            <w:vAlign w:val="center"/>
          </w:tcPr>
          <w:p>
            <w:pPr>
              <w:pStyle w:val="56"/>
              <w:rPr>
                <w:color w:val="000000"/>
                <w:szCs w:val="21"/>
              </w:rPr>
            </w:pPr>
            <w:r>
              <w:rPr>
                <w:color w:val="000000"/>
                <w:szCs w:val="21"/>
              </w:rPr>
              <w:t>陕西旬阳一选矿厂</w:t>
            </w:r>
          </w:p>
        </w:tc>
        <w:tc>
          <w:tcPr>
            <w:tcW w:w="2554" w:type="dxa"/>
            <w:vAlign w:val="center"/>
          </w:tcPr>
          <w:p>
            <w:pPr>
              <w:pStyle w:val="56"/>
              <w:rPr>
                <w:color w:val="000000"/>
              </w:rPr>
            </w:pPr>
            <w:r>
              <w:rPr>
                <w:color w:val="000000"/>
                <w:szCs w:val="21"/>
              </w:rPr>
              <w:t>尾矿库山体滑塌，3人失踪</w:t>
            </w:r>
          </w:p>
        </w:tc>
        <w:tc>
          <w:tcPr>
            <w:tcW w:w="2339" w:type="dxa"/>
            <w:vAlign w:val="center"/>
          </w:tcPr>
          <w:p>
            <w:pPr>
              <w:pStyle w:val="56"/>
              <w:rPr>
                <w:color w:val="000000"/>
                <w:szCs w:val="21"/>
              </w:rPr>
            </w:pPr>
            <w:r>
              <w:rPr>
                <w:color w:val="000000"/>
                <w:szCs w:val="21"/>
              </w:rPr>
              <w:t>施工取土不科学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pPr>
              <w:pStyle w:val="56"/>
              <w:rPr>
                <w:color w:val="000000"/>
              </w:rPr>
            </w:pPr>
            <w:r>
              <w:rPr>
                <w:color w:val="000000"/>
              </w:rPr>
              <w:t>2006.10.7</w:t>
            </w:r>
          </w:p>
        </w:tc>
        <w:tc>
          <w:tcPr>
            <w:tcW w:w="2501" w:type="dxa"/>
            <w:vAlign w:val="center"/>
          </w:tcPr>
          <w:p>
            <w:pPr>
              <w:pStyle w:val="56"/>
              <w:rPr>
                <w:color w:val="000000"/>
                <w:szCs w:val="21"/>
              </w:rPr>
            </w:pPr>
            <w:r>
              <w:rPr>
                <w:color w:val="000000"/>
                <w:szCs w:val="21"/>
              </w:rPr>
              <w:t>江苏常州龙鑫矿业</w:t>
            </w:r>
          </w:p>
        </w:tc>
        <w:tc>
          <w:tcPr>
            <w:tcW w:w="2554" w:type="dxa"/>
            <w:vAlign w:val="center"/>
          </w:tcPr>
          <w:p>
            <w:pPr>
              <w:pStyle w:val="56"/>
              <w:rPr>
                <w:color w:val="000000"/>
              </w:rPr>
            </w:pPr>
            <w:r>
              <w:rPr>
                <w:color w:val="000000"/>
              </w:rPr>
              <w:t>坝体滑坡</w:t>
            </w:r>
          </w:p>
        </w:tc>
        <w:tc>
          <w:tcPr>
            <w:tcW w:w="2339" w:type="dxa"/>
            <w:vAlign w:val="center"/>
          </w:tcPr>
          <w:p>
            <w:pPr>
              <w:pStyle w:val="56"/>
              <w:rPr>
                <w:color w:val="000000"/>
                <w:szCs w:val="21"/>
              </w:rPr>
            </w:pPr>
            <w:r>
              <w:rPr>
                <w:color w:val="000000"/>
                <w:szCs w:val="21"/>
              </w:rPr>
              <w:t>超期服役</w:t>
            </w:r>
          </w:p>
        </w:tc>
      </w:tr>
    </w:tbl>
    <w:p>
      <w:pPr>
        <w:pStyle w:val="76"/>
        <w:rPr>
          <w:b/>
          <w:color w:val="000000"/>
          <w:sz w:val="24"/>
        </w:rPr>
      </w:pPr>
    </w:p>
    <w:p>
      <w:pPr>
        <w:pStyle w:val="76"/>
        <w:jc w:val="center"/>
        <w:rPr>
          <w:b/>
          <w:color w:val="000000"/>
          <w:sz w:val="24"/>
        </w:rPr>
      </w:pPr>
      <w:r>
        <w:rPr>
          <w:b/>
          <w:color w:val="000000"/>
          <w:sz w:val="24"/>
        </w:rPr>
        <w:t>表</w:t>
      </w:r>
      <w:r>
        <w:rPr>
          <w:rFonts w:hint="eastAsia"/>
          <w:b/>
          <w:color w:val="000000"/>
          <w:sz w:val="24"/>
        </w:rPr>
        <w:t xml:space="preserve">8-10  </w:t>
      </w:r>
      <w:r>
        <w:rPr>
          <w:b/>
          <w:color w:val="000000"/>
          <w:sz w:val="24"/>
        </w:rPr>
        <w:t>国外尾矿坝的溃坝事故</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663"/>
        <w:gridCol w:w="983"/>
        <w:gridCol w:w="824"/>
        <w:gridCol w:w="682"/>
        <w:gridCol w:w="2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top w:val="single" w:color="auto" w:sz="12" w:space="0"/>
              <w:left w:val="nil"/>
              <w:bottom w:val="single" w:color="auto" w:sz="4" w:space="0"/>
            </w:tcBorders>
            <w:vAlign w:val="center"/>
          </w:tcPr>
          <w:p>
            <w:pPr>
              <w:pStyle w:val="56"/>
              <w:rPr>
                <w:color w:val="000000"/>
              </w:rPr>
            </w:pPr>
            <w:r>
              <w:rPr>
                <w:color w:val="000000"/>
              </w:rPr>
              <w:t>坝名</w:t>
            </w:r>
          </w:p>
        </w:tc>
        <w:tc>
          <w:tcPr>
            <w:tcW w:w="663" w:type="dxa"/>
            <w:tcBorders>
              <w:top w:val="single" w:color="auto" w:sz="12" w:space="0"/>
              <w:bottom w:val="single" w:color="auto" w:sz="4" w:space="0"/>
            </w:tcBorders>
            <w:vAlign w:val="center"/>
          </w:tcPr>
          <w:p>
            <w:pPr>
              <w:pStyle w:val="56"/>
              <w:rPr>
                <w:color w:val="000000"/>
                <w:spacing w:val="-10"/>
              </w:rPr>
            </w:pPr>
            <w:r>
              <w:rPr>
                <w:color w:val="000000"/>
                <w:spacing w:val="-10"/>
              </w:rPr>
              <w:t>破坏年份</w:t>
            </w:r>
          </w:p>
        </w:tc>
        <w:tc>
          <w:tcPr>
            <w:tcW w:w="983" w:type="dxa"/>
            <w:tcBorders>
              <w:top w:val="single" w:color="auto" w:sz="12" w:space="0"/>
              <w:bottom w:val="single" w:color="auto" w:sz="4" w:space="0"/>
            </w:tcBorders>
            <w:vAlign w:val="center"/>
          </w:tcPr>
          <w:p>
            <w:pPr>
              <w:pStyle w:val="56"/>
              <w:rPr>
                <w:color w:val="000000"/>
              </w:rPr>
            </w:pPr>
            <w:r>
              <w:rPr>
                <w:color w:val="000000"/>
              </w:rPr>
              <w:t>尾矿</w:t>
            </w:r>
          </w:p>
          <w:p>
            <w:pPr>
              <w:pStyle w:val="56"/>
              <w:rPr>
                <w:color w:val="000000"/>
              </w:rPr>
            </w:pPr>
            <w:r>
              <w:rPr>
                <w:color w:val="000000"/>
              </w:rPr>
              <w:t>类型</w:t>
            </w:r>
          </w:p>
        </w:tc>
        <w:tc>
          <w:tcPr>
            <w:tcW w:w="824" w:type="dxa"/>
            <w:tcBorders>
              <w:top w:val="single" w:color="auto" w:sz="12" w:space="0"/>
              <w:bottom w:val="single" w:color="auto" w:sz="4" w:space="0"/>
            </w:tcBorders>
            <w:vAlign w:val="center"/>
          </w:tcPr>
          <w:p>
            <w:pPr>
              <w:pStyle w:val="56"/>
              <w:rPr>
                <w:color w:val="000000"/>
              </w:rPr>
            </w:pPr>
            <w:r>
              <w:rPr>
                <w:color w:val="000000"/>
              </w:rPr>
              <w:t>筑坝</w:t>
            </w:r>
          </w:p>
          <w:p>
            <w:pPr>
              <w:pStyle w:val="56"/>
              <w:rPr>
                <w:color w:val="000000"/>
              </w:rPr>
            </w:pPr>
            <w:r>
              <w:rPr>
                <w:color w:val="000000"/>
              </w:rPr>
              <w:t>方式</w:t>
            </w:r>
          </w:p>
        </w:tc>
        <w:tc>
          <w:tcPr>
            <w:tcW w:w="682" w:type="dxa"/>
            <w:tcBorders>
              <w:top w:val="single" w:color="auto" w:sz="12" w:space="0"/>
              <w:bottom w:val="single" w:color="auto" w:sz="4" w:space="0"/>
            </w:tcBorders>
            <w:vAlign w:val="center"/>
          </w:tcPr>
          <w:p>
            <w:pPr>
              <w:pStyle w:val="56"/>
              <w:rPr>
                <w:color w:val="000000"/>
              </w:rPr>
            </w:pPr>
            <w:r>
              <w:rPr>
                <w:color w:val="000000"/>
              </w:rPr>
              <w:t>坝高（m）</w:t>
            </w:r>
          </w:p>
        </w:tc>
        <w:tc>
          <w:tcPr>
            <w:tcW w:w="2950" w:type="dxa"/>
            <w:tcBorders>
              <w:top w:val="single" w:color="auto" w:sz="12" w:space="0"/>
              <w:bottom w:val="single" w:color="auto" w:sz="4" w:space="0"/>
              <w:right w:val="nil"/>
            </w:tcBorders>
            <w:vAlign w:val="center"/>
          </w:tcPr>
          <w:p>
            <w:pPr>
              <w:pStyle w:val="56"/>
              <w:rPr>
                <w:color w:val="000000"/>
              </w:rPr>
            </w:pPr>
            <w:r>
              <w:rPr>
                <w:color w:val="000000"/>
              </w:rPr>
              <w:t>破坏情况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top w:val="single" w:color="auto" w:sz="4" w:space="0"/>
              <w:left w:val="nil"/>
            </w:tcBorders>
            <w:vAlign w:val="center"/>
          </w:tcPr>
          <w:p>
            <w:pPr>
              <w:pStyle w:val="56"/>
              <w:rPr>
                <w:color w:val="000000"/>
              </w:rPr>
            </w:pPr>
            <w:r>
              <w:rPr>
                <w:color w:val="000000"/>
              </w:rPr>
              <w:t>智利巴拉哈纳坝</w:t>
            </w:r>
          </w:p>
        </w:tc>
        <w:tc>
          <w:tcPr>
            <w:tcW w:w="663" w:type="dxa"/>
            <w:tcBorders>
              <w:top w:val="single" w:color="auto" w:sz="4" w:space="0"/>
            </w:tcBorders>
            <w:vAlign w:val="center"/>
          </w:tcPr>
          <w:p>
            <w:pPr>
              <w:pStyle w:val="56"/>
              <w:rPr>
                <w:color w:val="000000"/>
              </w:rPr>
            </w:pPr>
            <w:r>
              <w:rPr>
                <w:color w:val="000000"/>
              </w:rPr>
              <w:t>1928</w:t>
            </w:r>
          </w:p>
        </w:tc>
        <w:tc>
          <w:tcPr>
            <w:tcW w:w="983" w:type="dxa"/>
            <w:tcBorders>
              <w:top w:val="single" w:color="auto" w:sz="4" w:space="0"/>
            </w:tcBorders>
            <w:vAlign w:val="center"/>
          </w:tcPr>
          <w:p>
            <w:pPr>
              <w:pStyle w:val="56"/>
              <w:rPr>
                <w:color w:val="000000"/>
              </w:rPr>
            </w:pPr>
            <w:r>
              <w:rPr>
                <w:color w:val="000000"/>
              </w:rPr>
              <w:t>铜尾矿</w:t>
            </w:r>
          </w:p>
        </w:tc>
        <w:tc>
          <w:tcPr>
            <w:tcW w:w="824" w:type="dxa"/>
            <w:tcBorders>
              <w:top w:val="single" w:color="auto" w:sz="4" w:space="0"/>
            </w:tcBorders>
            <w:vAlign w:val="center"/>
          </w:tcPr>
          <w:p>
            <w:pPr>
              <w:pStyle w:val="56"/>
              <w:rPr>
                <w:color w:val="000000"/>
              </w:rPr>
            </w:pPr>
            <w:r>
              <w:rPr>
                <w:color w:val="000000"/>
              </w:rPr>
              <w:t>上游法</w:t>
            </w:r>
          </w:p>
        </w:tc>
        <w:tc>
          <w:tcPr>
            <w:tcW w:w="682" w:type="dxa"/>
            <w:tcBorders>
              <w:top w:val="single" w:color="auto" w:sz="4" w:space="0"/>
            </w:tcBorders>
            <w:vAlign w:val="center"/>
          </w:tcPr>
          <w:p>
            <w:pPr>
              <w:pStyle w:val="56"/>
              <w:rPr>
                <w:color w:val="000000"/>
              </w:rPr>
            </w:pPr>
            <w:r>
              <w:rPr>
                <w:color w:val="000000"/>
              </w:rPr>
              <w:t>61</w:t>
            </w:r>
          </w:p>
        </w:tc>
        <w:tc>
          <w:tcPr>
            <w:tcW w:w="2950" w:type="dxa"/>
            <w:tcBorders>
              <w:top w:val="single" w:color="auto" w:sz="4" w:space="0"/>
              <w:right w:val="nil"/>
            </w:tcBorders>
            <w:vAlign w:val="center"/>
          </w:tcPr>
          <w:p>
            <w:pPr>
              <w:pStyle w:val="56"/>
              <w:rPr>
                <w:color w:val="000000"/>
              </w:rPr>
            </w:pPr>
            <w:r>
              <w:rPr>
                <w:color w:val="000000"/>
              </w:rPr>
              <w:t>死亡54人，流失尾矿400多万t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vAlign w:val="center"/>
          </w:tcPr>
          <w:p>
            <w:pPr>
              <w:pStyle w:val="56"/>
              <w:rPr>
                <w:color w:val="000000"/>
              </w:rPr>
            </w:pPr>
            <w:r>
              <w:rPr>
                <w:color w:val="000000"/>
              </w:rPr>
              <w:t>智利老E1考柏坝</w:t>
            </w:r>
          </w:p>
        </w:tc>
        <w:tc>
          <w:tcPr>
            <w:tcW w:w="663" w:type="dxa"/>
            <w:vAlign w:val="center"/>
          </w:tcPr>
          <w:p>
            <w:pPr>
              <w:pStyle w:val="56"/>
              <w:rPr>
                <w:color w:val="000000"/>
              </w:rPr>
            </w:pPr>
            <w:r>
              <w:rPr>
                <w:color w:val="000000"/>
              </w:rPr>
              <w:t>1965</w:t>
            </w:r>
          </w:p>
        </w:tc>
        <w:tc>
          <w:tcPr>
            <w:tcW w:w="983" w:type="dxa"/>
            <w:vAlign w:val="center"/>
          </w:tcPr>
          <w:p>
            <w:pPr>
              <w:pStyle w:val="56"/>
              <w:rPr>
                <w:color w:val="000000"/>
              </w:rPr>
            </w:pPr>
            <w:r>
              <w:rPr>
                <w:color w:val="000000"/>
              </w:rPr>
              <w:t>铜尾矿</w:t>
            </w:r>
          </w:p>
        </w:tc>
        <w:tc>
          <w:tcPr>
            <w:tcW w:w="824" w:type="dxa"/>
            <w:vAlign w:val="center"/>
          </w:tcPr>
          <w:p>
            <w:pPr>
              <w:pStyle w:val="56"/>
              <w:rPr>
                <w:color w:val="000000"/>
              </w:rPr>
            </w:pPr>
            <w:r>
              <w:rPr>
                <w:color w:val="000000"/>
              </w:rPr>
              <w:t>上游法</w:t>
            </w:r>
          </w:p>
        </w:tc>
        <w:tc>
          <w:tcPr>
            <w:tcW w:w="682" w:type="dxa"/>
            <w:vAlign w:val="center"/>
          </w:tcPr>
          <w:p>
            <w:pPr>
              <w:pStyle w:val="56"/>
              <w:rPr>
                <w:color w:val="000000"/>
              </w:rPr>
            </w:pPr>
            <w:r>
              <w:rPr>
                <w:color w:val="000000"/>
              </w:rPr>
              <w:t>25</w:t>
            </w:r>
          </w:p>
        </w:tc>
        <w:tc>
          <w:tcPr>
            <w:tcW w:w="2950" w:type="dxa"/>
            <w:tcBorders>
              <w:right w:val="nil"/>
            </w:tcBorders>
            <w:vAlign w:val="center"/>
          </w:tcPr>
          <w:p>
            <w:pPr>
              <w:pStyle w:val="56"/>
              <w:rPr>
                <w:color w:val="000000"/>
              </w:rPr>
            </w:pPr>
            <w:r>
              <w:rPr>
                <w:color w:val="000000"/>
              </w:rPr>
              <w:t>死亡210人，流失尾矿200多万t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vAlign w:val="center"/>
          </w:tcPr>
          <w:p>
            <w:pPr>
              <w:pStyle w:val="56"/>
              <w:rPr>
                <w:color w:val="000000"/>
              </w:rPr>
            </w:pPr>
            <w:r>
              <w:rPr>
                <w:color w:val="000000"/>
              </w:rPr>
              <w:t>智利新E1考柏坝</w:t>
            </w:r>
          </w:p>
        </w:tc>
        <w:tc>
          <w:tcPr>
            <w:tcW w:w="663" w:type="dxa"/>
            <w:vAlign w:val="center"/>
          </w:tcPr>
          <w:p>
            <w:pPr>
              <w:pStyle w:val="56"/>
              <w:rPr>
                <w:color w:val="000000"/>
              </w:rPr>
            </w:pPr>
            <w:r>
              <w:rPr>
                <w:color w:val="000000"/>
              </w:rPr>
              <w:t>1965</w:t>
            </w:r>
          </w:p>
        </w:tc>
        <w:tc>
          <w:tcPr>
            <w:tcW w:w="983" w:type="dxa"/>
            <w:vAlign w:val="center"/>
          </w:tcPr>
          <w:p>
            <w:pPr>
              <w:pStyle w:val="56"/>
              <w:rPr>
                <w:color w:val="000000"/>
              </w:rPr>
            </w:pPr>
            <w:r>
              <w:rPr>
                <w:color w:val="000000"/>
              </w:rPr>
              <w:t>铜尾矿</w:t>
            </w:r>
          </w:p>
        </w:tc>
        <w:tc>
          <w:tcPr>
            <w:tcW w:w="824" w:type="dxa"/>
            <w:vAlign w:val="center"/>
          </w:tcPr>
          <w:p>
            <w:pPr>
              <w:pStyle w:val="56"/>
              <w:rPr>
                <w:color w:val="000000"/>
              </w:rPr>
            </w:pPr>
            <w:r>
              <w:rPr>
                <w:color w:val="000000"/>
              </w:rPr>
              <w:t>上游法</w:t>
            </w:r>
          </w:p>
        </w:tc>
        <w:tc>
          <w:tcPr>
            <w:tcW w:w="682" w:type="dxa"/>
            <w:vAlign w:val="center"/>
          </w:tcPr>
          <w:p>
            <w:pPr>
              <w:pStyle w:val="56"/>
              <w:rPr>
                <w:color w:val="000000"/>
              </w:rPr>
            </w:pPr>
            <w:r>
              <w:rPr>
                <w:color w:val="000000"/>
              </w:rPr>
              <w:t>15</w:t>
            </w:r>
          </w:p>
        </w:tc>
        <w:tc>
          <w:tcPr>
            <w:tcW w:w="2950" w:type="dxa"/>
            <w:tcBorders>
              <w:right w:val="nil"/>
            </w:tcBorders>
            <w:vAlign w:val="center"/>
          </w:tcPr>
          <w:p>
            <w:pPr>
              <w:pStyle w:val="56"/>
              <w:rPr>
                <w:color w:val="000000"/>
              </w:rPr>
            </w:pPr>
            <w:r>
              <w:rPr>
                <w:color w:val="000000"/>
              </w:rPr>
              <w:t>流失尾矿50万t，造成污染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vAlign w:val="center"/>
          </w:tcPr>
          <w:p>
            <w:pPr>
              <w:pStyle w:val="56"/>
              <w:rPr>
                <w:color w:val="000000"/>
              </w:rPr>
            </w:pPr>
            <w:r>
              <w:rPr>
                <w:color w:val="000000"/>
              </w:rPr>
              <w:t>智利八座尾矿坝</w:t>
            </w:r>
          </w:p>
        </w:tc>
        <w:tc>
          <w:tcPr>
            <w:tcW w:w="663" w:type="dxa"/>
            <w:vAlign w:val="center"/>
          </w:tcPr>
          <w:p>
            <w:pPr>
              <w:pStyle w:val="56"/>
              <w:rPr>
                <w:color w:val="000000"/>
              </w:rPr>
            </w:pPr>
            <w:r>
              <w:rPr>
                <w:color w:val="000000"/>
              </w:rPr>
              <w:t>1965</w:t>
            </w:r>
          </w:p>
        </w:tc>
        <w:tc>
          <w:tcPr>
            <w:tcW w:w="983" w:type="dxa"/>
            <w:vAlign w:val="center"/>
          </w:tcPr>
          <w:p>
            <w:pPr>
              <w:pStyle w:val="56"/>
              <w:rPr>
                <w:color w:val="000000"/>
              </w:rPr>
            </w:pPr>
            <w:r>
              <w:rPr>
                <w:color w:val="000000"/>
              </w:rPr>
              <w:t>铜尾矿</w:t>
            </w:r>
          </w:p>
        </w:tc>
        <w:tc>
          <w:tcPr>
            <w:tcW w:w="824" w:type="dxa"/>
            <w:vAlign w:val="center"/>
          </w:tcPr>
          <w:p>
            <w:pPr>
              <w:pStyle w:val="56"/>
              <w:rPr>
                <w:color w:val="000000"/>
              </w:rPr>
            </w:pPr>
            <w:r>
              <w:rPr>
                <w:color w:val="000000"/>
              </w:rPr>
              <w:t>上游法</w:t>
            </w:r>
          </w:p>
        </w:tc>
        <w:tc>
          <w:tcPr>
            <w:tcW w:w="682" w:type="dxa"/>
            <w:vAlign w:val="center"/>
          </w:tcPr>
          <w:p>
            <w:pPr>
              <w:pStyle w:val="56"/>
              <w:rPr>
                <w:color w:val="000000"/>
              </w:rPr>
            </w:pPr>
            <w:r>
              <w:rPr>
                <w:color w:val="000000"/>
              </w:rPr>
              <w:t>5-20</w:t>
            </w:r>
          </w:p>
        </w:tc>
        <w:tc>
          <w:tcPr>
            <w:tcW w:w="2950" w:type="dxa"/>
            <w:tcBorders>
              <w:right w:val="nil"/>
            </w:tcBorders>
            <w:vAlign w:val="center"/>
          </w:tcPr>
          <w:p>
            <w:pPr>
              <w:pStyle w:val="56"/>
              <w:rPr>
                <w:color w:val="000000"/>
              </w:rPr>
            </w:pPr>
            <w:r>
              <w:rPr>
                <w:color w:val="000000"/>
              </w:rPr>
              <w:t>流失尾矿40多万t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vAlign w:val="center"/>
          </w:tcPr>
          <w:p>
            <w:pPr>
              <w:pStyle w:val="56"/>
              <w:rPr>
                <w:color w:val="000000"/>
              </w:rPr>
            </w:pPr>
            <w:r>
              <w:rPr>
                <w:color w:val="000000"/>
              </w:rPr>
              <w:t>南非巴弗康坝</w:t>
            </w:r>
          </w:p>
        </w:tc>
        <w:tc>
          <w:tcPr>
            <w:tcW w:w="663" w:type="dxa"/>
            <w:vAlign w:val="center"/>
          </w:tcPr>
          <w:p>
            <w:pPr>
              <w:pStyle w:val="56"/>
              <w:rPr>
                <w:color w:val="000000"/>
              </w:rPr>
            </w:pPr>
            <w:r>
              <w:rPr>
                <w:color w:val="000000"/>
              </w:rPr>
              <w:t>1974</w:t>
            </w:r>
          </w:p>
        </w:tc>
        <w:tc>
          <w:tcPr>
            <w:tcW w:w="983" w:type="dxa"/>
            <w:vAlign w:val="center"/>
          </w:tcPr>
          <w:p>
            <w:pPr>
              <w:pStyle w:val="56"/>
              <w:rPr>
                <w:color w:val="000000"/>
              </w:rPr>
            </w:pPr>
            <w:r>
              <w:rPr>
                <w:color w:val="000000"/>
              </w:rPr>
              <w:t>铂尾矿</w:t>
            </w:r>
          </w:p>
        </w:tc>
        <w:tc>
          <w:tcPr>
            <w:tcW w:w="824" w:type="dxa"/>
            <w:vAlign w:val="center"/>
          </w:tcPr>
          <w:p>
            <w:pPr>
              <w:pStyle w:val="56"/>
              <w:rPr>
                <w:color w:val="000000"/>
              </w:rPr>
            </w:pPr>
            <w:r>
              <w:rPr>
                <w:color w:val="000000"/>
              </w:rPr>
              <w:t>上游法</w:t>
            </w:r>
          </w:p>
        </w:tc>
        <w:tc>
          <w:tcPr>
            <w:tcW w:w="682" w:type="dxa"/>
            <w:vAlign w:val="center"/>
          </w:tcPr>
          <w:p>
            <w:pPr>
              <w:pStyle w:val="56"/>
              <w:rPr>
                <w:color w:val="000000"/>
              </w:rPr>
            </w:pPr>
            <w:r>
              <w:rPr>
                <w:color w:val="000000"/>
              </w:rPr>
              <w:t>20</w:t>
            </w:r>
          </w:p>
        </w:tc>
        <w:tc>
          <w:tcPr>
            <w:tcW w:w="2950" w:type="dxa"/>
            <w:tcBorders>
              <w:right w:val="nil"/>
            </w:tcBorders>
            <w:vAlign w:val="center"/>
          </w:tcPr>
          <w:p>
            <w:pPr>
              <w:pStyle w:val="56"/>
              <w:rPr>
                <w:color w:val="000000"/>
              </w:rPr>
            </w:pPr>
            <w:r>
              <w:rPr>
                <w:color w:val="000000"/>
              </w:rPr>
              <w:t>死亡12人，流失尾砂520万t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tcPr>
          <w:p>
            <w:pPr>
              <w:pStyle w:val="56"/>
              <w:jc w:val="both"/>
              <w:rPr>
                <w:color w:val="000000"/>
              </w:rPr>
            </w:pPr>
            <w:r>
              <w:rPr>
                <w:color w:val="000000"/>
              </w:rPr>
              <w:t>美国佛吉尼亚州巴法罗坝</w:t>
            </w:r>
          </w:p>
        </w:tc>
        <w:tc>
          <w:tcPr>
            <w:tcW w:w="663" w:type="dxa"/>
            <w:vAlign w:val="center"/>
          </w:tcPr>
          <w:p>
            <w:pPr>
              <w:pStyle w:val="56"/>
              <w:rPr>
                <w:color w:val="000000"/>
              </w:rPr>
            </w:pPr>
            <w:r>
              <w:rPr>
                <w:color w:val="000000"/>
              </w:rPr>
              <w:t>1972</w:t>
            </w:r>
          </w:p>
        </w:tc>
        <w:tc>
          <w:tcPr>
            <w:tcW w:w="983" w:type="dxa"/>
            <w:vAlign w:val="center"/>
          </w:tcPr>
          <w:p>
            <w:pPr>
              <w:pStyle w:val="56"/>
              <w:rPr>
                <w:color w:val="000000"/>
              </w:rPr>
            </w:pPr>
            <w:r>
              <w:rPr>
                <w:color w:val="000000"/>
              </w:rPr>
              <w:t>煤矸石</w:t>
            </w:r>
          </w:p>
        </w:tc>
        <w:tc>
          <w:tcPr>
            <w:tcW w:w="824" w:type="dxa"/>
            <w:vAlign w:val="center"/>
          </w:tcPr>
          <w:p>
            <w:pPr>
              <w:pStyle w:val="56"/>
              <w:rPr>
                <w:color w:val="000000"/>
              </w:rPr>
            </w:pPr>
            <w:r>
              <w:rPr>
                <w:color w:val="000000"/>
              </w:rPr>
              <w:t>翻卸</w:t>
            </w:r>
          </w:p>
        </w:tc>
        <w:tc>
          <w:tcPr>
            <w:tcW w:w="682" w:type="dxa"/>
            <w:vAlign w:val="center"/>
          </w:tcPr>
          <w:p>
            <w:pPr>
              <w:pStyle w:val="56"/>
              <w:rPr>
                <w:color w:val="000000"/>
              </w:rPr>
            </w:pPr>
            <w:r>
              <w:rPr>
                <w:color w:val="000000"/>
              </w:rPr>
              <w:t>18</w:t>
            </w:r>
          </w:p>
        </w:tc>
        <w:tc>
          <w:tcPr>
            <w:tcW w:w="2950" w:type="dxa"/>
            <w:tcBorders>
              <w:right w:val="nil"/>
            </w:tcBorders>
            <w:vAlign w:val="center"/>
          </w:tcPr>
          <w:p>
            <w:pPr>
              <w:pStyle w:val="56"/>
              <w:rPr>
                <w:color w:val="000000"/>
              </w:rPr>
            </w:pPr>
            <w:r>
              <w:rPr>
                <w:color w:val="000000"/>
              </w:rPr>
              <w:t>死亡118人，流失尾砂55万t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vAlign w:val="center"/>
          </w:tcPr>
          <w:p>
            <w:pPr>
              <w:pStyle w:val="56"/>
              <w:rPr>
                <w:color w:val="000000"/>
              </w:rPr>
            </w:pPr>
            <w:r>
              <w:rPr>
                <w:color w:val="000000"/>
              </w:rPr>
              <w:t>英国威尔士阿伯凡坝</w:t>
            </w:r>
          </w:p>
        </w:tc>
        <w:tc>
          <w:tcPr>
            <w:tcW w:w="663" w:type="dxa"/>
            <w:vAlign w:val="center"/>
          </w:tcPr>
          <w:p>
            <w:pPr>
              <w:pStyle w:val="56"/>
              <w:rPr>
                <w:color w:val="000000"/>
              </w:rPr>
            </w:pPr>
            <w:r>
              <w:rPr>
                <w:color w:val="000000"/>
              </w:rPr>
              <w:t>1966</w:t>
            </w:r>
          </w:p>
        </w:tc>
        <w:tc>
          <w:tcPr>
            <w:tcW w:w="983" w:type="dxa"/>
            <w:vAlign w:val="center"/>
          </w:tcPr>
          <w:p>
            <w:pPr>
              <w:pStyle w:val="56"/>
              <w:rPr>
                <w:color w:val="000000"/>
              </w:rPr>
            </w:pPr>
            <w:r>
              <w:rPr>
                <w:color w:val="000000"/>
              </w:rPr>
              <w:t>煤矸石</w:t>
            </w:r>
          </w:p>
        </w:tc>
        <w:tc>
          <w:tcPr>
            <w:tcW w:w="824" w:type="dxa"/>
            <w:vAlign w:val="center"/>
          </w:tcPr>
          <w:p>
            <w:pPr>
              <w:pStyle w:val="56"/>
              <w:rPr>
                <w:color w:val="000000"/>
              </w:rPr>
            </w:pPr>
            <w:r>
              <w:rPr>
                <w:color w:val="000000"/>
              </w:rPr>
              <w:t>翻卸</w:t>
            </w:r>
          </w:p>
        </w:tc>
        <w:tc>
          <w:tcPr>
            <w:tcW w:w="682" w:type="dxa"/>
            <w:vAlign w:val="center"/>
          </w:tcPr>
          <w:p>
            <w:pPr>
              <w:pStyle w:val="56"/>
              <w:rPr>
                <w:color w:val="000000"/>
              </w:rPr>
            </w:pPr>
            <w:r>
              <w:rPr>
                <w:color w:val="000000"/>
              </w:rPr>
              <w:t>37</w:t>
            </w:r>
          </w:p>
        </w:tc>
        <w:tc>
          <w:tcPr>
            <w:tcW w:w="2950" w:type="dxa"/>
            <w:tcBorders>
              <w:right w:val="nil"/>
            </w:tcBorders>
            <w:vAlign w:val="center"/>
          </w:tcPr>
          <w:p>
            <w:pPr>
              <w:pStyle w:val="56"/>
              <w:rPr>
                <w:color w:val="000000"/>
              </w:rPr>
            </w:pPr>
            <w:r>
              <w:rPr>
                <w:color w:val="000000"/>
              </w:rPr>
              <w:t>死亡144人，流失尾砂20万t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vAlign w:val="center"/>
          </w:tcPr>
          <w:p>
            <w:pPr>
              <w:pStyle w:val="56"/>
              <w:rPr>
                <w:color w:val="000000"/>
              </w:rPr>
            </w:pPr>
            <w:r>
              <w:rPr>
                <w:color w:val="000000"/>
              </w:rPr>
              <w:t>美国得克萨斯州石膏矿坝</w:t>
            </w:r>
          </w:p>
        </w:tc>
        <w:tc>
          <w:tcPr>
            <w:tcW w:w="663" w:type="dxa"/>
            <w:vAlign w:val="center"/>
          </w:tcPr>
          <w:p>
            <w:pPr>
              <w:pStyle w:val="56"/>
              <w:rPr>
                <w:color w:val="000000"/>
              </w:rPr>
            </w:pPr>
            <w:r>
              <w:rPr>
                <w:color w:val="000000"/>
              </w:rPr>
              <w:t>1966</w:t>
            </w:r>
          </w:p>
        </w:tc>
        <w:tc>
          <w:tcPr>
            <w:tcW w:w="983" w:type="dxa"/>
            <w:vAlign w:val="center"/>
          </w:tcPr>
          <w:p>
            <w:pPr>
              <w:pStyle w:val="56"/>
              <w:rPr>
                <w:color w:val="000000"/>
              </w:rPr>
            </w:pPr>
            <w:r>
              <w:rPr>
                <w:color w:val="000000"/>
              </w:rPr>
              <w:t>石膏尾矿</w:t>
            </w:r>
          </w:p>
        </w:tc>
        <w:tc>
          <w:tcPr>
            <w:tcW w:w="824" w:type="dxa"/>
            <w:vAlign w:val="center"/>
          </w:tcPr>
          <w:p>
            <w:pPr>
              <w:pStyle w:val="56"/>
              <w:rPr>
                <w:color w:val="000000"/>
              </w:rPr>
            </w:pPr>
            <w:r>
              <w:rPr>
                <w:color w:val="000000"/>
              </w:rPr>
              <w:t>上游法</w:t>
            </w:r>
          </w:p>
        </w:tc>
        <w:tc>
          <w:tcPr>
            <w:tcW w:w="682" w:type="dxa"/>
            <w:vAlign w:val="center"/>
          </w:tcPr>
          <w:p>
            <w:pPr>
              <w:pStyle w:val="56"/>
              <w:rPr>
                <w:color w:val="000000"/>
              </w:rPr>
            </w:pPr>
            <w:r>
              <w:rPr>
                <w:color w:val="000000"/>
              </w:rPr>
              <w:t>11</w:t>
            </w:r>
          </w:p>
        </w:tc>
        <w:tc>
          <w:tcPr>
            <w:tcW w:w="2950" w:type="dxa"/>
            <w:tcBorders>
              <w:right w:val="nil"/>
            </w:tcBorders>
            <w:vAlign w:val="center"/>
          </w:tcPr>
          <w:p>
            <w:pPr>
              <w:pStyle w:val="56"/>
              <w:rPr>
                <w:color w:val="000000"/>
              </w:rPr>
            </w:pPr>
            <w:r>
              <w:rPr>
                <w:color w:val="000000"/>
              </w:rPr>
              <w:t>流失尾砂20万t，造成严重污染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vAlign w:val="center"/>
          </w:tcPr>
          <w:p>
            <w:pPr>
              <w:pStyle w:val="56"/>
              <w:rPr>
                <w:color w:val="000000"/>
              </w:rPr>
            </w:pPr>
            <w:r>
              <w:rPr>
                <w:color w:val="000000"/>
              </w:rPr>
              <w:t>比利时朱比勒坝</w:t>
            </w:r>
          </w:p>
        </w:tc>
        <w:tc>
          <w:tcPr>
            <w:tcW w:w="663" w:type="dxa"/>
            <w:vAlign w:val="center"/>
          </w:tcPr>
          <w:p>
            <w:pPr>
              <w:pStyle w:val="56"/>
              <w:rPr>
                <w:color w:val="000000"/>
              </w:rPr>
            </w:pPr>
            <w:r>
              <w:rPr>
                <w:color w:val="000000"/>
              </w:rPr>
              <w:t>1961</w:t>
            </w:r>
          </w:p>
        </w:tc>
        <w:tc>
          <w:tcPr>
            <w:tcW w:w="983" w:type="dxa"/>
            <w:vAlign w:val="center"/>
          </w:tcPr>
          <w:p>
            <w:pPr>
              <w:pStyle w:val="56"/>
              <w:rPr>
                <w:color w:val="000000"/>
              </w:rPr>
            </w:pPr>
            <w:r>
              <w:rPr>
                <w:color w:val="000000"/>
              </w:rPr>
              <w:t>煤灰</w:t>
            </w:r>
          </w:p>
        </w:tc>
        <w:tc>
          <w:tcPr>
            <w:tcW w:w="824" w:type="dxa"/>
            <w:vAlign w:val="center"/>
          </w:tcPr>
          <w:p>
            <w:pPr>
              <w:pStyle w:val="56"/>
              <w:rPr>
                <w:color w:val="000000"/>
              </w:rPr>
            </w:pPr>
            <w:r>
              <w:rPr>
                <w:color w:val="000000"/>
              </w:rPr>
              <w:t>翻卸</w:t>
            </w:r>
          </w:p>
        </w:tc>
        <w:tc>
          <w:tcPr>
            <w:tcW w:w="682" w:type="dxa"/>
            <w:vAlign w:val="center"/>
          </w:tcPr>
          <w:p>
            <w:pPr>
              <w:pStyle w:val="56"/>
              <w:rPr>
                <w:color w:val="000000"/>
              </w:rPr>
            </w:pPr>
            <w:r>
              <w:rPr>
                <w:color w:val="000000"/>
              </w:rPr>
              <w:t>45</w:t>
            </w:r>
          </w:p>
        </w:tc>
        <w:tc>
          <w:tcPr>
            <w:tcW w:w="2950" w:type="dxa"/>
            <w:tcBorders>
              <w:right w:val="nil"/>
            </w:tcBorders>
            <w:vAlign w:val="center"/>
          </w:tcPr>
          <w:p>
            <w:pPr>
              <w:pStyle w:val="56"/>
              <w:rPr>
                <w:color w:val="000000"/>
              </w:rPr>
            </w:pPr>
            <w:r>
              <w:rPr>
                <w:color w:val="000000"/>
              </w:rPr>
              <w:t>死亡11人，流失尾矿30万t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vAlign w:val="center"/>
          </w:tcPr>
          <w:p>
            <w:pPr>
              <w:pStyle w:val="56"/>
              <w:rPr>
                <w:color w:val="000000"/>
              </w:rPr>
            </w:pPr>
            <w:r>
              <w:rPr>
                <w:color w:val="000000"/>
              </w:rPr>
              <w:t>美国弗罗里达州磷矿坝</w:t>
            </w:r>
          </w:p>
        </w:tc>
        <w:tc>
          <w:tcPr>
            <w:tcW w:w="663" w:type="dxa"/>
            <w:vAlign w:val="center"/>
          </w:tcPr>
          <w:p>
            <w:pPr>
              <w:pStyle w:val="56"/>
              <w:rPr>
                <w:color w:val="000000"/>
              </w:rPr>
            </w:pPr>
            <w:r>
              <w:rPr>
                <w:color w:val="000000"/>
              </w:rPr>
              <w:t>1971</w:t>
            </w:r>
          </w:p>
        </w:tc>
        <w:tc>
          <w:tcPr>
            <w:tcW w:w="983" w:type="dxa"/>
            <w:vAlign w:val="center"/>
          </w:tcPr>
          <w:p>
            <w:pPr>
              <w:pStyle w:val="56"/>
              <w:rPr>
                <w:color w:val="000000"/>
              </w:rPr>
            </w:pPr>
            <w:r>
              <w:rPr>
                <w:color w:val="000000"/>
              </w:rPr>
              <w:t>磷尾矿</w:t>
            </w:r>
          </w:p>
        </w:tc>
        <w:tc>
          <w:tcPr>
            <w:tcW w:w="824" w:type="dxa"/>
            <w:vAlign w:val="center"/>
          </w:tcPr>
          <w:p>
            <w:pPr>
              <w:pStyle w:val="56"/>
              <w:rPr>
                <w:color w:val="000000"/>
              </w:rPr>
            </w:pPr>
            <w:r>
              <w:rPr>
                <w:color w:val="000000"/>
              </w:rPr>
              <w:t>中线法</w:t>
            </w:r>
          </w:p>
        </w:tc>
        <w:tc>
          <w:tcPr>
            <w:tcW w:w="682" w:type="dxa"/>
            <w:vAlign w:val="center"/>
          </w:tcPr>
          <w:p>
            <w:pPr>
              <w:pStyle w:val="56"/>
              <w:rPr>
                <w:color w:val="000000"/>
              </w:rPr>
            </w:pPr>
            <w:r>
              <w:rPr>
                <w:color w:val="000000"/>
              </w:rPr>
              <w:t>4</w:t>
            </w:r>
          </w:p>
        </w:tc>
        <w:tc>
          <w:tcPr>
            <w:tcW w:w="2950" w:type="dxa"/>
            <w:tcBorders>
              <w:right w:val="nil"/>
            </w:tcBorders>
            <w:vAlign w:val="center"/>
          </w:tcPr>
          <w:p>
            <w:pPr>
              <w:pStyle w:val="56"/>
              <w:rPr>
                <w:color w:val="000000"/>
              </w:rPr>
            </w:pPr>
            <w:r>
              <w:rPr>
                <w:color w:val="000000"/>
              </w:rPr>
              <w:t>流失尾矿80多万t，造成污染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tcBorders>
            <w:vAlign w:val="center"/>
          </w:tcPr>
          <w:p>
            <w:pPr>
              <w:pStyle w:val="56"/>
              <w:rPr>
                <w:color w:val="000000"/>
              </w:rPr>
            </w:pPr>
            <w:r>
              <w:rPr>
                <w:color w:val="000000"/>
              </w:rPr>
              <w:t>意大利普利埃及坝</w:t>
            </w:r>
          </w:p>
        </w:tc>
        <w:tc>
          <w:tcPr>
            <w:tcW w:w="663" w:type="dxa"/>
            <w:vAlign w:val="center"/>
          </w:tcPr>
          <w:p>
            <w:pPr>
              <w:pStyle w:val="56"/>
              <w:rPr>
                <w:color w:val="000000"/>
              </w:rPr>
            </w:pPr>
            <w:r>
              <w:rPr>
                <w:color w:val="000000"/>
              </w:rPr>
              <w:t>1985</w:t>
            </w:r>
          </w:p>
        </w:tc>
        <w:tc>
          <w:tcPr>
            <w:tcW w:w="983" w:type="dxa"/>
            <w:vAlign w:val="center"/>
          </w:tcPr>
          <w:p>
            <w:pPr>
              <w:pStyle w:val="56"/>
              <w:rPr>
                <w:color w:val="000000"/>
              </w:rPr>
            </w:pPr>
            <w:r>
              <w:rPr>
                <w:color w:val="000000"/>
              </w:rPr>
              <w:t>荧石尾矿</w:t>
            </w:r>
          </w:p>
        </w:tc>
        <w:tc>
          <w:tcPr>
            <w:tcW w:w="824" w:type="dxa"/>
            <w:vAlign w:val="center"/>
          </w:tcPr>
          <w:p>
            <w:pPr>
              <w:pStyle w:val="56"/>
              <w:rPr>
                <w:color w:val="000000"/>
              </w:rPr>
            </w:pPr>
            <w:r>
              <w:rPr>
                <w:color w:val="000000"/>
              </w:rPr>
              <w:t>上游法</w:t>
            </w:r>
          </w:p>
        </w:tc>
        <w:tc>
          <w:tcPr>
            <w:tcW w:w="682" w:type="dxa"/>
            <w:vAlign w:val="center"/>
          </w:tcPr>
          <w:p>
            <w:pPr>
              <w:pStyle w:val="56"/>
              <w:rPr>
                <w:color w:val="000000"/>
              </w:rPr>
            </w:pPr>
            <w:r>
              <w:rPr>
                <w:color w:val="000000"/>
              </w:rPr>
              <w:t>—</w:t>
            </w:r>
          </w:p>
        </w:tc>
        <w:tc>
          <w:tcPr>
            <w:tcW w:w="2950" w:type="dxa"/>
            <w:tcBorders>
              <w:right w:val="nil"/>
            </w:tcBorders>
            <w:vAlign w:val="center"/>
          </w:tcPr>
          <w:p>
            <w:pPr>
              <w:pStyle w:val="56"/>
              <w:rPr>
                <w:color w:val="000000"/>
              </w:rPr>
            </w:pPr>
            <w:r>
              <w:rPr>
                <w:color w:val="000000"/>
              </w:rPr>
              <w:t>死亡250人，流失尾矿150万t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420" w:type="dxa"/>
            <w:tcBorders>
              <w:left w:val="nil"/>
              <w:bottom w:val="single" w:color="auto" w:sz="12" w:space="0"/>
            </w:tcBorders>
            <w:vAlign w:val="center"/>
          </w:tcPr>
          <w:p>
            <w:pPr>
              <w:pStyle w:val="56"/>
              <w:rPr>
                <w:color w:val="000000"/>
              </w:rPr>
            </w:pPr>
            <w:r>
              <w:rPr>
                <w:color w:val="000000"/>
              </w:rPr>
              <w:t>南斯拉夫勒头沃矿4#坝</w:t>
            </w:r>
          </w:p>
        </w:tc>
        <w:tc>
          <w:tcPr>
            <w:tcW w:w="663" w:type="dxa"/>
            <w:tcBorders>
              <w:bottom w:val="single" w:color="auto" w:sz="12" w:space="0"/>
            </w:tcBorders>
            <w:vAlign w:val="center"/>
          </w:tcPr>
          <w:p>
            <w:pPr>
              <w:pStyle w:val="56"/>
              <w:rPr>
                <w:color w:val="000000"/>
              </w:rPr>
            </w:pPr>
            <w:r>
              <w:rPr>
                <w:color w:val="000000"/>
              </w:rPr>
              <w:t>1976</w:t>
            </w:r>
          </w:p>
        </w:tc>
        <w:tc>
          <w:tcPr>
            <w:tcW w:w="983" w:type="dxa"/>
            <w:tcBorders>
              <w:bottom w:val="single" w:color="auto" w:sz="12" w:space="0"/>
            </w:tcBorders>
            <w:vAlign w:val="center"/>
          </w:tcPr>
          <w:p>
            <w:pPr>
              <w:pStyle w:val="56"/>
              <w:rPr>
                <w:color w:val="000000"/>
              </w:rPr>
            </w:pPr>
            <w:r>
              <w:rPr>
                <w:color w:val="000000"/>
              </w:rPr>
              <w:t>铅锌矿</w:t>
            </w:r>
          </w:p>
        </w:tc>
        <w:tc>
          <w:tcPr>
            <w:tcW w:w="824" w:type="dxa"/>
            <w:tcBorders>
              <w:bottom w:val="single" w:color="auto" w:sz="12" w:space="0"/>
            </w:tcBorders>
            <w:vAlign w:val="center"/>
          </w:tcPr>
          <w:p>
            <w:pPr>
              <w:pStyle w:val="56"/>
              <w:rPr>
                <w:color w:val="000000"/>
              </w:rPr>
            </w:pPr>
            <w:r>
              <w:rPr>
                <w:color w:val="000000"/>
              </w:rPr>
              <w:t>下游法</w:t>
            </w:r>
          </w:p>
        </w:tc>
        <w:tc>
          <w:tcPr>
            <w:tcW w:w="682" w:type="dxa"/>
            <w:tcBorders>
              <w:bottom w:val="single" w:color="auto" w:sz="12" w:space="0"/>
            </w:tcBorders>
            <w:vAlign w:val="center"/>
          </w:tcPr>
          <w:p>
            <w:pPr>
              <w:pStyle w:val="56"/>
              <w:rPr>
                <w:color w:val="000000"/>
              </w:rPr>
            </w:pPr>
            <w:r>
              <w:rPr>
                <w:color w:val="000000"/>
              </w:rPr>
              <w:t>—</w:t>
            </w:r>
          </w:p>
        </w:tc>
        <w:tc>
          <w:tcPr>
            <w:tcW w:w="2950" w:type="dxa"/>
            <w:tcBorders>
              <w:bottom w:val="single" w:color="auto" w:sz="12" w:space="0"/>
              <w:right w:val="nil"/>
            </w:tcBorders>
            <w:vAlign w:val="center"/>
          </w:tcPr>
          <w:p>
            <w:pPr>
              <w:pStyle w:val="56"/>
              <w:rPr>
                <w:color w:val="000000"/>
              </w:rPr>
            </w:pPr>
            <w:r>
              <w:rPr>
                <w:color w:val="000000"/>
              </w:rPr>
              <w:t>流失尾矿30万t，造成严重污染</w:t>
            </w:r>
          </w:p>
        </w:tc>
      </w:tr>
    </w:tbl>
    <w:p>
      <w:pPr>
        <w:spacing w:line="360" w:lineRule="auto"/>
        <w:ind w:firstLine="480" w:firstLineChars="200"/>
        <w:rPr>
          <w:rFonts w:ascii="Times New Roman" w:hAnsi="Times New Roman"/>
          <w:sz w:val="24"/>
          <w:szCs w:val="24"/>
        </w:rPr>
      </w:pPr>
      <w:r>
        <w:rPr>
          <w:rFonts w:ascii="Times New Roman" w:hAnsi="Times New Roman"/>
          <w:sz w:val="24"/>
          <w:szCs w:val="24"/>
        </w:rPr>
        <w:t>尾矿坝事故原因大体分三种类型：</w:t>
      </w:r>
    </w:p>
    <w:p>
      <w:pPr>
        <w:spacing w:line="360" w:lineRule="auto"/>
        <w:ind w:firstLine="480" w:firstLineChars="200"/>
        <w:rPr>
          <w:rFonts w:ascii="Times New Roman" w:hAnsi="Times New Roman"/>
          <w:sz w:val="24"/>
          <w:szCs w:val="24"/>
        </w:rPr>
      </w:pPr>
      <w:r>
        <w:rPr>
          <w:rFonts w:ascii="Times New Roman" w:hAnsi="Times New Roman"/>
          <w:sz w:val="24"/>
          <w:szCs w:val="24"/>
        </w:rPr>
        <w:t>（1）由于溢洪道（隧洞）发生故障或设计泄洪量不够等原因，导致坝顶漫溢。例如我国东坡有色金属矿尾矿坝，因遇暴雨，洪水量超过了溢洪道的过水能力，洪水漫顶而溃坝，淹没了大片农田，毁坏了下游的居民区，46人死亡；山西塔儿山铁矿尾矿库，为回收尾矿澄清水而提高库内水位，导致水位上升过高，造成漫顶而溃坝。</w:t>
      </w:r>
    </w:p>
    <w:p>
      <w:pPr>
        <w:spacing w:line="360" w:lineRule="auto"/>
        <w:ind w:firstLine="480" w:firstLineChars="200"/>
        <w:rPr>
          <w:rFonts w:ascii="Times New Roman" w:hAnsi="Times New Roman"/>
          <w:sz w:val="24"/>
          <w:szCs w:val="24"/>
        </w:rPr>
      </w:pPr>
      <w:r>
        <w:rPr>
          <w:rFonts w:ascii="Times New Roman" w:hAnsi="Times New Roman"/>
          <w:sz w:val="24"/>
          <w:szCs w:val="24"/>
        </w:rPr>
        <w:t>（2）坝体、坝基或坝肩由于水力坡降发生细粒尾砂的侵蚀、渗漏等引起溃坝。如江西某矿一号坝，于1973年堆积至51m高时，浸润线在坝面出露，于6月29日突然在外坡出现大面积沉陷和直径0.2m的管涌，导致局部滑塌，30分钟内坝顶出现8m宽的缺口，坝体迅猛滑塌下去，大量尾砂外泄，因下游还有二号坝，未造成严重灾难；南芬老尾矿坝在生产中曾发生坝端集中渗漏造成缺口，库内尾矿浆和尾矿水流出达4万m</w:t>
      </w:r>
      <w:r>
        <w:rPr>
          <w:rFonts w:ascii="Times New Roman" w:hAnsi="Times New Roman"/>
          <w:sz w:val="24"/>
          <w:szCs w:val="24"/>
          <w:vertAlign w:val="superscript"/>
        </w:rPr>
        <w:t>3</w:t>
      </w:r>
      <w:r>
        <w:rPr>
          <w:rFonts w:ascii="Times New Roman" w:hAnsi="Times New Roman"/>
          <w:sz w:val="24"/>
          <w:szCs w:val="24"/>
        </w:rPr>
        <w:t>，严重污染了庙儿沟河道。</w:t>
      </w:r>
    </w:p>
    <w:p>
      <w:pPr>
        <w:spacing w:line="360" w:lineRule="auto"/>
        <w:ind w:firstLine="480" w:firstLineChars="200"/>
        <w:rPr>
          <w:rFonts w:ascii="Times New Roman" w:hAnsi="Times New Roman"/>
          <w:sz w:val="24"/>
          <w:szCs w:val="24"/>
        </w:rPr>
      </w:pPr>
      <w:r>
        <w:rPr>
          <w:rFonts w:ascii="Times New Roman" w:hAnsi="Times New Roman"/>
          <w:sz w:val="24"/>
          <w:szCs w:val="24"/>
        </w:rPr>
        <w:t>（3）由于地震，使坝基和坝体内松散的饱和粉细砂或粉土中产生过大的孔隙水压力，致使局部甚至整体产生液化，进而导致溃坝或严重沉陷和变形。</w:t>
      </w:r>
    </w:p>
    <w:p>
      <w:pPr>
        <w:spacing w:line="360" w:lineRule="auto"/>
        <w:ind w:firstLine="480" w:firstLineChars="200"/>
        <w:rPr>
          <w:rFonts w:ascii="Times New Roman" w:hAnsi="Times New Roman"/>
          <w:sz w:val="24"/>
          <w:szCs w:val="24"/>
        </w:rPr>
      </w:pPr>
      <w:r>
        <w:rPr>
          <w:rFonts w:ascii="Times New Roman" w:hAnsi="Times New Roman"/>
          <w:sz w:val="24"/>
          <w:szCs w:val="24"/>
        </w:rPr>
        <w:t>（4）设计和施工质量存在问题也是造成尾矿库溃坝的原因之一。</w:t>
      </w:r>
    </w:p>
    <w:p>
      <w:pPr>
        <w:spacing w:line="360" w:lineRule="auto"/>
        <w:ind w:firstLine="480" w:firstLineChars="200"/>
        <w:rPr>
          <w:rFonts w:ascii="Times New Roman" w:hAnsi="Times New Roman"/>
          <w:sz w:val="24"/>
          <w:szCs w:val="24"/>
        </w:rPr>
      </w:pPr>
      <w:r>
        <w:rPr>
          <w:rFonts w:ascii="Times New Roman" w:hAnsi="Times New Roman"/>
          <w:sz w:val="24"/>
          <w:szCs w:val="24"/>
        </w:rPr>
        <w:t>根据对国内外库坝事故的统计资料，各种事故原因与机率见</w:t>
      </w:r>
      <w:r>
        <w:rPr>
          <w:rFonts w:hint="eastAsia" w:ascii="Times New Roman" w:hAnsi="Times New Roman"/>
          <w:sz w:val="24"/>
          <w:szCs w:val="24"/>
        </w:rPr>
        <w:t>下表</w:t>
      </w:r>
      <w:r>
        <w:rPr>
          <w:rFonts w:ascii="Times New Roman" w:hAnsi="Times New Roman"/>
          <w:sz w:val="24"/>
          <w:szCs w:val="24"/>
        </w:rPr>
        <w:t>。可见尾矿坝事故原因中洪水漫顶和坝体渗漏是主要原因。</w:t>
      </w:r>
    </w:p>
    <w:p>
      <w:pPr>
        <w:pStyle w:val="76"/>
        <w:jc w:val="center"/>
        <w:rPr>
          <w:b/>
          <w:color w:val="000000"/>
          <w:sz w:val="24"/>
        </w:rPr>
      </w:pPr>
      <w:r>
        <w:rPr>
          <w:b/>
          <w:color w:val="000000"/>
          <w:sz w:val="24"/>
        </w:rPr>
        <w:t>表</w:t>
      </w:r>
      <w:r>
        <w:rPr>
          <w:rFonts w:hint="eastAsia"/>
          <w:b/>
          <w:color w:val="000000"/>
          <w:sz w:val="24"/>
        </w:rPr>
        <w:t xml:space="preserve">8-11  </w:t>
      </w:r>
      <w:r>
        <w:rPr>
          <w:b/>
          <w:color w:val="000000"/>
          <w:sz w:val="24"/>
        </w:rPr>
        <w:t>事故原因机率表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0"/>
        <w:gridCol w:w="1420"/>
        <w:gridCol w:w="1420"/>
        <w:gridCol w:w="1976"/>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op w:val="single" w:color="auto" w:sz="12" w:space="0"/>
              <w:left w:val="nil"/>
            </w:tcBorders>
            <w:vAlign w:val="center"/>
          </w:tcPr>
          <w:p>
            <w:pPr>
              <w:pStyle w:val="56"/>
              <w:rPr>
                <w:color w:val="000000"/>
              </w:rPr>
            </w:pPr>
            <w:r>
              <w:rPr>
                <w:color w:val="000000"/>
              </w:rPr>
              <w:t>事故原因</w:t>
            </w:r>
          </w:p>
        </w:tc>
        <w:tc>
          <w:tcPr>
            <w:tcW w:w="1420" w:type="dxa"/>
            <w:tcBorders>
              <w:top w:val="single" w:color="auto" w:sz="12" w:space="0"/>
            </w:tcBorders>
            <w:vAlign w:val="center"/>
          </w:tcPr>
          <w:p>
            <w:pPr>
              <w:pStyle w:val="56"/>
              <w:rPr>
                <w:color w:val="000000"/>
              </w:rPr>
            </w:pPr>
            <w:r>
              <w:rPr>
                <w:color w:val="000000"/>
              </w:rPr>
              <w:t>洪水漫顶</w:t>
            </w:r>
          </w:p>
        </w:tc>
        <w:tc>
          <w:tcPr>
            <w:tcW w:w="1420" w:type="dxa"/>
            <w:tcBorders>
              <w:top w:val="single" w:color="auto" w:sz="12" w:space="0"/>
            </w:tcBorders>
            <w:vAlign w:val="center"/>
          </w:tcPr>
          <w:p>
            <w:pPr>
              <w:pStyle w:val="56"/>
              <w:rPr>
                <w:color w:val="000000"/>
              </w:rPr>
            </w:pPr>
            <w:r>
              <w:rPr>
                <w:color w:val="000000"/>
              </w:rPr>
              <w:t>坝身渗漏</w:t>
            </w:r>
          </w:p>
        </w:tc>
        <w:tc>
          <w:tcPr>
            <w:tcW w:w="1420" w:type="dxa"/>
            <w:tcBorders>
              <w:top w:val="single" w:color="auto" w:sz="12" w:space="0"/>
            </w:tcBorders>
            <w:vAlign w:val="center"/>
          </w:tcPr>
          <w:p>
            <w:pPr>
              <w:pStyle w:val="56"/>
              <w:rPr>
                <w:color w:val="000000"/>
              </w:rPr>
            </w:pPr>
            <w:r>
              <w:rPr>
                <w:color w:val="000000"/>
              </w:rPr>
              <w:t>基础渗漏</w:t>
            </w:r>
          </w:p>
        </w:tc>
        <w:tc>
          <w:tcPr>
            <w:tcW w:w="1976" w:type="dxa"/>
            <w:tcBorders>
              <w:top w:val="single" w:color="auto" w:sz="12" w:space="0"/>
            </w:tcBorders>
            <w:vAlign w:val="center"/>
          </w:tcPr>
          <w:p>
            <w:pPr>
              <w:pStyle w:val="56"/>
              <w:rPr>
                <w:color w:val="000000"/>
              </w:rPr>
            </w:pPr>
            <w:r>
              <w:rPr>
                <w:color w:val="000000"/>
              </w:rPr>
              <w:t>溢洪或泄洪工程</w:t>
            </w:r>
          </w:p>
        </w:tc>
        <w:tc>
          <w:tcPr>
            <w:tcW w:w="865" w:type="dxa"/>
            <w:tcBorders>
              <w:top w:val="single" w:color="auto" w:sz="12" w:space="0"/>
              <w:right w:val="nil"/>
            </w:tcBorders>
            <w:vAlign w:val="center"/>
          </w:tcPr>
          <w:p>
            <w:pPr>
              <w:pStyle w:val="56"/>
              <w:rPr>
                <w:color w:val="000000"/>
              </w:rPr>
            </w:pPr>
            <w:r>
              <w:rPr>
                <w:color w:val="00000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left w:val="nil"/>
              <w:bottom w:val="single" w:color="auto" w:sz="12" w:space="0"/>
            </w:tcBorders>
            <w:vAlign w:val="center"/>
          </w:tcPr>
          <w:p>
            <w:pPr>
              <w:pStyle w:val="56"/>
              <w:rPr>
                <w:color w:val="000000"/>
              </w:rPr>
            </w:pPr>
            <w:r>
              <w:rPr>
                <w:color w:val="000000"/>
              </w:rPr>
              <w:t>机率（%）</w:t>
            </w:r>
          </w:p>
        </w:tc>
        <w:tc>
          <w:tcPr>
            <w:tcW w:w="1420" w:type="dxa"/>
            <w:tcBorders>
              <w:bottom w:val="single" w:color="auto" w:sz="12" w:space="0"/>
            </w:tcBorders>
            <w:vAlign w:val="center"/>
          </w:tcPr>
          <w:p>
            <w:pPr>
              <w:pStyle w:val="56"/>
              <w:rPr>
                <w:color w:val="000000"/>
              </w:rPr>
            </w:pPr>
            <w:r>
              <w:rPr>
                <w:color w:val="000000"/>
              </w:rPr>
              <w:t>28</w:t>
            </w:r>
          </w:p>
        </w:tc>
        <w:tc>
          <w:tcPr>
            <w:tcW w:w="1420" w:type="dxa"/>
            <w:tcBorders>
              <w:bottom w:val="single" w:color="auto" w:sz="12" w:space="0"/>
            </w:tcBorders>
            <w:vAlign w:val="center"/>
          </w:tcPr>
          <w:p>
            <w:pPr>
              <w:pStyle w:val="56"/>
              <w:rPr>
                <w:color w:val="000000"/>
              </w:rPr>
            </w:pPr>
            <w:r>
              <w:rPr>
                <w:color w:val="000000"/>
              </w:rPr>
              <w:t>19</w:t>
            </w:r>
          </w:p>
        </w:tc>
        <w:tc>
          <w:tcPr>
            <w:tcW w:w="1420" w:type="dxa"/>
            <w:tcBorders>
              <w:bottom w:val="single" w:color="auto" w:sz="12" w:space="0"/>
            </w:tcBorders>
            <w:vAlign w:val="center"/>
          </w:tcPr>
          <w:p>
            <w:pPr>
              <w:pStyle w:val="56"/>
              <w:rPr>
                <w:color w:val="000000"/>
              </w:rPr>
            </w:pPr>
            <w:r>
              <w:rPr>
                <w:color w:val="000000"/>
              </w:rPr>
              <w:t>22</w:t>
            </w:r>
          </w:p>
        </w:tc>
        <w:tc>
          <w:tcPr>
            <w:tcW w:w="1976" w:type="dxa"/>
            <w:tcBorders>
              <w:bottom w:val="single" w:color="auto" w:sz="12" w:space="0"/>
            </w:tcBorders>
            <w:vAlign w:val="center"/>
          </w:tcPr>
          <w:p>
            <w:pPr>
              <w:pStyle w:val="56"/>
              <w:rPr>
                <w:color w:val="000000"/>
              </w:rPr>
            </w:pPr>
            <w:r>
              <w:rPr>
                <w:color w:val="000000"/>
              </w:rPr>
              <w:t>16</w:t>
            </w:r>
          </w:p>
        </w:tc>
        <w:tc>
          <w:tcPr>
            <w:tcW w:w="865" w:type="dxa"/>
            <w:tcBorders>
              <w:bottom w:val="single" w:color="auto" w:sz="12" w:space="0"/>
              <w:right w:val="nil"/>
            </w:tcBorders>
            <w:vAlign w:val="center"/>
          </w:tcPr>
          <w:p>
            <w:pPr>
              <w:pStyle w:val="56"/>
              <w:rPr>
                <w:color w:val="000000"/>
              </w:rPr>
            </w:pPr>
            <w:r>
              <w:rPr>
                <w:color w:val="000000"/>
              </w:rPr>
              <w:t>15</w:t>
            </w:r>
          </w:p>
        </w:tc>
      </w:tr>
    </w:tbl>
    <w:p>
      <w:pPr>
        <w:spacing w:line="360" w:lineRule="auto"/>
        <w:ind w:firstLine="480" w:firstLineChars="200"/>
        <w:jc w:val="left"/>
        <w:rPr>
          <w:rFonts w:ascii="Times New Roman" w:hAnsi="Times New Roman"/>
          <w:sz w:val="24"/>
          <w:szCs w:val="24"/>
        </w:rPr>
      </w:pPr>
      <w:r>
        <w:rPr>
          <w:rFonts w:ascii="Times New Roman" w:hAnsi="Times New Roman"/>
          <w:sz w:val="24"/>
          <w:szCs w:val="24"/>
        </w:rPr>
        <w:t>以上案例分析均是针对传统意义上的湿排尾矿库进行的，说明湿排尾矿库具有一定的溃坝概率，这在国内外均不鲜见。</w:t>
      </w:r>
    </w:p>
    <w:p>
      <w:pPr>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本项目尾矿库由湿排改为干排，不易发生溃坝事故。</w:t>
      </w:r>
    </w:p>
    <w:p>
      <w:pPr>
        <w:pStyle w:val="4"/>
        <w:spacing w:line="360" w:lineRule="auto"/>
        <w:rPr>
          <w:rFonts w:ascii="Times New Roman" w:hAnsi="Times New Roman" w:eastAsia="宋体"/>
          <w:color w:val="000000"/>
        </w:rPr>
      </w:pPr>
      <w:bookmarkStart w:id="607" w:name="_Toc17156"/>
      <w:bookmarkStart w:id="608" w:name="_Toc25521"/>
      <w:r>
        <w:rPr>
          <w:rFonts w:ascii="Times New Roman" w:hAnsi="Times New Roman" w:eastAsia="宋体"/>
          <w:color w:val="000000"/>
        </w:rPr>
        <w:t>8.</w:t>
      </w:r>
      <w:r>
        <w:rPr>
          <w:rFonts w:hint="eastAsia" w:ascii="Times New Roman" w:hAnsi="Times New Roman" w:eastAsia="宋体"/>
          <w:color w:val="000000"/>
        </w:rPr>
        <w:t>6环境风险防范措施及应急预案</w:t>
      </w:r>
      <w:bookmarkEnd w:id="607"/>
      <w:bookmarkEnd w:id="608"/>
    </w:p>
    <w:p>
      <w:pPr>
        <w:pStyle w:val="5"/>
        <w:spacing w:line="360" w:lineRule="auto"/>
        <w:rPr>
          <w:color w:val="000000"/>
          <w:sz w:val="24"/>
          <w:szCs w:val="24"/>
        </w:rPr>
      </w:pPr>
      <w:bookmarkStart w:id="609" w:name="_Toc172163552"/>
      <w:bookmarkStart w:id="610" w:name="_Toc16165"/>
      <w:bookmarkStart w:id="611" w:name="_Toc7765"/>
      <w:bookmarkStart w:id="612" w:name="_Toc20211"/>
      <w:bookmarkStart w:id="613" w:name="_Toc168561971"/>
      <w:bookmarkStart w:id="614" w:name="_Toc168569789"/>
      <w:bookmarkStart w:id="615" w:name="_Toc170953698"/>
      <w:bookmarkStart w:id="616" w:name="_Toc168641325"/>
      <w:bookmarkStart w:id="617" w:name="_Toc170532254"/>
      <w:bookmarkStart w:id="618" w:name="_Toc170892027"/>
      <w:bookmarkStart w:id="619" w:name="_Toc168453621"/>
      <w:bookmarkStart w:id="620" w:name="_Toc169009569"/>
      <w:bookmarkStart w:id="621" w:name="_Toc172023777"/>
      <w:bookmarkStart w:id="622" w:name="_Toc170532001"/>
      <w:bookmarkStart w:id="623" w:name="_Toc170631285"/>
      <w:bookmarkStart w:id="624" w:name="_Toc170531606"/>
      <w:bookmarkStart w:id="625" w:name="_Toc170464445"/>
      <w:r>
        <w:rPr>
          <w:color w:val="000000"/>
          <w:sz w:val="24"/>
          <w:szCs w:val="24"/>
        </w:rPr>
        <w:t>8.</w:t>
      </w:r>
      <w:r>
        <w:rPr>
          <w:rFonts w:hint="eastAsia"/>
          <w:color w:val="000000"/>
          <w:sz w:val="24"/>
          <w:szCs w:val="24"/>
        </w:rPr>
        <w:t>6</w:t>
      </w:r>
      <w:r>
        <w:rPr>
          <w:color w:val="000000"/>
          <w:sz w:val="24"/>
          <w:szCs w:val="24"/>
        </w:rPr>
        <w:t>.1风险防范措施</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spacing w:line="360" w:lineRule="auto"/>
        <w:ind w:firstLine="480" w:firstLineChars="200"/>
        <w:rPr>
          <w:rFonts w:ascii="Times New Roman" w:hAnsi="Times New Roman"/>
          <w:bCs/>
          <w:sz w:val="24"/>
          <w:szCs w:val="24"/>
        </w:rPr>
      </w:pPr>
      <w:r>
        <w:rPr>
          <w:rFonts w:ascii="Times New Roman" w:hAnsi="Times New Roman"/>
          <w:bCs/>
          <w:sz w:val="24"/>
          <w:szCs w:val="24"/>
        </w:rPr>
        <w:t>为了减少风险事故对环境的影响，在设计、施工及运营过程中要提高风险防范意识、制定风险防范措施等，具体如下：</w:t>
      </w:r>
    </w:p>
    <w:p>
      <w:pPr>
        <w:spacing w:line="360" w:lineRule="auto"/>
        <w:ind w:firstLine="480" w:firstLineChars="200"/>
        <w:rPr>
          <w:rFonts w:ascii="Times New Roman" w:hAnsi="Times New Roman"/>
          <w:bCs/>
          <w:sz w:val="24"/>
          <w:szCs w:val="24"/>
        </w:rPr>
      </w:pPr>
      <w:r>
        <w:rPr>
          <w:rFonts w:ascii="Times New Roman" w:hAnsi="Times New Roman"/>
          <w:bCs/>
          <w:sz w:val="24"/>
          <w:szCs w:val="24"/>
        </w:rPr>
        <w:t>（1）尾矿库改扩建严格执行设计要求施工，保证施工质量，并建立尾矿库工程档案。具体如下：</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①尾矿坝距离内及下游坝坡面上不得有积水坑。</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②尾矿坝必须有足够的安全超高、沉积干滩长度和下游坝面坡度。</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③</w:t>
      </w:r>
      <w:r>
        <w:rPr>
          <w:rFonts w:ascii="Times New Roman" w:hAnsi="Times New Roman"/>
          <w:bCs/>
          <w:sz w:val="24"/>
          <w:szCs w:val="24"/>
        </w:rPr>
        <w:t>每期子坝堆筑完毕，应进行质量检查，检查记录需经主管技术人员签字后存档备查。主要检查内容包括：子坝剖面尺寸、长度、轴线位置及边坡坡比；新筑子坝的坝顶及内坡滩面高程、库内水面高程；</w:t>
      </w:r>
    </w:p>
    <w:p>
      <w:pPr>
        <w:spacing w:line="360" w:lineRule="auto"/>
        <w:ind w:firstLine="480" w:firstLineChars="200"/>
        <w:rPr>
          <w:rFonts w:ascii="Times New Roman" w:hAnsi="Times New Roman"/>
          <w:bCs/>
          <w:sz w:val="24"/>
          <w:szCs w:val="24"/>
        </w:rPr>
      </w:pPr>
      <w:r>
        <w:rPr>
          <w:rFonts w:ascii="Times New Roman" w:hAnsi="Times New Roman"/>
          <w:bCs/>
          <w:sz w:val="24"/>
          <w:szCs w:val="24"/>
        </w:rPr>
        <w:t>（</w:t>
      </w:r>
      <w:r>
        <w:rPr>
          <w:rFonts w:hint="eastAsia" w:ascii="Times New Roman" w:hAnsi="Times New Roman"/>
          <w:bCs/>
          <w:sz w:val="24"/>
          <w:szCs w:val="24"/>
        </w:rPr>
        <w:t>2</w:t>
      </w:r>
      <w:r>
        <w:rPr>
          <w:rFonts w:ascii="Times New Roman" w:hAnsi="Times New Roman"/>
          <w:bCs/>
          <w:sz w:val="24"/>
          <w:szCs w:val="24"/>
        </w:rPr>
        <w:t>）按照相关规定制定防汛安全生产责任制。在暴雨和汛期期间，应根据实际情况对尾矿库增加检查次数。检查中如发现重大隐患，必须立即采取措施进行整改，并向安全生产监督部门报告。汛期前应采取下列措施做好防汛工作：</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①明确防汛安全生产责任制，建立值班、巡查和下游居民撤离方案等各项制度，组建防洪抢险队伍；</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②疏浚库内坝肩排水沟、坝面排水沟及下游排洪河道：详细检查排洪系统及坝体的安全情况，要根据实际条件确定排洪口底坝高程，将排洪口底坝以上1.5倍调洪高度内的堵板全部打开。清除排洪口前水面漂浮物，确保排洪设施畅通；库内设清晰醒目的水位观测标尺，标明正常运行水位和警戒水位；</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③备足抗洪抢险所需物资（沙如袋等），落实应急救援措施；及时了解和掌握汛期水情和气象预报情况，确保上坝道路、通讯、供电及照明线路可靠和畅通。</w:t>
      </w:r>
    </w:p>
    <w:p>
      <w:pPr>
        <w:spacing w:line="360" w:lineRule="auto"/>
        <w:ind w:firstLine="480" w:firstLineChars="200"/>
        <w:rPr>
          <w:rFonts w:ascii="Times New Roman" w:hAnsi="Times New Roman"/>
          <w:bCs/>
          <w:sz w:val="24"/>
          <w:szCs w:val="24"/>
        </w:rPr>
      </w:pPr>
      <w:r>
        <w:rPr>
          <w:rFonts w:ascii="Times New Roman" w:hAnsi="Times New Roman"/>
          <w:bCs/>
          <w:sz w:val="24"/>
          <w:szCs w:val="24"/>
        </w:rPr>
        <w:t>（</w:t>
      </w:r>
      <w:r>
        <w:rPr>
          <w:rFonts w:hint="eastAsia" w:ascii="Times New Roman" w:hAnsi="Times New Roman"/>
          <w:bCs/>
          <w:sz w:val="24"/>
          <w:szCs w:val="24"/>
        </w:rPr>
        <w:t>3</w:t>
      </w:r>
      <w:r>
        <w:rPr>
          <w:rFonts w:ascii="Times New Roman" w:hAnsi="Times New Roman"/>
          <w:bCs/>
          <w:sz w:val="24"/>
          <w:szCs w:val="24"/>
        </w:rPr>
        <w:t>）为了及时掌握尾矿库附近地下水的动态变化，需要按照设计要求在尾矿库上游、尾矿库两侧分水岭外分别设置地下水监测井，随时了解渗漏情况，掌握尾矿库可能的渗漏对该村井水的影响程度。</w:t>
      </w:r>
    </w:p>
    <w:p>
      <w:pPr>
        <w:spacing w:line="360" w:lineRule="auto"/>
        <w:ind w:firstLine="480" w:firstLineChars="200"/>
        <w:rPr>
          <w:rFonts w:ascii="Times New Roman" w:hAnsi="Times New Roman"/>
          <w:bCs/>
          <w:sz w:val="24"/>
          <w:szCs w:val="24"/>
        </w:rPr>
      </w:pPr>
      <w:r>
        <w:rPr>
          <w:rFonts w:ascii="Times New Roman" w:hAnsi="Times New Roman"/>
          <w:bCs/>
          <w:sz w:val="24"/>
          <w:szCs w:val="24"/>
        </w:rPr>
        <w:t>（</w:t>
      </w:r>
      <w:r>
        <w:rPr>
          <w:rFonts w:hint="eastAsia" w:ascii="Times New Roman" w:hAnsi="Times New Roman"/>
          <w:bCs/>
          <w:sz w:val="24"/>
          <w:szCs w:val="24"/>
        </w:rPr>
        <w:t>4</w:t>
      </w:r>
      <w:r>
        <w:rPr>
          <w:rFonts w:ascii="Times New Roman" w:hAnsi="Times New Roman"/>
          <w:bCs/>
          <w:sz w:val="24"/>
          <w:szCs w:val="24"/>
        </w:rPr>
        <w:t>）尾矿库闭库设计和施工方案应符合国家有关法律、法规和技术规范，并须报省级以上安全生产监督管理部门审查。</w:t>
      </w:r>
    </w:p>
    <w:p>
      <w:pPr>
        <w:spacing w:line="360" w:lineRule="auto"/>
        <w:ind w:firstLine="480" w:firstLineChars="200"/>
        <w:rPr>
          <w:rFonts w:ascii="Times New Roman" w:hAnsi="Times New Roman"/>
          <w:bCs/>
          <w:sz w:val="24"/>
          <w:szCs w:val="24"/>
        </w:rPr>
      </w:pPr>
      <w:r>
        <w:rPr>
          <w:rFonts w:ascii="Times New Roman" w:hAnsi="Times New Roman"/>
          <w:bCs/>
          <w:sz w:val="24"/>
          <w:szCs w:val="24"/>
        </w:rPr>
        <w:t>（</w:t>
      </w:r>
      <w:r>
        <w:rPr>
          <w:rFonts w:hint="eastAsia" w:ascii="Times New Roman" w:hAnsi="Times New Roman"/>
          <w:bCs/>
          <w:sz w:val="24"/>
          <w:szCs w:val="24"/>
        </w:rPr>
        <w:t>5</w:t>
      </w:r>
      <w:r>
        <w:rPr>
          <w:rFonts w:ascii="Times New Roman" w:hAnsi="Times New Roman"/>
          <w:bCs/>
          <w:sz w:val="24"/>
          <w:szCs w:val="24"/>
        </w:rPr>
        <w:t>）溃坝风险防范措施</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①本项目尾矿库由初期堆石坝和尾砂堆积坝组成，因</w:t>
      </w:r>
      <w:r>
        <w:rPr>
          <w:rFonts w:hint="eastAsia" w:ascii="Times New Roman" w:hAnsi="Times New Roman"/>
          <w:bCs/>
          <w:sz w:val="24"/>
          <w:szCs w:val="24"/>
        </w:rPr>
        <w:t>尾矿渣为干排</w:t>
      </w:r>
      <w:r>
        <w:rPr>
          <w:rFonts w:ascii="Times New Roman" w:hAnsi="Times New Roman"/>
          <w:bCs/>
          <w:sz w:val="24"/>
          <w:szCs w:val="24"/>
        </w:rPr>
        <w:t>，从坝体安全稳定考虑，应严格按设计进行施工，并在子坝上增加排渗设施，加快尾砂团结，以确保坝体的稳定性。</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②矿山应设置专门机构或专人负责并定期检查尾矿坝坝体与排洪设施的运转情况，如发现问题，及时采取措施，保证不发生溃坝事故。</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③保证</w:t>
      </w:r>
      <w:r>
        <w:rPr>
          <w:rFonts w:hint="eastAsia" w:ascii="Times New Roman" w:hAnsi="Times New Roman"/>
          <w:bCs/>
          <w:sz w:val="24"/>
          <w:szCs w:val="24"/>
        </w:rPr>
        <w:t>汛期淋溶水以及洪水的</w:t>
      </w:r>
      <w:r>
        <w:rPr>
          <w:rFonts w:ascii="Times New Roman" w:hAnsi="Times New Roman"/>
          <w:bCs/>
          <w:sz w:val="24"/>
          <w:szCs w:val="24"/>
        </w:rPr>
        <w:t>排洪系统的畅通，经常检查排水隧洞，清除洞内的障碍物、淤积物。</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④严禁尾矿超高堆放。</w:t>
      </w:r>
    </w:p>
    <w:p>
      <w:pPr>
        <w:spacing w:line="360" w:lineRule="auto"/>
        <w:ind w:firstLine="480" w:firstLineChars="200"/>
        <w:rPr>
          <w:rFonts w:ascii="Times New Roman" w:hAnsi="Times New Roman"/>
          <w:bCs/>
          <w:sz w:val="24"/>
          <w:szCs w:val="24"/>
        </w:rPr>
      </w:pPr>
      <w:r>
        <w:rPr>
          <w:rFonts w:ascii="Times New Roman" w:hAnsi="Times New Roman"/>
          <w:bCs/>
          <w:sz w:val="24"/>
          <w:szCs w:val="24"/>
        </w:rPr>
        <w:t>⑤尾矿表面要有向内1％的坡度，使落入尾矿表面的雨水不致对尾矿坝形成水力浸润。</w:t>
      </w:r>
    </w:p>
    <w:p>
      <w:pPr>
        <w:spacing w:line="360" w:lineRule="auto"/>
        <w:ind w:firstLine="480" w:firstLineChars="200"/>
        <w:rPr>
          <w:rFonts w:ascii="Times New Roman" w:hAnsi="Times New Roman"/>
          <w:bCs/>
          <w:sz w:val="24"/>
          <w:szCs w:val="24"/>
        </w:rPr>
      </w:pPr>
      <w:r>
        <w:rPr>
          <w:rFonts w:ascii="Times New Roman" w:hAnsi="Times New Roman"/>
          <w:bCs/>
          <w:sz w:val="24"/>
          <w:szCs w:val="24"/>
        </w:rPr>
        <w:t>（8）加强施工质量，对所有构筑物，如尾矿坝要求按设计图纸施工，严防偷工减料，认真把好质量关。</w:t>
      </w:r>
    </w:p>
    <w:p>
      <w:pPr>
        <w:spacing w:line="360" w:lineRule="auto"/>
        <w:ind w:firstLine="480" w:firstLineChars="200"/>
        <w:rPr>
          <w:rFonts w:ascii="Times New Roman" w:hAnsi="Times New Roman"/>
          <w:bCs/>
          <w:sz w:val="24"/>
          <w:szCs w:val="24"/>
        </w:rPr>
      </w:pPr>
      <w:r>
        <w:rPr>
          <w:rFonts w:ascii="Times New Roman" w:hAnsi="Times New Roman"/>
          <w:bCs/>
          <w:sz w:val="24"/>
          <w:szCs w:val="24"/>
        </w:rPr>
        <w:t>（9）建立一整套行之有效的规章制度，并培养1-2名经过系统培训的专职安全员，对于工作不正常的设备，应该及时检修。定期检查安全工作，主持召开安全会议。</w:t>
      </w:r>
    </w:p>
    <w:p>
      <w:pPr>
        <w:spacing w:line="360" w:lineRule="auto"/>
        <w:ind w:firstLine="480" w:firstLineChars="200"/>
        <w:rPr>
          <w:rFonts w:ascii="Times New Roman" w:hAnsi="Times New Roman"/>
          <w:bCs/>
          <w:sz w:val="24"/>
          <w:szCs w:val="24"/>
        </w:rPr>
      </w:pPr>
      <w:r>
        <w:rPr>
          <w:rFonts w:ascii="Times New Roman" w:hAnsi="Times New Roman"/>
          <w:bCs/>
          <w:sz w:val="24"/>
          <w:szCs w:val="24"/>
        </w:rPr>
        <w:t>（10）应根据本企业生产特点，制定相应环境风险事故应急方案，并定期组织演练。</w:t>
      </w:r>
    </w:p>
    <w:p>
      <w:pPr>
        <w:pStyle w:val="5"/>
        <w:spacing w:line="360" w:lineRule="auto"/>
        <w:rPr>
          <w:color w:val="000000"/>
          <w:sz w:val="24"/>
          <w:szCs w:val="24"/>
        </w:rPr>
      </w:pPr>
      <w:bookmarkStart w:id="626" w:name="_Toc15137"/>
      <w:bookmarkStart w:id="627" w:name="_Toc3478"/>
      <w:bookmarkStart w:id="628" w:name="_Toc170532003"/>
      <w:bookmarkStart w:id="629" w:name="_Toc10850"/>
      <w:bookmarkStart w:id="630" w:name="_Toc169009571"/>
      <w:bookmarkStart w:id="631" w:name="_Toc170531608"/>
      <w:bookmarkStart w:id="632" w:name="_Toc170532256"/>
      <w:bookmarkStart w:id="633" w:name="_Toc170464447"/>
      <w:bookmarkStart w:id="634" w:name="_Toc170631287"/>
      <w:bookmarkStart w:id="635" w:name="_Toc172163554"/>
      <w:bookmarkStart w:id="636" w:name="_Toc172023779"/>
      <w:bookmarkStart w:id="637" w:name="_Toc170892029"/>
      <w:bookmarkStart w:id="638" w:name="_Toc170953700"/>
      <w:r>
        <w:rPr>
          <w:rFonts w:hint="eastAsia"/>
          <w:color w:val="000000"/>
          <w:sz w:val="24"/>
          <w:szCs w:val="24"/>
        </w:rPr>
        <w:t>8.6.2</w:t>
      </w:r>
      <w:r>
        <w:rPr>
          <w:color w:val="000000"/>
          <w:sz w:val="24"/>
          <w:szCs w:val="24"/>
        </w:rPr>
        <w:t>风险应急预案</w:t>
      </w:r>
      <w:bookmarkEnd w:id="626"/>
      <w:bookmarkEnd w:id="627"/>
      <w:bookmarkEnd w:id="628"/>
      <w:bookmarkEnd w:id="629"/>
      <w:bookmarkEnd w:id="630"/>
      <w:bookmarkEnd w:id="631"/>
      <w:bookmarkEnd w:id="632"/>
      <w:bookmarkEnd w:id="633"/>
      <w:bookmarkEnd w:id="634"/>
      <w:bookmarkEnd w:id="635"/>
      <w:bookmarkEnd w:id="636"/>
      <w:bookmarkEnd w:id="637"/>
      <w:bookmarkEnd w:id="638"/>
    </w:p>
    <w:p>
      <w:pPr>
        <w:spacing w:line="360" w:lineRule="auto"/>
        <w:ind w:firstLine="480" w:firstLineChars="200"/>
        <w:rPr>
          <w:rFonts w:ascii="Times New Roman" w:hAnsi="Times New Roman"/>
          <w:sz w:val="24"/>
          <w:szCs w:val="24"/>
        </w:rPr>
      </w:pPr>
      <w:r>
        <w:rPr>
          <w:rFonts w:hint="eastAsia" w:ascii="Times New Roman" w:hAnsi="Times New Roman"/>
          <w:sz w:val="24"/>
          <w:szCs w:val="24"/>
        </w:rPr>
        <w:t>8.6.2</w:t>
      </w:r>
      <w:r>
        <w:rPr>
          <w:rFonts w:ascii="Times New Roman" w:hAnsi="Times New Roman"/>
          <w:sz w:val="24"/>
          <w:szCs w:val="24"/>
        </w:rPr>
        <w:t>.1风险应急预案内容</w:t>
      </w:r>
    </w:p>
    <w:p>
      <w:pPr>
        <w:spacing w:line="360" w:lineRule="auto"/>
        <w:ind w:firstLine="480" w:firstLineChars="200"/>
        <w:rPr>
          <w:rFonts w:ascii="Times New Roman" w:hAnsi="Times New Roman"/>
          <w:sz w:val="24"/>
          <w:szCs w:val="24"/>
        </w:rPr>
      </w:pPr>
      <w:r>
        <w:rPr>
          <w:rFonts w:ascii="Times New Roman" w:hAnsi="Times New Roman"/>
          <w:sz w:val="24"/>
          <w:szCs w:val="24"/>
        </w:rPr>
        <w:t>应急预案一般包括几个部分内容：应急指挥机构；应急计划区（重大危险源）的确定；应急救援保障；报警和通讯设施；应急环境监测、抢救、救援及控制措施；应急检测、防护措施、清除泄漏措施和器材、人员紧急撤离组织计划；事故应急救援关闭程序与恢复措施；应急培训计划；公众教育和信息。</w:t>
      </w:r>
    </w:p>
    <w:p>
      <w:pPr>
        <w:spacing w:line="360" w:lineRule="auto"/>
        <w:ind w:firstLine="480" w:firstLineChars="200"/>
        <w:rPr>
          <w:rFonts w:ascii="Times New Roman" w:hAnsi="Times New Roman"/>
          <w:sz w:val="24"/>
          <w:szCs w:val="24"/>
        </w:rPr>
      </w:pPr>
      <w:r>
        <w:rPr>
          <w:rFonts w:ascii="Times New Roman" w:hAnsi="Times New Roman"/>
          <w:sz w:val="24"/>
          <w:szCs w:val="24"/>
        </w:rPr>
        <w:t>（1）应急指挥机构和救援队伍</w:t>
      </w:r>
    </w:p>
    <w:p>
      <w:pPr>
        <w:spacing w:line="360" w:lineRule="auto"/>
        <w:ind w:firstLine="480" w:firstLineChars="200"/>
        <w:rPr>
          <w:rFonts w:ascii="Times New Roman" w:hAnsi="Times New Roman"/>
          <w:sz w:val="24"/>
          <w:szCs w:val="24"/>
        </w:rPr>
      </w:pPr>
      <w:r>
        <w:rPr>
          <w:rFonts w:ascii="Times New Roman" w:hAnsi="Times New Roman"/>
          <w:sz w:val="24"/>
          <w:szCs w:val="24"/>
        </w:rPr>
        <w:t>厂内可成立应急救援指挥部，要由主管领导负责，并组织相应岗位的人员进行分工，确定各岗位人员的职责。</w:t>
      </w:r>
    </w:p>
    <w:p>
      <w:pPr>
        <w:spacing w:line="360" w:lineRule="auto"/>
        <w:ind w:firstLine="480" w:firstLineChars="200"/>
        <w:rPr>
          <w:rFonts w:ascii="Times New Roman" w:hAnsi="Times New Roman"/>
          <w:sz w:val="24"/>
          <w:szCs w:val="24"/>
        </w:rPr>
      </w:pPr>
      <w:r>
        <w:rPr>
          <w:rFonts w:ascii="Times New Roman" w:hAnsi="Times New Roman"/>
          <w:sz w:val="24"/>
          <w:szCs w:val="24"/>
        </w:rPr>
        <w:t>（2）应急计划区（重大危险源）的确定</w:t>
      </w:r>
    </w:p>
    <w:p>
      <w:pPr>
        <w:spacing w:line="360" w:lineRule="auto"/>
        <w:ind w:firstLine="480" w:firstLineChars="200"/>
        <w:rPr>
          <w:rFonts w:ascii="Times New Roman" w:hAnsi="Times New Roman"/>
          <w:sz w:val="24"/>
          <w:szCs w:val="24"/>
        </w:rPr>
      </w:pPr>
      <w:r>
        <w:rPr>
          <w:rFonts w:ascii="Times New Roman" w:hAnsi="Times New Roman"/>
          <w:sz w:val="24"/>
          <w:szCs w:val="24"/>
        </w:rPr>
        <w:t>列为风险源的内容应列为重大危险源，根据生产实际情况，找出其他可能发生的会对环境产生重大污染的危险源，分析其可能产生的事故类型、事故级别、事故位置、发生事故的影响范围和程度等，并绘制重大危险源分布图。</w:t>
      </w:r>
    </w:p>
    <w:p>
      <w:pPr>
        <w:spacing w:line="360" w:lineRule="auto"/>
        <w:ind w:firstLine="480" w:firstLineChars="200"/>
        <w:rPr>
          <w:rFonts w:ascii="Times New Roman" w:hAnsi="Times New Roman"/>
          <w:sz w:val="24"/>
          <w:szCs w:val="24"/>
        </w:rPr>
      </w:pPr>
      <w:r>
        <w:rPr>
          <w:rFonts w:ascii="Times New Roman" w:hAnsi="Times New Roman"/>
          <w:sz w:val="24"/>
          <w:szCs w:val="24"/>
        </w:rPr>
        <w:t>（3）应急救援保障</w:t>
      </w:r>
    </w:p>
    <w:p>
      <w:pPr>
        <w:spacing w:line="360" w:lineRule="auto"/>
        <w:ind w:firstLine="480" w:firstLineChars="200"/>
        <w:rPr>
          <w:rFonts w:ascii="Times New Roman" w:hAnsi="Times New Roman"/>
          <w:sz w:val="24"/>
          <w:szCs w:val="24"/>
        </w:rPr>
      </w:pPr>
      <w:r>
        <w:rPr>
          <w:rFonts w:ascii="Times New Roman" w:hAnsi="Times New Roman"/>
          <w:sz w:val="24"/>
          <w:szCs w:val="24"/>
        </w:rPr>
        <w:t>厂内应该配备应急设施、设备与器材等。</w:t>
      </w:r>
    </w:p>
    <w:p>
      <w:pPr>
        <w:spacing w:line="360" w:lineRule="auto"/>
        <w:ind w:firstLine="480" w:firstLineChars="200"/>
        <w:rPr>
          <w:rFonts w:ascii="Times New Roman" w:hAnsi="Times New Roman"/>
          <w:sz w:val="24"/>
          <w:szCs w:val="24"/>
        </w:rPr>
      </w:pPr>
      <w:r>
        <w:rPr>
          <w:rFonts w:ascii="Times New Roman" w:hAnsi="Times New Roman"/>
          <w:sz w:val="24"/>
          <w:szCs w:val="24"/>
        </w:rPr>
        <w:t>（4）报警和通讯设施</w:t>
      </w:r>
    </w:p>
    <w:p>
      <w:pPr>
        <w:spacing w:line="360" w:lineRule="auto"/>
        <w:ind w:firstLine="480" w:firstLineChars="200"/>
        <w:rPr>
          <w:rFonts w:ascii="Times New Roman" w:hAnsi="Times New Roman"/>
          <w:sz w:val="24"/>
          <w:szCs w:val="24"/>
        </w:rPr>
      </w:pPr>
      <w:r>
        <w:rPr>
          <w:rFonts w:ascii="Times New Roman" w:hAnsi="Times New Roman"/>
          <w:sz w:val="24"/>
          <w:szCs w:val="24"/>
        </w:rPr>
        <w:t>必须规定在应急状态下的报警方式、通知方式和交通保障、管制。</w:t>
      </w:r>
    </w:p>
    <w:p>
      <w:pPr>
        <w:spacing w:line="360" w:lineRule="auto"/>
        <w:ind w:firstLine="480" w:firstLineChars="200"/>
        <w:rPr>
          <w:rFonts w:ascii="Times New Roman" w:hAnsi="Times New Roman"/>
          <w:sz w:val="24"/>
          <w:szCs w:val="24"/>
        </w:rPr>
      </w:pPr>
      <w:r>
        <w:rPr>
          <w:rFonts w:ascii="Times New Roman" w:hAnsi="Times New Roman"/>
          <w:sz w:val="24"/>
          <w:szCs w:val="24"/>
        </w:rPr>
        <w:t>（5）应急环境监测、抢救、救援及控制措施</w:t>
      </w:r>
    </w:p>
    <w:p>
      <w:pPr>
        <w:spacing w:line="360" w:lineRule="auto"/>
        <w:ind w:firstLine="480" w:firstLineChars="200"/>
        <w:rPr>
          <w:rFonts w:ascii="Times New Roman" w:hAnsi="Times New Roman"/>
          <w:sz w:val="24"/>
          <w:szCs w:val="24"/>
        </w:rPr>
      </w:pPr>
      <w:r>
        <w:rPr>
          <w:rFonts w:ascii="Times New Roman" w:hAnsi="Times New Roman"/>
          <w:sz w:val="24"/>
          <w:szCs w:val="24"/>
        </w:rPr>
        <w:t>在出现应急事故的情况下，委托当地政府相关部门成立一个专业的对服务对事故现场进行监测，对事故的性质、参数与后果进行评估，为指挥部门提供决策依据。</w:t>
      </w:r>
    </w:p>
    <w:p>
      <w:pPr>
        <w:spacing w:line="360" w:lineRule="auto"/>
        <w:ind w:firstLine="480" w:firstLineChars="200"/>
        <w:rPr>
          <w:rFonts w:ascii="Times New Roman" w:hAnsi="Times New Roman"/>
          <w:sz w:val="24"/>
          <w:szCs w:val="24"/>
        </w:rPr>
      </w:pPr>
      <w:r>
        <w:rPr>
          <w:rFonts w:ascii="Times New Roman" w:hAnsi="Times New Roman"/>
          <w:sz w:val="24"/>
          <w:szCs w:val="24"/>
        </w:rPr>
        <w:t>（6）应急检测、防护措施、清除泄漏措施和器材、人员紧急撤离组织计划；</w:t>
      </w:r>
    </w:p>
    <w:p>
      <w:pPr>
        <w:spacing w:line="360" w:lineRule="auto"/>
        <w:ind w:firstLine="480" w:firstLineChars="200"/>
        <w:rPr>
          <w:rFonts w:ascii="Times New Roman" w:hAnsi="Times New Roman"/>
          <w:sz w:val="24"/>
          <w:szCs w:val="24"/>
        </w:rPr>
      </w:pPr>
      <w:r>
        <w:rPr>
          <w:rFonts w:ascii="Times New Roman" w:hAnsi="Times New Roman"/>
          <w:sz w:val="24"/>
          <w:szCs w:val="24"/>
        </w:rPr>
        <w:t>在出现应急事故的情况下，应该委托委托当地政府相关部门进行协助，对事故现场、邻近区域、受事故影响的区域人员进行疏散，出现异常现象的要立即送医院进行治疗，维护公众健康。</w:t>
      </w:r>
    </w:p>
    <w:p>
      <w:pPr>
        <w:spacing w:line="360" w:lineRule="auto"/>
        <w:ind w:firstLine="480" w:firstLineChars="200"/>
        <w:rPr>
          <w:rFonts w:ascii="Times New Roman" w:hAnsi="Times New Roman"/>
          <w:sz w:val="24"/>
          <w:szCs w:val="24"/>
        </w:rPr>
      </w:pPr>
      <w:r>
        <w:rPr>
          <w:rFonts w:ascii="Times New Roman" w:hAnsi="Times New Roman"/>
          <w:sz w:val="24"/>
          <w:szCs w:val="24"/>
        </w:rPr>
        <w:t>（7）事故应急救援关闭程序与恢复措施</w:t>
      </w:r>
    </w:p>
    <w:p>
      <w:pPr>
        <w:spacing w:line="360" w:lineRule="auto"/>
        <w:ind w:firstLine="480" w:firstLineChars="200"/>
        <w:rPr>
          <w:rFonts w:ascii="Times New Roman" w:hAnsi="Times New Roman"/>
          <w:sz w:val="24"/>
          <w:szCs w:val="24"/>
        </w:rPr>
      </w:pPr>
      <w:r>
        <w:rPr>
          <w:rFonts w:ascii="Times New Roman" w:hAnsi="Times New Roman"/>
          <w:sz w:val="24"/>
          <w:szCs w:val="24"/>
        </w:rPr>
        <w:t>在应急状态终止以后，要做好事故现场善后处理，恢复措施，邻近区域解除事故警戒及善后恢复措施。</w:t>
      </w:r>
    </w:p>
    <w:p>
      <w:pPr>
        <w:spacing w:line="360" w:lineRule="auto"/>
        <w:ind w:firstLine="480" w:firstLineChars="200"/>
        <w:rPr>
          <w:rFonts w:ascii="Times New Roman" w:hAnsi="Times New Roman"/>
          <w:sz w:val="24"/>
          <w:szCs w:val="24"/>
        </w:rPr>
      </w:pPr>
      <w:r>
        <w:rPr>
          <w:rFonts w:ascii="Times New Roman" w:hAnsi="Times New Roman"/>
          <w:sz w:val="24"/>
          <w:szCs w:val="24"/>
        </w:rPr>
        <w:t>（8）应急培训计划</w:t>
      </w:r>
    </w:p>
    <w:p>
      <w:pPr>
        <w:spacing w:line="360" w:lineRule="auto"/>
        <w:ind w:firstLine="480" w:firstLineChars="200"/>
        <w:rPr>
          <w:rFonts w:ascii="Times New Roman" w:hAnsi="Times New Roman"/>
          <w:sz w:val="24"/>
          <w:szCs w:val="24"/>
        </w:rPr>
      </w:pPr>
      <w:r>
        <w:rPr>
          <w:rFonts w:ascii="Times New Roman" w:hAnsi="Times New Roman"/>
          <w:sz w:val="24"/>
          <w:szCs w:val="24"/>
        </w:rPr>
        <w:t>在应急计划制定以后，平时建设单位领导应该平时安排人员进行培训和演练。让大家意识到风险事故的严重性，不能掉以轻心。</w:t>
      </w:r>
    </w:p>
    <w:p>
      <w:pPr>
        <w:spacing w:line="360" w:lineRule="auto"/>
        <w:ind w:firstLine="480" w:firstLineChars="200"/>
        <w:rPr>
          <w:rFonts w:ascii="Times New Roman" w:hAnsi="Times New Roman"/>
          <w:sz w:val="24"/>
          <w:szCs w:val="24"/>
        </w:rPr>
      </w:pPr>
      <w:r>
        <w:rPr>
          <w:rFonts w:ascii="Times New Roman" w:hAnsi="Times New Roman"/>
          <w:sz w:val="24"/>
          <w:szCs w:val="24"/>
        </w:rPr>
        <w:t>（9）公众教育和信息</w:t>
      </w:r>
    </w:p>
    <w:p>
      <w:pPr>
        <w:spacing w:line="360" w:lineRule="auto"/>
        <w:ind w:firstLine="480" w:firstLineChars="200"/>
        <w:rPr>
          <w:rFonts w:ascii="Times New Roman" w:hAnsi="Times New Roman"/>
          <w:sz w:val="24"/>
          <w:szCs w:val="24"/>
        </w:rPr>
      </w:pPr>
      <w:r>
        <w:rPr>
          <w:rFonts w:ascii="Times New Roman" w:hAnsi="Times New Roman"/>
          <w:sz w:val="24"/>
          <w:szCs w:val="24"/>
        </w:rPr>
        <w:t>建设单位应该通过对厂区周围的村屯开展公众教育、培训和发布有关信息。</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8.6.2</w:t>
      </w:r>
      <w:r>
        <w:rPr>
          <w:rFonts w:ascii="Times New Roman" w:hAnsi="Times New Roman"/>
          <w:sz w:val="24"/>
          <w:szCs w:val="24"/>
        </w:rPr>
        <w:t>.2要求和依据</w:t>
      </w:r>
    </w:p>
    <w:p>
      <w:pPr>
        <w:spacing w:line="360" w:lineRule="auto"/>
        <w:ind w:firstLine="480" w:firstLineChars="200"/>
        <w:rPr>
          <w:rFonts w:ascii="Times New Roman" w:hAnsi="Times New Roman"/>
          <w:sz w:val="24"/>
          <w:szCs w:val="24"/>
        </w:rPr>
      </w:pPr>
      <w:r>
        <w:rPr>
          <w:rFonts w:ascii="Times New Roman" w:hAnsi="Times New Roman"/>
          <w:sz w:val="24"/>
          <w:szCs w:val="24"/>
        </w:rPr>
        <w:t>事故一旦发生，应急救援预案就是救援行动的指南。重大事故应急救援预案是企业根据实际情况预计可能发生的重大事故，为加强对重大事故的处理能力所预先制定的事故应急对策。为确保应急行动的准确性，在制定预案时要根据企业事故潜在威胁的情况和现有诸方面救援力量的实际。预案一定要结合实际情况认真细致地考虑各项影响因素，并经演练的实践考验，不断补充、修正完善。</w:t>
      </w:r>
    </w:p>
    <w:p>
      <w:pPr>
        <w:spacing w:line="360" w:lineRule="auto"/>
        <w:ind w:firstLine="480" w:firstLineChars="200"/>
        <w:rPr>
          <w:rFonts w:ascii="Times New Roman" w:hAnsi="Times New Roman"/>
          <w:sz w:val="24"/>
          <w:szCs w:val="24"/>
        </w:rPr>
      </w:pPr>
      <w:r>
        <w:rPr>
          <w:rFonts w:ascii="Times New Roman" w:hAnsi="Times New Roman"/>
          <w:sz w:val="24"/>
          <w:szCs w:val="24"/>
        </w:rPr>
        <w:t>根据实际情况，按事故的性质、类型、影响范围严重后果等分等级地制订相应的预案。为使预案更有针对性和能迅速应用，一般要制订出不同类型的应急预案，如火灾型、爆炸型、泄漏、溃坝型等。一个单位的不同类型的应急预案要形成统一整体，救援力量要统筹安排，要切合本单位的实际条件制订预案。制订的预案要有权威性各级应急组织职责明确，通力协作。预案要定期演习和复查，要根据实际情况定期检查和修正。应急队伍要进行专业培训。并要有培训记录和档案，应急人员要通过考核证实确能胜任所担负的应急任务后，才能上岗。各专业队平时就要组建落实并配有相应器材。应急器材要定期检查，保证设备性能完好。</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8.6.2</w:t>
      </w:r>
      <w:r>
        <w:rPr>
          <w:rFonts w:ascii="Times New Roman" w:hAnsi="Times New Roman"/>
          <w:sz w:val="24"/>
          <w:szCs w:val="24"/>
        </w:rPr>
        <w:t>.3本项目应急预案的初步构想</w:t>
      </w:r>
    </w:p>
    <w:p>
      <w:pPr>
        <w:spacing w:line="360" w:lineRule="auto"/>
        <w:ind w:firstLine="480" w:firstLineChars="200"/>
        <w:rPr>
          <w:rFonts w:ascii="Times New Roman" w:hAnsi="Times New Roman"/>
          <w:sz w:val="24"/>
          <w:szCs w:val="24"/>
        </w:rPr>
      </w:pPr>
      <w:r>
        <w:rPr>
          <w:rFonts w:ascii="Times New Roman" w:hAnsi="Times New Roman"/>
          <w:sz w:val="24"/>
          <w:szCs w:val="24"/>
        </w:rPr>
        <w:t>根据《建设项目环境风险评价技术导则》（HJ/T169-2004），本建设项目投产前按规定编制风险应急预案，根据本项目特点，建议具体应急预案应包括的主要内容见</w:t>
      </w:r>
      <w:r>
        <w:rPr>
          <w:rFonts w:hint="eastAsia" w:ascii="Times New Roman" w:hAnsi="Times New Roman"/>
          <w:sz w:val="24"/>
          <w:szCs w:val="24"/>
        </w:rPr>
        <w:t>下表</w:t>
      </w:r>
      <w:r>
        <w:rPr>
          <w:rFonts w:ascii="Times New Roman" w:hAnsi="Times New Roman"/>
          <w:sz w:val="24"/>
          <w:szCs w:val="24"/>
        </w:rPr>
        <w:t>。</w:t>
      </w:r>
    </w:p>
    <w:p>
      <w:pPr>
        <w:pStyle w:val="76"/>
        <w:jc w:val="center"/>
        <w:rPr>
          <w:b/>
          <w:color w:val="000000"/>
          <w:sz w:val="24"/>
        </w:rPr>
      </w:pPr>
    </w:p>
    <w:p>
      <w:pPr>
        <w:pStyle w:val="76"/>
        <w:jc w:val="center"/>
        <w:rPr>
          <w:b/>
          <w:color w:val="000000"/>
          <w:sz w:val="24"/>
        </w:rPr>
      </w:pPr>
      <w:r>
        <w:rPr>
          <w:b/>
          <w:color w:val="000000"/>
          <w:sz w:val="24"/>
        </w:rPr>
        <w:t>表</w:t>
      </w:r>
      <w:r>
        <w:rPr>
          <w:rFonts w:hint="eastAsia"/>
          <w:b/>
          <w:color w:val="000000"/>
          <w:sz w:val="24"/>
        </w:rPr>
        <w:t xml:space="preserve">8-12  </w:t>
      </w:r>
      <w:r>
        <w:rPr>
          <w:b/>
          <w:color w:val="000000"/>
          <w:sz w:val="24"/>
        </w:rPr>
        <w:t>尾矿库应急预案内容</w:t>
      </w:r>
    </w:p>
    <w:tbl>
      <w:tblPr>
        <w:tblStyle w:val="2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676"/>
        <w:gridCol w:w="2309"/>
        <w:gridCol w:w="54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blHeader/>
          <w:jc w:val="center"/>
        </w:trPr>
        <w:tc>
          <w:tcPr>
            <w:tcW w:w="676" w:type="dxa"/>
            <w:tcBorders>
              <w:top w:val="single" w:color="auto" w:sz="12" w:space="0"/>
              <w:left w:val="nil"/>
              <w:bottom w:val="single" w:color="auto" w:sz="4" w:space="0"/>
            </w:tcBorders>
            <w:vAlign w:val="center"/>
          </w:tcPr>
          <w:p>
            <w:pPr>
              <w:pStyle w:val="56"/>
              <w:spacing w:line="240" w:lineRule="exact"/>
              <w:rPr>
                <w:color w:val="000000"/>
              </w:rPr>
            </w:pPr>
            <w:r>
              <w:rPr>
                <w:color w:val="000000"/>
              </w:rPr>
              <w:t>序号</w:t>
            </w:r>
          </w:p>
        </w:tc>
        <w:tc>
          <w:tcPr>
            <w:tcW w:w="2309" w:type="dxa"/>
            <w:tcBorders>
              <w:top w:val="single" w:color="auto" w:sz="12" w:space="0"/>
              <w:bottom w:val="single" w:color="auto" w:sz="4" w:space="0"/>
            </w:tcBorders>
            <w:vAlign w:val="center"/>
          </w:tcPr>
          <w:p>
            <w:pPr>
              <w:pStyle w:val="56"/>
              <w:spacing w:line="240" w:lineRule="exact"/>
              <w:rPr>
                <w:color w:val="000000"/>
              </w:rPr>
            </w:pPr>
            <w:r>
              <w:rPr>
                <w:color w:val="000000"/>
              </w:rPr>
              <w:t>项目</w:t>
            </w:r>
          </w:p>
        </w:tc>
        <w:tc>
          <w:tcPr>
            <w:tcW w:w="5441" w:type="dxa"/>
            <w:tcBorders>
              <w:top w:val="single" w:color="auto" w:sz="12" w:space="0"/>
              <w:bottom w:val="single" w:color="auto" w:sz="4" w:space="0"/>
              <w:right w:val="nil"/>
            </w:tcBorders>
            <w:vAlign w:val="center"/>
          </w:tcPr>
          <w:p>
            <w:pPr>
              <w:pStyle w:val="56"/>
              <w:spacing w:line="240" w:lineRule="exact"/>
              <w:rPr>
                <w:color w:val="000000"/>
              </w:rPr>
            </w:pPr>
            <w:r>
              <w:rPr>
                <w:color w:val="000000"/>
              </w:rPr>
              <w:t>内容及要求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top w:val="single" w:color="auto" w:sz="4" w:space="0"/>
              <w:left w:val="nil"/>
            </w:tcBorders>
            <w:vAlign w:val="center"/>
          </w:tcPr>
          <w:p>
            <w:pPr>
              <w:pStyle w:val="56"/>
              <w:spacing w:line="240" w:lineRule="exact"/>
              <w:rPr>
                <w:color w:val="000000"/>
              </w:rPr>
            </w:pPr>
            <w:r>
              <w:rPr>
                <w:color w:val="000000"/>
              </w:rPr>
              <w:t>1</w:t>
            </w:r>
          </w:p>
        </w:tc>
        <w:tc>
          <w:tcPr>
            <w:tcW w:w="2309" w:type="dxa"/>
            <w:tcBorders>
              <w:top w:val="single" w:color="auto" w:sz="4" w:space="0"/>
            </w:tcBorders>
            <w:vAlign w:val="center"/>
          </w:tcPr>
          <w:p>
            <w:pPr>
              <w:pStyle w:val="56"/>
              <w:spacing w:line="240" w:lineRule="exact"/>
              <w:rPr>
                <w:color w:val="000000"/>
              </w:rPr>
            </w:pPr>
            <w:r>
              <w:rPr>
                <w:color w:val="000000"/>
              </w:rPr>
              <w:t>应急计划区</w:t>
            </w:r>
          </w:p>
        </w:tc>
        <w:tc>
          <w:tcPr>
            <w:tcW w:w="5441" w:type="dxa"/>
            <w:tcBorders>
              <w:top w:val="single" w:color="auto" w:sz="4" w:space="0"/>
              <w:right w:val="nil"/>
            </w:tcBorders>
            <w:vAlign w:val="center"/>
          </w:tcPr>
          <w:p>
            <w:pPr>
              <w:pStyle w:val="56"/>
              <w:spacing w:line="240" w:lineRule="exact"/>
              <w:jc w:val="both"/>
              <w:rPr>
                <w:color w:val="000000"/>
              </w:rPr>
            </w:pPr>
            <w:r>
              <w:rPr>
                <w:color w:val="000000"/>
              </w:rPr>
              <w:t>危险目标：尾矿库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left w:val="nil"/>
              <w:bottom w:val="single" w:color="auto" w:sz="4" w:space="0"/>
            </w:tcBorders>
            <w:vAlign w:val="center"/>
          </w:tcPr>
          <w:p>
            <w:pPr>
              <w:pStyle w:val="56"/>
              <w:spacing w:line="240" w:lineRule="exact"/>
              <w:rPr>
                <w:color w:val="000000"/>
              </w:rPr>
            </w:pPr>
            <w:r>
              <w:rPr>
                <w:color w:val="000000"/>
              </w:rPr>
              <w:t>2</w:t>
            </w:r>
          </w:p>
        </w:tc>
        <w:tc>
          <w:tcPr>
            <w:tcW w:w="2309" w:type="dxa"/>
            <w:tcBorders>
              <w:bottom w:val="single" w:color="auto" w:sz="4" w:space="0"/>
            </w:tcBorders>
            <w:vAlign w:val="center"/>
          </w:tcPr>
          <w:p>
            <w:pPr>
              <w:pStyle w:val="56"/>
              <w:spacing w:line="240" w:lineRule="exact"/>
              <w:rPr>
                <w:color w:val="000000"/>
              </w:rPr>
            </w:pPr>
            <w:r>
              <w:rPr>
                <w:color w:val="000000"/>
              </w:rPr>
              <w:t>应急组织机构、人员</w:t>
            </w:r>
          </w:p>
        </w:tc>
        <w:tc>
          <w:tcPr>
            <w:tcW w:w="5441" w:type="dxa"/>
            <w:tcBorders>
              <w:bottom w:val="single" w:color="auto" w:sz="4" w:space="0"/>
              <w:right w:val="nil"/>
            </w:tcBorders>
            <w:vAlign w:val="center"/>
          </w:tcPr>
          <w:p>
            <w:pPr>
              <w:pStyle w:val="56"/>
              <w:spacing w:line="240" w:lineRule="exact"/>
              <w:jc w:val="both"/>
              <w:rPr>
                <w:color w:val="000000"/>
              </w:rPr>
            </w:pPr>
            <w:r>
              <w:rPr>
                <w:color w:val="000000"/>
              </w:rPr>
              <w:t>工厂应急组织机构、人员；地区应急组织机构、人员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top w:val="single" w:color="auto" w:sz="4" w:space="0"/>
              <w:left w:val="nil"/>
            </w:tcBorders>
            <w:vAlign w:val="center"/>
          </w:tcPr>
          <w:p>
            <w:pPr>
              <w:pStyle w:val="56"/>
              <w:spacing w:line="240" w:lineRule="exact"/>
              <w:rPr>
                <w:color w:val="000000"/>
              </w:rPr>
            </w:pPr>
            <w:r>
              <w:rPr>
                <w:color w:val="000000"/>
              </w:rPr>
              <w:t>3</w:t>
            </w:r>
          </w:p>
        </w:tc>
        <w:tc>
          <w:tcPr>
            <w:tcW w:w="2309" w:type="dxa"/>
            <w:tcBorders>
              <w:top w:val="single" w:color="auto" w:sz="4" w:space="0"/>
            </w:tcBorders>
            <w:vAlign w:val="center"/>
          </w:tcPr>
          <w:p>
            <w:pPr>
              <w:pStyle w:val="56"/>
              <w:spacing w:line="240" w:lineRule="exact"/>
              <w:rPr>
                <w:color w:val="000000"/>
              </w:rPr>
            </w:pPr>
            <w:r>
              <w:rPr>
                <w:color w:val="000000"/>
              </w:rPr>
              <w:t>预案分级响应条件</w:t>
            </w:r>
          </w:p>
        </w:tc>
        <w:tc>
          <w:tcPr>
            <w:tcW w:w="5441" w:type="dxa"/>
            <w:tcBorders>
              <w:top w:val="single" w:color="auto" w:sz="4" w:space="0"/>
              <w:right w:val="nil"/>
            </w:tcBorders>
            <w:vAlign w:val="center"/>
          </w:tcPr>
          <w:p>
            <w:pPr>
              <w:pStyle w:val="56"/>
              <w:spacing w:line="240" w:lineRule="exact"/>
              <w:jc w:val="both"/>
              <w:rPr>
                <w:color w:val="000000"/>
              </w:rPr>
            </w:pPr>
            <w:r>
              <w:rPr>
                <w:color w:val="000000"/>
              </w:rPr>
              <w:t>规定预案级别；分级响应程序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left w:val="nil"/>
            </w:tcBorders>
            <w:vAlign w:val="center"/>
          </w:tcPr>
          <w:p>
            <w:pPr>
              <w:pStyle w:val="56"/>
              <w:spacing w:line="240" w:lineRule="exact"/>
              <w:rPr>
                <w:color w:val="000000"/>
              </w:rPr>
            </w:pPr>
            <w:r>
              <w:rPr>
                <w:color w:val="000000"/>
              </w:rPr>
              <w:t>4</w:t>
            </w:r>
          </w:p>
        </w:tc>
        <w:tc>
          <w:tcPr>
            <w:tcW w:w="2309" w:type="dxa"/>
            <w:vAlign w:val="center"/>
          </w:tcPr>
          <w:p>
            <w:pPr>
              <w:pStyle w:val="56"/>
              <w:spacing w:line="240" w:lineRule="exact"/>
              <w:rPr>
                <w:color w:val="000000"/>
              </w:rPr>
            </w:pPr>
            <w:r>
              <w:rPr>
                <w:color w:val="000000"/>
              </w:rPr>
              <w:t>应急救援保障</w:t>
            </w:r>
          </w:p>
        </w:tc>
        <w:tc>
          <w:tcPr>
            <w:tcW w:w="5441" w:type="dxa"/>
            <w:tcBorders>
              <w:right w:val="nil"/>
            </w:tcBorders>
            <w:vAlign w:val="center"/>
          </w:tcPr>
          <w:p>
            <w:pPr>
              <w:pStyle w:val="56"/>
              <w:spacing w:line="240" w:lineRule="exact"/>
              <w:jc w:val="both"/>
              <w:rPr>
                <w:color w:val="000000"/>
              </w:rPr>
            </w:pPr>
            <w:r>
              <w:rPr>
                <w:color w:val="000000"/>
              </w:rPr>
              <w:t>应急设施，设备与器材等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left w:val="nil"/>
              <w:bottom w:val="single" w:color="auto" w:sz="4" w:space="0"/>
            </w:tcBorders>
            <w:vAlign w:val="center"/>
          </w:tcPr>
          <w:p>
            <w:pPr>
              <w:pStyle w:val="56"/>
              <w:spacing w:line="240" w:lineRule="exact"/>
              <w:rPr>
                <w:color w:val="000000"/>
              </w:rPr>
            </w:pPr>
            <w:r>
              <w:rPr>
                <w:color w:val="000000"/>
              </w:rPr>
              <w:t>5</w:t>
            </w:r>
          </w:p>
        </w:tc>
        <w:tc>
          <w:tcPr>
            <w:tcW w:w="2309" w:type="dxa"/>
            <w:tcBorders>
              <w:bottom w:val="single" w:color="auto" w:sz="4" w:space="0"/>
            </w:tcBorders>
            <w:vAlign w:val="center"/>
          </w:tcPr>
          <w:p>
            <w:pPr>
              <w:pStyle w:val="56"/>
              <w:spacing w:line="240" w:lineRule="exact"/>
              <w:rPr>
                <w:color w:val="000000"/>
              </w:rPr>
            </w:pPr>
            <w:r>
              <w:rPr>
                <w:color w:val="000000"/>
              </w:rPr>
              <w:t>报警、通讯联络方式</w:t>
            </w:r>
          </w:p>
        </w:tc>
        <w:tc>
          <w:tcPr>
            <w:tcW w:w="5441" w:type="dxa"/>
            <w:tcBorders>
              <w:bottom w:val="single" w:color="auto" w:sz="4" w:space="0"/>
              <w:right w:val="nil"/>
            </w:tcBorders>
            <w:vAlign w:val="center"/>
          </w:tcPr>
          <w:p>
            <w:pPr>
              <w:pStyle w:val="56"/>
              <w:spacing w:line="240" w:lineRule="exact"/>
              <w:jc w:val="both"/>
              <w:rPr>
                <w:color w:val="000000"/>
              </w:rPr>
            </w:pPr>
            <w:r>
              <w:rPr>
                <w:color w:val="000000"/>
              </w:rPr>
              <w:t>规定应急状态下的报警通讯方式、通知方式和交通保障、管制等相关内容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top w:val="single" w:color="auto" w:sz="4" w:space="0"/>
              <w:left w:val="nil"/>
            </w:tcBorders>
            <w:vAlign w:val="center"/>
          </w:tcPr>
          <w:p>
            <w:pPr>
              <w:pStyle w:val="56"/>
              <w:spacing w:line="240" w:lineRule="exact"/>
              <w:rPr>
                <w:color w:val="000000"/>
              </w:rPr>
            </w:pPr>
            <w:r>
              <w:rPr>
                <w:color w:val="000000"/>
              </w:rPr>
              <w:t>6</w:t>
            </w:r>
          </w:p>
        </w:tc>
        <w:tc>
          <w:tcPr>
            <w:tcW w:w="2309" w:type="dxa"/>
            <w:tcBorders>
              <w:top w:val="single" w:color="auto" w:sz="4" w:space="0"/>
            </w:tcBorders>
            <w:vAlign w:val="center"/>
          </w:tcPr>
          <w:p>
            <w:pPr>
              <w:pStyle w:val="56"/>
              <w:spacing w:line="240" w:lineRule="exact"/>
              <w:rPr>
                <w:color w:val="000000"/>
              </w:rPr>
            </w:pPr>
            <w:r>
              <w:rPr>
                <w:color w:val="000000"/>
              </w:rPr>
              <w:t>应急环境监测、抢险、救援及控制措施</w:t>
            </w:r>
          </w:p>
        </w:tc>
        <w:tc>
          <w:tcPr>
            <w:tcW w:w="5441" w:type="dxa"/>
            <w:tcBorders>
              <w:top w:val="single" w:color="auto" w:sz="4" w:space="0"/>
              <w:right w:val="nil"/>
            </w:tcBorders>
            <w:vAlign w:val="center"/>
          </w:tcPr>
          <w:p>
            <w:pPr>
              <w:pStyle w:val="56"/>
              <w:spacing w:line="240" w:lineRule="exact"/>
              <w:jc w:val="both"/>
              <w:rPr>
                <w:color w:val="000000"/>
              </w:rPr>
            </w:pPr>
            <w:r>
              <w:rPr>
                <w:color w:val="000000"/>
              </w:rPr>
              <w:t>由专业队伍负责对事故现场进行侦察监测，对事故性质、参数与后果进行评估，为指挥部门提供决策依据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left w:val="nil"/>
            </w:tcBorders>
            <w:vAlign w:val="center"/>
          </w:tcPr>
          <w:p>
            <w:pPr>
              <w:pStyle w:val="56"/>
              <w:spacing w:line="240" w:lineRule="exact"/>
              <w:rPr>
                <w:color w:val="000000"/>
              </w:rPr>
            </w:pPr>
            <w:r>
              <w:rPr>
                <w:color w:val="000000"/>
              </w:rPr>
              <w:t>7</w:t>
            </w:r>
          </w:p>
        </w:tc>
        <w:tc>
          <w:tcPr>
            <w:tcW w:w="2309" w:type="dxa"/>
            <w:vAlign w:val="center"/>
          </w:tcPr>
          <w:p>
            <w:pPr>
              <w:pStyle w:val="56"/>
              <w:spacing w:line="240" w:lineRule="exact"/>
              <w:rPr>
                <w:color w:val="000000"/>
              </w:rPr>
            </w:pPr>
            <w:r>
              <w:rPr>
                <w:color w:val="000000"/>
              </w:rPr>
              <w:t>应急检测、防护措施、清除泄漏措施和器材</w:t>
            </w:r>
          </w:p>
        </w:tc>
        <w:tc>
          <w:tcPr>
            <w:tcW w:w="5441" w:type="dxa"/>
            <w:tcBorders>
              <w:right w:val="nil"/>
            </w:tcBorders>
            <w:vAlign w:val="center"/>
          </w:tcPr>
          <w:p>
            <w:pPr>
              <w:pStyle w:val="56"/>
              <w:spacing w:line="240" w:lineRule="exact"/>
              <w:jc w:val="both"/>
              <w:rPr>
                <w:color w:val="000000"/>
              </w:rPr>
            </w:pPr>
            <w:r>
              <w:rPr>
                <w:color w:val="000000"/>
              </w:rPr>
              <w:t>防火区域控制：事故现场、邻近山区</w:t>
            </w:r>
          </w:p>
          <w:p>
            <w:pPr>
              <w:pStyle w:val="56"/>
              <w:spacing w:line="240" w:lineRule="exact"/>
              <w:jc w:val="both"/>
              <w:rPr>
                <w:color w:val="000000"/>
              </w:rPr>
            </w:pPr>
            <w:r>
              <w:rPr>
                <w:color w:val="000000"/>
              </w:rPr>
              <w:t>清除污染措施：事故现场、邻近敏感点</w:t>
            </w:r>
          </w:p>
          <w:p>
            <w:pPr>
              <w:pStyle w:val="56"/>
              <w:spacing w:line="240" w:lineRule="exact"/>
              <w:jc w:val="both"/>
              <w:rPr>
                <w:color w:val="000000"/>
              </w:rPr>
            </w:pPr>
            <w:r>
              <w:rPr>
                <w:color w:val="000000"/>
              </w:rPr>
              <w:t>清除污染设备及配置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left w:val="nil"/>
            </w:tcBorders>
            <w:vAlign w:val="center"/>
          </w:tcPr>
          <w:p>
            <w:pPr>
              <w:pStyle w:val="56"/>
              <w:spacing w:line="240" w:lineRule="exact"/>
              <w:rPr>
                <w:color w:val="000000"/>
              </w:rPr>
            </w:pPr>
            <w:r>
              <w:rPr>
                <w:color w:val="000000"/>
              </w:rPr>
              <w:t>8</w:t>
            </w:r>
          </w:p>
        </w:tc>
        <w:tc>
          <w:tcPr>
            <w:tcW w:w="2309" w:type="dxa"/>
            <w:vAlign w:val="center"/>
          </w:tcPr>
          <w:p>
            <w:pPr>
              <w:pStyle w:val="56"/>
              <w:spacing w:line="240" w:lineRule="exact"/>
              <w:rPr>
                <w:color w:val="000000"/>
              </w:rPr>
            </w:pPr>
            <w:r>
              <w:rPr>
                <w:color w:val="000000"/>
              </w:rPr>
              <w:t>人员紧急撤离、疏散，应急剂量控制、撤离组织计划</w:t>
            </w:r>
          </w:p>
        </w:tc>
        <w:tc>
          <w:tcPr>
            <w:tcW w:w="5441" w:type="dxa"/>
            <w:tcBorders>
              <w:right w:val="nil"/>
            </w:tcBorders>
            <w:vAlign w:val="center"/>
          </w:tcPr>
          <w:p>
            <w:pPr>
              <w:pStyle w:val="56"/>
              <w:spacing w:line="240" w:lineRule="exact"/>
              <w:jc w:val="both"/>
              <w:rPr>
                <w:color w:val="000000"/>
              </w:rPr>
            </w:pPr>
            <w:r>
              <w:rPr>
                <w:color w:val="000000"/>
              </w:rPr>
              <w:t>毒物应急剂量控制规定：事故现场、邻近敏感区；撤离组织计划；医疗救护；公众健康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left w:val="nil"/>
            </w:tcBorders>
            <w:vAlign w:val="center"/>
          </w:tcPr>
          <w:p>
            <w:pPr>
              <w:pStyle w:val="56"/>
              <w:spacing w:line="240" w:lineRule="exact"/>
              <w:rPr>
                <w:color w:val="000000"/>
              </w:rPr>
            </w:pPr>
            <w:r>
              <w:rPr>
                <w:color w:val="000000"/>
              </w:rPr>
              <w:t>9</w:t>
            </w:r>
          </w:p>
        </w:tc>
        <w:tc>
          <w:tcPr>
            <w:tcW w:w="2309" w:type="dxa"/>
            <w:vAlign w:val="center"/>
          </w:tcPr>
          <w:p>
            <w:pPr>
              <w:pStyle w:val="56"/>
              <w:spacing w:line="240" w:lineRule="exact"/>
              <w:rPr>
                <w:color w:val="000000"/>
              </w:rPr>
            </w:pPr>
            <w:r>
              <w:rPr>
                <w:color w:val="000000"/>
              </w:rPr>
              <w:t>事故应急救援关闭程序与恢复措施</w:t>
            </w:r>
          </w:p>
        </w:tc>
        <w:tc>
          <w:tcPr>
            <w:tcW w:w="5441" w:type="dxa"/>
            <w:tcBorders>
              <w:right w:val="nil"/>
            </w:tcBorders>
            <w:vAlign w:val="center"/>
          </w:tcPr>
          <w:p>
            <w:pPr>
              <w:pStyle w:val="56"/>
              <w:spacing w:line="240" w:lineRule="exact"/>
              <w:jc w:val="both"/>
              <w:rPr>
                <w:color w:val="000000"/>
              </w:rPr>
            </w:pPr>
            <w:r>
              <w:rPr>
                <w:color w:val="000000"/>
              </w:rPr>
              <w:t>规定应急状态终止程序；事故现场善后处理，恢复措施；邻近区域解除事故警戒及善后恢复措施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left w:val="nil"/>
            </w:tcBorders>
            <w:vAlign w:val="center"/>
          </w:tcPr>
          <w:p>
            <w:pPr>
              <w:pStyle w:val="56"/>
              <w:spacing w:line="240" w:lineRule="exact"/>
              <w:rPr>
                <w:color w:val="000000"/>
              </w:rPr>
            </w:pPr>
            <w:r>
              <w:rPr>
                <w:color w:val="000000"/>
              </w:rPr>
              <w:t>10</w:t>
            </w:r>
          </w:p>
        </w:tc>
        <w:tc>
          <w:tcPr>
            <w:tcW w:w="2309" w:type="dxa"/>
            <w:vAlign w:val="center"/>
          </w:tcPr>
          <w:p>
            <w:pPr>
              <w:pStyle w:val="56"/>
              <w:spacing w:line="240" w:lineRule="exact"/>
              <w:rPr>
                <w:color w:val="000000"/>
              </w:rPr>
            </w:pPr>
            <w:r>
              <w:rPr>
                <w:color w:val="000000"/>
              </w:rPr>
              <w:t>应急培训计划</w:t>
            </w:r>
          </w:p>
        </w:tc>
        <w:tc>
          <w:tcPr>
            <w:tcW w:w="5441" w:type="dxa"/>
            <w:tcBorders>
              <w:right w:val="nil"/>
            </w:tcBorders>
            <w:vAlign w:val="center"/>
          </w:tcPr>
          <w:p>
            <w:pPr>
              <w:pStyle w:val="56"/>
              <w:spacing w:line="240" w:lineRule="exact"/>
              <w:jc w:val="both"/>
              <w:rPr>
                <w:color w:val="000000"/>
              </w:rPr>
            </w:pPr>
            <w:r>
              <w:rPr>
                <w:color w:val="000000"/>
              </w:rPr>
              <w:t>人员培训；应急预案演练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jc w:val="center"/>
        </w:trPr>
        <w:tc>
          <w:tcPr>
            <w:tcW w:w="676" w:type="dxa"/>
            <w:tcBorders>
              <w:left w:val="nil"/>
              <w:bottom w:val="single" w:color="auto" w:sz="12" w:space="0"/>
            </w:tcBorders>
            <w:vAlign w:val="center"/>
          </w:tcPr>
          <w:p>
            <w:pPr>
              <w:pStyle w:val="56"/>
              <w:spacing w:line="240" w:lineRule="exact"/>
              <w:rPr>
                <w:color w:val="000000"/>
              </w:rPr>
            </w:pPr>
            <w:r>
              <w:rPr>
                <w:color w:val="000000"/>
              </w:rPr>
              <w:t>11</w:t>
            </w:r>
          </w:p>
        </w:tc>
        <w:tc>
          <w:tcPr>
            <w:tcW w:w="2309" w:type="dxa"/>
            <w:tcBorders>
              <w:bottom w:val="single" w:color="auto" w:sz="12" w:space="0"/>
            </w:tcBorders>
            <w:vAlign w:val="center"/>
          </w:tcPr>
          <w:p>
            <w:pPr>
              <w:pStyle w:val="56"/>
              <w:spacing w:line="240" w:lineRule="exact"/>
              <w:rPr>
                <w:color w:val="000000"/>
              </w:rPr>
            </w:pPr>
            <w:r>
              <w:rPr>
                <w:color w:val="000000"/>
              </w:rPr>
              <w:t>公众教育和信息</w:t>
            </w:r>
          </w:p>
        </w:tc>
        <w:tc>
          <w:tcPr>
            <w:tcW w:w="5441" w:type="dxa"/>
            <w:tcBorders>
              <w:bottom w:val="single" w:color="auto" w:sz="12" w:space="0"/>
              <w:right w:val="nil"/>
            </w:tcBorders>
            <w:vAlign w:val="center"/>
          </w:tcPr>
          <w:p>
            <w:pPr>
              <w:pStyle w:val="56"/>
              <w:spacing w:line="240" w:lineRule="exact"/>
              <w:jc w:val="both"/>
              <w:rPr>
                <w:color w:val="000000"/>
              </w:rPr>
            </w:pPr>
            <w:r>
              <w:rPr>
                <w:color w:val="000000"/>
              </w:rPr>
              <w:t>公众教育；信息发布</w:t>
            </w:r>
          </w:p>
        </w:tc>
      </w:tr>
    </w:tbl>
    <w:p>
      <w:pPr>
        <w:spacing w:line="360" w:lineRule="auto"/>
        <w:ind w:firstLine="480" w:firstLineChars="200"/>
        <w:rPr>
          <w:rFonts w:ascii="Times New Roman" w:hAnsi="Times New Roman"/>
          <w:sz w:val="24"/>
          <w:szCs w:val="24"/>
        </w:rPr>
      </w:pPr>
      <w:r>
        <w:rPr>
          <w:rFonts w:ascii="Times New Roman" w:hAnsi="Times New Roman"/>
          <w:sz w:val="24"/>
          <w:szCs w:val="24"/>
        </w:rPr>
        <w:t>建设单位应根据企业及本项目的实际情况，编制应急预案上报桦甸市环境应急小组织评审，作为项目试运行的前提条件。</w:t>
      </w:r>
    </w:p>
    <w:p>
      <w:pPr>
        <w:pStyle w:val="5"/>
        <w:spacing w:line="360" w:lineRule="auto"/>
        <w:rPr>
          <w:color w:val="000000"/>
          <w:sz w:val="24"/>
          <w:szCs w:val="24"/>
        </w:rPr>
      </w:pPr>
      <w:bookmarkStart w:id="639" w:name="_Toc28026"/>
      <w:bookmarkStart w:id="640" w:name="_Toc26535"/>
      <w:bookmarkStart w:id="641" w:name="_Toc499285231"/>
      <w:r>
        <w:rPr>
          <w:color w:val="000000"/>
          <w:sz w:val="24"/>
          <w:szCs w:val="24"/>
        </w:rPr>
        <w:t>8.6.3监管方案</w:t>
      </w:r>
      <w:bookmarkEnd w:id="639"/>
      <w:bookmarkEnd w:id="640"/>
      <w:bookmarkEnd w:id="641"/>
    </w:p>
    <w:p>
      <w:pPr>
        <w:spacing w:line="360" w:lineRule="auto"/>
        <w:ind w:firstLine="480" w:firstLineChars="200"/>
        <w:rPr>
          <w:rFonts w:ascii="Times New Roman" w:hAnsi="Times New Roman"/>
          <w:sz w:val="24"/>
          <w:szCs w:val="24"/>
        </w:rPr>
      </w:pPr>
      <w:r>
        <w:rPr>
          <w:rFonts w:ascii="Times New Roman" w:hAnsi="Times New Roman"/>
          <w:sz w:val="24"/>
          <w:szCs w:val="24"/>
        </w:rPr>
        <w:t>（1）针对自然因素的监管建议</w:t>
      </w:r>
    </w:p>
    <w:p>
      <w:pPr>
        <w:spacing w:line="360" w:lineRule="auto"/>
        <w:ind w:firstLine="480" w:firstLineChars="200"/>
        <w:rPr>
          <w:rFonts w:ascii="Times New Roman" w:hAnsi="Times New Roman"/>
          <w:sz w:val="24"/>
          <w:szCs w:val="24"/>
        </w:rPr>
      </w:pPr>
      <w:r>
        <w:rPr>
          <w:rFonts w:ascii="Times New Roman" w:hAnsi="Times New Roman"/>
          <w:sz w:val="24"/>
          <w:szCs w:val="24"/>
        </w:rPr>
        <w:t>①企业将针对尾矿库运行过程中可能发生的洪水漫顶和坝体滑坡事故制定尾矿库应急救援预案并加强演练，以便在突发事故出现时做出应急反应，防止出现恶性安全事故。尾矿库一旦出现下列情况，应进入应急状态。</w:t>
      </w:r>
    </w:p>
    <w:p>
      <w:pPr>
        <w:spacing w:line="360" w:lineRule="auto"/>
        <w:ind w:firstLine="480" w:firstLineChars="200"/>
        <w:rPr>
          <w:rFonts w:ascii="Times New Roman" w:hAnsi="Times New Roman"/>
          <w:sz w:val="24"/>
          <w:szCs w:val="24"/>
        </w:rPr>
      </w:pPr>
      <w:r>
        <w:rPr>
          <w:rFonts w:ascii="Times New Roman" w:hAnsi="Times New Roman"/>
          <w:sz w:val="24"/>
          <w:szCs w:val="24"/>
        </w:rPr>
        <w:t>a 出现降雨量大于 50mm 的强降雨；</w:t>
      </w:r>
    </w:p>
    <w:p>
      <w:pPr>
        <w:spacing w:line="360" w:lineRule="auto"/>
        <w:ind w:firstLine="480" w:firstLineChars="200"/>
        <w:rPr>
          <w:rFonts w:ascii="Times New Roman" w:hAnsi="Times New Roman"/>
          <w:sz w:val="24"/>
          <w:szCs w:val="24"/>
        </w:rPr>
      </w:pPr>
      <w:r>
        <w:rPr>
          <w:rFonts w:ascii="Times New Roman" w:hAnsi="Times New Roman"/>
          <w:sz w:val="24"/>
          <w:szCs w:val="24"/>
        </w:rPr>
        <w:t>b 排洪设施出现不均匀沉陷，漏砂、跑混或排洪设施淤堵等影响排洪情况；</w:t>
      </w:r>
    </w:p>
    <w:p>
      <w:pPr>
        <w:spacing w:line="360" w:lineRule="auto"/>
        <w:ind w:firstLine="480" w:firstLineChars="200"/>
        <w:rPr>
          <w:rFonts w:ascii="Times New Roman" w:hAnsi="Times New Roman"/>
          <w:sz w:val="24"/>
          <w:szCs w:val="24"/>
        </w:rPr>
      </w:pPr>
      <w:r>
        <w:rPr>
          <w:rFonts w:ascii="Times New Roman" w:hAnsi="Times New Roman"/>
          <w:sz w:val="24"/>
          <w:szCs w:val="24"/>
        </w:rPr>
        <w:t>c坝体出现较大位移，出现纵向或横向裂缝、坍塌、局部隆起和滑动迹象，有垮坝危险的；</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d</w:t>
      </w:r>
      <w:r>
        <w:rPr>
          <w:rFonts w:ascii="Times New Roman" w:hAnsi="Times New Roman"/>
          <w:sz w:val="24"/>
          <w:szCs w:val="24"/>
        </w:rPr>
        <w:t>其他危及尾矿库安全的险情。</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①</w:t>
      </w:r>
      <w:r>
        <w:rPr>
          <w:rFonts w:ascii="Times New Roman" w:hAnsi="Times New Roman"/>
          <w:sz w:val="24"/>
          <w:szCs w:val="24"/>
        </w:rPr>
        <w:t>对于矿渣自身存在的环境风险，企业可采取如下监管措施：</w:t>
      </w:r>
    </w:p>
    <w:p>
      <w:pPr>
        <w:spacing w:line="360" w:lineRule="auto"/>
        <w:ind w:firstLine="480" w:firstLineChars="200"/>
        <w:rPr>
          <w:sz w:val="24"/>
          <w:szCs w:val="24"/>
        </w:rPr>
      </w:pPr>
      <w:r>
        <w:rPr>
          <w:rFonts w:hint="eastAsia" w:ascii="Times New Roman" w:hAnsi="Times New Roman"/>
          <w:sz w:val="24"/>
          <w:szCs w:val="24"/>
        </w:rPr>
        <w:t>②</w:t>
      </w:r>
      <w:r>
        <w:rPr>
          <w:sz w:val="24"/>
          <w:szCs w:val="24"/>
        </w:rPr>
        <w:t>对于尾矿库由于原湿排工艺而积存的废水，可进行抽滤回用，既可节约选矿用水成本，又可降低存积水对矿渣的迁移，削减其对矿渣结实性的改变</w:t>
      </w:r>
      <w:r>
        <w:rPr>
          <w:rFonts w:hint="eastAsia"/>
          <w:sz w:val="24"/>
          <w:szCs w:val="24"/>
        </w:rPr>
        <w:t>。</w:t>
      </w:r>
    </w:p>
    <w:p>
      <w:pPr>
        <w:pStyle w:val="2"/>
        <w:spacing w:line="360" w:lineRule="auto"/>
        <w:ind w:firstLine="240" w:firstLineChars="100"/>
      </w:pPr>
      <w:r>
        <w:rPr>
          <w:rFonts w:hint="eastAsia"/>
          <w:sz w:val="24"/>
          <w:szCs w:val="24"/>
        </w:rPr>
        <w:t xml:space="preserve">  ③由于今后的尾矿处理方式由湿排转变为干排，对于干排形成的矿渣滤饼的存放，要进行压实，避免日后因矿渣结构松散带来隐患</w:t>
      </w:r>
    </w:p>
    <w:p>
      <w:pPr>
        <w:spacing w:line="360" w:lineRule="auto"/>
        <w:ind w:firstLine="480" w:firstLineChars="200"/>
        <w:rPr>
          <w:rFonts w:ascii="Times New Roman" w:hAnsi="Times New Roman"/>
          <w:sz w:val="24"/>
          <w:szCs w:val="24"/>
        </w:rPr>
      </w:pPr>
      <w:r>
        <w:rPr>
          <w:rFonts w:ascii="Times New Roman" w:hAnsi="Times New Roman"/>
          <w:sz w:val="24"/>
          <w:szCs w:val="24"/>
        </w:rPr>
        <w:t>由于今后的尾矿采用膏体排放方式，矿渣结构紧密，隐患较小。</w:t>
      </w:r>
    </w:p>
    <w:p>
      <w:pPr>
        <w:spacing w:line="360" w:lineRule="auto"/>
        <w:ind w:firstLine="480" w:firstLineChars="200"/>
        <w:rPr>
          <w:rFonts w:ascii="Times New Roman" w:hAnsi="Times New Roman"/>
          <w:sz w:val="24"/>
          <w:szCs w:val="24"/>
        </w:rPr>
      </w:pPr>
      <w:r>
        <w:rPr>
          <w:rFonts w:ascii="Times New Roman" w:hAnsi="Times New Roman"/>
          <w:sz w:val="24"/>
          <w:szCs w:val="24"/>
        </w:rPr>
        <w:t>（2）针对人为因素的监管建议</w:t>
      </w:r>
    </w:p>
    <w:p>
      <w:pPr>
        <w:spacing w:line="360" w:lineRule="auto"/>
        <w:ind w:firstLine="480" w:firstLineChars="200"/>
        <w:rPr>
          <w:rFonts w:ascii="Times New Roman" w:hAnsi="Times New Roman"/>
          <w:sz w:val="24"/>
          <w:szCs w:val="24"/>
        </w:rPr>
      </w:pPr>
      <w:r>
        <w:rPr>
          <w:rFonts w:ascii="Times New Roman" w:hAnsi="Times New Roman"/>
          <w:sz w:val="24"/>
          <w:szCs w:val="24"/>
        </w:rPr>
        <w:t>①关于尾矿库设计和施工</w:t>
      </w:r>
    </w:p>
    <w:p>
      <w:pPr>
        <w:spacing w:line="360" w:lineRule="auto"/>
        <w:ind w:firstLine="480" w:firstLineChars="200"/>
        <w:rPr>
          <w:rFonts w:ascii="Times New Roman" w:hAnsi="Times New Roman"/>
          <w:sz w:val="24"/>
          <w:szCs w:val="24"/>
        </w:rPr>
      </w:pPr>
      <w:r>
        <w:rPr>
          <w:rFonts w:ascii="Times New Roman" w:hAnsi="Times New Roman"/>
          <w:sz w:val="24"/>
          <w:szCs w:val="24"/>
        </w:rPr>
        <w:t>根据国内外尾矿库的运行和实践，只要在尾矿库的设计、施工、验收和运行过程中严格执行有关尾矿库的一系列相关法律，可将其对环境的风险降至最低，可从以下方面着手：</w:t>
      </w:r>
    </w:p>
    <w:p>
      <w:pPr>
        <w:spacing w:line="360" w:lineRule="auto"/>
        <w:ind w:firstLine="480" w:firstLineChars="200"/>
        <w:rPr>
          <w:rFonts w:ascii="Times New Roman" w:hAnsi="Times New Roman"/>
          <w:sz w:val="24"/>
          <w:szCs w:val="24"/>
        </w:rPr>
      </w:pPr>
      <w:r>
        <w:rPr>
          <w:rFonts w:ascii="Times New Roman" w:hAnsi="Times New Roman"/>
          <w:sz w:val="24"/>
          <w:szCs w:val="24"/>
        </w:rPr>
        <w:t>a对于尾矿库改扩建的方案设计，一定严格按照如《尾矿设施设计规范》（GB50863-2013）、《构筑物抗震设计规范》（GB50191-2012）等国家构建尾矿库的设计规范和条例进行，设计方案要通过权威机构或人士进行核查，以确保设计方案的科学性、可行性；</w:t>
      </w:r>
    </w:p>
    <w:p>
      <w:pPr>
        <w:spacing w:line="360" w:lineRule="auto"/>
        <w:ind w:firstLine="480" w:firstLineChars="200"/>
        <w:rPr>
          <w:rFonts w:ascii="Times New Roman" w:hAnsi="Times New Roman"/>
          <w:sz w:val="24"/>
          <w:szCs w:val="24"/>
        </w:rPr>
      </w:pPr>
      <w:r>
        <w:rPr>
          <w:rFonts w:ascii="Times New Roman" w:hAnsi="Times New Roman"/>
          <w:sz w:val="24"/>
          <w:szCs w:val="24"/>
        </w:rPr>
        <w:t>b在建设过程中，要保证材料的合格程度，依照《尾矿设施施工及验收规范》（GB50864-2013），严格遵循设计方案进行施工，对于建设成果，要请权威结构进行合格验收审查。</w:t>
      </w:r>
    </w:p>
    <w:p>
      <w:pPr>
        <w:spacing w:line="360" w:lineRule="auto"/>
        <w:ind w:firstLine="480" w:firstLineChars="200"/>
        <w:rPr>
          <w:rFonts w:ascii="Times New Roman" w:hAnsi="Times New Roman"/>
          <w:sz w:val="24"/>
          <w:szCs w:val="24"/>
        </w:rPr>
      </w:pPr>
      <w:r>
        <w:rPr>
          <w:rFonts w:ascii="Times New Roman" w:hAnsi="Times New Roman"/>
          <w:sz w:val="24"/>
          <w:szCs w:val="24"/>
        </w:rPr>
        <w:t>②关于安全生产和管理</w:t>
      </w:r>
    </w:p>
    <w:p>
      <w:pPr>
        <w:spacing w:line="360" w:lineRule="auto"/>
        <w:ind w:firstLine="480" w:firstLineChars="200"/>
        <w:rPr>
          <w:rFonts w:ascii="Times New Roman" w:hAnsi="Times New Roman"/>
          <w:sz w:val="24"/>
          <w:szCs w:val="24"/>
        </w:rPr>
      </w:pPr>
      <w:r>
        <w:rPr>
          <w:rFonts w:ascii="Times New Roman" w:hAnsi="Times New Roman"/>
          <w:sz w:val="24"/>
          <w:szCs w:val="24"/>
        </w:rPr>
        <w:t>在生产过程中，对尾矿库的管理严格遵守《尾矿库安全监督管理规定》（2011.5.4国安监第38号令）中有关规定，注意尾矿坝的定期观测，及时发现问题，及时加以解决，防患于未然。</w:t>
      </w:r>
    </w:p>
    <w:p>
      <w:pPr>
        <w:pStyle w:val="4"/>
        <w:spacing w:line="360" w:lineRule="auto"/>
        <w:rPr>
          <w:rFonts w:ascii="Times New Roman" w:hAnsi="Times New Roman" w:eastAsia="宋体"/>
          <w:color w:val="000000"/>
        </w:rPr>
      </w:pPr>
      <w:bookmarkStart w:id="642" w:name="_Toc21702"/>
      <w:bookmarkStart w:id="643" w:name="_Toc8103"/>
      <w:r>
        <w:rPr>
          <w:rFonts w:ascii="Times New Roman" w:hAnsi="Times New Roman" w:eastAsia="宋体"/>
          <w:color w:val="000000"/>
        </w:rPr>
        <w:t>8.</w:t>
      </w:r>
      <w:r>
        <w:rPr>
          <w:rFonts w:hint="eastAsia" w:ascii="Times New Roman" w:hAnsi="Times New Roman" w:eastAsia="宋体"/>
          <w:color w:val="000000"/>
        </w:rPr>
        <w:t>7环境风险评价结论</w:t>
      </w:r>
      <w:bookmarkEnd w:id="642"/>
      <w:bookmarkEnd w:id="643"/>
    </w:p>
    <w:p>
      <w:pPr>
        <w:pStyle w:val="2"/>
        <w:spacing w:after="0" w:line="360" w:lineRule="auto"/>
        <w:ind w:firstLine="480" w:firstLineChars="200"/>
        <w:rPr>
          <w:rFonts w:ascii="Times New Roman" w:hAnsi="Times New Roman"/>
          <w:sz w:val="24"/>
        </w:rPr>
      </w:pPr>
      <w:r>
        <w:rPr>
          <w:rFonts w:ascii="Times New Roman" w:hAnsi="Times New Roman"/>
          <w:sz w:val="24"/>
          <w:szCs w:val="24"/>
        </w:rPr>
        <w:t>综上可见，改扩建后的尾矿库虽然存在事故风险的可能性，</w:t>
      </w:r>
      <w:r>
        <w:rPr>
          <w:rFonts w:hint="eastAsia"/>
          <w:sz w:val="24"/>
          <w:szCs w:val="24"/>
        </w:rPr>
        <w:t>但是</w:t>
      </w:r>
      <w:r>
        <w:rPr>
          <w:sz w:val="24"/>
          <w:szCs w:val="24"/>
        </w:rPr>
        <w:t>在严格执行《选矿厂尾矿设施设计规范》（ZBJ1-90）并按照《关于尾矿库安全验收工作的通知》加以验收的前提下，严格遵守《尾矿库安全监督管理规定》并落实本环评提出的防治措施，尾矿库的风险影响将达到可接受水平。</w:t>
      </w:r>
    </w:p>
    <w:p/>
    <w:p>
      <w:pPr>
        <w:pStyle w:val="3"/>
        <w:spacing w:beforeLines="150" w:beforeAutospacing="0" w:afterLines="150" w:afterAutospacing="0" w:line="360" w:lineRule="auto"/>
      </w:pPr>
      <w:bookmarkStart w:id="644" w:name="_Toc8975"/>
      <w:bookmarkStart w:id="645" w:name="_Toc11257"/>
      <w:bookmarkStart w:id="646" w:name="_Toc2675"/>
      <w:r>
        <w:rPr>
          <w:rFonts w:hint="eastAsia"/>
        </w:rPr>
        <w:t>第九章 环境经济损益分析</w:t>
      </w:r>
      <w:bookmarkEnd w:id="644"/>
      <w:bookmarkEnd w:id="645"/>
      <w:bookmarkEnd w:id="646"/>
    </w:p>
    <w:p>
      <w:pPr>
        <w:spacing w:line="360" w:lineRule="auto"/>
        <w:ind w:firstLine="480" w:firstLineChars="200"/>
        <w:rPr>
          <w:rFonts w:ascii="Times New Roman" w:hAnsi="Times New Roman"/>
          <w:sz w:val="24"/>
        </w:rPr>
      </w:pPr>
      <w:r>
        <w:rPr>
          <w:rFonts w:ascii="Times New Roman" w:hAnsi="Times New Roman"/>
          <w:sz w:val="24"/>
        </w:rPr>
        <w:t>环境影响经济损益分析，也称为环境影响的经济评价，就是要估算某一项目、规划或政策所引起的环境影响的经济价值，并将环境影响的价值纳入项目、规划或政策的经济分析（费用效益分析）中去，以判断这些环境影响对该项目、规划或政策的可行性会产生多大的影响。这里，对负面的环境影响，估算出的是环境成本；对正面的环境影响，估算出的是环境效益。</w:t>
      </w:r>
    </w:p>
    <w:p>
      <w:pPr>
        <w:pStyle w:val="10"/>
        <w:rPr>
          <w:rFonts w:ascii="Times New Roman" w:hAnsi="Times New Roman"/>
        </w:rPr>
      </w:pPr>
      <w:r>
        <w:rPr>
          <w:rFonts w:ascii="Times New Roman" w:hAnsi="Times New Roman"/>
        </w:rPr>
        <w:t>环境项目环境影响的经济评价，是以大气、水、声、生态等环境影响评价为基础的，只有在得到各环境要素影响评价结果以后，才可能在此基础上进行环境影响的经济评价。</w:t>
      </w:r>
    </w:p>
    <w:p>
      <w:pPr>
        <w:pStyle w:val="4"/>
        <w:spacing w:line="360" w:lineRule="auto"/>
        <w:rPr>
          <w:rFonts w:ascii="Times New Roman" w:hAnsi="Times New Roman" w:eastAsia="宋体"/>
        </w:rPr>
      </w:pPr>
      <w:r>
        <w:rPr>
          <w:rFonts w:ascii="Times New Roman" w:hAnsi="Times New Roman" w:eastAsia="宋体"/>
        </w:rPr>
        <w:t>9.1环境影响的筛选</w:t>
      </w:r>
    </w:p>
    <w:p>
      <w:pPr>
        <w:pStyle w:val="10"/>
        <w:rPr>
          <w:rFonts w:ascii="Times New Roman" w:hAnsi="Times New Roman"/>
        </w:rPr>
      </w:pPr>
      <w:r>
        <w:rPr>
          <w:rFonts w:ascii="Times New Roman" w:hAnsi="Times New Roman"/>
        </w:rPr>
        <w:t>需要筛选环境影响，一般从以下四个方面来筛选：</w:t>
      </w:r>
    </w:p>
    <w:p>
      <w:pPr>
        <w:pStyle w:val="10"/>
        <w:rPr>
          <w:rFonts w:ascii="Times New Roman" w:hAnsi="Times New Roman"/>
        </w:rPr>
      </w:pPr>
      <w:r>
        <w:rPr>
          <w:rFonts w:ascii="Times New Roman" w:hAnsi="Times New Roman"/>
        </w:rPr>
        <w:t>筛选1（S1）：影响是否是内部的或已被控制？</w:t>
      </w:r>
    </w:p>
    <w:p>
      <w:pPr>
        <w:pStyle w:val="10"/>
        <w:rPr>
          <w:rFonts w:ascii="Times New Roman" w:hAnsi="Times New Roman"/>
        </w:rPr>
      </w:pPr>
      <w:r>
        <w:rPr>
          <w:rFonts w:ascii="Times New Roman" w:hAnsi="Times New Roman"/>
        </w:rPr>
        <w:t>筛选2（S2）：影响是小的或不重要的？</w:t>
      </w:r>
    </w:p>
    <w:p>
      <w:pPr>
        <w:pStyle w:val="10"/>
        <w:rPr>
          <w:rFonts w:ascii="Times New Roman" w:hAnsi="Times New Roman"/>
        </w:rPr>
      </w:pPr>
      <w:r>
        <w:rPr>
          <w:rFonts w:ascii="Times New Roman" w:hAnsi="Times New Roman"/>
        </w:rPr>
        <w:t>筛选3（S3）：影响是否不确定或过于敏感？</w:t>
      </w:r>
    </w:p>
    <w:p>
      <w:pPr>
        <w:pStyle w:val="10"/>
        <w:rPr>
          <w:rFonts w:ascii="Times New Roman" w:hAnsi="Times New Roman"/>
        </w:rPr>
      </w:pPr>
      <w:r>
        <w:rPr>
          <w:rFonts w:ascii="Times New Roman" w:hAnsi="Times New Roman"/>
        </w:rPr>
        <w:t>筛选4（S4）：影响能否被量化和货币化？</w:t>
      </w:r>
    </w:p>
    <w:p>
      <w:pPr>
        <w:pStyle w:val="10"/>
        <w:rPr>
          <w:rFonts w:ascii="Times New Roman" w:hAnsi="Times New Roman"/>
        </w:rPr>
      </w:pPr>
      <w:r>
        <w:rPr>
          <w:rFonts w:ascii="Times New Roman" w:hAnsi="Times New Roman"/>
        </w:rPr>
        <w:t>经过筛选后，本次评价将本项目环境影响分为两大类，分类如下：</w:t>
      </w:r>
    </w:p>
    <w:p>
      <w:pPr>
        <w:pStyle w:val="10"/>
        <w:rPr>
          <w:rFonts w:ascii="Times New Roman" w:hAnsi="Times New Roman"/>
        </w:rPr>
      </w:pPr>
      <w:r>
        <w:rPr>
          <w:rFonts w:ascii="Times New Roman" w:hAnsi="Times New Roman"/>
        </w:rPr>
        <w:t>第一类，环境影响是被剔除、不再做任何评价分析的影响。具体表现为：废水、噪声、固废的影响。其原因为这些环境影响为较小的环境影响和能被控制的影响。</w:t>
      </w:r>
    </w:p>
    <w:p>
      <w:pPr>
        <w:pStyle w:val="10"/>
        <w:rPr>
          <w:rFonts w:ascii="Times New Roman" w:hAnsi="Times New Roman"/>
        </w:rPr>
      </w:pPr>
      <w:r>
        <w:rPr>
          <w:rFonts w:ascii="Times New Roman" w:hAnsi="Times New Roman"/>
        </w:rPr>
        <w:t>第二类，环境影响是需要做定性说明的影响。具体表现为：颗粒物。</w:t>
      </w:r>
    </w:p>
    <w:p>
      <w:pPr>
        <w:pStyle w:val="4"/>
        <w:spacing w:line="360" w:lineRule="auto"/>
        <w:rPr>
          <w:rFonts w:ascii="Times New Roman" w:hAnsi="Times New Roman" w:eastAsia="宋体"/>
        </w:rPr>
      </w:pPr>
      <w:r>
        <w:rPr>
          <w:rFonts w:ascii="Times New Roman" w:hAnsi="Times New Roman" w:eastAsia="宋体"/>
        </w:rPr>
        <w:t>9.2环境影响的量化</w:t>
      </w:r>
    </w:p>
    <w:p>
      <w:pPr>
        <w:pStyle w:val="10"/>
        <w:rPr>
          <w:rFonts w:ascii="Times New Roman" w:hAnsi="Times New Roman"/>
        </w:rPr>
      </w:pPr>
      <w:r>
        <w:rPr>
          <w:rFonts w:ascii="Times New Roman" w:hAnsi="Times New Roman"/>
        </w:rPr>
        <w:t>环境影响的量化，应该在环评的前面阶段已经完成。</w:t>
      </w:r>
    </w:p>
    <w:p>
      <w:pPr>
        <w:pStyle w:val="10"/>
        <w:rPr>
          <w:rFonts w:ascii="Times New Roman" w:hAnsi="Times New Roman"/>
        </w:rPr>
      </w:pPr>
      <w:r>
        <w:rPr>
          <w:rFonts w:ascii="Times New Roman" w:hAnsi="Times New Roman"/>
        </w:rPr>
        <w:t>（1）环境影响的已有的量化方式，不一定适合于进行下一步的价值评估。如对健康的影响，可能被量化为健康风险水平的变化，而不是死亡率、发病率的变化。</w:t>
      </w:r>
    </w:p>
    <w:p>
      <w:pPr>
        <w:pStyle w:val="10"/>
        <w:rPr>
          <w:rFonts w:ascii="Times New Roman" w:hAnsi="Times New Roman"/>
        </w:rPr>
      </w:pPr>
      <w:r>
        <w:rPr>
          <w:rFonts w:ascii="Times New Roman" w:hAnsi="Times New Roman"/>
        </w:rPr>
        <w:t>（2）前部分环评报告只给出项目污染物的源强，而不是这些污染物对受体影响的大小。</w:t>
      </w:r>
    </w:p>
    <w:p>
      <w:pPr>
        <w:pStyle w:val="10"/>
        <w:rPr>
          <w:rFonts w:ascii="Times New Roman" w:hAnsi="Times New Roman"/>
        </w:rPr>
      </w:pPr>
      <w:r>
        <w:rPr>
          <w:rFonts w:ascii="Times New Roman" w:hAnsi="Times New Roman"/>
        </w:rPr>
        <w:t>据魏复盛等（2001）研究，中国城市大气PM10质量浓度每升高10μg/m3，则支气管炎患病在儿童人群中升高0.93%，在成人人群中升高0.51%；感冒时咳嗽的发生率在儿童人群中升高1.19%，在成人人群中升高0.48%。</w:t>
      </w:r>
    </w:p>
    <w:p>
      <w:pPr>
        <w:pStyle w:val="4"/>
        <w:spacing w:line="360" w:lineRule="auto"/>
        <w:rPr>
          <w:rFonts w:ascii="Times New Roman" w:hAnsi="Times New Roman" w:eastAsia="宋体"/>
        </w:rPr>
      </w:pPr>
      <w:r>
        <w:rPr>
          <w:rFonts w:ascii="Times New Roman" w:hAnsi="Times New Roman" w:eastAsia="宋体"/>
        </w:rPr>
        <w:t>9.3环境影响的价值评估</w:t>
      </w:r>
    </w:p>
    <w:p>
      <w:pPr>
        <w:pStyle w:val="10"/>
        <w:rPr>
          <w:rFonts w:ascii="Times New Roman" w:hAnsi="Times New Roman"/>
        </w:rPr>
      </w:pPr>
      <w:r>
        <w:rPr>
          <w:rFonts w:ascii="Times New Roman" w:hAnsi="Times New Roman"/>
        </w:rPr>
        <w:t>根据分析，本项目产生的环境污染及影响，需要支付</w:t>
      </w:r>
      <w:r>
        <w:rPr>
          <w:rFonts w:hint="eastAsia" w:ascii="Times New Roman" w:hAnsi="Times New Roman"/>
        </w:rPr>
        <w:t>20</w:t>
      </w:r>
      <w:r>
        <w:rPr>
          <w:rFonts w:ascii="Times New Roman" w:hAnsi="Times New Roman"/>
        </w:rPr>
        <w:t>万元对污染的环境进行治理恢复</w:t>
      </w:r>
    </w:p>
    <w:p>
      <w:pPr>
        <w:pStyle w:val="4"/>
        <w:spacing w:line="360" w:lineRule="auto"/>
        <w:rPr>
          <w:rFonts w:ascii="Times New Roman" w:hAnsi="Times New Roman"/>
        </w:rPr>
      </w:pPr>
      <w:r>
        <w:rPr>
          <w:rFonts w:ascii="Times New Roman" w:hAnsi="Times New Roman" w:eastAsia="宋体"/>
        </w:rPr>
        <w:t>9.</w:t>
      </w:r>
      <w:r>
        <w:rPr>
          <w:rFonts w:hint="eastAsia" w:ascii="Times New Roman" w:hAnsi="Times New Roman" w:eastAsia="宋体"/>
        </w:rPr>
        <w:t>4</w:t>
      </w:r>
      <w:r>
        <w:rPr>
          <w:rFonts w:ascii="Times New Roman" w:hAnsi="Times New Roman" w:eastAsia="宋体"/>
        </w:rPr>
        <w:t>环保投资分析</w:t>
      </w:r>
    </w:p>
    <w:p>
      <w:pPr>
        <w:spacing w:line="360" w:lineRule="auto"/>
        <w:ind w:firstLine="480" w:firstLineChars="200"/>
        <w:rPr>
          <w:rFonts w:ascii="Times New Roman" w:hAnsi="Times New Roman"/>
          <w:sz w:val="24"/>
          <w:u w:val="single"/>
        </w:rPr>
      </w:pPr>
      <w:r>
        <w:rPr>
          <w:rFonts w:ascii="Times New Roman" w:hAnsi="Times New Roman"/>
          <w:sz w:val="24"/>
          <w:u w:val="single"/>
        </w:rPr>
        <w:t>本次扩建项目总投资为750</w:t>
      </w:r>
      <w:r>
        <w:rPr>
          <w:rFonts w:ascii="Times New Roman" w:hAnsi="Times New Roman"/>
          <w:color w:val="000000"/>
          <w:sz w:val="24"/>
          <w:szCs w:val="24"/>
          <w:u w:val="single"/>
        </w:rPr>
        <w:t>万元</w:t>
      </w:r>
      <w:r>
        <w:rPr>
          <w:rFonts w:ascii="Times New Roman" w:hAnsi="Times New Roman"/>
          <w:sz w:val="24"/>
          <w:u w:val="single"/>
        </w:rPr>
        <w:t>，其中环保投资91万元，约占总投资的12.1%。主要用于生态环境治理与恢复，环保投资比例比较适合。本项目投资情况见表9-1。</w:t>
      </w:r>
    </w:p>
    <w:p>
      <w:pPr>
        <w:jc w:val="center"/>
        <w:rPr>
          <w:b/>
          <w:bCs/>
          <w:sz w:val="24"/>
          <w:szCs w:val="24"/>
          <w:u w:val="single"/>
        </w:rPr>
      </w:pPr>
      <w:r>
        <w:rPr>
          <w:rFonts w:ascii="Times New Roman" w:hAnsi="Times New Roman"/>
          <w:b/>
          <w:bCs/>
          <w:sz w:val="24"/>
          <w:szCs w:val="24"/>
          <w:u w:val="single"/>
        </w:rPr>
        <w:t>表9-1 本项目环保投资估算一览表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
        <w:gridCol w:w="706"/>
        <w:gridCol w:w="19"/>
        <w:gridCol w:w="27"/>
        <w:gridCol w:w="1233"/>
        <w:gridCol w:w="4332"/>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515" w:type="dxa"/>
            <w:vAlign w:val="center"/>
          </w:tcPr>
          <w:p>
            <w:pPr>
              <w:jc w:val="center"/>
              <w:rPr>
                <w:rFonts w:ascii="Times New Roman" w:hAnsi="Times New Roman"/>
                <w:szCs w:val="21"/>
                <w:u w:val="single"/>
              </w:rPr>
            </w:pPr>
            <w:r>
              <w:rPr>
                <w:rFonts w:ascii="Times New Roman" w:hAnsi="Times New Roman"/>
                <w:szCs w:val="21"/>
                <w:u w:val="single"/>
              </w:rPr>
              <w:t>序号</w:t>
            </w:r>
          </w:p>
        </w:tc>
        <w:tc>
          <w:tcPr>
            <w:tcW w:w="1985" w:type="dxa"/>
            <w:gridSpan w:val="4"/>
            <w:vAlign w:val="center"/>
          </w:tcPr>
          <w:p>
            <w:pPr>
              <w:jc w:val="center"/>
              <w:rPr>
                <w:rFonts w:ascii="Times New Roman" w:hAnsi="Times New Roman"/>
                <w:szCs w:val="21"/>
                <w:u w:val="single"/>
              </w:rPr>
            </w:pPr>
            <w:r>
              <w:rPr>
                <w:rFonts w:ascii="Times New Roman" w:hAnsi="Times New Roman"/>
                <w:szCs w:val="21"/>
                <w:u w:val="single"/>
              </w:rPr>
              <w:t>类别</w:t>
            </w:r>
          </w:p>
        </w:tc>
        <w:tc>
          <w:tcPr>
            <w:tcW w:w="4332" w:type="dxa"/>
            <w:vAlign w:val="center"/>
          </w:tcPr>
          <w:p>
            <w:pPr>
              <w:jc w:val="center"/>
              <w:rPr>
                <w:rFonts w:ascii="Times New Roman" w:hAnsi="Times New Roman"/>
                <w:szCs w:val="21"/>
                <w:u w:val="single"/>
              </w:rPr>
            </w:pPr>
            <w:r>
              <w:rPr>
                <w:rFonts w:ascii="Times New Roman" w:hAnsi="Times New Roman"/>
                <w:szCs w:val="21"/>
                <w:u w:val="single"/>
              </w:rPr>
              <w:t>工程措施</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5" w:type="dxa"/>
            <w:vMerge w:val="restart"/>
            <w:vAlign w:val="center"/>
          </w:tcPr>
          <w:p>
            <w:pPr>
              <w:jc w:val="center"/>
              <w:rPr>
                <w:rFonts w:ascii="Times New Roman" w:hAnsi="Times New Roman"/>
                <w:szCs w:val="21"/>
                <w:u w:val="single"/>
              </w:rPr>
            </w:pPr>
            <w:r>
              <w:rPr>
                <w:rFonts w:ascii="Times New Roman" w:hAnsi="Times New Roman"/>
                <w:szCs w:val="21"/>
                <w:u w:val="single"/>
              </w:rPr>
              <w:t>1</w:t>
            </w:r>
          </w:p>
        </w:tc>
        <w:tc>
          <w:tcPr>
            <w:tcW w:w="1985" w:type="dxa"/>
            <w:gridSpan w:val="4"/>
            <w:vAlign w:val="center"/>
          </w:tcPr>
          <w:p>
            <w:pPr>
              <w:jc w:val="center"/>
              <w:rPr>
                <w:rFonts w:ascii="Times New Roman" w:hAnsi="Times New Roman"/>
                <w:szCs w:val="21"/>
                <w:u w:val="single"/>
              </w:rPr>
            </w:pPr>
            <w:r>
              <w:rPr>
                <w:rFonts w:ascii="Times New Roman" w:hAnsi="Times New Roman"/>
                <w:szCs w:val="21"/>
                <w:u w:val="single"/>
              </w:rPr>
              <w:t>水污染防治</w:t>
            </w:r>
          </w:p>
        </w:tc>
        <w:tc>
          <w:tcPr>
            <w:tcW w:w="4332" w:type="dxa"/>
            <w:vAlign w:val="center"/>
          </w:tcPr>
          <w:p>
            <w:pPr>
              <w:jc w:val="center"/>
              <w:rPr>
                <w:rFonts w:ascii="Times New Roman" w:hAnsi="Times New Roman"/>
                <w:szCs w:val="21"/>
                <w:u w:val="single"/>
              </w:rPr>
            </w:pPr>
          </w:p>
        </w:tc>
        <w:tc>
          <w:tcPr>
            <w:tcW w:w="1700" w:type="dxa"/>
            <w:vAlign w:val="center"/>
          </w:tcPr>
          <w:p>
            <w:pPr>
              <w:jc w:val="center"/>
              <w:rPr>
                <w:rFonts w:ascii="Times New Roman" w:hAnsi="Times New Roman"/>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Align w:val="center"/>
          </w:tcPr>
          <w:p>
            <w:pPr>
              <w:jc w:val="center"/>
              <w:rPr>
                <w:rFonts w:ascii="Times New Roman" w:hAnsi="Times New Roman"/>
                <w:szCs w:val="21"/>
                <w:u w:val="single"/>
              </w:rPr>
            </w:pPr>
            <w:r>
              <w:rPr>
                <w:rFonts w:ascii="Times New Roman" w:hAnsi="Times New Roman"/>
                <w:szCs w:val="21"/>
                <w:u w:val="single"/>
              </w:rPr>
              <w:t>施工期</w:t>
            </w:r>
          </w:p>
        </w:tc>
        <w:tc>
          <w:tcPr>
            <w:tcW w:w="1233" w:type="dxa"/>
            <w:vAlign w:val="center"/>
          </w:tcPr>
          <w:p>
            <w:pPr>
              <w:jc w:val="center"/>
              <w:rPr>
                <w:rFonts w:ascii="Times New Roman" w:hAnsi="Times New Roman"/>
                <w:szCs w:val="21"/>
                <w:u w:val="single"/>
              </w:rPr>
            </w:pPr>
            <w:r>
              <w:rPr>
                <w:rFonts w:ascii="Times New Roman" w:hAnsi="Times New Roman"/>
                <w:szCs w:val="21"/>
                <w:u w:val="single"/>
              </w:rPr>
              <w:t>生产废水</w:t>
            </w:r>
          </w:p>
        </w:tc>
        <w:tc>
          <w:tcPr>
            <w:tcW w:w="4332" w:type="dxa"/>
            <w:vAlign w:val="center"/>
          </w:tcPr>
          <w:p>
            <w:pPr>
              <w:jc w:val="center"/>
              <w:rPr>
                <w:rFonts w:ascii="Times New Roman" w:hAnsi="Times New Roman"/>
                <w:szCs w:val="21"/>
                <w:u w:val="single"/>
              </w:rPr>
            </w:pPr>
            <w:r>
              <w:rPr>
                <w:rFonts w:hint="eastAsia" w:ascii="Times New Roman" w:hAnsi="Times New Roman"/>
                <w:szCs w:val="21"/>
                <w:u w:val="single"/>
              </w:rPr>
              <w:t>排入</w:t>
            </w:r>
            <w:r>
              <w:rPr>
                <w:rFonts w:ascii="Times New Roman" w:hAnsi="Times New Roman"/>
                <w:szCs w:val="21"/>
                <w:u w:val="single"/>
              </w:rPr>
              <w:t>沉淀池</w:t>
            </w:r>
            <w:r>
              <w:rPr>
                <w:rFonts w:hint="eastAsia" w:ascii="Times New Roman" w:hAnsi="Times New Roman"/>
                <w:szCs w:val="21"/>
                <w:u w:val="single"/>
              </w:rPr>
              <w:t>（20m</w:t>
            </w:r>
            <w:r>
              <w:rPr>
                <w:rFonts w:hint="eastAsia" w:ascii="Times New Roman" w:hAnsi="Times New Roman"/>
                <w:szCs w:val="21"/>
                <w:u w:val="single"/>
                <w:vertAlign w:val="superscript"/>
              </w:rPr>
              <w:t>3</w:t>
            </w:r>
            <w:r>
              <w:rPr>
                <w:rFonts w:hint="eastAsia" w:ascii="Times New Roman" w:hAnsi="Times New Roman"/>
                <w:szCs w:val="21"/>
                <w:u w:val="single"/>
              </w:rPr>
              <w:t>）沉降，回用于生产</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Align w:val="center"/>
          </w:tcPr>
          <w:p>
            <w:pPr>
              <w:jc w:val="center"/>
              <w:rPr>
                <w:rFonts w:ascii="Times New Roman" w:hAnsi="Times New Roman"/>
                <w:szCs w:val="21"/>
                <w:u w:val="single"/>
              </w:rPr>
            </w:pPr>
            <w:r>
              <w:rPr>
                <w:rFonts w:hint="eastAsia" w:ascii="Times New Roman" w:hAnsi="Times New Roman"/>
                <w:szCs w:val="21"/>
                <w:u w:val="single"/>
              </w:rPr>
              <w:t>运营期</w:t>
            </w:r>
          </w:p>
        </w:tc>
        <w:tc>
          <w:tcPr>
            <w:tcW w:w="1233" w:type="dxa"/>
            <w:vAlign w:val="center"/>
          </w:tcPr>
          <w:p>
            <w:pPr>
              <w:jc w:val="center"/>
              <w:rPr>
                <w:rFonts w:ascii="Times New Roman" w:hAnsi="Times New Roman"/>
                <w:szCs w:val="21"/>
                <w:u w:val="single"/>
              </w:rPr>
            </w:pPr>
            <w:r>
              <w:rPr>
                <w:rFonts w:hint="eastAsia" w:ascii="Times New Roman" w:hAnsi="Times New Roman"/>
                <w:szCs w:val="21"/>
                <w:u w:val="single"/>
              </w:rPr>
              <w:t>尾矿浆废水、尾矿库淋溶水</w:t>
            </w:r>
          </w:p>
        </w:tc>
        <w:tc>
          <w:tcPr>
            <w:tcW w:w="4332" w:type="dxa"/>
            <w:vAlign w:val="center"/>
          </w:tcPr>
          <w:p>
            <w:pPr>
              <w:jc w:val="center"/>
              <w:rPr>
                <w:rFonts w:ascii="Times New Roman" w:hAnsi="Times New Roman"/>
                <w:szCs w:val="21"/>
                <w:u w:val="single"/>
              </w:rPr>
            </w:pPr>
            <w:r>
              <w:rPr>
                <w:rFonts w:ascii="Times New Roman" w:hAnsi="Times New Roman"/>
                <w:bCs/>
                <w:color w:val="000000"/>
                <w:szCs w:val="21"/>
                <w:u w:val="single"/>
              </w:rPr>
              <w:t>压滤间沉淀池（150m</w:t>
            </w:r>
            <w:r>
              <w:rPr>
                <w:rFonts w:ascii="Times New Roman" w:hAnsi="Times New Roman"/>
                <w:bCs/>
                <w:color w:val="000000"/>
                <w:szCs w:val="21"/>
                <w:u w:val="single"/>
                <w:vertAlign w:val="superscript"/>
              </w:rPr>
              <w:t>3</w:t>
            </w:r>
            <w:r>
              <w:rPr>
                <w:rFonts w:ascii="Times New Roman" w:hAnsi="Times New Roman"/>
                <w:bCs/>
                <w:color w:val="000000"/>
                <w:szCs w:val="21"/>
                <w:u w:val="single"/>
              </w:rPr>
              <w:t>）；尾矿库淋溶水沉淀池（50m</w:t>
            </w:r>
            <w:r>
              <w:rPr>
                <w:rFonts w:ascii="Times New Roman" w:hAnsi="Times New Roman"/>
                <w:bCs/>
                <w:color w:val="000000"/>
                <w:szCs w:val="21"/>
                <w:u w:val="single"/>
                <w:vertAlign w:val="superscript"/>
              </w:rPr>
              <w:t>3</w:t>
            </w:r>
            <w:r>
              <w:rPr>
                <w:rFonts w:ascii="Times New Roman" w:hAnsi="Times New Roman"/>
                <w:bCs/>
                <w:color w:val="000000"/>
                <w:szCs w:val="21"/>
                <w:u w:val="single"/>
              </w:rPr>
              <w:t>）</w:t>
            </w:r>
          </w:p>
        </w:tc>
        <w:tc>
          <w:tcPr>
            <w:tcW w:w="1700" w:type="dxa"/>
            <w:vAlign w:val="center"/>
          </w:tcPr>
          <w:p>
            <w:pPr>
              <w:jc w:val="center"/>
              <w:rPr>
                <w:bCs/>
                <w:color w:val="000000"/>
                <w:szCs w:val="21"/>
                <w:u w:val="single"/>
              </w:rPr>
            </w:pPr>
            <w:r>
              <w:rPr>
                <w:rFonts w:hint="eastAsia"/>
                <w:bCs/>
                <w:color w:val="000000"/>
                <w:szCs w:val="21"/>
                <w:u w:val="singl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5" w:type="dxa"/>
            <w:vMerge w:val="restart"/>
            <w:vAlign w:val="center"/>
          </w:tcPr>
          <w:p>
            <w:pPr>
              <w:jc w:val="center"/>
              <w:rPr>
                <w:rFonts w:ascii="Times New Roman" w:hAnsi="Times New Roman"/>
                <w:szCs w:val="21"/>
                <w:u w:val="single"/>
              </w:rPr>
            </w:pPr>
            <w:r>
              <w:rPr>
                <w:rFonts w:ascii="Times New Roman" w:hAnsi="Times New Roman"/>
                <w:szCs w:val="21"/>
                <w:u w:val="single"/>
              </w:rPr>
              <w:t>2</w:t>
            </w:r>
          </w:p>
        </w:tc>
        <w:tc>
          <w:tcPr>
            <w:tcW w:w="1985" w:type="dxa"/>
            <w:gridSpan w:val="4"/>
            <w:vAlign w:val="center"/>
          </w:tcPr>
          <w:p>
            <w:pPr>
              <w:jc w:val="center"/>
              <w:rPr>
                <w:rFonts w:ascii="Times New Roman" w:hAnsi="Times New Roman"/>
                <w:szCs w:val="21"/>
                <w:u w:val="single"/>
              </w:rPr>
            </w:pPr>
            <w:r>
              <w:rPr>
                <w:rFonts w:ascii="Times New Roman" w:hAnsi="Times New Roman"/>
                <w:szCs w:val="21"/>
                <w:u w:val="single"/>
              </w:rPr>
              <w:t>大气污染防治</w:t>
            </w:r>
          </w:p>
        </w:tc>
        <w:tc>
          <w:tcPr>
            <w:tcW w:w="4332" w:type="dxa"/>
            <w:vAlign w:val="center"/>
          </w:tcPr>
          <w:p>
            <w:pPr>
              <w:jc w:val="center"/>
              <w:rPr>
                <w:rFonts w:ascii="Times New Roman" w:hAnsi="Times New Roman"/>
                <w:szCs w:val="21"/>
                <w:u w:val="single"/>
              </w:rPr>
            </w:pPr>
          </w:p>
        </w:tc>
        <w:tc>
          <w:tcPr>
            <w:tcW w:w="1700" w:type="dxa"/>
            <w:vAlign w:val="center"/>
          </w:tcPr>
          <w:p>
            <w:pPr>
              <w:jc w:val="center"/>
              <w:rPr>
                <w:rFonts w:ascii="Times New Roman" w:hAnsi="Times New Roman"/>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Align w:val="center"/>
          </w:tcPr>
          <w:p>
            <w:pPr>
              <w:pStyle w:val="64"/>
              <w:spacing w:line="240" w:lineRule="auto"/>
              <w:rPr>
                <w:rFonts w:ascii="Times New Roman" w:hAnsi="Times New Roman"/>
                <w:szCs w:val="21"/>
                <w:u w:val="single"/>
              </w:rPr>
            </w:pPr>
            <w:r>
              <w:rPr>
                <w:rFonts w:ascii="Times New Roman" w:hAnsi="Times New Roman"/>
                <w:szCs w:val="21"/>
                <w:u w:val="single"/>
              </w:rPr>
              <w:t>施工期</w:t>
            </w:r>
          </w:p>
        </w:tc>
        <w:tc>
          <w:tcPr>
            <w:tcW w:w="1233" w:type="dxa"/>
            <w:vAlign w:val="center"/>
          </w:tcPr>
          <w:p>
            <w:pPr>
              <w:jc w:val="center"/>
              <w:rPr>
                <w:rFonts w:ascii="Times New Roman" w:hAnsi="Times New Roman"/>
                <w:szCs w:val="21"/>
                <w:u w:val="single"/>
              </w:rPr>
            </w:pPr>
            <w:r>
              <w:rPr>
                <w:rFonts w:ascii="Times New Roman" w:hAnsi="Times New Roman"/>
                <w:szCs w:val="21"/>
                <w:u w:val="single"/>
              </w:rPr>
              <w:t>扬尘</w:t>
            </w:r>
          </w:p>
        </w:tc>
        <w:tc>
          <w:tcPr>
            <w:tcW w:w="4332" w:type="dxa"/>
            <w:vAlign w:val="center"/>
          </w:tcPr>
          <w:p>
            <w:pPr>
              <w:jc w:val="center"/>
              <w:rPr>
                <w:szCs w:val="21"/>
                <w:u w:val="single"/>
              </w:rPr>
            </w:pPr>
            <w:r>
              <w:rPr>
                <w:szCs w:val="21"/>
                <w:u w:val="single"/>
              </w:rPr>
              <w:t>洒水车及洒水降尘</w:t>
            </w:r>
            <w:r>
              <w:rPr>
                <w:rFonts w:hint="eastAsia"/>
                <w:szCs w:val="21"/>
                <w:u w:val="single"/>
              </w:rPr>
              <w:t>，</w:t>
            </w:r>
            <w:r>
              <w:rPr>
                <w:rFonts w:ascii="Times New Roman" w:hAnsi="Times New Roman"/>
                <w:szCs w:val="21"/>
                <w:u w:val="single"/>
              </w:rPr>
              <w:t>施工现场全封闭设置围挡，严禁敞开式作业，施工现场道路应进行地面硬化，各种堆料应封闭储存或建设防风抑尘设施。渣土运输车辆要全部采取密闭措施，严查渣土车沿途洒落，在建筑工地集中区域设置运输指定通道，规定时间、路线进行运输作业。</w:t>
            </w:r>
          </w:p>
        </w:tc>
        <w:tc>
          <w:tcPr>
            <w:tcW w:w="1700" w:type="dxa"/>
            <w:vAlign w:val="center"/>
          </w:tcPr>
          <w:p>
            <w:pPr>
              <w:jc w:val="center"/>
              <w:rPr>
                <w:szCs w:val="21"/>
                <w:u w:val="single"/>
              </w:rPr>
            </w:pPr>
            <w:r>
              <w:rPr>
                <w:rFonts w:hint="eastAsia"/>
                <w:szCs w:val="21"/>
                <w:u w:val="singl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Merge w:val="restart"/>
            <w:vAlign w:val="center"/>
          </w:tcPr>
          <w:p>
            <w:pPr>
              <w:jc w:val="center"/>
              <w:rPr>
                <w:rFonts w:ascii="Times New Roman" w:hAnsi="Times New Roman"/>
                <w:szCs w:val="21"/>
                <w:u w:val="single"/>
              </w:rPr>
            </w:pPr>
            <w:r>
              <w:rPr>
                <w:rFonts w:hint="eastAsia" w:ascii="Times New Roman" w:hAnsi="Times New Roman"/>
                <w:szCs w:val="21"/>
                <w:u w:val="single"/>
              </w:rPr>
              <w:t>营运期</w:t>
            </w:r>
          </w:p>
        </w:tc>
        <w:tc>
          <w:tcPr>
            <w:tcW w:w="1233" w:type="dxa"/>
            <w:vAlign w:val="center"/>
          </w:tcPr>
          <w:p>
            <w:pPr>
              <w:adjustRightInd w:val="0"/>
              <w:snapToGrid w:val="0"/>
              <w:jc w:val="center"/>
              <w:rPr>
                <w:rFonts w:ascii="Times New Roman" w:hAnsi="Times New Roman"/>
                <w:szCs w:val="21"/>
                <w:u w:val="single"/>
              </w:rPr>
            </w:pPr>
            <w:r>
              <w:rPr>
                <w:rFonts w:hint="eastAsia" w:ascii="Times New Roman" w:hAnsi="Times New Roman"/>
                <w:szCs w:val="21"/>
                <w:u w:val="single"/>
              </w:rPr>
              <w:t>尾矿库扬尘</w:t>
            </w:r>
          </w:p>
        </w:tc>
        <w:tc>
          <w:tcPr>
            <w:tcW w:w="4332" w:type="dxa"/>
            <w:vAlign w:val="center"/>
          </w:tcPr>
          <w:p>
            <w:pPr>
              <w:adjustRightInd w:val="0"/>
              <w:snapToGrid w:val="0"/>
              <w:jc w:val="center"/>
              <w:rPr>
                <w:rFonts w:ascii="Times New Roman" w:hAnsi="Times New Roman"/>
                <w:szCs w:val="21"/>
                <w:u w:val="single"/>
              </w:rPr>
            </w:pPr>
            <w:r>
              <w:rPr>
                <w:rFonts w:hint="eastAsia" w:ascii="Times New Roman" w:hAnsi="Times New Roman"/>
                <w:szCs w:val="21"/>
                <w:u w:val="single"/>
              </w:rPr>
              <w:t>尾矿库扬尘采取洒水降尘，</w:t>
            </w:r>
            <w:r>
              <w:rPr>
                <w:rFonts w:ascii="Times New Roman" w:hAnsi="Times New Roman"/>
                <w:szCs w:val="21"/>
                <w:u w:val="single"/>
              </w:rPr>
              <w:t>加盖苫布</w:t>
            </w:r>
            <w:r>
              <w:rPr>
                <w:rFonts w:hint="eastAsia" w:ascii="Times New Roman" w:hAnsi="Times New Roman"/>
                <w:szCs w:val="21"/>
                <w:u w:val="single"/>
              </w:rPr>
              <w:t>，</w:t>
            </w:r>
            <w:r>
              <w:rPr>
                <w:rFonts w:ascii="Times New Roman" w:hAnsi="Times New Roman"/>
                <w:szCs w:val="21"/>
                <w:u w:val="single"/>
              </w:rPr>
              <w:t>洒水降尘</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Merge w:val="continue"/>
            <w:vAlign w:val="center"/>
          </w:tcPr>
          <w:p>
            <w:pPr>
              <w:jc w:val="center"/>
              <w:rPr>
                <w:rFonts w:ascii="Times New Roman" w:hAnsi="Times New Roman"/>
                <w:szCs w:val="21"/>
                <w:u w:val="single"/>
              </w:rPr>
            </w:pPr>
          </w:p>
        </w:tc>
        <w:tc>
          <w:tcPr>
            <w:tcW w:w="1233" w:type="dxa"/>
            <w:vAlign w:val="center"/>
          </w:tcPr>
          <w:p>
            <w:pPr>
              <w:adjustRightInd w:val="0"/>
              <w:snapToGrid w:val="0"/>
              <w:jc w:val="center"/>
              <w:rPr>
                <w:rFonts w:ascii="Times New Roman" w:hAnsi="Times New Roman"/>
                <w:szCs w:val="21"/>
                <w:u w:val="single"/>
              </w:rPr>
            </w:pPr>
            <w:r>
              <w:rPr>
                <w:rFonts w:hint="eastAsia" w:ascii="Times New Roman" w:hAnsi="Times New Roman"/>
                <w:szCs w:val="21"/>
                <w:u w:val="single"/>
              </w:rPr>
              <w:t>胶带运输粉尘</w:t>
            </w:r>
          </w:p>
        </w:tc>
        <w:tc>
          <w:tcPr>
            <w:tcW w:w="4332" w:type="dxa"/>
            <w:vAlign w:val="center"/>
          </w:tcPr>
          <w:p>
            <w:pPr>
              <w:adjustRightInd w:val="0"/>
              <w:snapToGrid w:val="0"/>
              <w:jc w:val="center"/>
              <w:textAlignment w:val="baseline"/>
              <w:rPr>
                <w:rFonts w:ascii="Times New Roman" w:hAnsi="Times New Roman"/>
                <w:szCs w:val="21"/>
                <w:u w:val="single"/>
              </w:rPr>
            </w:pPr>
            <w:r>
              <w:rPr>
                <w:rFonts w:hint="eastAsia" w:ascii="Times New Roman" w:hAnsi="Times New Roman"/>
                <w:spacing w:val="6"/>
                <w:kern w:val="0"/>
                <w:szCs w:val="21"/>
                <w:u w:val="single"/>
              </w:rPr>
              <w:t>封闭措施</w:t>
            </w:r>
          </w:p>
        </w:tc>
        <w:tc>
          <w:tcPr>
            <w:tcW w:w="1700" w:type="dxa"/>
            <w:vAlign w:val="center"/>
          </w:tcPr>
          <w:p>
            <w:pPr>
              <w:jc w:val="center"/>
              <w:textAlignment w:val="baseline"/>
              <w:rPr>
                <w:rFonts w:ascii="Times New Roman" w:hAnsi="Times New Roman"/>
                <w:spacing w:val="6"/>
                <w:kern w:val="0"/>
                <w:szCs w:val="21"/>
                <w:u w:val="single"/>
              </w:rPr>
            </w:pPr>
            <w:r>
              <w:rPr>
                <w:rFonts w:hint="eastAsia" w:ascii="Times New Roman" w:hAnsi="Times New Roman"/>
                <w:spacing w:val="6"/>
                <w:kern w:val="0"/>
                <w:szCs w:val="21"/>
                <w:u w:val="singl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Merge w:val="continue"/>
            <w:vAlign w:val="center"/>
          </w:tcPr>
          <w:p>
            <w:pPr>
              <w:jc w:val="center"/>
              <w:rPr>
                <w:rFonts w:ascii="Times New Roman" w:hAnsi="Times New Roman"/>
                <w:szCs w:val="21"/>
                <w:u w:val="single"/>
              </w:rPr>
            </w:pPr>
          </w:p>
        </w:tc>
        <w:tc>
          <w:tcPr>
            <w:tcW w:w="1233" w:type="dxa"/>
            <w:vAlign w:val="center"/>
          </w:tcPr>
          <w:p>
            <w:pPr>
              <w:jc w:val="center"/>
              <w:rPr>
                <w:rFonts w:ascii="Times New Roman" w:hAnsi="Times New Roman"/>
                <w:szCs w:val="21"/>
                <w:u w:val="single"/>
              </w:rPr>
            </w:pPr>
            <w:r>
              <w:rPr>
                <w:rFonts w:hint="eastAsia" w:ascii="Times New Roman" w:hAnsi="Times New Roman"/>
                <w:szCs w:val="21"/>
                <w:u w:val="single"/>
              </w:rPr>
              <w:t>运输粉尘</w:t>
            </w:r>
          </w:p>
        </w:tc>
        <w:tc>
          <w:tcPr>
            <w:tcW w:w="4332" w:type="dxa"/>
            <w:vAlign w:val="center"/>
          </w:tcPr>
          <w:p>
            <w:pPr>
              <w:jc w:val="center"/>
              <w:textAlignment w:val="baseline"/>
              <w:rPr>
                <w:rFonts w:ascii="Times New Roman" w:hAnsi="Times New Roman"/>
                <w:spacing w:val="6"/>
                <w:kern w:val="0"/>
                <w:szCs w:val="21"/>
                <w:u w:val="single"/>
              </w:rPr>
            </w:pPr>
            <w:r>
              <w:rPr>
                <w:rFonts w:ascii="Times New Roman" w:hAnsi="Times New Roman"/>
                <w:color w:val="000000"/>
                <w:szCs w:val="21"/>
                <w:u w:val="single"/>
                <w:lang w:val="zh-CN"/>
              </w:rPr>
              <w:t>采用篷布遮盖，并要求车辆行驶过程中，降低行车速度</w:t>
            </w:r>
          </w:p>
        </w:tc>
        <w:tc>
          <w:tcPr>
            <w:tcW w:w="1700" w:type="dxa"/>
            <w:vAlign w:val="center"/>
          </w:tcPr>
          <w:p>
            <w:pPr>
              <w:jc w:val="center"/>
              <w:textAlignment w:val="baseline"/>
              <w:rPr>
                <w:rFonts w:ascii="Times New Roman" w:hAnsi="Times New Roman"/>
                <w:spacing w:val="6"/>
                <w:kern w:val="0"/>
                <w:szCs w:val="21"/>
                <w:u w:val="single"/>
              </w:rPr>
            </w:pPr>
            <w:r>
              <w:rPr>
                <w:rFonts w:hint="eastAsia" w:ascii="Times New Roman" w:hAnsi="Times New Roman"/>
                <w:spacing w:val="6"/>
                <w:kern w:val="0"/>
                <w:szCs w:val="21"/>
                <w:u w:val="singl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Align w:val="center"/>
          </w:tcPr>
          <w:p>
            <w:pPr>
              <w:jc w:val="center"/>
              <w:rPr>
                <w:rFonts w:ascii="Times New Roman" w:hAnsi="Times New Roman"/>
                <w:szCs w:val="21"/>
                <w:u w:val="single"/>
              </w:rPr>
            </w:pPr>
            <w:r>
              <w:rPr>
                <w:rFonts w:hint="eastAsia" w:ascii="Times New Roman" w:hAnsi="Times New Roman"/>
                <w:szCs w:val="21"/>
                <w:u w:val="single"/>
              </w:rPr>
              <w:t>现有工程改造</w:t>
            </w:r>
          </w:p>
        </w:tc>
        <w:tc>
          <w:tcPr>
            <w:tcW w:w="1233" w:type="dxa"/>
            <w:vAlign w:val="center"/>
          </w:tcPr>
          <w:p>
            <w:pPr>
              <w:jc w:val="center"/>
              <w:rPr>
                <w:rFonts w:ascii="Times New Roman" w:hAnsi="Times New Roman"/>
                <w:szCs w:val="21"/>
                <w:u w:val="single"/>
              </w:rPr>
            </w:pPr>
            <w:r>
              <w:rPr>
                <w:rFonts w:hint="eastAsia" w:ascii="Times New Roman" w:hAnsi="Times New Roman"/>
                <w:szCs w:val="21"/>
                <w:u w:val="single"/>
              </w:rPr>
              <w:t>现有锅炉烟气</w:t>
            </w:r>
          </w:p>
        </w:tc>
        <w:tc>
          <w:tcPr>
            <w:tcW w:w="4332" w:type="dxa"/>
            <w:vAlign w:val="center"/>
          </w:tcPr>
          <w:p>
            <w:pPr>
              <w:jc w:val="center"/>
              <w:textAlignment w:val="baseline"/>
              <w:rPr>
                <w:rFonts w:ascii="Times New Roman" w:hAnsi="Times New Roman"/>
                <w:color w:val="000000"/>
                <w:szCs w:val="21"/>
                <w:u w:val="single"/>
              </w:rPr>
            </w:pPr>
            <w:r>
              <w:rPr>
                <w:rFonts w:hint="eastAsia" w:ascii="Times New Roman" w:hAnsi="Times New Roman"/>
                <w:color w:val="000000"/>
                <w:szCs w:val="21"/>
                <w:u w:val="single"/>
                <w:lang w:val="zh-CN"/>
              </w:rPr>
              <w:t>拆除现有</w:t>
            </w:r>
            <w:r>
              <w:rPr>
                <w:rFonts w:hint="eastAsia" w:ascii="Times New Roman" w:hAnsi="Times New Roman"/>
                <w:color w:val="000000"/>
                <w:szCs w:val="21"/>
                <w:u w:val="single"/>
              </w:rPr>
              <w:t>1</w:t>
            </w:r>
            <w:r>
              <w:rPr>
                <w:rFonts w:hint="eastAsia" w:ascii="Times New Roman" w:hAnsi="Times New Roman"/>
                <w:color w:val="000000"/>
                <w:szCs w:val="21"/>
                <w:u w:val="single"/>
                <w:lang w:val="zh-CN"/>
              </w:rPr>
              <w:t>台燃煤锅炉，冬季职工改用电采暖。</w:t>
            </w:r>
          </w:p>
        </w:tc>
        <w:tc>
          <w:tcPr>
            <w:tcW w:w="1700" w:type="dxa"/>
            <w:vAlign w:val="center"/>
          </w:tcPr>
          <w:p>
            <w:pPr>
              <w:jc w:val="center"/>
              <w:textAlignment w:val="baseline"/>
              <w:rPr>
                <w:rFonts w:ascii="Times New Roman" w:hAnsi="Times New Roman"/>
                <w:spacing w:val="6"/>
                <w:kern w:val="0"/>
                <w:szCs w:val="21"/>
                <w:u w:val="single"/>
              </w:rPr>
            </w:pPr>
            <w:r>
              <w:rPr>
                <w:rFonts w:hint="eastAsia" w:ascii="Times New Roman" w:hAnsi="Times New Roman"/>
                <w:spacing w:val="6"/>
                <w:kern w:val="0"/>
                <w:szCs w:val="21"/>
                <w:u w:val="singl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Merge w:val="restart"/>
            <w:vAlign w:val="center"/>
          </w:tcPr>
          <w:p>
            <w:pPr>
              <w:jc w:val="center"/>
              <w:rPr>
                <w:rFonts w:ascii="Times New Roman" w:hAnsi="Times New Roman"/>
                <w:szCs w:val="21"/>
                <w:u w:val="single"/>
              </w:rPr>
            </w:pPr>
            <w:r>
              <w:rPr>
                <w:rFonts w:ascii="Times New Roman" w:hAnsi="Times New Roman"/>
                <w:szCs w:val="21"/>
                <w:u w:val="single"/>
              </w:rPr>
              <w:t>3</w:t>
            </w:r>
          </w:p>
        </w:tc>
        <w:tc>
          <w:tcPr>
            <w:tcW w:w="1985" w:type="dxa"/>
            <w:gridSpan w:val="4"/>
            <w:vAlign w:val="center"/>
          </w:tcPr>
          <w:p>
            <w:pPr>
              <w:jc w:val="center"/>
              <w:rPr>
                <w:rFonts w:ascii="Times New Roman" w:hAnsi="Times New Roman"/>
                <w:szCs w:val="21"/>
                <w:u w:val="single"/>
              </w:rPr>
            </w:pPr>
            <w:r>
              <w:rPr>
                <w:rFonts w:ascii="Times New Roman" w:hAnsi="Times New Roman"/>
                <w:szCs w:val="21"/>
                <w:u w:val="single"/>
              </w:rPr>
              <w:t>噪声污染防治</w:t>
            </w:r>
          </w:p>
        </w:tc>
        <w:tc>
          <w:tcPr>
            <w:tcW w:w="4332" w:type="dxa"/>
            <w:vAlign w:val="center"/>
          </w:tcPr>
          <w:p>
            <w:pPr>
              <w:jc w:val="center"/>
              <w:rPr>
                <w:rFonts w:ascii="Times New Roman" w:hAnsi="Times New Roman"/>
                <w:szCs w:val="21"/>
                <w:u w:val="single"/>
              </w:rPr>
            </w:pPr>
          </w:p>
        </w:tc>
        <w:tc>
          <w:tcPr>
            <w:tcW w:w="1700" w:type="dxa"/>
            <w:vAlign w:val="center"/>
          </w:tcPr>
          <w:p>
            <w:pPr>
              <w:jc w:val="center"/>
              <w:rPr>
                <w:rFonts w:ascii="Times New Roman" w:hAnsi="Times New Roman"/>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Align w:val="center"/>
          </w:tcPr>
          <w:p>
            <w:pPr>
              <w:pStyle w:val="64"/>
              <w:spacing w:line="240" w:lineRule="auto"/>
              <w:rPr>
                <w:rFonts w:ascii="Times New Roman" w:hAnsi="Times New Roman"/>
                <w:szCs w:val="21"/>
                <w:u w:val="single"/>
              </w:rPr>
            </w:pPr>
            <w:r>
              <w:rPr>
                <w:rFonts w:hint="eastAsia" w:ascii="Times New Roman" w:hAnsi="Times New Roman"/>
                <w:szCs w:val="21"/>
                <w:u w:val="single"/>
              </w:rPr>
              <w:t>施工期</w:t>
            </w:r>
          </w:p>
        </w:tc>
        <w:tc>
          <w:tcPr>
            <w:tcW w:w="1233" w:type="dxa"/>
            <w:vAlign w:val="center"/>
          </w:tcPr>
          <w:p>
            <w:pPr>
              <w:pStyle w:val="45"/>
              <w:adjustRightInd/>
              <w:spacing w:line="240" w:lineRule="auto"/>
              <w:textAlignment w:val="auto"/>
              <w:rPr>
                <w:rFonts w:ascii="Times New Roman" w:hAnsi="Times New Roman"/>
                <w:kern w:val="2"/>
                <w:sz w:val="21"/>
                <w:szCs w:val="21"/>
                <w:u w:val="single"/>
              </w:rPr>
            </w:pPr>
            <w:r>
              <w:rPr>
                <w:rFonts w:hint="eastAsia" w:ascii="Times New Roman" w:hAnsi="Times New Roman"/>
                <w:kern w:val="2"/>
                <w:sz w:val="21"/>
                <w:szCs w:val="21"/>
                <w:u w:val="single"/>
              </w:rPr>
              <w:t>设备噪声</w:t>
            </w:r>
          </w:p>
        </w:tc>
        <w:tc>
          <w:tcPr>
            <w:tcW w:w="4332" w:type="dxa"/>
            <w:vAlign w:val="center"/>
          </w:tcPr>
          <w:p>
            <w:pPr>
              <w:jc w:val="center"/>
              <w:rPr>
                <w:rFonts w:ascii="Times New Roman" w:hAnsi="Times New Roman"/>
                <w:szCs w:val="21"/>
                <w:u w:val="single"/>
              </w:rPr>
            </w:pPr>
            <w:r>
              <w:rPr>
                <w:rFonts w:hint="eastAsia" w:ascii="Times New Roman" w:hAnsi="Times New Roman"/>
                <w:szCs w:val="21"/>
                <w:u w:val="single"/>
              </w:rPr>
              <w:t>树林距离衰减达标排放</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Merge w:val="restart"/>
            <w:vAlign w:val="center"/>
          </w:tcPr>
          <w:p>
            <w:pPr>
              <w:pStyle w:val="64"/>
              <w:spacing w:line="240" w:lineRule="auto"/>
              <w:rPr>
                <w:rFonts w:ascii="Times New Roman" w:hAnsi="Times New Roman"/>
                <w:szCs w:val="21"/>
                <w:u w:val="single"/>
              </w:rPr>
            </w:pPr>
            <w:r>
              <w:rPr>
                <w:rFonts w:hint="eastAsia" w:ascii="Times New Roman" w:hAnsi="Times New Roman"/>
                <w:szCs w:val="21"/>
                <w:u w:val="single"/>
              </w:rPr>
              <w:t>运营期</w:t>
            </w:r>
          </w:p>
        </w:tc>
        <w:tc>
          <w:tcPr>
            <w:tcW w:w="1233" w:type="dxa"/>
            <w:vAlign w:val="center"/>
          </w:tcPr>
          <w:p>
            <w:pPr>
              <w:pStyle w:val="45"/>
              <w:adjustRightInd/>
              <w:spacing w:line="240" w:lineRule="auto"/>
              <w:textAlignment w:val="auto"/>
              <w:rPr>
                <w:rFonts w:ascii="Times New Roman" w:hAnsi="Times New Roman"/>
                <w:kern w:val="2"/>
                <w:sz w:val="21"/>
                <w:szCs w:val="21"/>
                <w:u w:val="single"/>
              </w:rPr>
            </w:pPr>
            <w:r>
              <w:rPr>
                <w:rFonts w:hint="eastAsia" w:ascii="Times New Roman" w:hAnsi="Times New Roman"/>
                <w:kern w:val="2"/>
                <w:sz w:val="21"/>
                <w:szCs w:val="21"/>
                <w:u w:val="single"/>
              </w:rPr>
              <w:t>设备噪声</w:t>
            </w:r>
          </w:p>
        </w:tc>
        <w:tc>
          <w:tcPr>
            <w:tcW w:w="4332" w:type="dxa"/>
            <w:vAlign w:val="center"/>
          </w:tcPr>
          <w:p>
            <w:pPr>
              <w:jc w:val="center"/>
              <w:rPr>
                <w:rFonts w:ascii="Times New Roman" w:hAnsi="Times New Roman"/>
                <w:szCs w:val="21"/>
                <w:u w:val="single"/>
              </w:rPr>
            </w:pPr>
            <w:r>
              <w:rPr>
                <w:rFonts w:ascii="Times New Roman" w:hAnsi="Times New Roman"/>
                <w:color w:val="000000"/>
                <w:szCs w:val="21"/>
                <w:u w:val="single"/>
              </w:rPr>
              <w:t>尽量选用低噪声型号的设备；</w:t>
            </w:r>
            <w:r>
              <w:rPr>
                <w:rFonts w:hint="eastAsia" w:ascii="Times New Roman" w:hAnsi="Times New Roman"/>
                <w:color w:val="000000"/>
                <w:szCs w:val="21"/>
                <w:u w:val="single"/>
              </w:rPr>
              <w:t>设备</w:t>
            </w:r>
            <w:r>
              <w:rPr>
                <w:rFonts w:ascii="Times New Roman" w:hAnsi="Times New Roman"/>
                <w:color w:val="000000"/>
                <w:szCs w:val="21"/>
                <w:u w:val="single"/>
              </w:rPr>
              <w:t>安装消声器、隔声罩和基础减振等</w:t>
            </w:r>
            <w:r>
              <w:rPr>
                <w:rFonts w:hint="eastAsia" w:ascii="Times New Roman" w:hAnsi="Times New Roman"/>
                <w:color w:val="000000"/>
                <w:szCs w:val="21"/>
                <w:u w:val="single"/>
              </w:rPr>
              <w:t>；将压滤间内的</w:t>
            </w:r>
            <w:r>
              <w:rPr>
                <w:rFonts w:ascii="Times New Roman" w:hAnsi="Times New Roman"/>
                <w:color w:val="000000"/>
                <w:szCs w:val="21"/>
                <w:u w:val="single"/>
              </w:rPr>
              <w:t>强噪声设备</w:t>
            </w:r>
            <w:r>
              <w:rPr>
                <w:rFonts w:hint="eastAsia" w:ascii="Times New Roman" w:hAnsi="Times New Roman"/>
                <w:color w:val="000000"/>
                <w:szCs w:val="21"/>
                <w:u w:val="single"/>
              </w:rPr>
              <w:t>放置于封闭厂房内，</w:t>
            </w:r>
            <w:r>
              <w:rPr>
                <w:rFonts w:ascii="Times New Roman" w:hAnsi="Times New Roman"/>
                <w:color w:val="000000"/>
                <w:szCs w:val="21"/>
                <w:u w:val="single"/>
              </w:rPr>
              <w:t>采取隔声、吸声材料制作门窗、砌体等</w:t>
            </w:r>
            <w:r>
              <w:rPr>
                <w:rFonts w:hint="eastAsia" w:ascii="Times New Roman" w:hAnsi="Times New Roman"/>
                <w:color w:val="000000"/>
                <w:szCs w:val="21"/>
                <w:u w:val="single"/>
              </w:rPr>
              <w:t>；经过周围山林的吸声降噪，达标排放。</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15" w:type="dxa"/>
            <w:vMerge w:val="continue"/>
            <w:vAlign w:val="center"/>
          </w:tcPr>
          <w:p>
            <w:pPr>
              <w:jc w:val="center"/>
              <w:rPr>
                <w:rFonts w:ascii="Times New Roman" w:hAnsi="Times New Roman"/>
                <w:szCs w:val="21"/>
                <w:u w:val="single"/>
              </w:rPr>
            </w:pPr>
          </w:p>
        </w:tc>
        <w:tc>
          <w:tcPr>
            <w:tcW w:w="752" w:type="dxa"/>
            <w:gridSpan w:val="3"/>
            <w:vMerge w:val="continue"/>
            <w:vAlign w:val="center"/>
          </w:tcPr>
          <w:p>
            <w:pPr>
              <w:pStyle w:val="64"/>
              <w:spacing w:line="240" w:lineRule="auto"/>
              <w:rPr>
                <w:rFonts w:ascii="Times New Roman" w:hAnsi="Times New Roman"/>
                <w:szCs w:val="21"/>
                <w:u w:val="single"/>
              </w:rPr>
            </w:pPr>
          </w:p>
        </w:tc>
        <w:tc>
          <w:tcPr>
            <w:tcW w:w="1233" w:type="dxa"/>
            <w:vAlign w:val="center"/>
          </w:tcPr>
          <w:p>
            <w:pPr>
              <w:pStyle w:val="45"/>
              <w:adjustRightInd/>
              <w:spacing w:line="240" w:lineRule="auto"/>
              <w:textAlignment w:val="auto"/>
              <w:rPr>
                <w:rFonts w:ascii="Times New Roman" w:hAnsi="Times New Roman"/>
                <w:kern w:val="2"/>
                <w:sz w:val="21"/>
                <w:szCs w:val="21"/>
                <w:u w:val="single"/>
              </w:rPr>
            </w:pPr>
            <w:r>
              <w:rPr>
                <w:rFonts w:hint="eastAsia" w:ascii="Times New Roman" w:hAnsi="Times New Roman"/>
                <w:kern w:val="2"/>
                <w:sz w:val="21"/>
                <w:szCs w:val="21"/>
                <w:u w:val="single"/>
              </w:rPr>
              <w:t>交通运输噪声</w:t>
            </w:r>
          </w:p>
        </w:tc>
        <w:tc>
          <w:tcPr>
            <w:tcW w:w="4332" w:type="dxa"/>
            <w:vAlign w:val="center"/>
          </w:tcPr>
          <w:p>
            <w:pPr>
              <w:jc w:val="center"/>
              <w:rPr>
                <w:rFonts w:ascii="Times New Roman" w:hAnsi="Times New Roman"/>
                <w:szCs w:val="21"/>
                <w:u w:val="single"/>
              </w:rPr>
            </w:pPr>
            <w:r>
              <w:rPr>
                <w:rFonts w:ascii="Times New Roman" w:hAnsi="Times New Roman"/>
                <w:color w:val="000000"/>
                <w:szCs w:val="21"/>
                <w:u w:val="single"/>
              </w:rPr>
              <w:t>运输车辆夜间经过村屯时，限制行</w:t>
            </w:r>
            <w:r>
              <w:rPr>
                <w:rFonts w:hint="eastAsia" w:ascii="Times New Roman" w:hAnsi="Times New Roman"/>
                <w:color w:val="000000"/>
                <w:szCs w:val="21"/>
                <w:u w:val="single"/>
              </w:rPr>
              <w:t>速度</w:t>
            </w:r>
            <w:r>
              <w:rPr>
                <w:rFonts w:ascii="Times New Roman" w:hAnsi="Times New Roman"/>
                <w:color w:val="000000"/>
                <w:szCs w:val="21"/>
                <w:u w:val="single"/>
              </w:rPr>
              <w:t>，严禁鸣笛等，减少夜间行车速度等</w:t>
            </w:r>
            <w:r>
              <w:rPr>
                <w:rFonts w:hint="eastAsia" w:ascii="Times New Roman" w:hAnsi="Times New Roman"/>
                <w:color w:val="000000"/>
                <w:szCs w:val="21"/>
                <w:u w:val="single"/>
              </w:rPr>
              <w:t>。</w:t>
            </w:r>
          </w:p>
        </w:tc>
        <w:tc>
          <w:tcPr>
            <w:tcW w:w="1700"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5" w:type="dxa"/>
            <w:vMerge w:val="restart"/>
            <w:vAlign w:val="center"/>
          </w:tcPr>
          <w:p>
            <w:pPr>
              <w:jc w:val="center"/>
              <w:rPr>
                <w:rFonts w:ascii="Times New Roman" w:hAnsi="Times New Roman"/>
                <w:szCs w:val="21"/>
                <w:u w:val="single"/>
              </w:rPr>
            </w:pPr>
            <w:r>
              <w:rPr>
                <w:rFonts w:ascii="Times New Roman" w:hAnsi="Times New Roman"/>
                <w:szCs w:val="21"/>
                <w:u w:val="single"/>
              </w:rPr>
              <w:t>4</w:t>
            </w:r>
          </w:p>
        </w:tc>
        <w:tc>
          <w:tcPr>
            <w:tcW w:w="1985" w:type="dxa"/>
            <w:gridSpan w:val="4"/>
            <w:vAlign w:val="center"/>
          </w:tcPr>
          <w:p>
            <w:pPr>
              <w:jc w:val="center"/>
              <w:rPr>
                <w:rFonts w:ascii="Times New Roman" w:hAnsi="Times New Roman"/>
                <w:szCs w:val="21"/>
                <w:u w:val="single"/>
              </w:rPr>
            </w:pPr>
            <w:r>
              <w:rPr>
                <w:rFonts w:ascii="Times New Roman" w:hAnsi="Times New Roman"/>
                <w:szCs w:val="21"/>
                <w:u w:val="single"/>
              </w:rPr>
              <w:t>固体废物处理</w:t>
            </w:r>
          </w:p>
        </w:tc>
        <w:tc>
          <w:tcPr>
            <w:tcW w:w="4332" w:type="dxa"/>
            <w:vAlign w:val="center"/>
          </w:tcPr>
          <w:p>
            <w:pPr>
              <w:jc w:val="center"/>
              <w:rPr>
                <w:rFonts w:ascii="Times New Roman" w:hAnsi="Times New Roman"/>
                <w:szCs w:val="21"/>
                <w:u w:val="single"/>
              </w:rPr>
            </w:pPr>
          </w:p>
        </w:tc>
        <w:tc>
          <w:tcPr>
            <w:tcW w:w="1700" w:type="dxa"/>
            <w:vAlign w:val="center"/>
          </w:tcPr>
          <w:p>
            <w:pPr>
              <w:jc w:val="center"/>
              <w:rPr>
                <w:rFonts w:ascii="Times New Roman" w:hAnsi="Times New Roman"/>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15" w:type="dxa"/>
            <w:vMerge w:val="continue"/>
            <w:vAlign w:val="center"/>
          </w:tcPr>
          <w:p>
            <w:pPr>
              <w:jc w:val="center"/>
              <w:rPr>
                <w:rFonts w:ascii="Times New Roman" w:hAnsi="Times New Roman"/>
                <w:szCs w:val="21"/>
                <w:u w:val="single"/>
              </w:rPr>
            </w:pPr>
          </w:p>
        </w:tc>
        <w:tc>
          <w:tcPr>
            <w:tcW w:w="725" w:type="dxa"/>
            <w:gridSpan w:val="2"/>
            <w:vMerge w:val="restart"/>
            <w:vAlign w:val="center"/>
          </w:tcPr>
          <w:p>
            <w:pPr>
              <w:jc w:val="center"/>
              <w:rPr>
                <w:rFonts w:ascii="Times New Roman" w:hAnsi="Times New Roman"/>
                <w:szCs w:val="21"/>
                <w:u w:val="single"/>
              </w:rPr>
            </w:pPr>
            <w:r>
              <w:rPr>
                <w:rFonts w:hint="eastAsia" w:ascii="Times New Roman" w:hAnsi="Times New Roman"/>
                <w:szCs w:val="21"/>
                <w:u w:val="single"/>
              </w:rPr>
              <w:t>施工期</w:t>
            </w:r>
          </w:p>
        </w:tc>
        <w:tc>
          <w:tcPr>
            <w:tcW w:w="1260" w:type="dxa"/>
            <w:gridSpan w:val="2"/>
            <w:vAlign w:val="center"/>
          </w:tcPr>
          <w:p>
            <w:pPr>
              <w:jc w:val="center"/>
              <w:rPr>
                <w:rFonts w:ascii="Times New Roman" w:hAnsi="Times New Roman"/>
                <w:szCs w:val="21"/>
                <w:u w:val="single"/>
              </w:rPr>
            </w:pPr>
            <w:r>
              <w:rPr>
                <w:rFonts w:hint="eastAsia" w:ascii="Times New Roman" w:hAnsi="Times New Roman"/>
                <w:szCs w:val="21"/>
                <w:u w:val="single"/>
              </w:rPr>
              <w:t>建筑垃圾</w:t>
            </w:r>
          </w:p>
        </w:tc>
        <w:tc>
          <w:tcPr>
            <w:tcW w:w="4332" w:type="dxa"/>
            <w:vAlign w:val="center"/>
          </w:tcPr>
          <w:p>
            <w:pPr>
              <w:pStyle w:val="9"/>
              <w:adjustRightInd/>
              <w:spacing w:line="240" w:lineRule="auto"/>
              <w:ind w:firstLine="0"/>
              <w:jc w:val="center"/>
              <w:rPr>
                <w:sz w:val="21"/>
                <w:szCs w:val="21"/>
                <w:u w:val="single"/>
              </w:rPr>
            </w:pPr>
            <w:r>
              <w:rPr>
                <w:sz w:val="21"/>
                <w:szCs w:val="21"/>
                <w:u w:val="single"/>
              </w:rPr>
              <w:t>建筑垃圾全部运至建筑垃圾填埋场堆存。</w:t>
            </w:r>
          </w:p>
        </w:tc>
        <w:tc>
          <w:tcPr>
            <w:tcW w:w="1700" w:type="dxa"/>
            <w:vAlign w:val="center"/>
          </w:tcPr>
          <w:p>
            <w:pPr>
              <w:pStyle w:val="9"/>
              <w:adjustRightInd/>
              <w:spacing w:line="240" w:lineRule="auto"/>
              <w:ind w:firstLine="0"/>
              <w:jc w:val="center"/>
              <w:rPr>
                <w:sz w:val="21"/>
                <w:szCs w:val="21"/>
                <w:u w:val="single"/>
              </w:rPr>
            </w:pPr>
            <w:r>
              <w:rPr>
                <w:rFonts w:hint="eastAsia"/>
                <w:sz w:val="21"/>
                <w:szCs w:val="21"/>
                <w:u w:val="singl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515" w:type="dxa"/>
            <w:vMerge w:val="continue"/>
            <w:vAlign w:val="center"/>
          </w:tcPr>
          <w:p>
            <w:pPr>
              <w:jc w:val="center"/>
              <w:rPr>
                <w:rFonts w:ascii="Times New Roman" w:hAnsi="Times New Roman"/>
                <w:szCs w:val="21"/>
                <w:u w:val="single"/>
              </w:rPr>
            </w:pPr>
          </w:p>
        </w:tc>
        <w:tc>
          <w:tcPr>
            <w:tcW w:w="725" w:type="dxa"/>
            <w:gridSpan w:val="2"/>
            <w:vMerge w:val="continue"/>
            <w:vAlign w:val="center"/>
          </w:tcPr>
          <w:p>
            <w:pPr>
              <w:jc w:val="center"/>
              <w:rPr>
                <w:rFonts w:ascii="Times New Roman" w:hAnsi="Times New Roman"/>
                <w:szCs w:val="21"/>
                <w:u w:val="single"/>
              </w:rPr>
            </w:pPr>
          </w:p>
        </w:tc>
        <w:tc>
          <w:tcPr>
            <w:tcW w:w="1260" w:type="dxa"/>
            <w:gridSpan w:val="2"/>
            <w:vAlign w:val="center"/>
          </w:tcPr>
          <w:p>
            <w:pPr>
              <w:jc w:val="center"/>
              <w:rPr>
                <w:rFonts w:ascii="Times New Roman" w:hAnsi="Times New Roman"/>
                <w:szCs w:val="21"/>
                <w:u w:val="single"/>
              </w:rPr>
            </w:pPr>
            <w:r>
              <w:rPr>
                <w:rFonts w:hint="eastAsia" w:ascii="Times New Roman" w:hAnsi="Times New Roman"/>
                <w:szCs w:val="21"/>
                <w:u w:val="single"/>
              </w:rPr>
              <w:t>生活垃圾</w:t>
            </w:r>
          </w:p>
        </w:tc>
        <w:tc>
          <w:tcPr>
            <w:tcW w:w="4332" w:type="dxa"/>
            <w:vAlign w:val="center"/>
          </w:tcPr>
          <w:p>
            <w:pPr>
              <w:pStyle w:val="23"/>
              <w:spacing w:after="0"/>
              <w:ind w:firstLine="0" w:firstLineChars="0"/>
              <w:jc w:val="center"/>
              <w:rPr>
                <w:rFonts w:ascii="Times New Roman" w:hAnsi="Times New Roman"/>
                <w:snapToGrid w:val="0"/>
                <w:kern w:val="0"/>
                <w:szCs w:val="21"/>
                <w:u w:val="single"/>
              </w:rPr>
            </w:pPr>
            <w:r>
              <w:rPr>
                <w:szCs w:val="21"/>
                <w:u w:val="single"/>
              </w:rPr>
              <w:t>生活垃圾全部定期运至当地生活垃圾填埋场。</w:t>
            </w:r>
          </w:p>
        </w:tc>
        <w:tc>
          <w:tcPr>
            <w:tcW w:w="1700" w:type="dxa"/>
            <w:vAlign w:val="center"/>
          </w:tcPr>
          <w:p>
            <w:pPr>
              <w:pStyle w:val="23"/>
              <w:spacing w:after="0"/>
              <w:ind w:firstLine="0" w:firstLineChars="0"/>
              <w:jc w:val="center"/>
              <w:rPr>
                <w:szCs w:val="21"/>
                <w:u w:val="single"/>
              </w:rPr>
            </w:pPr>
            <w:r>
              <w:rPr>
                <w:rFonts w:hint="eastAsia"/>
                <w:szCs w:val="21"/>
                <w:u w:val="singl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515" w:type="dxa"/>
            <w:vMerge w:val="continue"/>
            <w:vAlign w:val="center"/>
          </w:tcPr>
          <w:p>
            <w:pPr>
              <w:jc w:val="center"/>
              <w:rPr>
                <w:rFonts w:ascii="Times New Roman" w:hAnsi="Times New Roman"/>
                <w:szCs w:val="21"/>
                <w:u w:val="single"/>
              </w:rPr>
            </w:pPr>
          </w:p>
        </w:tc>
        <w:tc>
          <w:tcPr>
            <w:tcW w:w="725" w:type="dxa"/>
            <w:gridSpan w:val="2"/>
            <w:vMerge w:val="restart"/>
            <w:vAlign w:val="center"/>
          </w:tcPr>
          <w:p>
            <w:pPr>
              <w:jc w:val="center"/>
              <w:textAlignment w:val="baseline"/>
              <w:rPr>
                <w:rFonts w:ascii="Times New Roman" w:hAnsi="Times New Roman"/>
                <w:szCs w:val="21"/>
                <w:u w:val="single"/>
              </w:rPr>
            </w:pPr>
            <w:r>
              <w:rPr>
                <w:rFonts w:hint="eastAsia" w:ascii="Times New Roman" w:hAnsi="Times New Roman"/>
                <w:szCs w:val="21"/>
                <w:u w:val="single"/>
              </w:rPr>
              <w:t>运营期</w:t>
            </w:r>
          </w:p>
        </w:tc>
        <w:tc>
          <w:tcPr>
            <w:tcW w:w="1260" w:type="dxa"/>
            <w:gridSpan w:val="2"/>
            <w:vAlign w:val="center"/>
          </w:tcPr>
          <w:p>
            <w:pPr>
              <w:adjustRightInd w:val="0"/>
              <w:snapToGrid w:val="0"/>
              <w:jc w:val="center"/>
              <w:textAlignment w:val="baseline"/>
              <w:rPr>
                <w:rFonts w:ascii="Times New Roman" w:hAnsi="Times New Roman"/>
                <w:szCs w:val="21"/>
                <w:u w:val="single"/>
              </w:rPr>
            </w:pPr>
            <w:r>
              <w:rPr>
                <w:rFonts w:hint="eastAsia" w:ascii="Times New Roman" w:hAnsi="Times New Roman"/>
                <w:color w:val="000000"/>
                <w:spacing w:val="6"/>
                <w:kern w:val="0"/>
                <w:szCs w:val="21"/>
                <w:u w:val="single"/>
              </w:rPr>
              <w:t>尾矿泥饼</w:t>
            </w:r>
          </w:p>
        </w:tc>
        <w:tc>
          <w:tcPr>
            <w:tcW w:w="4332" w:type="dxa"/>
            <w:vAlign w:val="center"/>
          </w:tcPr>
          <w:p>
            <w:pPr>
              <w:jc w:val="center"/>
              <w:rPr>
                <w:rFonts w:ascii="Times New Roman" w:hAnsi="Times New Roman"/>
                <w:spacing w:val="6"/>
                <w:kern w:val="0"/>
                <w:szCs w:val="21"/>
                <w:u w:val="single"/>
              </w:rPr>
            </w:pPr>
            <w:r>
              <w:rPr>
                <w:rFonts w:hint="eastAsia" w:ascii="Times New Roman" w:hAnsi="Times New Roman"/>
                <w:color w:val="000000"/>
                <w:spacing w:val="6"/>
                <w:kern w:val="0"/>
                <w:szCs w:val="21"/>
                <w:u w:val="single"/>
              </w:rPr>
              <w:t>一部分外卖吉林市智德利商贸有限公司，另一部分堆放至尾矿库内。</w:t>
            </w:r>
          </w:p>
        </w:tc>
        <w:tc>
          <w:tcPr>
            <w:tcW w:w="1700" w:type="dxa"/>
            <w:vAlign w:val="center"/>
          </w:tcPr>
          <w:p>
            <w:pPr>
              <w:jc w:val="center"/>
              <w:rPr>
                <w:rFonts w:ascii="Times New Roman" w:hAnsi="Times New Roman"/>
                <w:spacing w:val="6"/>
                <w:kern w:val="0"/>
                <w:szCs w:val="21"/>
                <w:u w:val="single"/>
              </w:rPr>
            </w:pPr>
            <w:r>
              <w:rPr>
                <w:rFonts w:hint="eastAsia" w:ascii="Times New Roman" w:hAnsi="Times New Roman"/>
                <w:spacing w:val="6"/>
                <w:kern w:val="0"/>
                <w:szCs w:val="21"/>
                <w:u w:val="singl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515" w:type="dxa"/>
            <w:vMerge w:val="continue"/>
            <w:vAlign w:val="center"/>
          </w:tcPr>
          <w:p>
            <w:pPr>
              <w:jc w:val="center"/>
              <w:rPr>
                <w:rFonts w:ascii="Times New Roman" w:hAnsi="Times New Roman"/>
                <w:szCs w:val="21"/>
                <w:u w:val="single"/>
              </w:rPr>
            </w:pPr>
          </w:p>
        </w:tc>
        <w:tc>
          <w:tcPr>
            <w:tcW w:w="725" w:type="dxa"/>
            <w:gridSpan w:val="2"/>
            <w:vMerge w:val="continue"/>
            <w:vAlign w:val="center"/>
          </w:tcPr>
          <w:p>
            <w:pPr>
              <w:jc w:val="center"/>
              <w:textAlignment w:val="baseline"/>
              <w:rPr>
                <w:rFonts w:ascii="Times New Roman" w:hAnsi="Times New Roman"/>
                <w:szCs w:val="21"/>
                <w:u w:val="single"/>
              </w:rPr>
            </w:pPr>
          </w:p>
        </w:tc>
        <w:tc>
          <w:tcPr>
            <w:tcW w:w="1260" w:type="dxa"/>
            <w:gridSpan w:val="2"/>
            <w:vAlign w:val="center"/>
          </w:tcPr>
          <w:p>
            <w:pPr>
              <w:adjustRightInd w:val="0"/>
              <w:snapToGrid w:val="0"/>
              <w:jc w:val="center"/>
              <w:textAlignment w:val="baseline"/>
              <w:rPr>
                <w:rFonts w:ascii="Times New Roman" w:hAnsi="Times New Roman"/>
                <w:szCs w:val="21"/>
                <w:u w:val="single"/>
              </w:rPr>
            </w:pPr>
            <w:r>
              <w:rPr>
                <w:rFonts w:hint="eastAsia" w:ascii="Times New Roman" w:hAnsi="Times New Roman"/>
                <w:color w:val="000000"/>
                <w:spacing w:val="6"/>
                <w:kern w:val="0"/>
                <w:szCs w:val="21"/>
                <w:u w:val="single"/>
              </w:rPr>
              <w:t>压滤间沉淀池污泥</w:t>
            </w:r>
          </w:p>
        </w:tc>
        <w:tc>
          <w:tcPr>
            <w:tcW w:w="4332" w:type="dxa"/>
            <w:vAlign w:val="center"/>
          </w:tcPr>
          <w:p>
            <w:pPr>
              <w:adjustRightInd w:val="0"/>
              <w:snapToGrid w:val="0"/>
              <w:jc w:val="center"/>
              <w:rPr>
                <w:rFonts w:ascii="Times New Roman" w:hAnsi="Times New Roman"/>
                <w:spacing w:val="6"/>
                <w:kern w:val="0"/>
                <w:szCs w:val="21"/>
                <w:u w:val="single"/>
              </w:rPr>
            </w:pPr>
            <w:r>
              <w:rPr>
                <w:rFonts w:hint="eastAsia" w:ascii="Times New Roman" w:hAnsi="Times New Roman"/>
                <w:color w:val="000000"/>
                <w:spacing w:val="6"/>
                <w:kern w:val="0"/>
                <w:szCs w:val="21"/>
                <w:u w:val="single"/>
              </w:rPr>
              <w:t>堆放至尾矿库内</w:t>
            </w:r>
          </w:p>
        </w:tc>
        <w:tc>
          <w:tcPr>
            <w:tcW w:w="1700" w:type="dxa"/>
            <w:vAlign w:val="center"/>
          </w:tcPr>
          <w:p>
            <w:pPr>
              <w:jc w:val="center"/>
              <w:rPr>
                <w:rFonts w:ascii="Times New Roman" w:hAnsi="Times New Roman"/>
                <w:spacing w:val="6"/>
                <w:kern w:val="0"/>
                <w:szCs w:val="21"/>
                <w:u w:val="single"/>
              </w:rPr>
            </w:pPr>
            <w:r>
              <w:rPr>
                <w:rFonts w:hint="eastAsia" w:ascii="Times New Roman" w:hAnsi="Times New Roman"/>
                <w:spacing w:val="6"/>
                <w:kern w:val="0"/>
                <w:szCs w:val="21"/>
                <w:u w:val="singl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515" w:type="dxa"/>
            <w:vMerge w:val="continue"/>
            <w:vAlign w:val="center"/>
          </w:tcPr>
          <w:p>
            <w:pPr>
              <w:jc w:val="center"/>
              <w:rPr>
                <w:rFonts w:ascii="Times New Roman" w:hAnsi="Times New Roman"/>
                <w:szCs w:val="21"/>
                <w:u w:val="single"/>
              </w:rPr>
            </w:pPr>
          </w:p>
        </w:tc>
        <w:tc>
          <w:tcPr>
            <w:tcW w:w="725" w:type="dxa"/>
            <w:gridSpan w:val="2"/>
            <w:vMerge w:val="continue"/>
            <w:vAlign w:val="center"/>
          </w:tcPr>
          <w:p>
            <w:pPr>
              <w:jc w:val="center"/>
              <w:textAlignment w:val="baseline"/>
              <w:rPr>
                <w:rFonts w:ascii="Times New Roman" w:hAnsi="Times New Roman"/>
                <w:szCs w:val="21"/>
                <w:u w:val="single"/>
              </w:rPr>
            </w:pPr>
          </w:p>
        </w:tc>
        <w:tc>
          <w:tcPr>
            <w:tcW w:w="1260" w:type="dxa"/>
            <w:gridSpan w:val="2"/>
            <w:vAlign w:val="center"/>
          </w:tcPr>
          <w:p>
            <w:pPr>
              <w:adjustRightInd w:val="0"/>
              <w:snapToGrid w:val="0"/>
              <w:jc w:val="center"/>
              <w:textAlignment w:val="baseline"/>
              <w:rPr>
                <w:rFonts w:ascii="Times New Roman" w:hAnsi="Times New Roman"/>
                <w:szCs w:val="21"/>
                <w:u w:val="single"/>
              </w:rPr>
            </w:pPr>
            <w:r>
              <w:rPr>
                <w:rFonts w:hint="eastAsia" w:ascii="Times New Roman" w:hAnsi="Times New Roman"/>
                <w:color w:val="000000"/>
                <w:spacing w:val="6"/>
                <w:kern w:val="0"/>
                <w:szCs w:val="21"/>
                <w:u w:val="single"/>
              </w:rPr>
              <w:t>尾矿库沉淀池污泥</w:t>
            </w:r>
          </w:p>
        </w:tc>
        <w:tc>
          <w:tcPr>
            <w:tcW w:w="4332" w:type="dxa"/>
            <w:vAlign w:val="center"/>
          </w:tcPr>
          <w:p>
            <w:pPr>
              <w:adjustRightInd w:val="0"/>
              <w:snapToGrid w:val="0"/>
              <w:jc w:val="center"/>
              <w:rPr>
                <w:rFonts w:ascii="Times New Roman" w:hAnsi="Times New Roman"/>
                <w:spacing w:val="6"/>
                <w:kern w:val="0"/>
                <w:szCs w:val="21"/>
                <w:u w:val="single"/>
              </w:rPr>
            </w:pPr>
            <w:r>
              <w:rPr>
                <w:rFonts w:hint="eastAsia" w:ascii="Times New Roman" w:hAnsi="Times New Roman"/>
                <w:color w:val="000000"/>
                <w:spacing w:val="6"/>
                <w:kern w:val="0"/>
                <w:szCs w:val="21"/>
                <w:u w:val="single"/>
              </w:rPr>
              <w:t>堆放至尾矿库内</w:t>
            </w:r>
          </w:p>
        </w:tc>
        <w:tc>
          <w:tcPr>
            <w:tcW w:w="1700"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515" w:type="dxa"/>
            <w:vMerge w:val="continue"/>
            <w:vAlign w:val="center"/>
          </w:tcPr>
          <w:p>
            <w:pPr>
              <w:jc w:val="center"/>
              <w:rPr>
                <w:rFonts w:ascii="Times New Roman" w:hAnsi="Times New Roman"/>
                <w:szCs w:val="21"/>
                <w:u w:val="single"/>
              </w:rPr>
            </w:pPr>
          </w:p>
        </w:tc>
        <w:tc>
          <w:tcPr>
            <w:tcW w:w="725" w:type="dxa"/>
            <w:gridSpan w:val="2"/>
            <w:vMerge w:val="continue"/>
            <w:vAlign w:val="center"/>
          </w:tcPr>
          <w:p>
            <w:pPr>
              <w:jc w:val="center"/>
              <w:textAlignment w:val="baseline"/>
              <w:rPr>
                <w:rFonts w:ascii="Times New Roman" w:hAnsi="Times New Roman"/>
                <w:szCs w:val="21"/>
                <w:u w:val="single"/>
              </w:rPr>
            </w:pPr>
          </w:p>
        </w:tc>
        <w:tc>
          <w:tcPr>
            <w:tcW w:w="1260" w:type="dxa"/>
            <w:gridSpan w:val="2"/>
            <w:vAlign w:val="center"/>
          </w:tcPr>
          <w:p>
            <w:pPr>
              <w:adjustRightInd w:val="0"/>
              <w:snapToGrid w:val="0"/>
              <w:jc w:val="center"/>
              <w:textAlignment w:val="baseline"/>
              <w:rPr>
                <w:rFonts w:ascii="Times New Roman" w:hAnsi="Times New Roman"/>
                <w:szCs w:val="21"/>
                <w:u w:val="single"/>
              </w:rPr>
            </w:pPr>
            <w:r>
              <w:rPr>
                <w:rFonts w:hint="eastAsia" w:ascii="Times New Roman" w:hAnsi="Times New Roman"/>
                <w:color w:val="000000"/>
                <w:spacing w:val="6"/>
                <w:kern w:val="0"/>
                <w:szCs w:val="21"/>
                <w:u w:val="single"/>
              </w:rPr>
              <w:t>废机油</w:t>
            </w:r>
          </w:p>
        </w:tc>
        <w:tc>
          <w:tcPr>
            <w:tcW w:w="4332" w:type="dxa"/>
            <w:vAlign w:val="center"/>
          </w:tcPr>
          <w:p>
            <w:pPr>
              <w:adjustRightInd w:val="0"/>
              <w:snapToGrid w:val="0"/>
              <w:jc w:val="center"/>
              <w:rPr>
                <w:rFonts w:ascii="Times New Roman" w:hAnsi="Times New Roman"/>
                <w:color w:val="000000"/>
                <w:szCs w:val="21"/>
                <w:u w:val="single"/>
              </w:rPr>
            </w:pPr>
            <w:r>
              <w:rPr>
                <w:rFonts w:hint="eastAsia" w:ascii="Times New Roman" w:hAnsi="Times New Roman"/>
                <w:color w:val="000000"/>
                <w:spacing w:val="6"/>
                <w:kern w:val="0"/>
                <w:szCs w:val="21"/>
                <w:u w:val="single"/>
              </w:rPr>
              <w:t>统一交由有资质部门集中处理处置。</w:t>
            </w:r>
          </w:p>
        </w:tc>
        <w:tc>
          <w:tcPr>
            <w:tcW w:w="1700"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515" w:type="dxa"/>
            <w:vAlign w:val="center"/>
          </w:tcPr>
          <w:p>
            <w:pPr>
              <w:jc w:val="center"/>
              <w:rPr>
                <w:rFonts w:ascii="Times New Roman" w:hAnsi="Times New Roman"/>
                <w:szCs w:val="21"/>
                <w:u w:val="single"/>
              </w:rPr>
            </w:pPr>
            <w:r>
              <w:rPr>
                <w:rFonts w:hint="eastAsia" w:ascii="Times New Roman" w:hAnsi="Times New Roman"/>
                <w:szCs w:val="21"/>
                <w:u w:val="single"/>
              </w:rPr>
              <w:t>5</w:t>
            </w:r>
          </w:p>
        </w:tc>
        <w:tc>
          <w:tcPr>
            <w:tcW w:w="1985" w:type="dxa"/>
            <w:gridSpan w:val="4"/>
            <w:vAlign w:val="center"/>
          </w:tcPr>
          <w:p>
            <w:pPr>
              <w:jc w:val="center"/>
              <w:textAlignment w:val="baseline"/>
              <w:rPr>
                <w:rFonts w:ascii="Times New Roman" w:hAnsi="Times New Roman"/>
                <w:szCs w:val="21"/>
                <w:u w:val="single"/>
              </w:rPr>
            </w:pPr>
            <w:r>
              <w:rPr>
                <w:rFonts w:hint="eastAsia" w:ascii="Times New Roman" w:hAnsi="Times New Roman"/>
                <w:szCs w:val="21"/>
                <w:u w:val="single"/>
              </w:rPr>
              <w:t>地下水</w:t>
            </w:r>
          </w:p>
        </w:tc>
        <w:tc>
          <w:tcPr>
            <w:tcW w:w="4332"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沉淀池等均做做防渗措施</w:t>
            </w:r>
          </w:p>
        </w:tc>
        <w:tc>
          <w:tcPr>
            <w:tcW w:w="1700"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Merge w:val="restart"/>
            <w:vAlign w:val="center"/>
          </w:tcPr>
          <w:p>
            <w:pPr>
              <w:jc w:val="center"/>
              <w:rPr>
                <w:rFonts w:ascii="Times New Roman" w:hAnsi="Times New Roman"/>
                <w:szCs w:val="21"/>
                <w:u w:val="single"/>
              </w:rPr>
            </w:pPr>
            <w:r>
              <w:rPr>
                <w:rFonts w:hint="eastAsia"/>
                <w:u w:val="single"/>
              </w:rPr>
              <w:t>6</w:t>
            </w:r>
          </w:p>
        </w:tc>
        <w:tc>
          <w:tcPr>
            <w:tcW w:w="1985" w:type="dxa"/>
            <w:gridSpan w:val="4"/>
            <w:vAlign w:val="center"/>
          </w:tcPr>
          <w:p>
            <w:pPr>
              <w:jc w:val="center"/>
              <w:rPr>
                <w:rFonts w:ascii="Times New Roman" w:hAnsi="Times New Roman"/>
                <w:szCs w:val="21"/>
                <w:u w:val="single"/>
              </w:rPr>
            </w:pPr>
            <w:r>
              <w:rPr>
                <w:rFonts w:ascii="Times New Roman" w:hAnsi="Times New Roman"/>
                <w:szCs w:val="21"/>
                <w:u w:val="single"/>
              </w:rPr>
              <w:t>生态环境保护</w:t>
            </w:r>
          </w:p>
        </w:tc>
        <w:tc>
          <w:tcPr>
            <w:tcW w:w="4332" w:type="dxa"/>
            <w:vAlign w:val="center"/>
          </w:tcPr>
          <w:p>
            <w:pPr>
              <w:jc w:val="center"/>
              <w:rPr>
                <w:rFonts w:ascii="Times New Roman" w:hAnsi="Times New Roman"/>
                <w:szCs w:val="21"/>
                <w:u w:val="single"/>
              </w:rPr>
            </w:pPr>
          </w:p>
        </w:tc>
        <w:tc>
          <w:tcPr>
            <w:tcW w:w="1700" w:type="dxa"/>
            <w:vAlign w:val="center"/>
          </w:tcPr>
          <w:p>
            <w:pPr>
              <w:jc w:val="center"/>
              <w:rPr>
                <w:rFonts w:ascii="Times New Roman" w:hAnsi="Times New Roman"/>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Merge w:val="continue"/>
            <w:vAlign w:val="center"/>
          </w:tcPr>
          <w:p>
            <w:pPr>
              <w:jc w:val="center"/>
              <w:rPr>
                <w:rFonts w:ascii="Times New Roman" w:hAnsi="Times New Roman"/>
                <w:szCs w:val="21"/>
                <w:u w:val="single"/>
              </w:rPr>
            </w:pPr>
          </w:p>
        </w:tc>
        <w:tc>
          <w:tcPr>
            <w:tcW w:w="706" w:type="dxa"/>
            <w:vMerge w:val="restart"/>
            <w:vAlign w:val="center"/>
          </w:tcPr>
          <w:p>
            <w:pPr>
              <w:jc w:val="center"/>
              <w:rPr>
                <w:rFonts w:ascii="Times New Roman" w:hAnsi="Times New Roman"/>
                <w:szCs w:val="21"/>
                <w:u w:val="single"/>
              </w:rPr>
            </w:pPr>
            <w:r>
              <w:rPr>
                <w:rFonts w:hint="eastAsia" w:ascii="Times New Roman" w:hAnsi="Times New Roman"/>
                <w:szCs w:val="21"/>
                <w:u w:val="single"/>
              </w:rPr>
              <w:t>施工期</w:t>
            </w:r>
          </w:p>
        </w:tc>
        <w:tc>
          <w:tcPr>
            <w:tcW w:w="1279" w:type="dxa"/>
            <w:gridSpan w:val="3"/>
            <w:vAlign w:val="center"/>
          </w:tcPr>
          <w:p>
            <w:pPr>
              <w:jc w:val="center"/>
              <w:rPr>
                <w:rFonts w:ascii="Times New Roman" w:hAnsi="Times New Roman"/>
                <w:szCs w:val="21"/>
                <w:u w:val="single"/>
              </w:rPr>
            </w:pPr>
            <w:r>
              <w:rPr>
                <w:rFonts w:hint="eastAsia" w:ascii="Times New Roman" w:hAnsi="Times New Roman"/>
                <w:szCs w:val="21"/>
                <w:u w:val="single"/>
              </w:rPr>
              <w:t>植物保护</w:t>
            </w:r>
          </w:p>
        </w:tc>
        <w:tc>
          <w:tcPr>
            <w:tcW w:w="4332" w:type="dxa"/>
            <w:vAlign w:val="center"/>
          </w:tcPr>
          <w:p>
            <w:pPr>
              <w:adjustRightInd w:val="0"/>
              <w:snapToGrid w:val="0"/>
              <w:jc w:val="center"/>
              <w:rPr>
                <w:rFonts w:ascii="Times New Roman" w:hAnsi="Times New Roman"/>
                <w:szCs w:val="21"/>
                <w:u w:val="single"/>
              </w:rPr>
            </w:pPr>
            <w:r>
              <w:rPr>
                <w:rFonts w:hint="eastAsia" w:ascii="Times New Roman" w:hAnsi="Times New Roman"/>
                <w:szCs w:val="21"/>
                <w:u w:val="single"/>
              </w:rPr>
              <w:t>施工场地设置在选矿厂用地范围内，利用现有道路，施工动土作业应安排在晴朗无风天气下，尽量避免大风天，适当地采取洒水降尘措施。</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Merge w:val="continue"/>
            <w:vAlign w:val="center"/>
          </w:tcPr>
          <w:p>
            <w:pPr>
              <w:jc w:val="center"/>
              <w:rPr>
                <w:rFonts w:ascii="Times New Roman" w:hAnsi="Times New Roman"/>
                <w:szCs w:val="21"/>
                <w:u w:val="single"/>
              </w:rPr>
            </w:pPr>
          </w:p>
        </w:tc>
        <w:tc>
          <w:tcPr>
            <w:tcW w:w="706" w:type="dxa"/>
            <w:vMerge w:val="continue"/>
            <w:vAlign w:val="center"/>
          </w:tcPr>
          <w:p>
            <w:pPr>
              <w:jc w:val="center"/>
              <w:rPr>
                <w:rFonts w:ascii="Times New Roman" w:hAnsi="Times New Roman"/>
                <w:szCs w:val="21"/>
                <w:u w:val="single"/>
              </w:rPr>
            </w:pPr>
          </w:p>
        </w:tc>
        <w:tc>
          <w:tcPr>
            <w:tcW w:w="1279" w:type="dxa"/>
            <w:gridSpan w:val="3"/>
            <w:vAlign w:val="center"/>
          </w:tcPr>
          <w:p>
            <w:pPr>
              <w:jc w:val="center"/>
              <w:rPr>
                <w:rFonts w:ascii="Times New Roman" w:hAnsi="Times New Roman"/>
                <w:szCs w:val="21"/>
                <w:u w:val="single"/>
              </w:rPr>
            </w:pPr>
            <w:r>
              <w:rPr>
                <w:rFonts w:hint="eastAsia" w:ascii="Times New Roman" w:hAnsi="Times New Roman"/>
                <w:szCs w:val="21"/>
                <w:u w:val="single"/>
              </w:rPr>
              <w:t>动物保护</w:t>
            </w:r>
          </w:p>
        </w:tc>
        <w:tc>
          <w:tcPr>
            <w:tcW w:w="4332" w:type="dxa"/>
            <w:vAlign w:val="center"/>
          </w:tcPr>
          <w:p>
            <w:pPr>
              <w:jc w:val="center"/>
              <w:rPr>
                <w:rFonts w:ascii="Times New Roman" w:hAnsi="Times New Roman"/>
                <w:szCs w:val="21"/>
                <w:u w:val="single"/>
              </w:rPr>
            </w:pPr>
            <w:r>
              <w:rPr>
                <w:rFonts w:ascii="Times New Roman" w:hAnsi="Times New Roman"/>
                <w:szCs w:val="21"/>
                <w:u w:val="single"/>
              </w:rPr>
              <w:t>提高施工及工作人员的保护意识，在场地设置警示牌，以提醒施工人员加强野生动物保护意识，不人为伤害野生动物。</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Merge w:val="continue"/>
            <w:vAlign w:val="center"/>
          </w:tcPr>
          <w:p>
            <w:pPr>
              <w:pStyle w:val="2"/>
              <w:jc w:val="center"/>
              <w:rPr>
                <w:szCs w:val="21"/>
                <w:u w:val="single"/>
              </w:rPr>
            </w:pPr>
          </w:p>
        </w:tc>
        <w:tc>
          <w:tcPr>
            <w:tcW w:w="706" w:type="dxa"/>
            <w:vMerge w:val="continue"/>
            <w:vAlign w:val="center"/>
          </w:tcPr>
          <w:p>
            <w:pPr>
              <w:jc w:val="center"/>
              <w:rPr>
                <w:rFonts w:ascii="Times New Roman" w:hAnsi="Times New Roman"/>
                <w:szCs w:val="21"/>
                <w:u w:val="single"/>
              </w:rPr>
            </w:pPr>
          </w:p>
        </w:tc>
        <w:tc>
          <w:tcPr>
            <w:tcW w:w="1279" w:type="dxa"/>
            <w:gridSpan w:val="3"/>
            <w:vAlign w:val="center"/>
          </w:tcPr>
          <w:p>
            <w:pPr>
              <w:jc w:val="center"/>
              <w:rPr>
                <w:rFonts w:ascii="Times New Roman" w:hAnsi="Times New Roman"/>
                <w:szCs w:val="21"/>
                <w:u w:val="single"/>
              </w:rPr>
            </w:pPr>
            <w:r>
              <w:rPr>
                <w:rFonts w:hint="eastAsia" w:ascii="Times New Roman" w:hAnsi="Times New Roman"/>
                <w:szCs w:val="21"/>
                <w:u w:val="single"/>
              </w:rPr>
              <w:t>水土流失防治</w:t>
            </w:r>
          </w:p>
        </w:tc>
        <w:tc>
          <w:tcPr>
            <w:tcW w:w="4332" w:type="dxa"/>
            <w:vAlign w:val="center"/>
          </w:tcPr>
          <w:p>
            <w:pPr>
              <w:adjustRightInd w:val="0"/>
              <w:snapToGrid w:val="0"/>
              <w:jc w:val="center"/>
              <w:rPr>
                <w:rFonts w:ascii="Times New Roman" w:hAnsi="Times New Roman"/>
                <w:szCs w:val="21"/>
                <w:u w:val="single"/>
              </w:rPr>
            </w:pPr>
            <w:r>
              <w:rPr>
                <w:rFonts w:ascii="Times New Roman" w:hAnsi="Times New Roman"/>
                <w:color w:val="000000"/>
                <w:szCs w:val="21"/>
                <w:u w:val="single"/>
              </w:rPr>
              <w:t>合理安排施工季节和作业时间，优化施工方案，尽量避免雨季进行大量开挖工程，减小水土流失。</w:t>
            </w:r>
            <w:r>
              <w:rPr>
                <w:rFonts w:hint="eastAsia" w:ascii="新宋体" w:hAnsi="新宋体" w:eastAsia="新宋体"/>
                <w:color w:val="000000"/>
                <w:szCs w:val="21"/>
                <w:u w:val="single"/>
              </w:rPr>
              <w:t>场地平整后尽快夯实、硬化，大风天气适量洒水等。</w:t>
            </w:r>
            <w:r>
              <w:rPr>
                <w:rFonts w:ascii="Times New Roman" w:hAnsi="Times New Roman" w:eastAsia="新宋体"/>
                <w:color w:val="000000"/>
                <w:spacing w:val="-2"/>
                <w:szCs w:val="21"/>
                <w:u w:val="single"/>
              </w:rPr>
              <w:t>施工前应在施工场</w:t>
            </w:r>
            <w:r>
              <w:rPr>
                <w:rFonts w:ascii="Times New Roman" w:hAnsi="Times New Roman" w:eastAsia="新宋体"/>
                <w:color w:val="000000"/>
                <w:szCs w:val="21"/>
                <w:u w:val="single"/>
              </w:rPr>
              <w:t>地内布设临时简易排水沟，以便于施工期能及时导出地面径流</w:t>
            </w:r>
            <w:r>
              <w:rPr>
                <w:rFonts w:hint="eastAsia" w:ascii="Times New Roman" w:hAnsi="Times New Roman" w:eastAsia="新宋体"/>
                <w:color w:val="000000"/>
                <w:szCs w:val="21"/>
                <w:u w:val="single"/>
              </w:rPr>
              <w:t>。</w:t>
            </w:r>
          </w:p>
        </w:tc>
        <w:tc>
          <w:tcPr>
            <w:tcW w:w="1700"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Merge w:val="continue"/>
            <w:vAlign w:val="center"/>
          </w:tcPr>
          <w:p>
            <w:pPr>
              <w:pStyle w:val="2"/>
              <w:jc w:val="center"/>
              <w:rPr>
                <w:szCs w:val="21"/>
                <w:u w:val="single"/>
              </w:rPr>
            </w:pPr>
          </w:p>
        </w:tc>
        <w:tc>
          <w:tcPr>
            <w:tcW w:w="706" w:type="dxa"/>
            <w:vMerge w:val="restart"/>
            <w:vAlign w:val="center"/>
          </w:tcPr>
          <w:p>
            <w:pPr>
              <w:jc w:val="center"/>
              <w:rPr>
                <w:rFonts w:ascii="Times New Roman" w:hAnsi="Times New Roman"/>
                <w:szCs w:val="21"/>
                <w:u w:val="single"/>
              </w:rPr>
            </w:pPr>
            <w:r>
              <w:rPr>
                <w:rFonts w:hint="eastAsia" w:ascii="Times New Roman" w:hAnsi="Times New Roman"/>
                <w:szCs w:val="21"/>
                <w:u w:val="single"/>
              </w:rPr>
              <w:t>运营期</w:t>
            </w:r>
          </w:p>
        </w:tc>
        <w:tc>
          <w:tcPr>
            <w:tcW w:w="1279" w:type="dxa"/>
            <w:gridSpan w:val="3"/>
            <w:vAlign w:val="center"/>
          </w:tcPr>
          <w:p>
            <w:pPr>
              <w:jc w:val="center"/>
              <w:rPr>
                <w:rFonts w:ascii="Times New Roman" w:hAnsi="Times New Roman"/>
                <w:szCs w:val="21"/>
                <w:u w:val="single"/>
              </w:rPr>
            </w:pPr>
            <w:r>
              <w:rPr>
                <w:rFonts w:hint="eastAsia" w:ascii="Times New Roman" w:hAnsi="Times New Roman"/>
                <w:szCs w:val="21"/>
                <w:u w:val="single"/>
              </w:rPr>
              <w:t>植被保护</w:t>
            </w:r>
          </w:p>
        </w:tc>
        <w:tc>
          <w:tcPr>
            <w:tcW w:w="4332" w:type="dxa"/>
            <w:vAlign w:val="center"/>
          </w:tcPr>
          <w:p>
            <w:pPr>
              <w:adjustRightInd w:val="0"/>
              <w:snapToGrid w:val="0"/>
              <w:jc w:val="center"/>
              <w:rPr>
                <w:rFonts w:ascii="Times New Roman" w:hAnsi="Times New Roman"/>
                <w:szCs w:val="21"/>
                <w:u w:val="single"/>
              </w:rPr>
            </w:pPr>
            <w:r>
              <w:rPr>
                <w:rFonts w:hint="eastAsia"/>
                <w:color w:val="000000"/>
                <w:szCs w:val="21"/>
                <w:u w:val="single"/>
              </w:rPr>
              <w:t>对于尾矿库适当地采取洒水降尘，覆盖苫布，及时外运出售。</w:t>
            </w:r>
          </w:p>
        </w:tc>
        <w:tc>
          <w:tcPr>
            <w:tcW w:w="1700" w:type="dxa"/>
            <w:vAlign w:val="center"/>
          </w:tcPr>
          <w:p>
            <w:pPr>
              <w:jc w:val="center"/>
              <w:rPr>
                <w:color w:val="000000"/>
                <w:szCs w:val="21"/>
                <w:u w:val="single"/>
              </w:rPr>
            </w:pPr>
            <w:r>
              <w:rPr>
                <w:rFonts w:hint="eastAsia"/>
                <w:color w:val="000000"/>
                <w:szCs w:val="21"/>
                <w:u w:val="singl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Merge w:val="continue"/>
            <w:vAlign w:val="center"/>
          </w:tcPr>
          <w:p>
            <w:pPr>
              <w:pStyle w:val="2"/>
              <w:jc w:val="center"/>
              <w:rPr>
                <w:szCs w:val="21"/>
                <w:u w:val="single"/>
              </w:rPr>
            </w:pPr>
          </w:p>
        </w:tc>
        <w:tc>
          <w:tcPr>
            <w:tcW w:w="706" w:type="dxa"/>
            <w:vMerge w:val="continue"/>
            <w:vAlign w:val="center"/>
          </w:tcPr>
          <w:p>
            <w:pPr>
              <w:jc w:val="center"/>
              <w:rPr>
                <w:rFonts w:ascii="Times New Roman" w:hAnsi="Times New Roman"/>
                <w:szCs w:val="21"/>
                <w:u w:val="single"/>
              </w:rPr>
            </w:pPr>
          </w:p>
        </w:tc>
        <w:tc>
          <w:tcPr>
            <w:tcW w:w="1279" w:type="dxa"/>
            <w:gridSpan w:val="3"/>
            <w:vAlign w:val="center"/>
          </w:tcPr>
          <w:p>
            <w:pPr>
              <w:jc w:val="center"/>
              <w:rPr>
                <w:rFonts w:ascii="Times New Roman" w:hAnsi="Times New Roman"/>
                <w:szCs w:val="21"/>
                <w:u w:val="single"/>
              </w:rPr>
            </w:pPr>
            <w:r>
              <w:rPr>
                <w:rFonts w:hint="eastAsia" w:ascii="Times New Roman" w:hAnsi="Times New Roman"/>
                <w:szCs w:val="21"/>
                <w:u w:val="single"/>
              </w:rPr>
              <w:t>动物保护</w:t>
            </w:r>
          </w:p>
        </w:tc>
        <w:tc>
          <w:tcPr>
            <w:tcW w:w="4332" w:type="dxa"/>
            <w:vAlign w:val="center"/>
          </w:tcPr>
          <w:p>
            <w:pPr>
              <w:ind w:firstLine="420" w:firstLineChars="200"/>
              <w:jc w:val="center"/>
              <w:rPr>
                <w:rFonts w:ascii="Times New Roman" w:hAnsi="Times New Roman"/>
                <w:szCs w:val="21"/>
                <w:u w:val="single"/>
              </w:rPr>
            </w:pPr>
            <w:r>
              <w:rPr>
                <w:rFonts w:ascii="Times New Roman" w:hAnsi="Times New Roman"/>
                <w:bCs/>
                <w:szCs w:val="21"/>
                <w:u w:val="single"/>
              </w:rPr>
              <w:t>企业在项目建设过程中严格控制用地，生产过程中，尽量将高噪声设备放置在单独的隔声间内，避免和减少机械设备噪声对野生动物的影响。企业对道路进行定期洒水降尘或加设围挡，降低扬尘产生量，减少本项目运营过程中对野生动物及其生境的影响。</w:t>
            </w:r>
          </w:p>
        </w:tc>
        <w:tc>
          <w:tcPr>
            <w:tcW w:w="1700" w:type="dxa"/>
            <w:vAlign w:val="center"/>
          </w:tcPr>
          <w:p>
            <w:pPr>
              <w:jc w:val="center"/>
              <w:rPr>
                <w:rFonts w:ascii="Times New Roman" w:hAnsi="Times New Roman"/>
                <w:bCs/>
                <w:szCs w:val="21"/>
                <w:u w:val="single"/>
              </w:rPr>
            </w:pPr>
            <w:r>
              <w:rPr>
                <w:rFonts w:hint="eastAsia" w:ascii="Times New Roman" w:hAnsi="Times New Roman"/>
                <w:bCs/>
                <w:szCs w:val="21"/>
                <w:u w:val="single"/>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Merge w:val="continue"/>
            <w:vAlign w:val="center"/>
          </w:tcPr>
          <w:p>
            <w:pPr>
              <w:pStyle w:val="2"/>
              <w:jc w:val="center"/>
              <w:rPr>
                <w:szCs w:val="21"/>
                <w:u w:val="single"/>
              </w:rPr>
            </w:pPr>
          </w:p>
        </w:tc>
        <w:tc>
          <w:tcPr>
            <w:tcW w:w="706" w:type="dxa"/>
            <w:vAlign w:val="center"/>
          </w:tcPr>
          <w:p>
            <w:pPr>
              <w:jc w:val="center"/>
              <w:rPr>
                <w:rFonts w:ascii="Times New Roman" w:hAnsi="Times New Roman"/>
                <w:szCs w:val="21"/>
                <w:u w:val="single"/>
              </w:rPr>
            </w:pPr>
            <w:r>
              <w:rPr>
                <w:rFonts w:hint="eastAsia" w:ascii="Times New Roman" w:hAnsi="Times New Roman"/>
                <w:szCs w:val="21"/>
                <w:u w:val="single"/>
              </w:rPr>
              <w:t>闭矿期</w:t>
            </w:r>
          </w:p>
        </w:tc>
        <w:tc>
          <w:tcPr>
            <w:tcW w:w="1279" w:type="dxa"/>
            <w:gridSpan w:val="3"/>
            <w:vAlign w:val="center"/>
          </w:tcPr>
          <w:p>
            <w:pPr>
              <w:jc w:val="center"/>
              <w:rPr>
                <w:rFonts w:ascii="Times New Roman" w:hAnsi="Times New Roman"/>
                <w:szCs w:val="21"/>
                <w:u w:val="single"/>
              </w:rPr>
            </w:pPr>
            <w:r>
              <w:rPr>
                <w:rFonts w:hint="eastAsia" w:ascii="Times New Roman" w:hAnsi="Times New Roman"/>
                <w:szCs w:val="21"/>
                <w:u w:val="single"/>
              </w:rPr>
              <w:t>植被</w:t>
            </w:r>
          </w:p>
        </w:tc>
        <w:tc>
          <w:tcPr>
            <w:tcW w:w="4332" w:type="dxa"/>
            <w:vAlign w:val="center"/>
          </w:tcPr>
          <w:p>
            <w:pPr>
              <w:jc w:val="center"/>
              <w:rPr>
                <w:rFonts w:ascii="Times New Roman" w:hAnsi="Times New Roman"/>
                <w:szCs w:val="21"/>
                <w:u w:val="single"/>
              </w:rPr>
            </w:pPr>
            <w:r>
              <w:rPr>
                <w:rFonts w:hint="eastAsia" w:ascii="Times New Roman" w:hAnsi="Times New Roman"/>
                <w:szCs w:val="21"/>
                <w:u w:val="single"/>
              </w:rPr>
              <w:t>本次尾矿库全面植被恢复措施</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Align w:val="center"/>
          </w:tcPr>
          <w:p>
            <w:pPr>
              <w:pStyle w:val="2"/>
              <w:jc w:val="center"/>
              <w:rPr>
                <w:szCs w:val="21"/>
                <w:u w:val="single"/>
              </w:rPr>
            </w:pPr>
            <w:r>
              <w:rPr>
                <w:rFonts w:hint="eastAsia"/>
                <w:szCs w:val="21"/>
                <w:u w:val="single"/>
              </w:rPr>
              <w:t>7</w:t>
            </w:r>
          </w:p>
        </w:tc>
        <w:tc>
          <w:tcPr>
            <w:tcW w:w="1985" w:type="dxa"/>
            <w:gridSpan w:val="4"/>
            <w:vAlign w:val="center"/>
          </w:tcPr>
          <w:p>
            <w:pPr>
              <w:jc w:val="center"/>
              <w:rPr>
                <w:rFonts w:ascii="Times New Roman" w:hAnsi="Times New Roman"/>
                <w:szCs w:val="21"/>
                <w:u w:val="single"/>
              </w:rPr>
            </w:pPr>
            <w:r>
              <w:rPr>
                <w:rFonts w:hint="eastAsia" w:ascii="Times New Roman" w:hAnsi="Times New Roman"/>
                <w:szCs w:val="21"/>
                <w:u w:val="single"/>
              </w:rPr>
              <w:t>环境监理及环境监测</w:t>
            </w:r>
          </w:p>
        </w:tc>
        <w:tc>
          <w:tcPr>
            <w:tcW w:w="4332" w:type="dxa"/>
            <w:vAlign w:val="center"/>
          </w:tcPr>
          <w:p>
            <w:pPr>
              <w:jc w:val="center"/>
              <w:rPr>
                <w:rFonts w:ascii="Times New Roman" w:hAnsi="Times New Roman"/>
                <w:szCs w:val="21"/>
                <w:u w:val="single"/>
              </w:rPr>
            </w:pPr>
            <w:r>
              <w:rPr>
                <w:rFonts w:hint="eastAsia" w:ascii="Times New Roman" w:hAnsi="Times New Roman"/>
                <w:szCs w:val="21"/>
                <w:u w:val="single"/>
              </w:rPr>
              <w:t>定期对本项目所在区域的大气、地下水进行监测。</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15" w:type="dxa"/>
            <w:vAlign w:val="center"/>
          </w:tcPr>
          <w:p>
            <w:pPr>
              <w:pStyle w:val="2"/>
              <w:jc w:val="center"/>
              <w:rPr>
                <w:szCs w:val="21"/>
                <w:u w:val="single"/>
              </w:rPr>
            </w:pPr>
            <w:r>
              <w:rPr>
                <w:rFonts w:hint="eastAsia"/>
                <w:szCs w:val="21"/>
                <w:u w:val="single"/>
              </w:rPr>
              <w:t>8</w:t>
            </w:r>
          </w:p>
        </w:tc>
        <w:tc>
          <w:tcPr>
            <w:tcW w:w="1985" w:type="dxa"/>
            <w:gridSpan w:val="4"/>
            <w:vAlign w:val="center"/>
          </w:tcPr>
          <w:p>
            <w:pPr>
              <w:jc w:val="center"/>
              <w:rPr>
                <w:rFonts w:ascii="Times New Roman" w:hAnsi="Times New Roman"/>
                <w:szCs w:val="21"/>
                <w:u w:val="single"/>
              </w:rPr>
            </w:pPr>
            <w:r>
              <w:rPr>
                <w:rFonts w:hint="eastAsia" w:ascii="Times New Roman" w:hAnsi="Times New Roman"/>
                <w:szCs w:val="21"/>
                <w:u w:val="single"/>
              </w:rPr>
              <w:t>排洪措施论证</w:t>
            </w:r>
          </w:p>
        </w:tc>
        <w:tc>
          <w:tcPr>
            <w:tcW w:w="4332" w:type="dxa"/>
            <w:vAlign w:val="center"/>
          </w:tcPr>
          <w:p>
            <w:pPr>
              <w:jc w:val="center"/>
              <w:rPr>
                <w:rFonts w:ascii="Times New Roman" w:hAnsi="Times New Roman"/>
                <w:szCs w:val="21"/>
                <w:u w:val="single"/>
              </w:rPr>
            </w:pPr>
            <w:r>
              <w:rPr>
                <w:rFonts w:hint="eastAsia" w:ascii="Times New Roman" w:hAnsi="Times New Roman"/>
                <w:szCs w:val="21"/>
                <w:u w:val="single"/>
              </w:rPr>
              <w:t>邀请相关水利部门就项目排洪等进行论证分析</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832" w:type="dxa"/>
            <w:gridSpan w:val="6"/>
            <w:vAlign w:val="center"/>
          </w:tcPr>
          <w:p>
            <w:pPr>
              <w:jc w:val="center"/>
              <w:rPr>
                <w:rFonts w:ascii="Times New Roman" w:hAnsi="Times New Roman"/>
                <w:szCs w:val="21"/>
                <w:u w:val="single"/>
              </w:rPr>
            </w:pPr>
            <w:r>
              <w:rPr>
                <w:rFonts w:hint="eastAsia" w:ascii="Times New Roman" w:hAnsi="Times New Roman"/>
                <w:szCs w:val="21"/>
                <w:u w:val="single"/>
              </w:rPr>
              <w:t>合计</w:t>
            </w:r>
          </w:p>
        </w:tc>
        <w:tc>
          <w:tcPr>
            <w:tcW w:w="1700" w:type="dxa"/>
            <w:vAlign w:val="center"/>
          </w:tcPr>
          <w:p>
            <w:pPr>
              <w:jc w:val="center"/>
              <w:rPr>
                <w:rFonts w:ascii="Times New Roman" w:hAnsi="Times New Roman"/>
                <w:szCs w:val="21"/>
                <w:u w:val="single"/>
              </w:rPr>
            </w:pPr>
            <w:r>
              <w:rPr>
                <w:rFonts w:hint="eastAsia" w:ascii="Times New Roman" w:hAnsi="Times New Roman"/>
                <w:szCs w:val="21"/>
                <w:u w:val="single"/>
              </w:rPr>
              <w:t>91</w:t>
            </w:r>
          </w:p>
        </w:tc>
      </w:tr>
    </w:tbl>
    <w:p>
      <w:pPr>
        <w:snapToGrid w:val="0"/>
        <w:spacing w:line="360" w:lineRule="auto"/>
        <w:ind w:firstLine="420" w:firstLineChars="200"/>
        <w:rPr>
          <w:rFonts w:ascii="Times New Roman" w:hAnsi="Times New Roman"/>
        </w:rPr>
      </w:pPr>
    </w:p>
    <w:p>
      <w:pPr>
        <w:pStyle w:val="4"/>
        <w:rPr>
          <w:rFonts w:ascii="Times New Roman" w:hAnsi="Times New Roman"/>
        </w:rPr>
      </w:pPr>
      <w:bookmarkStart w:id="647" w:name="_Toc21332"/>
      <w:bookmarkStart w:id="648" w:name="_Toc12040"/>
      <w:bookmarkStart w:id="649" w:name="_Toc12114"/>
      <w:bookmarkStart w:id="650" w:name="_Toc486350036"/>
      <w:bookmarkStart w:id="651" w:name="_Toc484616332"/>
      <w:bookmarkStart w:id="652" w:name="_Toc26249"/>
      <w:r>
        <w:rPr>
          <w:rFonts w:ascii="Times New Roman" w:hAnsi="Times New Roman"/>
          <w:szCs w:val="24"/>
        </w:rPr>
        <w:t>9.</w:t>
      </w:r>
      <w:r>
        <w:rPr>
          <w:rFonts w:hint="eastAsia" w:ascii="Times New Roman" w:hAnsi="Times New Roman"/>
          <w:szCs w:val="24"/>
        </w:rPr>
        <w:t>5</w:t>
      </w:r>
      <w:r>
        <w:rPr>
          <w:rFonts w:ascii="Times New Roman" w:hAnsi="Times New Roman"/>
          <w:szCs w:val="24"/>
        </w:rPr>
        <w:t>经济效益</w:t>
      </w:r>
      <w:r>
        <w:rPr>
          <w:rFonts w:ascii="Times New Roman" w:hAnsi="Times New Roman"/>
        </w:rPr>
        <w:t>分析</w:t>
      </w:r>
      <w:bookmarkEnd w:id="647"/>
      <w:bookmarkEnd w:id="648"/>
      <w:bookmarkEnd w:id="649"/>
      <w:bookmarkEnd w:id="650"/>
      <w:bookmarkEnd w:id="651"/>
      <w:bookmarkEnd w:id="652"/>
    </w:p>
    <w:p>
      <w:pPr>
        <w:spacing w:line="360" w:lineRule="auto"/>
        <w:ind w:firstLine="480" w:firstLineChars="200"/>
        <w:rPr>
          <w:rFonts w:ascii="Times New Roman" w:hAnsi="Times New Roman"/>
          <w:sz w:val="24"/>
        </w:rPr>
      </w:pPr>
      <w:r>
        <w:rPr>
          <w:rFonts w:hint="eastAsia" w:ascii="Times New Roman" w:hAnsi="Times New Roman"/>
          <w:sz w:val="24"/>
        </w:rPr>
        <w:t>本项目</w:t>
      </w:r>
      <w:r>
        <w:rPr>
          <w:rFonts w:ascii="Times New Roman" w:hAnsi="Times New Roman"/>
          <w:sz w:val="24"/>
        </w:rPr>
        <w:t>生产项目实施过程中，必将给周边生态环境带来一定的影响和危害。环评提出的环保措施</w:t>
      </w:r>
      <w:r>
        <w:rPr>
          <w:rFonts w:hint="eastAsia" w:ascii="Times New Roman" w:hAnsi="Times New Roman"/>
          <w:sz w:val="24"/>
        </w:rPr>
        <w:t>，闭矿后</w:t>
      </w:r>
      <w:r>
        <w:rPr>
          <w:rFonts w:ascii="Times New Roman" w:hAnsi="Times New Roman"/>
          <w:sz w:val="24"/>
        </w:rPr>
        <w:t>矿山地质环境恢复治理与土地复垦措施后，可提高植被覆盖率，有效地防止水土流失，改善当地生态环境。因此，环境效益显著。</w:t>
      </w:r>
    </w:p>
    <w:p>
      <w:pPr>
        <w:spacing w:line="360" w:lineRule="auto"/>
        <w:ind w:firstLine="480" w:firstLineChars="200"/>
        <w:jc w:val="left"/>
        <w:rPr>
          <w:rFonts w:ascii="Times New Roman" w:hAnsi="Times New Roman"/>
          <w:sz w:val="24"/>
        </w:rPr>
      </w:pPr>
      <w:r>
        <w:rPr>
          <w:rFonts w:ascii="Times New Roman" w:hAnsi="Times New Roman"/>
          <w:sz w:val="24"/>
        </w:rPr>
        <w:t>项目</w:t>
      </w:r>
      <w:r>
        <w:rPr>
          <w:rFonts w:hint="eastAsia" w:ascii="Times New Roman" w:hAnsi="Times New Roman"/>
          <w:sz w:val="24"/>
        </w:rPr>
        <w:t>扩建</w:t>
      </w:r>
      <w:r>
        <w:rPr>
          <w:rFonts w:ascii="Times New Roman" w:hAnsi="Times New Roman"/>
          <w:sz w:val="24"/>
        </w:rPr>
        <w:t>后，项目正常年份（第3年）利润总额1280.97万元，上交25%所得税320.24万元，年净利润960.73万元。正常年份（第3年）息税前利润（EBIT）为1280.97万元。项目具备一定的盈利能力。因此，本项目经济效益较好。</w:t>
      </w:r>
    </w:p>
    <w:p>
      <w:pPr>
        <w:pStyle w:val="2"/>
        <w:rPr>
          <w:rFonts w:ascii="Times New Roman" w:hAnsi="Times New Roman"/>
          <w:sz w:val="24"/>
        </w:rPr>
      </w:pPr>
    </w:p>
    <w:p>
      <w:pPr>
        <w:pStyle w:val="2"/>
        <w:rPr>
          <w:rFonts w:ascii="Times New Roman" w:hAnsi="Times New Roman"/>
          <w:sz w:val="24"/>
        </w:rPr>
      </w:pPr>
    </w:p>
    <w:p>
      <w:pPr>
        <w:pStyle w:val="2"/>
        <w:rPr>
          <w:rFonts w:ascii="Times New Roman" w:hAnsi="Times New Roman"/>
          <w:sz w:val="24"/>
        </w:rPr>
      </w:pPr>
    </w:p>
    <w:p>
      <w:pPr>
        <w:pStyle w:val="2"/>
        <w:rPr>
          <w:rFonts w:ascii="Times New Roman" w:hAnsi="Times New Roman"/>
          <w:sz w:val="24"/>
        </w:rPr>
      </w:pPr>
    </w:p>
    <w:p>
      <w:pPr>
        <w:pStyle w:val="2"/>
        <w:rPr>
          <w:rFonts w:ascii="Times New Roman" w:hAnsi="Times New Roman"/>
          <w:sz w:val="24"/>
        </w:rPr>
      </w:pPr>
    </w:p>
    <w:p>
      <w:pPr>
        <w:pStyle w:val="2"/>
        <w:rPr>
          <w:rFonts w:ascii="Times New Roman" w:hAnsi="Times New Roman"/>
          <w:sz w:val="24"/>
        </w:rPr>
      </w:pPr>
    </w:p>
    <w:p>
      <w:pPr>
        <w:pStyle w:val="2"/>
        <w:rPr>
          <w:rFonts w:ascii="Times New Roman" w:hAnsi="Times New Roman"/>
          <w:sz w:val="24"/>
        </w:rPr>
      </w:pPr>
    </w:p>
    <w:p>
      <w:pPr>
        <w:pStyle w:val="2"/>
        <w:rPr>
          <w:rFonts w:ascii="Times New Roman" w:hAnsi="Times New Roman"/>
          <w:sz w:val="24"/>
        </w:rPr>
      </w:pPr>
    </w:p>
    <w:p>
      <w:pPr>
        <w:pStyle w:val="2"/>
        <w:rPr>
          <w:rFonts w:ascii="Times New Roman" w:hAnsi="Times New Roman"/>
          <w:sz w:val="24"/>
        </w:rPr>
      </w:pPr>
    </w:p>
    <w:p>
      <w:pPr>
        <w:jc w:val="center"/>
      </w:pPr>
    </w:p>
    <w:p>
      <w:pPr>
        <w:jc w:val="center"/>
      </w:pPr>
    </w:p>
    <w:p>
      <w:pPr>
        <w:jc w:val="center"/>
      </w:pPr>
    </w:p>
    <w:p>
      <w:pPr>
        <w:pStyle w:val="3"/>
        <w:spacing w:beforeLines="150" w:beforeAutospacing="0" w:afterLines="150" w:afterAutospacing="0" w:line="360" w:lineRule="auto"/>
      </w:pPr>
      <w:bookmarkStart w:id="653" w:name="_Toc20612"/>
      <w:bookmarkStart w:id="654" w:name="_Toc15294"/>
      <w:bookmarkStart w:id="655" w:name="_Toc16054"/>
      <w:r>
        <w:rPr>
          <w:rFonts w:hint="eastAsia"/>
        </w:rPr>
        <w:t>第十章 环境管理与环境监测</w:t>
      </w:r>
      <w:bookmarkEnd w:id="653"/>
      <w:bookmarkEnd w:id="654"/>
      <w:bookmarkEnd w:id="655"/>
    </w:p>
    <w:p>
      <w:pPr>
        <w:pStyle w:val="4"/>
        <w:rPr>
          <w:rFonts w:ascii="Times New Roman" w:hAnsi="Times New Roman" w:eastAsia="宋体"/>
        </w:rPr>
      </w:pPr>
      <w:bookmarkStart w:id="656" w:name="_Toc31899"/>
      <w:bookmarkStart w:id="657" w:name="_Toc14766"/>
      <w:bookmarkStart w:id="658" w:name="_Toc22830"/>
      <w:r>
        <w:rPr>
          <w:rFonts w:ascii="Times New Roman" w:hAnsi="Times New Roman" w:eastAsia="宋体"/>
        </w:rPr>
        <w:t>10.1 环境管理</w:t>
      </w:r>
      <w:bookmarkEnd w:id="656"/>
      <w:bookmarkEnd w:id="657"/>
      <w:bookmarkEnd w:id="658"/>
    </w:p>
    <w:p>
      <w:pPr>
        <w:pStyle w:val="5"/>
        <w:rPr>
          <w:sz w:val="24"/>
          <w:szCs w:val="24"/>
        </w:rPr>
      </w:pPr>
      <w:bookmarkStart w:id="659" w:name="_Toc15631"/>
      <w:bookmarkStart w:id="660" w:name="_Toc3122"/>
      <w:bookmarkStart w:id="661" w:name="_Toc30968"/>
      <w:r>
        <w:rPr>
          <w:sz w:val="24"/>
          <w:szCs w:val="24"/>
        </w:rPr>
        <w:t>10.1.1环境管理机构设置</w:t>
      </w:r>
      <w:bookmarkEnd w:id="659"/>
      <w:bookmarkEnd w:id="660"/>
      <w:bookmarkEnd w:id="661"/>
    </w:p>
    <w:p>
      <w:pPr>
        <w:spacing w:line="360" w:lineRule="auto"/>
        <w:ind w:firstLine="480" w:firstLineChars="200"/>
        <w:rPr>
          <w:rFonts w:ascii="Times New Roman" w:hAnsi="Times New Roman"/>
          <w:sz w:val="24"/>
        </w:rPr>
      </w:pPr>
      <w:r>
        <w:rPr>
          <w:rFonts w:ascii="Times New Roman" w:hAnsi="Times New Roman"/>
          <w:sz w:val="24"/>
        </w:rPr>
        <w:t>1、设置目的</w:t>
      </w:r>
    </w:p>
    <w:p>
      <w:pPr>
        <w:spacing w:line="360" w:lineRule="auto"/>
        <w:ind w:firstLine="480" w:firstLineChars="200"/>
        <w:rPr>
          <w:rFonts w:ascii="Times New Roman" w:hAnsi="Times New Roman"/>
          <w:sz w:val="24"/>
        </w:rPr>
      </w:pPr>
      <w:r>
        <w:rPr>
          <w:rFonts w:ascii="Times New Roman" w:hAnsi="Times New Roman"/>
          <w:sz w:val="24"/>
        </w:rPr>
        <w:t>贯彻执行国家、自治区环境保护有关规定，正确处理项目建设运行和保护环境的关系，实现项目建设的社会效益、经济效益和环境效益的统一，掌握污染控制措施的效果，了解工程及其周围地区的环境质量变化，为工程建设及运行的环境管理提供依据。</w:t>
      </w:r>
    </w:p>
    <w:p>
      <w:pPr>
        <w:spacing w:line="360" w:lineRule="auto"/>
        <w:ind w:firstLine="480" w:firstLineChars="200"/>
        <w:rPr>
          <w:rFonts w:ascii="Times New Roman" w:hAnsi="Times New Roman"/>
          <w:sz w:val="24"/>
        </w:rPr>
      </w:pPr>
      <w:r>
        <w:rPr>
          <w:rFonts w:ascii="Times New Roman" w:hAnsi="Times New Roman"/>
          <w:sz w:val="24"/>
        </w:rPr>
        <w:t>2、环境管理机构组成</w:t>
      </w:r>
    </w:p>
    <w:p>
      <w:pPr>
        <w:spacing w:line="360" w:lineRule="auto"/>
        <w:ind w:firstLine="480" w:firstLineChars="200"/>
        <w:rPr>
          <w:rFonts w:ascii="Times New Roman" w:hAnsi="Times New Roman"/>
          <w:sz w:val="24"/>
        </w:rPr>
      </w:pPr>
      <w:r>
        <w:rPr>
          <w:rFonts w:ascii="Times New Roman" w:hAnsi="Times New Roman"/>
          <w:sz w:val="24"/>
        </w:rPr>
        <w:t>根据工程建设的实际情况，项目施工期间应设专人负责环境保护事宜。项目建设完成后，企业应设立专职的环境保护机构，专职负责公司的环境保护事宜。环保机构肩负企业环境管理和环境监控两部分职能，受柳河县环境保护局的指导和监督。</w:t>
      </w:r>
    </w:p>
    <w:p>
      <w:pPr>
        <w:spacing w:line="360" w:lineRule="auto"/>
        <w:ind w:firstLine="480" w:firstLineChars="200"/>
        <w:rPr>
          <w:rFonts w:ascii="Times New Roman" w:hAnsi="Times New Roman"/>
          <w:sz w:val="24"/>
        </w:rPr>
      </w:pPr>
      <w:r>
        <w:rPr>
          <w:rFonts w:ascii="Times New Roman" w:hAnsi="Times New Roman"/>
          <w:sz w:val="24"/>
        </w:rPr>
        <w:t>3、环境管理机构定员</w:t>
      </w:r>
    </w:p>
    <w:p>
      <w:pPr>
        <w:spacing w:line="360" w:lineRule="auto"/>
        <w:ind w:firstLine="480" w:firstLineChars="200"/>
        <w:rPr>
          <w:rFonts w:ascii="Times New Roman" w:hAnsi="Times New Roman"/>
          <w:sz w:val="24"/>
        </w:rPr>
      </w:pPr>
      <w:r>
        <w:rPr>
          <w:rFonts w:ascii="Times New Roman" w:hAnsi="Times New Roman"/>
          <w:sz w:val="24"/>
        </w:rPr>
        <w:t>施工期在建设工程指挥部设1名环境管理人员，运营期设1～2名专职环境管理人员，负责环境管理和环境监测计划制定和实施。</w:t>
      </w:r>
    </w:p>
    <w:p>
      <w:pPr>
        <w:pStyle w:val="5"/>
        <w:rPr>
          <w:sz w:val="24"/>
          <w:szCs w:val="24"/>
        </w:rPr>
      </w:pPr>
      <w:bookmarkStart w:id="662" w:name="_Toc24188"/>
      <w:bookmarkStart w:id="663" w:name="_Toc17940"/>
      <w:bookmarkStart w:id="664" w:name="_Toc12478"/>
      <w:r>
        <w:rPr>
          <w:sz w:val="24"/>
          <w:szCs w:val="24"/>
        </w:rPr>
        <w:t>10.1.2环境管理职责</w:t>
      </w:r>
      <w:bookmarkEnd w:id="662"/>
      <w:bookmarkEnd w:id="663"/>
      <w:bookmarkEnd w:id="664"/>
    </w:p>
    <w:p>
      <w:pPr>
        <w:spacing w:line="360" w:lineRule="auto"/>
        <w:ind w:firstLine="480" w:firstLineChars="200"/>
        <w:rPr>
          <w:rFonts w:ascii="Times New Roman" w:hAnsi="Times New Roman"/>
          <w:sz w:val="24"/>
        </w:rPr>
      </w:pPr>
      <w:r>
        <w:rPr>
          <w:rFonts w:ascii="Times New Roman" w:hAnsi="Times New Roman"/>
          <w:sz w:val="24"/>
        </w:rPr>
        <w:t>环境管理机构的主要管理职责，根据不同时期工程内容，环境管理的侧重点不同。根据工程情况，可将环境管理职责分施工期、运营期。</w:t>
      </w:r>
    </w:p>
    <w:p>
      <w:pPr>
        <w:spacing w:line="360" w:lineRule="auto"/>
        <w:ind w:firstLine="480" w:firstLineChars="200"/>
        <w:rPr>
          <w:rFonts w:ascii="Times New Roman" w:hAnsi="Times New Roman"/>
          <w:sz w:val="24"/>
        </w:rPr>
      </w:pPr>
      <w:r>
        <w:rPr>
          <w:rFonts w:ascii="Times New Roman" w:hAnsi="Times New Roman"/>
          <w:sz w:val="24"/>
        </w:rPr>
        <w:t>（1）施工期管理</w:t>
      </w:r>
    </w:p>
    <w:p>
      <w:pPr>
        <w:spacing w:line="360" w:lineRule="auto"/>
        <w:ind w:firstLine="480" w:firstLineChars="200"/>
        <w:rPr>
          <w:rFonts w:ascii="Times New Roman" w:hAnsi="Times New Roman"/>
          <w:sz w:val="24"/>
        </w:rPr>
      </w:pPr>
      <w:r>
        <w:rPr>
          <w:rFonts w:ascii="Times New Roman" w:hAnsi="Times New Roman"/>
          <w:sz w:val="24"/>
        </w:rPr>
        <w:t>建设单位在施工开始时应配有专职的环保监督员，负责监督施工单位在建设期间的环境管理工作。</w:t>
      </w:r>
    </w:p>
    <w:p>
      <w:pPr>
        <w:spacing w:line="360" w:lineRule="auto"/>
        <w:ind w:firstLine="480" w:firstLineChars="200"/>
        <w:rPr>
          <w:rFonts w:ascii="Times New Roman" w:hAnsi="Times New Roman"/>
          <w:sz w:val="24"/>
        </w:rPr>
      </w:pPr>
      <w:r>
        <w:rPr>
          <w:rFonts w:ascii="Times New Roman" w:hAnsi="Times New Roman"/>
          <w:sz w:val="24"/>
        </w:rPr>
        <w:t>施工期主要环境管理内容包括：</w:t>
      </w:r>
    </w:p>
    <w:p>
      <w:pPr>
        <w:spacing w:line="360" w:lineRule="auto"/>
        <w:ind w:firstLine="480" w:firstLineChars="200"/>
        <w:rPr>
          <w:rFonts w:ascii="Times New Roman" w:hAnsi="Times New Roman"/>
          <w:sz w:val="24"/>
        </w:rPr>
      </w:pPr>
      <w:r>
        <w:rPr>
          <w:rFonts w:ascii="Times New Roman" w:hAnsi="Times New Roman"/>
          <w:sz w:val="24"/>
        </w:rPr>
        <w:t>①组织制定本单位的环境保护管理的规章制度，并监督执行；</w:t>
      </w:r>
    </w:p>
    <w:p>
      <w:pPr>
        <w:spacing w:line="360" w:lineRule="auto"/>
        <w:ind w:firstLine="480" w:firstLineChars="200"/>
        <w:rPr>
          <w:rFonts w:ascii="Times New Roman" w:hAnsi="Times New Roman"/>
          <w:sz w:val="24"/>
        </w:rPr>
      </w:pPr>
      <w:r>
        <w:rPr>
          <w:rFonts w:ascii="Times New Roman" w:hAnsi="Times New Roman"/>
          <w:sz w:val="24"/>
        </w:rPr>
        <w:t>②负责施工过程中的日常环境管理工作；</w:t>
      </w:r>
    </w:p>
    <w:p>
      <w:pPr>
        <w:spacing w:line="360" w:lineRule="auto"/>
        <w:ind w:firstLine="480" w:firstLineChars="200"/>
        <w:rPr>
          <w:rFonts w:ascii="Times New Roman" w:hAnsi="Times New Roman"/>
          <w:sz w:val="24"/>
        </w:rPr>
      </w:pPr>
      <w:r>
        <w:rPr>
          <w:rFonts w:ascii="Times New Roman" w:hAnsi="Times New Roman"/>
          <w:sz w:val="24"/>
        </w:rPr>
        <w:t>③组织环境保护宣传，提高施工人员的环境保护意识，在施工操作中，应尽可能减少扬尘和噪声；</w:t>
      </w:r>
    </w:p>
    <w:p>
      <w:pPr>
        <w:spacing w:line="360" w:lineRule="auto"/>
        <w:ind w:firstLine="480" w:firstLineChars="200"/>
        <w:rPr>
          <w:rFonts w:ascii="Times New Roman" w:hAnsi="Times New Roman"/>
          <w:sz w:val="24"/>
        </w:rPr>
      </w:pPr>
      <w:r>
        <w:rPr>
          <w:rFonts w:ascii="Times New Roman" w:hAnsi="Times New Roman"/>
          <w:sz w:val="24"/>
        </w:rPr>
        <w:t>④按照水保方案和环评对本项目的要求，负责实施阶段性的水土保持和生态恢复工作。</w:t>
      </w:r>
    </w:p>
    <w:p>
      <w:pPr>
        <w:spacing w:line="360" w:lineRule="auto"/>
        <w:ind w:firstLine="480" w:firstLineChars="200"/>
        <w:rPr>
          <w:rFonts w:ascii="Times New Roman" w:hAnsi="Times New Roman"/>
          <w:sz w:val="24"/>
        </w:rPr>
      </w:pPr>
      <w:r>
        <w:rPr>
          <w:rFonts w:ascii="Times New Roman" w:hAnsi="Times New Roman"/>
          <w:sz w:val="24"/>
        </w:rPr>
        <w:t>建设单位环境督察员职责包括：</w:t>
      </w:r>
    </w:p>
    <w:p>
      <w:pPr>
        <w:spacing w:line="360" w:lineRule="auto"/>
        <w:ind w:firstLine="480" w:firstLineChars="200"/>
        <w:rPr>
          <w:rFonts w:ascii="Times New Roman" w:hAnsi="Times New Roman"/>
          <w:sz w:val="24"/>
        </w:rPr>
      </w:pPr>
      <w:r>
        <w:rPr>
          <w:rFonts w:ascii="Times New Roman" w:hAnsi="Times New Roman"/>
          <w:sz w:val="24"/>
        </w:rPr>
        <w:t>①协调和督促项目配套环保措施的建设符合“三同时”要求；</w:t>
      </w:r>
    </w:p>
    <w:p>
      <w:pPr>
        <w:spacing w:line="360" w:lineRule="auto"/>
        <w:ind w:firstLine="480" w:firstLineChars="200"/>
        <w:rPr>
          <w:rFonts w:ascii="Times New Roman" w:hAnsi="Times New Roman"/>
          <w:sz w:val="24"/>
        </w:rPr>
      </w:pPr>
      <w:r>
        <w:rPr>
          <w:rFonts w:ascii="Times New Roman" w:hAnsi="Times New Roman"/>
          <w:sz w:val="24"/>
        </w:rPr>
        <w:t>②参与工程环保设施竣工验收。</w:t>
      </w:r>
    </w:p>
    <w:p>
      <w:pPr>
        <w:spacing w:line="360" w:lineRule="auto"/>
        <w:ind w:firstLine="480" w:firstLineChars="200"/>
        <w:rPr>
          <w:rFonts w:ascii="Times New Roman" w:hAnsi="Times New Roman"/>
          <w:sz w:val="24"/>
        </w:rPr>
      </w:pPr>
      <w:r>
        <w:rPr>
          <w:rFonts w:ascii="Times New Roman" w:hAnsi="Times New Roman"/>
          <w:sz w:val="24"/>
        </w:rPr>
        <w:t>（2）运营期管理</w:t>
      </w:r>
    </w:p>
    <w:p>
      <w:pPr>
        <w:spacing w:line="360" w:lineRule="auto"/>
        <w:ind w:firstLine="480" w:firstLineChars="200"/>
        <w:rPr>
          <w:rFonts w:ascii="Times New Roman" w:hAnsi="Times New Roman"/>
          <w:sz w:val="24"/>
        </w:rPr>
      </w:pPr>
      <w:r>
        <w:rPr>
          <w:rFonts w:ascii="Times New Roman" w:hAnsi="Times New Roman"/>
          <w:sz w:val="24"/>
        </w:rPr>
        <w:t>运营期间，应该设立环境管理机构，负责企业的环保管理和环境监测工作。其主要环境管理职责如下：</w:t>
      </w:r>
    </w:p>
    <w:p>
      <w:pPr>
        <w:spacing w:line="360" w:lineRule="auto"/>
        <w:ind w:firstLine="480" w:firstLineChars="200"/>
        <w:rPr>
          <w:rFonts w:ascii="Times New Roman" w:hAnsi="Times New Roman"/>
          <w:sz w:val="24"/>
        </w:rPr>
      </w:pPr>
      <w:r>
        <w:rPr>
          <w:rFonts w:ascii="Times New Roman" w:hAnsi="Times New Roman"/>
          <w:sz w:val="24"/>
        </w:rPr>
        <w:t>①对工程建设所在区域的环境保护实行统一管理，贯彻执行国家和地方的有关环境保护规定；</w:t>
      </w:r>
    </w:p>
    <w:p>
      <w:pPr>
        <w:spacing w:line="360" w:lineRule="auto"/>
        <w:ind w:firstLine="480" w:firstLineChars="200"/>
        <w:rPr>
          <w:rFonts w:ascii="Times New Roman" w:hAnsi="Times New Roman"/>
          <w:sz w:val="24"/>
        </w:rPr>
      </w:pPr>
      <w:r>
        <w:rPr>
          <w:rFonts w:ascii="Times New Roman" w:hAnsi="Times New Roman"/>
          <w:sz w:val="24"/>
        </w:rPr>
        <w:t>②编制环境保护规划和计划，并组织实施；</w:t>
      </w:r>
    </w:p>
    <w:p>
      <w:pPr>
        <w:spacing w:line="360" w:lineRule="auto"/>
        <w:ind w:firstLine="480" w:firstLineChars="200"/>
        <w:rPr>
          <w:rFonts w:ascii="Times New Roman" w:hAnsi="Times New Roman"/>
          <w:sz w:val="24"/>
        </w:rPr>
      </w:pPr>
      <w:r>
        <w:rPr>
          <w:rFonts w:ascii="Times New Roman" w:hAnsi="Times New Roman"/>
          <w:sz w:val="24"/>
        </w:rPr>
        <w:t>③建立各种管理制度，实现污染物排放定量统计，并经常检查督促；</w:t>
      </w:r>
    </w:p>
    <w:p>
      <w:pPr>
        <w:spacing w:line="360" w:lineRule="auto"/>
        <w:ind w:firstLine="480" w:firstLineChars="200"/>
        <w:rPr>
          <w:rFonts w:ascii="Times New Roman" w:hAnsi="Times New Roman"/>
          <w:sz w:val="24"/>
        </w:rPr>
      </w:pPr>
      <w:r>
        <w:rPr>
          <w:rFonts w:ascii="Times New Roman" w:hAnsi="Times New Roman"/>
          <w:sz w:val="24"/>
        </w:rPr>
        <w:t>④领导和组织工程建设所在区域的环境监测工作，建立监控档案；</w:t>
      </w:r>
    </w:p>
    <w:p>
      <w:pPr>
        <w:spacing w:line="360" w:lineRule="auto"/>
        <w:ind w:firstLine="480" w:firstLineChars="200"/>
        <w:rPr>
          <w:rFonts w:ascii="Times New Roman" w:hAnsi="Times New Roman"/>
          <w:sz w:val="24"/>
        </w:rPr>
      </w:pPr>
      <w:r>
        <w:rPr>
          <w:rFonts w:ascii="Times New Roman" w:hAnsi="Times New Roman"/>
          <w:sz w:val="24"/>
        </w:rPr>
        <w:t>⑤做好污染物达标排放，维护环境设施正常运转。协同各级环保部门处理与项目环境保护有关的公众提出的意见和问题；</w:t>
      </w:r>
    </w:p>
    <w:p>
      <w:pPr>
        <w:spacing w:line="360" w:lineRule="auto"/>
        <w:ind w:firstLine="480" w:firstLineChars="200"/>
        <w:rPr>
          <w:rFonts w:ascii="Times New Roman" w:hAnsi="Times New Roman"/>
          <w:sz w:val="24"/>
        </w:rPr>
      </w:pPr>
      <w:r>
        <w:rPr>
          <w:rFonts w:ascii="Times New Roman" w:hAnsi="Times New Roman"/>
          <w:sz w:val="24"/>
        </w:rPr>
        <w:t>⑥定期对环保人员和工作人员进行环保培训，提高职工的环保意识；</w:t>
      </w:r>
    </w:p>
    <w:p>
      <w:pPr>
        <w:spacing w:line="360" w:lineRule="auto"/>
        <w:ind w:firstLine="480" w:firstLineChars="200"/>
        <w:rPr>
          <w:rFonts w:ascii="Times New Roman" w:hAnsi="Times New Roman"/>
          <w:sz w:val="24"/>
        </w:rPr>
      </w:pPr>
      <w:r>
        <w:rPr>
          <w:rFonts w:ascii="Times New Roman" w:hAnsi="Times New Roman"/>
          <w:sz w:val="24"/>
        </w:rPr>
        <w:t>⑦领导和组织项目所在区域的环境监测工作，建立监控档案；</w:t>
      </w:r>
    </w:p>
    <w:p>
      <w:pPr>
        <w:pStyle w:val="55"/>
        <w:ind w:firstLine="480"/>
        <w:rPr>
          <w:rFonts w:ascii="Times New Roman" w:hAnsi="Times New Roman" w:eastAsia="宋体"/>
          <w:kern w:val="2"/>
          <w:sz w:val="24"/>
          <w:szCs w:val="24"/>
        </w:rPr>
      </w:pPr>
      <w:r>
        <w:rPr>
          <w:rFonts w:ascii="Times New Roman" w:hAnsi="Times New Roman" w:eastAsia="宋体"/>
          <w:kern w:val="2"/>
          <w:sz w:val="24"/>
          <w:szCs w:val="24"/>
        </w:rPr>
        <w:t>⑧严格执行“三同时”规定，使环境保护工程与主体工程同时设计，同时施工、同时投产，以保证有效控制污染。</w:t>
      </w:r>
    </w:p>
    <w:p>
      <w:pPr>
        <w:widowControl/>
        <w:adjustRightInd w:val="0"/>
        <w:snapToGrid w:val="0"/>
        <w:spacing w:line="360" w:lineRule="auto"/>
        <w:outlineLvl w:val="0"/>
        <w:rPr>
          <w:rFonts w:ascii="Times New Roman" w:hAnsi="Times New Roman"/>
          <w:b/>
          <w:sz w:val="24"/>
        </w:rPr>
      </w:pPr>
      <w:bookmarkStart w:id="665" w:name="_Toc32520"/>
      <w:bookmarkStart w:id="666" w:name="_Toc20754"/>
      <w:bookmarkStart w:id="667" w:name="_Toc1454"/>
      <w:r>
        <w:rPr>
          <w:rFonts w:ascii="Times New Roman" w:hAnsi="Times New Roman"/>
          <w:b/>
          <w:sz w:val="24"/>
        </w:rPr>
        <w:t>10.1.3环境管理措施</w:t>
      </w:r>
      <w:bookmarkEnd w:id="665"/>
      <w:bookmarkEnd w:id="666"/>
      <w:bookmarkEnd w:id="667"/>
    </w:p>
    <w:p>
      <w:pPr>
        <w:spacing w:line="360" w:lineRule="auto"/>
        <w:ind w:firstLine="480" w:firstLineChars="200"/>
        <w:rPr>
          <w:rFonts w:ascii="Times New Roman" w:hAnsi="Times New Roman"/>
          <w:sz w:val="24"/>
        </w:rPr>
      </w:pPr>
      <w:r>
        <w:rPr>
          <w:rFonts w:ascii="Times New Roman" w:hAnsi="Times New Roman"/>
          <w:sz w:val="24"/>
        </w:rPr>
        <w:t>（1）施工期环境管理措施</w:t>
      </w:r>
    </w:p>
    <w:p>
      <w:pPr>
        <w:spacing w:line="360" w:lineRule="auto"/>
        <w:ind w:firstLine="480" w:firstLineChars="200"/>
        <w:rPr>
          <w:rFonts w:ascii="Times New Roman" w:hAnsi="Times New Roman"/>
          <w:sz w:val="24"/>
        </w:rPr>
      </w:pPr>
      <w:r>
        <w:rPr>
          <w:rFonts w:ascii="Times New Roman" w:hAnsi="Times New Roman"/>
          <w:sz w:val="24"/>
        </w:rPr>
        <w:t>对施工队伍实行环保职责管理，在工程承包合同中，应包括有关环境保护的条款，对施工机械、施工方法、施工进度提出环境保护要求，以及对施工过程中扬尘、噪声排放强度等的限制和措施。要求施工单位按环保要求施工，并对施工中环保措施的实施进行检查、监督。</w:t>
      </w:r>
    </w:p>
    <w:p>
      <w:pPr>
        <w:spacing w:line="360" w:lineRule="auto"/>
        <w:ind w:firstLine="480" w:firstLineChars="200"/>
        <w:rPr>
          <w:rFonts w:ascii="Times New Roman" w:hAnsi="Times New Roman"/>
          <w:sz w:val="24"/>
        </w:rPr>
      </w:pPr>
      <w:r>
        <w:rPr>
          <w:rFonts w:ascii="Times New Roman" w:hAnsi="Times New Roman"/>
          <w:sz w:val="24"/>
        </w:rPr>
        <w:t>（2）运营期环境管理措施</w:t>
      </w:r>
    </w:p>
    <w:p>
      <w:pPr>
        <w:spacing w:line="360" w:lineRule="auto"/>
        <w:ind w:firstLine="480" w:firstLineChars="200"/>
        <w:rPr>
          <w:rFonts w:ascii="Times New Roman" w:hAnsi="Times New Roman"/>
          <w:sz w:val="24"/>
        </w:rPr>
      </w:pPr>
      <w:r>
        <w:rPr>
          <w:rFonts w:ascii="Times New Roman" w:hAnsi="Times New Roman"/>
          <w:sz w:val="24"/>
        </w:rPr>
        <w:t>①项目环保工作要纳入企业日常管理，将环保工作落实到企业管理的各个环节；</w:t>
      </w:r>
    </w:p>
    <w:p>
      <w:pPr>
        <w:spacing w:line="360" w:lineRule="auto"/>
        <w:ind w:firstLine="480" w:firstLineChars="200"/>
        <w:rPr>
          <w:rFonts w:ascii="Times New Roman" w:hAnsi="Times New Roman"/>
          <w:sz w:val="24"/>
        </w:rPr>
      </w:pPr>
      <w:r>
        <w:rPr>
          <w:rFonts w:ascii="Times New Roman" w:hAnsi="Times New Roman"/>
          <w:sz w:val="24"/>
        </w:rPr>
        <w:t>②项目环保工作要合理部署、统一安排，使环境污染治理做到从源头开始实施，贯彻以防为主，防治结合的方针；</w:t>
      </w:r>
    </w:p>
    <w:p>
      <w:pPr>
        <w:spacing w:line="360" w:lineRule="auto"/>
        <w:ind w:firstLine="480" w:firstLineChars="200"/>
        <w:rPr>
          <w:rFonts w:ascii="Times New Roman" w:hAnsi="Times New Roman"/>
          <w:sz w:val="24"/>
        </w:rPr>
      </w:pPr>
      <w:r>
        <w:rPr>
          <w:rFonts w:ascii="Times New Roman" w:hAnsi="Times New Roman"/>
          <w:sz w:val="24"/>
        </w:rPr>
        <w:t>③环保管理机构对环境保护工作统一管理，对项目环保工作定期检查，并接受政府环境保护主管部门的监督和指导。</w:t>
      </w:r>
    </w:p>
    <w:p>
      <w:pPr>
        <w:widowControl/>
        <w:adjustRightInd w:val="0"/>
        <w:snapToGrid w:val="0"/>
        <w:spacing w:line="360" w:lineRule="auto"/>
        <w:outlineLvl w:val="0"/>
        <w:rPr>
          <w:rFonts w:ascii="Times New Roman" w:hAnsi="Times New Roman"/>
          <w:b/>
          <w:sz w:val="24"/>
        </w:rPr>
      </w:pPr>
      <w:bookmarkStart w:id="668" w:name="_Toc18265"/>
      <w:bookmarkStart w:id="669" w:name="_Toc24408"/>
      <w:bookmarkStart w:id="670" w:name="_Toc3335"/>
      <w:r>
        <w:rPr>
          <w:rFonts w:ascii="Times New Roman" w:hAnsi="Times New Roman"/>
          <w:b/>
          <w:sz w:val="24"/>
        </w:rPr>
        <w:t>10.1.4环境管理要求</w:t>
      </w:r>
      <w:bookmarkEnd w:id="668"/>
      <w:bookmarkEnd w:id="669"/>
      <w:bookmarkEnd w:id="670"/>
    </w:p>
    <w:p>
      <w:pPr>
        <w:spacing w:line="360" w:lineRule="auto"/>
        <w:ind w:firstLine="480" w:firstLineChars="200"/>
        <w:rPr>
          <w:rFonts w:ascii="Times New Roman" w:hAnsi="Times New Roman"/>
          <w:sz w:val="24"/>
        </w:rPr>
      </w:pPr>
      <w:r>
        <w:rPr>
          <w:rFonts w:ascii="Times New Roman" w:hAnsi="Times New Roman"/>
          <w:sz w:val="24"/>
        </w:rPr>
        <w:t>（1）查清污染源状况、建立污染源档案，协调与生产部环境室的管理工作和定期环境监测工作。</w:t>
      </w:r>
    </w:p>
    <w:p>
      <w:pPr>
        <w:spacing w:line="360" w:lineRule="auto"/>
        <w:ind w:firstLine="480" w:firstLineChars="200"/>
        <w:rPr>
          <w:rFonts w:ascii="Times New Roman" w:hAnsi="Times New Roman"/>
          <w:sz w:val="24"/>
        </w:rPr>
      </w:pPr>
      <w:r>
        <w:rPr>
          <w:rFonts w:ascii="Times New Roman" w:hAnsi="Times New Roman"/>
          <w:sz w:val="24"/>
        </w:rPr>
        <w:t>（2）编制企业环境保护计划，与企业的生产发展规划同步进行，把环境保护设施运转指标、同时生产指标一样进行考核，做好环境统计。</w:t>
      </w:r>
    </w:p>
    <w:p>
      <w:pPr>
        <w:spacing w:line="360" w:lineRule="auto"/>
        <w:ind w:firstLine="480" w:firstLineChars="200"/>
        <w:rPr>
          <w:rFonts w:ascii="Times New Roman" w:hAnsi="Times New Roman"/>
          <w:sz w:val="24"/>
        </w:rPr>
      </w:pPr>
      <w:r>
        <w:rPr>
          <w:rFonts w:ascii="Times New Roman" w:hAnsi="Times New Roman"/>
          <w:sz w:val="24"/>
        </w:rPr>
        <w:t>（3）建立和健全各种环境管理制度，并经常检查监督。</w:t>
      </w:r>
    </w:p>
    <w:p>
      <w:pPr>
        <w:widowControl/>
        <w:adjustRightInd w:val="0"/>
        <w:snapToGrid w:val="0"/>
        <w:spacing w:line="360" w:lineRule="auto"/>
        <w:outlineLvl w:val="0"/>
        <w:rPr>
          <w:rFonts w:ascii="Times New Roman" w:hAnsi="Times New Roman"/>
          <w:b/>
          <w:sz w:val="24"/>
        </w:rPr>
      </w:pPr>
      <w:bookmarkStart w:id="671" w:name="_Toc1844"/>
      <w:bookmarkStart w:id="672" w:name="_Toc23344"/>
      <w:bookmarkStart w:id="673" w:name="_Toc13231"/>
      <w:r>
        <w:rPr>
          <w:rFonts w:ascii="Times New Roman" w:hAnsi="Times New Roman"/>
          <w:b/>
          <w:sz w:val="24"/>
        </w:rPr>
        <w:t>10.1.5污染物排放管理要求</w:t>
      </w:r>
      <w:bookmarkEnd w:id="671"/>
      <w:bookmarkEnd w:id="672"/>
      <w:bookmarkEnd w:id="673"/>
    </w:p>
    <w:p>
      <w:pPr>
        <w:spacing w:line="360" w:lineRule="auto"/>
        <w:ind w:firstLine="480" w:firstLineChars="200"/>
        <w:rPr>
          <w:rFonts w:ascii="Times New Roman" w:hAnsi="Times New Roman"/>
          <w:sz w:val="24"/>
        </w:rPr>
      </w:pPr>
      <w:r>
        <w:rPr>
          <w:rFonts w:ascii="Times New Roman" w:hAnsi="Times New Roman"/>
          <w:sz w:val="24"/>
        </w:rPr>
        <w:t>（1）污染物排放清单</w:t>
      </w:r>
    </w:p>
    <w:p>
      <w:pPr>
        <w:spacing w:line="360" w:lineRule="auto"/>
        <w:ind w:firstLine="480" w:firstLineChars="200"/>
        <w:rPr>
          <w:rFonts w:ascii="Times New Roman" w:hAnsi="Times New Roman"/>
          <w:sz w:val="24"/>
        </w:rPr>
      </w:pPr>
      <w:r>
        <w:rPr>
          <w:rFonts w:ascii="Times New Roman" w:hAnsi="Times New Roman"/>
          <w:sz w:val="24"/>
        </w:rPr>
        <w:t>本项目污染物排放管理要求详见表10-1。</w:t>
      </w:r>
    </w:p>
    <w:p/>
    <w:p>
      <w:pPr>
        <w:pStyle w:val="2"/>
      </w:pPr>
    </w:p>
    <w:p>
      <w:pPr>
        <w:pStyle w:val="2"/>
      </w:pPr>
    </w:p>
    <w:p>
      <w:pPr>
        <w:pStyle w:val="2"/>
      </w:pPr>
    </w:p>
    <w:p>
      <w:pPr>
        <w:pStyle w:val="2"/>
      </w:pPr>
    </w:p>
    <w:p>
      <w:pPr>
        <w:pStyle w:val="2"/>
      </w:pPr>
    </w:p>
    <w:p>
      <w:pPr>
        <w:pStyle w:val="2"/>
      </w:pPr>
    </w:p>
    <w:p>
      <w:pPr>
        <w:pStyle w:val="2"/>
      </w:pPr>
    </w:p>
    <w:p>
      <w:pPr>
        <w:pStyle w:val="2"/>
        <w:sectPr>
          <w:pgSz w:w="11906" w:h="16838"/>
          <w:pgMar w:top="1440" w:right="1800" w:bottom="1440" w:left="1800" w:header="851" w:footer="992" w:gutter="0"/>
          <w:cols w:space="720" w:num="1"/>
          <w:docGrid w:type="lines" w:linePitch="312" w:charSpace="0"/>
        </w:sectPr>
      </w:pPr>
    </w:p>
    <w:p>
      <w:pPr>
        <w:ind w:firstLine="482" w:firstLineChars="200"/>
        <w:jc w:val="center"/>
        <w:rPr>
          <w:rFonts w:ascii="Times New Roman" w:hAnsi="Times New Roman"/>
          <w:b/>
          <w:color w:val="000000"/>
          <w:sz w:val="24"/>
        </w:rPr>
      </w:pPr>
      <w:r>
        <w:rPr>
          <w:rFonts w:ascii="Times New Roman" w:hAnsi="Times New Roman"/>
          <w:b/>
          <w:color w:val="000000"/>
          <w:sz w:val="24"/>
        </w:rPr>
        <w:t>表10-1  污染物排放管理清单</w:t>
      </w:r>
    </w:p>
    <w:tbl>
      <w:tblPr>
        <w:tblStyle w:val="24"/>
        <w:tblW w:w="0" w:type="auto"/>
        <w:jc w:val="center"/>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2"/>
        <w:gridCol w:w="1361"/>
        <w:gridCol w:w="1131"/>
        <w:gridCol w:w="1267"/>
        <w:gridCol w:w="994"/>
        <w:gridCol w:w="1183"/>
        <w:gridCol w:w="991"/>
        <w:gridCol w:w="3295"/>
        <w:gridCol w:w="1406"/>
        <w:gridCol w:w="2114"/>
      </w:tblGrid>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432"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类</w:t>
            </w:r>
          </w:p>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别</w:t>
            </w:r>
          </w:p>
        </w:tc>
        <w:tc>
          <w:tcPr>
            <w:tcW w:w="136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污染源</w:t>
            </w:r>
          </w:p>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名称</w:t>
            </w:r>
          </w:p>
        </w:tc>
        <w:tc>
          <w:tcPr>
            <w:tcW w:w="113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污染物名称</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产生浓度（mg/m</w:t>
            </w:r>
            <w:r>
              <w:rPr>
                <w:rFonts w:ascii="Times New Roman" w:hAnsi="Times New Roman"/>
                <w:color w:val="000000"/>
                <w:spacing w:val="6"/>
                <w:kern w:val="0"/>
                <w:szCs w:val="21"/>
                <w:vertAlign w:val="superscript"/>
              </w:rPr>
              <w:t>3</w:t>
            </w:r>
            <w:r>
              <w:rPr>
                <w:rFonts w:ascii="Times New Roman" w:hAnsi="Times New Roman"/>
                <w:color w:val="000000"/>
                <w:spacing w:val="6"/>
                <w:kern w:val="0"/>
                <w:szCs w:val="21"/>
              </w:rPr>
              <w:t>）</w:t>
            </w:r>
          </w:p>
        </w:tc>
        <w:tc>
          <w:tcPr>
            <w:tcW w:w="994"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产生量</w:t>
            </w:r>
          </w:p>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（t/a）</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排放浓度（mg/m</w:t>
            </w:r>
            <w:r>
              <w:rPr>
                <w:rFonts w:ascii="Times New Roman" w:hAnsi="Times New Roman"/>
                <w:color w:val="000000"/>
                <w:spacing w:val="6"/>
                <w:kern w:val="0"/>
                <w:szCs w:val="21"/>
                <w:vertAlign w:val="superscript"/>
              </w:rPr>
              <w:t>3</w:t>
            </w:r>
            <w:r>
              <w:rPr>
                <w:rFonts w:ascii="Times New Roman" w:hAnsi="Times New Roman"/>
                <w:color w:val="000000"/>
                <w:spacing w:val="6"/>
                <w:kern w:val="0"/>
                <w:szCs w:val="21"/>
              </w:rPr>
              <w:t>）</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排放量</w:t>
            </w:r>
          </w:p>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（t/a）</w:t>
            </w:r>
          </w:p>
        </w:tc>
        <w:tc>
          <w:tcPr>
            <w:tcW w:w="3295"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处理措施、效率及运行参数</w:t>
            </w:r>
          </w:p>
        </w:tc>
        <w:tc>
          <w:tcPr>
            <w:tcW w:w="1406"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排污口信息</w:t>
            </w:r>
          </w:p>
        </w:tc>
        <w:tc>
          <w:tcPr>
            <w:tcW w:w="2114"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执行标准</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432" w:type="dxa"/>
            <w:vMerge w:val="restart"/>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废气</w:t>
            </w:r>
          </w:p>
        </w:tc>
        <w:tc>
          <w:tcPr>
            <w:tcW w:w="1361"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尾矿库</w:t>
            </w:r>
          </w:p>
        </w:tc>
        <w:tc>
          <w:tcPr>
            <w:tcW w:w="1131"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扬尘</w:t>
            </w:r>
          </w:p>
        </w:tc>
        <w:tc>
          <w:tcPr>
            <w:tcW w:w="1267" w:type="dxa"/>
            <w:vAlign w:val="center"/>
          </w:tcPr>
          <w:p>
            <w:pPr>
              <w:jc w:val="center"/>
              <w:textAlignment w:val="baseline"/>
              <w:rPr>
                <w:rFonts w:ascii="Times New Roman" w:hAnsi="Times New Roman"/>
                <w:color w:val="000000"/>
                <w:szCs w:val="21"/>
              </w:rPr>
            </w:pPr>
            <w:r>
              <w:rPr>
                <w:rFonts w:ascii="Times New Roman" w:hAnsi="Times New Roman"/>
                <w:color w:val="000000"/>
                <w:szCs w:val="21"/>
              </w:rPr>
              <w:t>1.4-7.6</w:t>
            </w:r>
          </w:p>
        </w:tc>
        <w:tc>
          <w:tcPr>
            <w:tcW w:w="994" w:type="dxa"/>
            <w:vAlign w:val="center"/>
          </w:tcPr>
          <w:p>
            <w:pPr>
              <w:adjustRightInd w:val="0"/>
              <w:snapToGrid w:val="0"/>
              <w:jc w:val="center"/>
              <w:textAlignment w:val="baseline"/>
              <w:rPr>
                <w:rFonts w:ascii="Times New Roman" w:hAnsi="Times New Roman"/>
                <w:color w:val="000000"/>
                <w:szCs w:val="21"/>
              </w:rPr>
            </w:pPr>
            <w:r>
              <w:rPr>
                <w:rFonts w:ascii="Times New Roman" w:hAnsi="Times New Roman"/>
                <w:color w:val="000000"/>
                <w:szCs w:val="21"/>
              </w:rPr>
              <w:t>3.15</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0.14-0.76</w:t>
            </w:r>
          </w:p>
        </w:tc>
        <w:tc>
          <w:tcPr>
            <w:tcW w:w="991"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0.315</w:t>
            </w:r>
          </w:p>
        </w:tc>
        <w:tc>
          <w:tcPr>
            <w:tcW w:w="3295" w:type="dxa"/>
            <w:vAlign w:val="center"/>
          </w:tcPr>
          <w:p>
            <w:pPr>
              <w:jc w:val="center"/>
              <w:rPr>
                <w:rFonts w:ascii="Times New Roman" w:hAnsi="Times New Roman"/>
                <w:color w:val="000000"/>
                <w:szCs w:val="21"/>
              </w:rPr>
            </w:pPr>
            <w:r>
              <w:rPr>
                <w:rFonts w:ascii="Times New Roman" w:hAnsi="Times New Roman"/>
                <w:color w:val="000000"/>
                <w:szCs w:val="21"/>
              </w:rPr>
              <w:t>洒水降尘、加盖苫布</w:t>
            </w:r>
          </w:p>
        </w:tc>
        <w:tc>
          <w:tcPr>
            <w:tcW w:w="1406" w:type="dxa"/>
            <w:vAlign w:val="center"/>
          </w:tcPr>
          <w:p>
            <w:pPr>
              <w:jc w:val="center"/>
              <w:rPr>
                <w:rFonts w:ascii="Times New Roman" w:hAnsi="Times New Roman"/>
                <w:color w:val="000000"/>
                <w:spacing w:val="6"/>
                <w:kern w:val="0"/>
                <w:szCs w:val="21"/>
              </w:rPr>
            </w:pPr>
            <w:r>
              <w:rPr>
                <w:rFonts w:ascii="Times New Roman" w:hAnsi="Times New Roman"/>
                <w:color w:val="000000"/>
                <w:spacing w:val="6"/>
                <w:kern w:val="0"/>
                <w:szCs w:val="21"/>
              </w:rPr>
              <w:t>无组织排放</w:t>
            </w:r>
          </w:p>
        </w:tc>
        <w:tc>
          <w:tcPr>
            <w:tcW w:w="2114" w:type="dxa"/>
            <w:vMerge w:val="restart"/>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GB28661-2012</w:t>
            </w:r>
          </w:p>
          <w:p>
            <w:pPr>
              <w:jc w:val="center"/>
              <w:rPr>
                <w:rFonts w:ascii="Times New Roman" w:hAnsi="Times New Roman"/>
                <w:color w:val="000000"/>
                <w:spacing w:val="6"/>
                <w:kern w:val="0"/>
                <w:szCs w:val="21"/>
              </w:rPr>
            </w:pPr>
            <w:r>
              <w:rPr>
                <w:rFonts w:ascii="Times New Roman" w:hAnsi="Times New Roman"/>
                <w:color w:val="000000"/>
                <w:spacing w:val="6"/>
                <w:kern w:val="0"/>
                <w:szCs w:val="21"/>
              </w:rPr>
              <w:t>《铁矿采选工业污染物排放标准》</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432" w:type="dxa"/>
            <w:vMerge w:val="continue"/>
            <w:vAlign w:val="center"/>
          </w:tcPr>
          <w:p>
            <w:pPr>
              <w:widowControl/>
              <w:jc w:val="center"/>
              <w:rPr>
                <w:rFonts w:ascii="Times New Roman" w:hAnsi="Times New Roman"/>
                <w:color w:val="000000"/>
                <w:spacing w:val="6"/>
                <w:kern w:val="0"/>
                <w:szCs w:val="21"/>
              </w:rPr>
            </w:pPr>
          </w:p>
        </w:tc>
        <w:tc>
          <w:tcPr>
            <w:tcW w:w="1361"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胶带运输</w:t>
            </w:r>
          </w:p>
        </w:tc>
        <w:tc>
          <w:tcPr>
            <w:tcW w:w="1131"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粉尘</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0.7</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0.2</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0.07</w:t>
            </w:r>
          </w:p>
        </w:tc>
        <w:tc>
          <w:tcPr>
            <w:tcW w:w="991"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0.02</w:t>
            </w:r>
          </w:p>
        </w:tc>
        <w:tc>
          <w:tcPr>
            <w:tcW w:w="3295"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封闭</w:t>
            </w:r>
          </w:p>
        </w:tc>
        <w:tc>
          <w:tcPr>
            <w:tcW w:w="1406"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无组织排放</w:t>
            </w:r>
          </w:p>
        </w:tc>
        <w:tc>
          <w:tcPr>
            <w:tcW w:w="2114" w:type="dxa"/>
            <w:vMerge w:val="continue"/>
            <w:vAlign w:val="center"/>
          </w:tcPr>
          <w:p>
            <w:pPr>
              <w:jc w:val="center"/>
              <w:textAlignment w:val="baseline"/>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432" w:type="dxa"/>
            <w:vMerge w:val="continue"/>
            <w:vAlign w:val="center"/>
          </w:tcPr>
          <w:p>
            <w:pPr>
              <w:widowControl/>
              <w:jc w:val="center"/>
              <w:rPr>
                <w:rFonts w:ascii="Times New Roman" w:hAnsi="Times New Roman"/>
                <w:color w:val="000000"/>
                <w:spacing w:val="6"/>
                <w:kern w:val="0"/>
                <w:szCs w:val="21"/>
              </w:rPr>
            </w:pPr>
          </w:p>
        </w:tc>
        <w:tc>
          <w:tcPr>
            <w:tcW w:w="1361"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汽车运输</w:t>
            </w:r>
          </w:p>
        </w:tc>
        <w:tc>
          <w:tcPr>
            <w:tcW w:w="1131"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扬尘</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少量</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1"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少量</w:t>
            </w:r>
          </w:p>
        </w:tc>
        <w:tc>
          <w:tcPr>
            <w:tcW w:w="3295"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加盖苫布、洒水</w:t>
            </w:r>
          </w:p>
        </w:tc>
        <w:tc>
          <w:tcPr>
            <w:tcW w:w="1406"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无组织排放</w:t>
            </w:r>
          </w:p>
        </w:tc>
        <w:tc>
          <w:tcPr>
            <w:tcW w:w="2114" w:type="dxa"/>
            <w:vMerge w:val="continue"/>
            <w:vAlign w:val="center"/>
          </w:tcPr>
          <w:p>
            <w:pPr>
              <w:jc w:val="center"/>
              <w:textAlignment w:val="baseline"/>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vAlign w:val="center"/>
          </w:tcPr>
          <w:p>
            <w:pPr>
              <w:widowControl/>
              <w:jc w:val="center"/>
              <w:rPr>
                <w:rFonts w:ascii="Times New Roman" w:hAnsi="Times New Roman"/>
                <w:color w:val="FF0000"/>
                <w:spacing w:val="6"/>
                <w:kern w:val="0"/>
                <w:szCs w:val="21"/>
              </w:rPr>
            </w:pPr>
          </w:p>
        </w:tc>
        <w:tc>
          <w:tcPr>
            <w:tcW w:w="1361" w:type="dxa"/>
            <w:vMerge w:val="restart"/>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尾矿压滤</w:t>
            </w:r>
          </w:p>
          <w:p>
            <w:pPr>
              <w:adjustRightInd w:val="0"/>
              <w:snapToGrid w:val="0"/>
              <w:jc w:val="center"/>
              <w:textAlignment w:val="baseline"/>
              <w:rPr>
                <w:rFonts w:ascii="Times New Roman" w:hAnsi="Times New Roman"/>
                <w:color w:val="FF0000"/>
                <w:spacing w:val="6"/>
                <w:kern w:val="0"/>
                <w:szCs w:val="21"/>
              </w:rPr>
            </w:pPr>
            <w:r>
              <w:rPr>
                <w:rFonts w:ascii="Times New Roman" w:hAnsi="Times New Roman"/>
                <w:color w:val="000000"/>
                <w:spacing w:val="6"/>
                <w:kern w:val="0"/>
                <w:szCs w:val="21"/>
              </w:rPr>
              <w:t>废水</w:t>
            </w:r>
          </w:p>
        </w:tc>
        <w:tc>
          <w:tcPr>
            <w:tcW w:w="1131" w:type="dxa"/>
            <w:vAlign w:val="center"/>
          </w:tcPr>
          <w:p>
            <w:pPr>
              <w:jc w:val="center"/>
              <w:textAlignment w:val="baseline"/>
              <w:rPr>
                <w:rFonts w:ascii="Times New Roman" w:hAnsi="Times New Roman"/>
                <w:color w:val="000000"/>
                <w:spacing w:val="6"/>
                <w:kern w:val="0"/>
                <w:szCs w:val="21"/>
                <w:vertAlign w:val="subscript"/>
              </w:rPr>
            </w:pPr>
            <w:r>
              <w:rPr>
                <w:rFonts w:ascii="Times New Roman" w:hAnsi="Times New Roman"/>
                <w:color w:val="000000"/>
                <w:spacing w:val="6"/>
                <w:kern w:val="0"/>
                <w:szCs w:val="21"/>
              </w:rPr>
              <w:t>废水量</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4" w:type="dxa"/>
            <w:vAlign w:val="center"/>
          </w:tcPr>
          <w:p>
            <w:pPr>
              <w:pStyle w:val="2"/>
              <w:jc w:val="center"/>
              <w:rPr>
                <w:rFonts w:ascii="Times New Roman" w:hAnsi="Times New Roman"/>
                <w:color w:val="000000"/>
                <w:spacing w:val="6"/>
                <w:kern w:val="0"/>
                <w:szCs w:val="21"/>
              </w:rPr>
            </w:pPr>
            <w:r>
              <w:rPr>
                <w:rFonts w:ascii="Times New Roman" w:hAnsi="Times New Roman"/>
              </w:rPr>
              <w:t>30000</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Merge w:val="restart"/>
            <w:vAlign w:val="center"/>
          </w:tcPr>
          <w:p>
            <w:pPr>
              <w:widowControl/>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不外排</w:t>
            </w:r>
          </w:p>
        </w:tc>
        <w:tc>
          <w:tcPr>
            <w:tcW w:w="1406" w:type="dxa"/>
            <w:vMerge w:val="restart"/>
            <w:vAlign w:val="center"/>
          </w:tcPr>
          <w:p>
            <w:pPr>
              <w:widowControl/>
              <w:jc w:val="center"/>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vAlign w:val="center"/>
          </w:tcPr>
          <w:p>
            <w:pPr>
              <w:widowControl/>
              <w:jc w:val="center"/>
              <w:rPr>
                <w:rFonts w:ascii="Times New Roman" w:hAnsi="Times New Roman"/>
                <w:color w:val="FF0000"/>
                <w:spacing w:val="6"/>
                <w:kern w:val="0"/>
                <w:szCs w:val="21"/>
              </w:rPr>
            </w:pPr>
          </w:p>
        </w:tc>
        <w:tc>
          <w:tcPr>
            <w:tcW w:w="1361" w:type="dxa"/>
            <w:vMerge w:val="continue"/>
            <w:vAlign w:val="center"/>
          </w:tcPr>
          <w:p>
            <w:pPr>
              <w:widowControl/>
              <w:jc w:val="center"/>
              <w:rPr>
                <w:rFonts w:ascii="Times New Roman" w:hAnsi="Times New Roman"/>
                <w:color w:val="FF0000"/>
                <w:spacing w:val="6"/>
                <w:kern w:val="0"/>
                <w:szCs w:val="21"/>
              </w:rPr>
            </w:pPr>
          </w:p>
        </w:tc>
        <w:tc>
          <w:tcPr>
            <w:tcW w:w="1131" w:type="dxa"/>
            <w:vAlign w:val="center"/>
          </w:tcPr>
          <w:p>
            <w:pPr>
              <w:jc w:val="center"/>
              <w:textAlignment w:val="baseline"/>
              <w:rPr>
                <w:rFonts w:ascii="Times New Roman" w:hAnsi="Times New Roman"/>
                <w:color w:val="000000"/>
                <w:spacing w:val="6"/>
                <w:kern w:val="0"/>
                <w:szCs w:val="21"/>
                <w:vertAlign w:val="subscript"/>
              </w:rPr>
            </w:pPr>
            <w:r>
              <w:rPr>
                <w:rFonts w:ascii="Times New Roman" w:hAnsi="Times New Roman"/>
                <w:bCs/>
                <w:color w:val="000000"/>
                <w:szCs w:val="21"/>
              </w:rPr>
              <w:t>COD</w:t>
            </w:r>
          </w:p>
        </w:tc>
        <w:tc>
          <w:tcPr>
            <w:tcW w:w="1267" w:type="dxa"/>
            <w:vAlign w:val="center"/>
          </w:tcPr>
          <w:p>
            <w:pPr>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50</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1.5</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Merge w:val="continue"/>
            <w:vAlign w:val="center"/>
          </w:tcPr>
          <w:p>
            <w:pPr>
              <w:widowControl/>
              <w:jc w:val="center"/>
              <w:rPr>
                <w:rFonts w:ascii="Times New Roman" w:hAnsi="Times New Roman"/>
                <w:color w:val="FF0000"/>
                <w:spacing w:val="6"/>
                <w:kern w:val="0"/>
                <w:szCs w:val="21"/>
              </w:rPr>
            </w:pPr>
          </w:p>
        </w:tc>
        <w:tc>
          <w:tcPr>
            <w:tcW w:w="1406" w:type="dxa"/>
            <w:vMerge w:val="continue"/>
            <w:vAlign w:val="center"/>
          </w:tcPr>
          <w:p>
            <w:pPr>
              <w:widowControl/>
              <w:jc w:val="center"/>
              <w:rPr>
                <w:rFonts w:ascii="Times New Roman" w:hAnsi="Times New Roman"/>
                <w:color w:val="FF0000"/>
                <w:spacing w:val="6"/>
                <w:kern w:val="0"/>
                <w:szCs w:val="21"/>
              </w:rPr>
            </w:pP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vAlign w:val="center"/>
          </w:tcPr>
          <w:p>
            <w:pPr>
              <w:widowControl/>
              <w:jc w:val="center"/>
              <w:rPr>
                <w:rFonts w:ascii="Times New Roman" w:hAnsi="Times New Roman"/>
                <w:color w:val="FF0000"/>
                <w:spacing w:val="6"/>
                <w:kern w:val="0"/>
                <w:szCs w:val="21"/>
              </w:rPr>
            </w:pPr>
          </w:p>
        </w:tc>
        <w:tc>
          <w:tcPr>
            <w:tcW w:w="1361" w:type="dxa"/>
            <w:vMerge w:val="continue"/>
            <w:vAlign w:val="center"/>
          </w:tcPr>
          <w:p>
            <w:pPr>
              <w:widowControl/>
              <w:jc w:val="center"/>
              <w:rPr>
                <w:rFonts w:ascii="Times New Roman" w:hAnsi="Times New Roman"/>
                <w:color w:val="FF0000"/>
                <w:spacing w:val="6"/>
                <w:kern w:val="0"/>
                <w:szCs w:val="21"/>
              </w:rPr>
            </w:pPr>
          </w:p>
        </w:tc>
        <w:tc>
          <w:tcPr>
            <w:tcW w:w="1131" w:type="dxa"/>
            <w:vAlign w:val="center"/>
          </w:tcPr>
          <w:p>
            <w:pPr>
              <w:jc w:val="center"/>
              <w:textAlignment w:val="baseline"/>
              <w:rPr>
                <w:rFonts w:ascii="Times New Roman" w:hAnsi="Times New Roman"/>
                <w:color w:val="000000"/>
                <w:spacing w:val="6"/>
                <w:kern w:val="0"/>
                <w:szCs w:val="21"/>
                <w:vertAlign w:val="subscript"/>
              </w:rPr>
            </w:pPr>
            <w:r>
              <w:rPr>
                <w:rFonts w:ascii="Times New Roman" w:hAnsi="Times New Roman"/>
                <w:bCs/>
                <w:color w:val="000000"/>
                <w:szCs w:val="21"/>
              </w:rPr>
              <w:t>BOD</w:t>
            </w:r>
            <w:r>
              <w:rPr>
                <w:rFonts w:ascii="Times New Roman" w:hAnsi="Times New Roman"/>
                <w:bCs/>
                <w:color w:val="000000"/>
                <w:szCs w:val="21"/>
                <w:vertAlign w:val="subscript"/>
              </w:rPr>
              <w:t>5</w:t>
            </w:r>
          </w:p>
        </w:tc>
        <w:tc>
          <w:tcPr>
            <w:tcW w:w="1267" w:type="dxa"/>
            <w:vAlign w:val="center"/>
          </w:tcPr>
          <w:p>
            <w:pPr>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10</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0.3</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Merge w:val="continue"/>
            <w:vAlign w:val="center"/>
          </w:tcPr>
          <w:p>
            <w:pPr>
              <w:widowControl/>
              <w:jc w:val="center"/>
              <w:rPr>
                <w:rFonts w:ascii="Times New Roman" w:hAnsi="Times New Roman"/>
                <w:color w:val="FF0000"/>
                <w:spacing w:val="6"/>
                <w:kern w:val="0"/>
                <w:szCs w:val="21"/>
              </w:rPr>
            </w:pPr>
          </w:p>
        </w:tc>
        <w:tc>
          <w:tcPr>
            <w:tcW w:w="1406" w:type="dxa"/>
            <w:vMerge w:val="continue"/>
            <w:vAlign w:val="center"/>
          </w:tcPr>
          <w:p>
            <w:pPr>
              <w:widowControl/>
              <w:jc w:val="center"/>
              <w:rPr>
                <w:rFonts w:ascii="Times New Roman" w:hAnsi="Times New Roman"/>
                <w:color w:val="FF0000"/>
                <w:spacing w:val="6"/>
                <w:kern w:val="0"/>
                <w:szCs w:val="21"/>
              </w:rPr>
            </w:pP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vAlign w:val="center"/>
          </w:tcPr>
          <w:p>
            <w:pPr>
              <w:widowControl/>
              <w:jc w:val="center"/>
              <w:rPr>
                <w:rFonts w:ascii="Times New Roman" w:hAnsi="Times New Roman"/>
                <w:color w:val="FF0000"/>
                <w:spacing w:val="6"/>
                <w:kern w:val="0"/>
                <w:szCs w:val="21"/>
              </w:rPr>
            </w:pPr>
          </w:p>
        </w:tc>
        <w:tc>
          <w:tcPr>
            <w:tcW w:w="1361" w:type="dxa"/>
            <w:vMerge w:val="continue"/>
            <w:vAlign w:val="center"/>
          </w:tcPr>
          <w:p>
            <w:pPr>
              <w:widowControl/>
              <w:jc w:val="center"/>
              <w:rPr>
                <w:rFonts w:ascii="Times New Roman" w:hAnsi="Times New Roman"/>
                <w:color w:val="FF0000"/>
                <w:spacing w:val="6"/>
                <w:kern w:val="0"/>
                <w:szCs w:val="21"/>
              </w:rPr>
            </w:pPr>
          </w:p>
        </w:tc>
        <w:tc>
          <w:tcPr>
            <w:tcW w:w="1131" w:type="dxa"/>
            <w:vAlign w:val="center"/>
          </w:tcPr>
          <w:p>
            <w:pPr>
              <w:jc w:val="center"/>
              <w:textAlignment w:val="baseline"/>
              <w:rPr>
                <w:rFonts w:ascii="Times New Roman" w:hAnsi="Times New Roman"/>
                <w:color w:val="000000"/>
                <w:spacing w:val="6"/>
                <w:kern w:val="0"/>
                <w:szCs w:val="21"/>
                <w:vertAlign w:val="subscript"/>
              </w:rPr>
            </w:pPr>
            <w:r>
              <w:rPr>
                <w:rFonts w:ascii="Times New Roman" w:hAnsi="Times New Roman"/>
                <w:bCs/>
                <w:color w:val="000000"/>
                <w:szCs w:val="21"/>
              </w:rPr>
              <w:t>SS</w:t>
            </w:r>
          </w:p>
        </w:tc>
        <w:tc>
          <w:tcPr>
            <w:tcW w:w="1267" w:type="dxa"/>
            <w:vAlign w:val="center"/>
          </w:tcPr>
          <w:p>
            <w:pPr>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500</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15</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Merge w:val="continue"/>
            <w:vAlign w:val="center"/>
          </w:tcPr>
          <w:p>
            <w:pPr>
              <w:widowControl/>
              <w:jc w:val="center"/>
              <w:rPr>
                <w:rFonts w:ascii="Times New Roman" w:hAnsi="Times New Roman"/>
                <w:color w:val="FF0000"/>
                <w:spacing w:val="6"/>
                <w:kern w:val="0"/>
                <w:szCs w:val="21"/>
              </w:rPr>
            </w:pPr>
          </w:p>
        </w:tc>
        <w:tc>
          <w:tcPr>
            <w:tcW w:w="1406" w:type="dxa"/>
            <w:vMerge w:val="continue"/>
            <w:vAlign w:val="center"/>
          </w:tcPr>
          <w:p>
            <w:pPr>
              <w:widowControl/>
              <w:jc w:val="center"/>
              <w:rPr>
                <w:rFonts w:ascii="Times New Roman" w:hAnsi="Times New Roman"/>
                <w:color w:val="FF0000"/>
                <w:spacing w:val="6"/>
                <w:kern w:val="0"/>
                <w:szCs w:val="21"/>
              </w:rPr>
            </w:pP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vAlign w:val="center"/>
          </w:tcPr>
          <w:p>
            <w:pPr>
              <w:widowControl/>
              <w:jc w:val="center"/>
              <w:rPr>
                <w:rFonts w:ascii="Times New Roman" w:hAnsi="Times New Roman"/>
                <w:color w:val="FF0000"/>
                <w:spacing w:val="6"/>
                <w:kern w:val="0"/>
                <w:szCs w:val="21"/>
              </w:rPr>
            </w:pPr>
          </w:p>
        </w:tc>
        <w:tc>
          <w:tcPr>
            <w:tcW w:w="1361" w:type="dxa"/>
            <w:vMerge w:val="continue"/>
            <w:tcBorders>
              <w:bottom w:val="single" w:color="auto" w:sz="4" w:space="0"/>
            </w:tcBorders>
            <w:vAlign w:val="center"/>
          </w:tcPr>
          <w:p>
            <w:pPr>
              <w:widowControl/>
              <w:jc w:val="center"/>
              <w:rPr>
                <w:rFonts w:ascii="Times New Roman" w:hAnsi="Times New Roman"/>
                <w:color w:val="FF0000"/>
                <w:spacing w:val="6"/>
                <w:kern w:val="0"/>
                <w:szCs w:val="21"/>
              </w:rPr>
            </w:pPr>
          </w:p>
        </w:tc>
        <w:tc>
          <w:tcPr>
            <w:tcW w:w="1131" w:type="dxa"/>
            <w:vAlign w:val="center"/>
          </w:tcPr>
          <w:p>
            <w:pPr>
              <w:jc w:val="center"/>
              <w:textAlignment w:val="baseline"/>
              <w:rPr>
                <w:rFonts w:ascii="Times New Roman" w:hAnsi="Times New Roman"/>
                <w:bCs/>
                <w:color w:val="000000"/>
                <w:szCs w:val="21"/>
              </w:rPr>
            </w:pPr>
            <w:r>
              <w:rPr>
                <w:rFonts w:ascii="Times New Roman" w:hAnsi="Times New Roman"/>
                <w:bCs/>
                <w:color w:val="000000"/>
                <w:szCs w:val="21"/>
              </w:rPr>
              <w:t>NH</w:t>
            </w:r>
            <w:r>
              <w:rPr>
                <w:rFonts w:ascii="Times New Roman" w:hAnsi="Times New Roman"/>
                <w:bCs/>
                <w:color w:val="000000"/>
                <w:szCs w:val="21"/>
                <w:vertAlign w:val="subscript"/>
              </w:rPr>
              <w:t>3-</w:t>
            </w:r>
            <w:r>
              <w:rPr>
                <w:rFonts w:ascii="Times New Roman" w:hAnsi="Times New Roman"/>
                <w:bCs/>
                <w:color w:val="000000"/>
                <w:szCs w:val="21"/>
              </w:rPr>
              <w:t>N</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3295" w:type="dxa"/>
            <w:vMerge w:val="continue"/>
            <w:vAlign w:val="center"/>
          </w:tcPr>
          <w:p>
            <w:pPr>
              <w:widowControl/>
              <w:jc w:val="center"/>
              <w:rPr>
                <w:rFonts w:ascii="Times New Roman" w:hAnsi="Times New Roman"/>
                <w:color w:val="FF0000"/>
                <w:spacing w:val="6"/>
                <w:kern w:val="0"/>
                <w:szCs w:val="21"/>
              </w:rPr>
            </w:pPr>
          </w:p>
        </w:tc>
        <w:tc>
          <w:tcPr>
            <w:tcW w:w="1406" w:type="dxa"/>
            <w:vMerge w:val="continue"/>
            <w:vAlign w:val="center"/>
          </w:tcPr>
          <w:p>
            <w:pPr>
              <w:widowControl/>
              <w:jc w:val="center"/>
              <w:rPr>
                <w:rFonts w:ascii="Times New Roman" w:hAnsi="Times New Roman"/>
                <w:color w:val="FF0000"/>
                <w:spacing w:val="6"/>
                <w:kern w:val="0"/>
                <w:szCs w:val="21"/>
              </w:rPr>
            </w:pP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vAlign w:val="center"/>
          </w:tcPr>
          <w:p>
            <w:pPr>
              <w:widowControl/>
              <w:jc w:val="center"/>
              <w:rPr>
                <w:rFonts w:ascii="Times New Roman" w:hAnsi="Times New Roman"/>
                <w:color w:val="FF0000"/>
                <w:spacing w:val="6"/>
                <w:kern w:val="0"/>
                <w:szCs w:val="21"/>
              </w:rPr>
            </w:pPr>
          </w:p>
        </w:tc>
        <w:tc>
          <w:tcPr>
            <w:tcW w:w="1361" w:type="dxa"/>
            <w:vMerge w:val="restart"/>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尾矿库淋溶水</w:t>
            </w:r>
          </w:p>
        </w:tc>
        <w:tc>
          <w:tcPr>
            <w:tcW w:w="1131" w:type="dxa"/>
            <w:vAlign w:val="center"/>
          </w:tcPr>
          <w:p>
            <w:pPr>
              <w:jc w:val="center"/>
              <w:textAlignment w:val="baseline"/>
              <w:rPr>
                <w:rFonts w:ascii="Times New Roman" w:hAnsi="Times New Roman"/>
                <w:bCs/>
                <w:color w:val="000000"/>
                <w:szCs w:val="21"/>
              </w:rPr>
            </w:pPr>
            <w:r>
              <w:rPr>
                <w:rFonts w:ascii="Times New Roman" w:hAnsi="Times New Roman"/>
                <w:color w:val="000000"/>
                <w:spacing w:val="6"/>
                <w:kern w:val="0"/>
                <w:szCs w:val="21"/>
              </w:rPr>
              <w:t>废水量</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27.46</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Merge w:val="continue"/>
            <w:vAlign w:val="center"/>
          </w:tcPr>
          <w:p>
            <w:pPr>
              <w:widowControl/>
              <w:jc w:val="center"/>
              <w:rPr>
                <w:rFonts w:ascii="Times New Roman" w:hAnsi="Times New Roman"/>
                <w:color w:val="FF0000"/>
                <w:spacing w:val="6"/>
                <w:kern w:val="0"/>
                <w:szCs w:val="21"/>
              </w:rPr>
            </w:pPr>
          </w:p>
        </w:tc>
        <w:tc>
          <w:tcPr>
            <w:tcW w:w="1406" w:type="dxa"/>
            <w:vMerge w:val="continue"/>
            <w:vAlign w:val="center"/>
          </w:tcPr>
          <w:p>
            <w:pPr>
              <w:widowControl/>
              <w:jc w:val="center"/>
              <w:rPr>
                <w:rFonts w:ascii="Times New Roman" w:hAnsi="Times New Roman"/>
                <w:color w:val="FF0000"/>
                <w:spacing w:val="6"/>
                <w:kern w:val="0"/>
                <w:szCs w:val="21"/>
              </w:rPr>
            </w:pP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vAlign w:val="center"/>
          </w:tcPr>
          <w:p>
            <w:pPr>
              <w:widowControl/>
              <w:jc w:val="center"/>
              <w:rPr>
                <w:rFonts w:ascii="Times New Roman" w:hAnsi="Times New Roman"/>
                <w:color w:val="FF0000"/>
                <w:spacing w:val="6"/>
                <w:kern w:val="0"/>
                <w:szCs w:val="21"/>
              </w:rPr>
            </w:pPr>
          </w:p>
        </w:tc>
        <w:tc>
          <w:tcPr>
            <w:tcW w:w="1361" w:type="dxa"/>
            <w:vMerge w:val="continue"/>
            <w:vAlign w:val="center"/>
          </w:tcPr>
          <w:p>
            <w:pPr>
              <w:widowControl/>
              <w:jc w:val="center"/>
              <w:rPr>
                <w:rFonts w:ascii="Times New Roman" w:hAnsi="Times New Roman"/>
                <w:color w:val="000000"/>
                <w:spacing w:val="6"/>
                <w:kern w:val="0"/>
                <w:szCs w:val="21"/>
              </w:rPr>
            </w:pPr>
          </w:p>
        </w:tc>
        <w:tc>
          <w:tcPr>
            <w:tcW w:w="1131" w:type="dxa"/>
            <w:vAlign w:val="center"/>
          </w:tcPr>
          <w:p>
            <w:pPr>
              <w:jc w:val="center"/>
              <w:textAlignment w:val="baseline"/>
              <w:rPr>
                <w:rFonts w:ascii="Times New Roman" w:hAnsi="Times New Roman"/>
                <w:bCs/>
                <w:color w:val="000000"/>
                <w:szCs w:val="21"/>
              </w:rPr>
            </w:pPr>
            <w:r>
              <w:rPr>
                <w:rFonts w:ascii="Times New Roman" w:hAnsi="Times New Roman"/>
                <w:bCs/>
                <w:color w:val="000000"/>
                <w:szCs w:val="21"/>
              </w:rPr>
              <w:t>COD</w:t>
            </w:r>
          </w:p>
        </w:tc>
        <w:tc>
          <w:tcPr>
            <w:tcW w:w="1267" w:type="dxa"/>
            <w:vAlign w:val="center"/>
          </w:tcPr>
          <w:p>
            <w:pPr>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15</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0.00002</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Merge w:val="continue"/>
            <w:vAlign w:val="center"/>
          </w:tcPr>
          <w:p>
            <w:pPr>
              <w:widowControl/>
              <w:jc w:val="center"/>
              <w:rPr>
                <w:rFonts w:ascii="Times New Roman" w:hAnsi="Times New Roman"/>
                <w:color w:val="FF0000"/>
                <w:spacing w:val="6"/>
                <w:kern w:val="0"/>
                <w:szCs w:val="21"/>
              </w:rPr>
            </w:pPr>
          </w:p>
        </w:tc>
        <w:tc>
          <w:tcPr>
            <w:tcW w:w="1406" w:type="dxa"/>
            <w:vMerge w:val="continue"/>
            <w:vAlign w:val="center"/>
          </w:tcPr>
          <w:p>
            <w:pPr>
              <w:widowControl/>
              <w:jc w:val="center"/>
              <w:rPr>
                <w:rFonts w:ascii="Times New Roman" w:hAnsi="Times New Roman"/>
                <w:color w:val="FF0000"/>
                <w:spacing w:val="6"/>
                <w:kern w:val="0"/>
                <w:szCs w:val="21"/>
              </w:rPr>
            </w:pP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vAlign w:val="center"/>
          </w:tcPr>
          <w:p>
            <w:pPr>
              <w:widowControl/>
              <w:jc w:val="center"/>
              <w:rPr>
                <w:rFonts w:ascii="Times New Roman" w:hAnsi="Times New Roman"/>
                <w:color w:val="FF0000"/>
                <w:spacing w:val="6"/>
                <w:kern w:val="0"/>
                <w:szCs w:val="21"/>
              </w:rPr>
            </w:pPr>
          </w:p>
        </w:tc>
        <w:tc>
          <w:tcPr>
            <w:tcW w:w="1361" w:type="dxa"/>
            <w:vMerge w:val="continue"/>
            <w:vAlign w:val="center"/>
          </w:tcPr>
          <w:p>
            <w:pPr>
              <w:widowControl/>
              <w:jc w:val="center"/>
              <w:rPr>
                <w:rFonts w:ascii="Times New Roman" w:hAnsi="Times New Roman"/>
                <w:color w:val="000000"/>
                <w:spacing w:val="6"/>
                <w:kern w:val="0"/>
                <w:szCs w:val="21"/>
              </w:rPr>
            </w:pPr>
          </w:p>
        </w:tc>
        <w:tc>
          <w:tcPr>
            <w:tcW w:w="1131" w:type="dxa"/>
            <w:vAlign w:val="center"/>
          </w:tcPr>
          <w:p>
            <w:pPr>
              <w:jc w:val="center"/>
              <w:textAlignment w:val="baseline"/>
              <w:rPr>
                <w:rFonts w:ascii="Times New Roman" w:hAnsi="Times New Roman"/>
                <w:bCs/>
                <w:color w:val="000000"/>
                <w:szCs w:val="21"/>
              </w:rPr>
            </w:pPr>
            <w:r>
              <w:rPr>
                <w:rFonts w:ascii="Times New Roman" w:hAnsi="Times New Roman"/>
                <w:bCs/>
                <w:color w:val="000000"/>
                <w:szCs w:val="21"/>
              </w:rPr>
              <w:t>BOD</w:t>
            </w:r>
            <w:r>
              <w:rPr>
                <w:rFonts w:ascii="Times New Roman" w:hAnsi="Times New Roman"/>
                <w:bCs/>
                <w:color w:val="000000"/>
                <w:szCs w:val="21"/>
                <w:vertAlign w:val="subscript"/>
              </w:rPr>
              <w:t>5</w:t>
            </w:r>
          </w:p>
        </w:tc>
        <w:tc>
          <w:tcPr>
            <w:tcW w:w="1267" w:type="dxa"/>
            <w:vAlign w:val="center"/>
          </w:tcPr>
          <w:p>
            <w:pPr>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2</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0.00005</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Merge w:val="continue"/>
            <w:vAlign w:val="center"/>
          </w:tcPr>
          <w:p>
            <w:pPr>
              <w:widowControl/>
              <w:jc w:val="center"/>
              <w:rPr>
                <w:rFonts w:ascii="Times New Roman" w:hAnsi="Times New Roman"/>
                <w:color w:val="FF0000"/>
                <w:spacing w:val="6"/>
                <w:kern w:val="0"/>
                <w:szCs w:val="21"/>
              </w:rPr>
            </w:pPr>
          </w:p>
        </w:tc>
        <w:tc>
          <w:tcPr>
            <w:tcW w:w="1406" w:type="dxa"/>
            <w:vMerge w:val="continue"/>
            <w:vAlign w:val="center"/>
          </w:tcPr>
          <w:p>
            <w:pPr>
              <w:widowControl/>
              <w:jc w:val="center"/>
              <w:rPr>
                <w:rFonts w:ascii="Times New Roman" w:hAnsi="Times New Roman"/>
                <w:color w:val="FF0000"/>
                <w:spacing w:val="6"/>
                <w:kern w:val="0"/>
                <w:szCs w:val="21"/>
              </w:rPr>
            </w:pP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vAlign w:val="center"/>
          </w:tcPr>
          <w:p>
            <w:pPr>
              <w:widowControl/>
              <w:jc w:val="center"/>
              <w:rPr>
                <w:rFonts w:ascii="Times New Roman" w:hAnsi="Times New Roman"/>
                <w:color w:val="FF0000"/>
                <w:spacing w:val="6"/>
                <w:kern w:val="0"/>
                <w:szCs w:val="21"/>
              </w:rPr>
            </w:pPr>
          </w:p>
        </w:tc>
        <w:tc>
          <w:tcPr>
            <w:tcW w:w="1361" w:type="dxa"/>
            <w:vMerge w:val="continue"/>
            <w:vAlign w:val="center"/>
          </w:tcPr>
          <w:p>
            <w:pPr>
              <w:widowControl/>
              <w:jc w:val="center"/>
              <w:rPr>
                <w:rFonts w:ascii="Times New Roman" w:hAnsi="Times New Roman"/>
                <w:color w:val="000000"/>
                <w:spacing w:val="6"/>
                <w:kern w:val="0"/>
                <w:szCs w:val="21"/>
              </w:rPr>
            </w:pPr>
          </w:p>
        </w:tc>
        <w:tc>
          <w:tcPr>
            <w:tcW w:w="1131" w:type="dxa"/>
            <w:vAlign w:val="center"/>
          </w:tcPr>
          <w:p>
            <w:pPr>
              <w:jc w:val="center"/>
              <w:textAlignment w:val="baseline"/>
              <w:rPr>
                <w:rFonts w:ascii="Times New Roman" w:hAnsi="Times New Roman"/>
                <w:bCs/>
                <w:color w:val="000000"/>
                <w:szCs w:val="21"/>
              </w:rPr>
            </w:pPr>
            <w:r>
              <w:rPr>
                <w:rFonts w:ascii="Times New Roman" w:hAnsi="Times New Roman"/>
                <w:bCs/>
                <w:color w:val="000000"/>
                <w:szCs w:val="21"/>
              </w:rPr>
              <w:t>SS</w:t>
            </w:r>
          </w:p>
        </w:tc>
        <w:tc>
          <w:tcPr>
            <w:tcW w:w="1267" w:type="dxa"/>
            <w:vAlign w:val="center"/>
          </w:tcPr>
          <w:p>
            <w:pPr>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200</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0.005</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Merge w:val="continue"/>
            <w:vAlign w:val="center"/>
          </w:tcPr>
          <w:p>
            <w:pPr>
              <w:widowControl/>
              <w:jc w:val="center"/>
              <w:rPr>
                <w:rFonts w:ascii="Times New Roman" w:hAnsi="Times New Roman"/>
                <w:color w:val="FF0000"/>
                <w:spacing w:val="6"/>
                <w:kern w:val="0"/>
                <w:szCs w:val="21"/>
              </w:rPr>
            </w:pPr>
          </w:p>
        </w:tc>
        <w:tc>
          <w:tcPr>
            <w:tcW w:w="1406" w:type="dxa"/>
            <w:vMerge w:val="continue"/>
            <w:vAlign w:val="center"/>
          </w:tcPr>
          <w:p>
            <w:pPr>
              <w:widowControl/>
              <w:jc w:val="center"/>
              <w:rPr>
                <w:rFonts w:ascii="Times New Roman" w:hAnsi="Times New Roman"/>
                <w:color w:val="FF0000"/>
                <w:spacing w:val="6"/>
                <w:kern w:val="0"/>
                <w:szCs w:val="21"/>
              </w:rPr>
            </w:pP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432" w:type="dxa"/>
            <w:vMerge w:val="continue"/>
            <w:tcBorders>
              <w:bottom w:val="single" w:color="auto" w:sz="4" w:space="0"/>
            </w:tcBorders>
            <w:vAlign w:val="center"/>
          </w:tcPr>
          <w:p>
            <w:pPr>
              <w:widowControl/>
              <w:jc w:val="center"/>
              <w:rPr>
                <w:rFonts w:ascii="Times New Roman" w:hAnsi="Times New Roman"/>
                <w:color w:val="FF0000"/>
                <w:spacing w:val="6"/>
                <w:kern w:val="0"/>
                <w:szCs w:val="21"/>
              </w:rPr>
            </w:pPr>
          </w:p>
        </w:tc>
        <w:tc>
          <w:tcPr>
            <w:tcW w:w="1361" w:type="dxa"/>
            <w:vMerge w:val="continue"/>
            <w:tcBorders>
              <w:bottom w:val="single" w:color="auto" w:sz="4" w:space="0"/>
            </w:tcBorders>
            <w:vAlign w:val="center"/>
          </w:tcPr>
          <w:p>
            <w:pPr>
              <w:widowControl/>
              <w:jc w:val="center"/>
              <w:rPr>
                <w:rFonts w:ascii="Times New Roman" w:hAnsi="Times New Roman"/>
                <w:color w:val="000000"/>
                <w:spacing w:val="6"/>
                <w:kern w:val="0"/>
                <w:szCs w:val="21"/>
              </w:rPr>
            </w:pPr>
          </w:p>
        </w:tc>
        <w:tc>
          <w:tcPr>
            <w:tcW w:w="1131" w:type="dxa"/>
            <w:vAlign w:val="center"/>
          </w:tcPr>
          <w:p>
            <w:pPr>
              <w:jc w:val="center"/>
              <w:textAlignment w:val="baseline"/>
              <w:rPr>
                <w:rFonts w:ascii="Times New Roman" w:hAnsi="Times New Roman"/>
                <w:bCs/>
                <w:color w:val="000000"/>
                <w:szCs w:val="21"/>
              </w:rPr>
            </w:pPr>
            <w:r>
              <w:rPr>
                <w:rFonts w:ascii="Times New Roman" w:hAnsi="Times New Roman"/>
                <w:bCs/>
                <w:color w:val="000000"/>
                <w:szCs w:val="21"/>
              </w:rPr>
              <w:t>NH</w:t>
            </w:r>
            <w:r>
              <w:rPr>
                <w:rFonts w:ascii="Times New Roman" w:hAnsi="Times New Roman"/>
                <w:bCs/>
                <w:color w:val="000000"/>
                <w:szCs w:val="21"/>
                <w:vertAlign w:val="subscript"/>
              </w:rPr>
              <w:t>3-</w:t>
            </w:r>
            <w:r>
              <w:rPr>
                <w:rFonts w:ascii="Times New Roman" w:hAnsi="Times New Roman"/>
                <w:bCs/>
                <w:color w:val="000000"/>
                <w:szCs w:val="21"/>
              </w:rPr>
              <w:t>N</w:t>
            </w:r>
          </w:p>
        </w:tc>
        <w:tc>
          <w:tcPr>
            <w:tcW w:w="1267" w:type="dxa"/>
            <w:vAlign w:val="center"/>
          </w:tcPr>
          <w:p>
            <w:pPr>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0.09</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0.000002</w:t>
            </w:r>
          </w:p>
        </w:tc>
        <w:tc>
          <w:tcPr>
            <w:tcW w:w="1183" w:type="dxa"/>
            <w:vAlign w:val="center"/>
          </w:tcPr>
          <w:p>
            <w:pPr>
              <w:jc w:val="center"/>
              <w:textAlignment w:val="baseline"/>
              <w:rPr>
                <w:rFonts w:ascii="Times New Roman" w:hAnsi="Times New Roman"/>
                <w:color w:val="000000"/>
                <w:spacing w:val="6"/>
                <w:kern w:val="0"/>
                <w:szCs w:val="21"/>
              </w:rPr>
            </w:pPr>
          </w:p>
        </w:tc>
        <w:tc>
          <w:tcPr>
            <w:tcW w:w="991" w:type="dxa"/>
            <w:vAlign w:val="center"/>
          </w:tcPr>
          <w:p>
            <w:pPr>
              <w:jc w:val="center"/>
              <w:textAlignment w:val="baseline"/>
              <w:rPr>
                <w:rFonts w:ascii="Times New Roman" w:hAnsi="Times New Roman"/>
                <w:color w:val="000000"/>
                <w:spacing w:val="6"/>
                <w:kern w:val="0"/>
                <w:szCs w:val="21"/>
              </w:rPr>
            </w:pPr>
          </w:p>
        </w:tc>
        <w:tc>
          <w:tcPr>
            <w:tcW w:w="3295" w:type="dxa"/>
            <w:vMerge w:val="continue"/>
            <w:vAlign w:val="center"/>
          </w:tcPr>
          <w:p>
            <w:pPr>
              <w:widowControl/>
              <w:jc w:val="center"/>
              <w:rPr>
                <w:rFonts w:ascii="Times New Roman" w:hAnsi="Times New Roman"/>
                <w:color w:val="FF0000"/>
                <w:spacing w:val="6"/>
                <w:kern w:val="0"/>
                <w:szCs w:val="21"/>
              </w:rPr>
            </w:pPr>
          </w:p>
        </w:tc>
        <w:tc>
          <w:tcPr>
            <w:tcW w:w="1406" w:type="dxa"/>
            <w:vMerge w:val="continue"/>
            <w:vAlign w:val="center"/>
          </w:tcPr>
          <w:p>
            <w:pPr>
              <w:widowControl/>
              <w:jc w:val="center"/>
              <w:rPr>
                <w:rFonts w:ascii="Times New Roman" w:hAnsi="Times New Roman"/>
                <w:color w:val="FF0000"/>
                <w:spacing w:val="6"/>
                <w:kern w:val="0"/>
                <w:szCs w:val="21"/>
              </w:rPr>
            </w:pPr>
          </w:p>
        </w:tc>
        <w:tc>
          <w:tcPr>
            <w:tcW w:w="2114" w:type="dxa"/>
            <w:vMerge w:val="continue"/>
            <w:vAlign w:val="center"/>
          </w:tcPr>
          <w:p>
            <w:pPr>
              <w:widowControl/>
              <w:jc w:val="center"/>
              <w:rPr>
                <w:rFonts w:ascii="Times New Roman" w:hAnsi="Times New Roman"/>
                <w:color w:val="FF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432" w:type="dxa"/>
            <w:vMerge w:val="restart"/>
            <w:tcBorders>
              <w:top w:val="single" w:color="auto" w:sz="4" w:space="0"/>
            </w:tcBorders>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固</w:t>
            </w:r>
          </w:p>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体</w:t>
            </w:r>
          </w:p>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废</w:t>
            </w:r>
          </w:p>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物</w:t>
            </w:r>
          </w:p>
        </w:tc>
        <w:tc>
          <w:tcPr>
            <w:tcW w:w="1361" w:type="dxa"/>
            <w:tcBorders>
              <w:top w:val="single" w:color="auto" w:sz="4" w:space="0"/>
            </w:tcBorders>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压滤间</w:t>
            </w:r>
          </w:p>
        </w:tc>
        <w:tc>
          <w:tcPr>
            <w:tcW w:w="1131"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尾矿泥饼</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sz w:val="24"/>
                <w:szCs w:val="24"/>
              </w:rPr>
              <w:t>15×10</w:t>
            </w:r>
            <w:r>
              <w:rPr>
                <w:rFonts w:ascii="Times New Roman" w:hAnsi="Times New Roman"/>
                <w:sz w:val="24"/>
                <w:szCs w:val="24"/>
                <w:vertAlign w:val="superscript"/>
              </w:rPr>
              <w:t>4</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Align w:val="center"/>
          </w:tcPr>
          <w:p>
            <w:pPr>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一部分外卖吉林市智德利商贸有限公司，另一部分堆放至尾矿库内。</w:t>
            </w:r>
          </w:p>
        </w:tc>
        <w:tc>
          <w:tcPr>
            <w:tcW w:w="1406" w:type="dxa"/>
            <w:vAlign w:val="center"/>
          </w:tcPr>
          <w:p>
            <w:pPr>
              <w:jc w:val="center"/>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2114" w:type="dxa"/>
            <w:vMerge w:val="restart"/>
            <w:vAlign w:val="center"/>
          </w:tcPr>
          <w:p>
            <w:pPr>
              <w:jc w:val="center"/>
              <w:rPr>
                <w:rFonts w:ascii="Times New Roman" w:hAnsi="Times New Roman"/>
                <w:color w:val="000000"/>
                <w:spacing w:val="6"/>
                <w:kern w:val="0"/>
                <w:szCs w:val="21"/>
              </w:rPr>
            </w:pPr>
            <w:r>
              <w:rPr>
                <w:rFonts w:ascii="Times New Roman" w:hAnsi="Times New Roman"/>
                <w:color w:val="000000"/>
                <w:spacing w:val="6"/>
                <w:kern w:val="0"/>
                <w:szCs w:val="21"/>
              </w:rPr>
              <w:t>《一般工业固体废物储存、处置场污染控制标准》（GB18599-2001）（2013年修订）Ⅰ类固体废物的规定</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432" w:type="dxa"/>
            <w:vMerge w:val="continue"/>
            <w:vAlign w:val="center"/>
          </w:tcPr>
          <w:p>
            <w:pPr>
              <w:widowControl/>
              <w:jc w:val="center"/>
              <w:rPr>
                <w:rFonts w:ascii="Times New Roman" w:hAnsi="Times New Roman"/>
                <w:color w:val="000000"/>
                <w:spacing w:val="6"/>
                <w:kern w:val="0"/>
                <w:szCs w:val="21"/>
              </w:rPr>
            </w:pPr>
          </w:p>
        </w:tc>
        <w:tc>
          <w:tcPr>
            <w:tcW w:w="1361"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压滤间</w:t>
            </w:r>
          </w:p>
        </w:tc>
        <w:tc>
          <w:tcPr>
            <w:tcW w:w="1131"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沉淀池污泥</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5</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Align w:val="center"/>
          </w:tcPr>
          <w:p>
            <w:pPr>
              <w:adjustRightInd w:val="0"/>
              <w:snapToGrid w:val="0"/>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堆放至尾矿库内</w:t>
            </w:r>
          </w:p>
        </w:tc>
        <w:tc>
          <w:tcPr>
            <w:tcW w:w="1406" w:type="dxa"/>
            <w:vAlign w:val="center"/>
          </w:tcPr>
          <w:p>
            <w:pPr>
              <w:jc w:val="center"/>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2114" w:type="dxa"/>
            <w:vMerge w:val="continue"/>
            <w:tcBorders>
              <w:bottom w:val="single" w:color="auto" w:sz="4" w:space="0"/>
            </w:tcBorders>
            <w:vAlign w:val="center"/>
          </w:tcPr>
          <w:p>
            <w:pPr>
              <w:jc w:val="center"/>
              <w:rPr>
                <w:rFonts w:ascii="Times New Roman" w:hAnsi="Times New Roman"/>
                <w:color w:val="000000"/>
                <w:spacing w:val="6"/>
                <w:kern w:val="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432" w:type="dxa"/>
            <w:vMerge w:val="continue"/>
            <w:vAlign w:val="center"/>
          </w:tcPr>
          <w:p>
            <w:pPr>
              <w:widowControl/>
              <w:jc w:val="center"/>
              <w:rPr>
                <w:rFonts w:ascii="Times New Roman" w:hAnsi="Times New Roman"/>
                <w:color w:val="000000"/>
                <w:spacing w:val="6"/>
                <w:kern w:val="0"/>
                <w:szCs w:val="21"/>
              </w:rPr>
            </w:pPr>
          </w:p>
        </w:tc>
        <w:tc>
          <w:tcPr>
            <w:tcW w:w="1361"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尾矿库</w:t>
            </w:r>
          </w:p>
        </w:tc>
        <w:tc>
          <w:tcPr>
            <w:tcW w:w="1131"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沉淀池污泥</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2</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Align w:val="center"/>
          </w:tcPr>
          <w:p>
            <w:pPr>
              <w:adjustRightInd w:val="0"/>
              <w:snapToGrid w:val="0"/>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堆放至尾矿库内</w:t>
            </w:r>
          </w:p>
        </w:tc>
        <w:tc>
          <w:tcPr>
            <w:tcW w:w="1406" w:type="dxa"/>
            <w:vAlign w:val="center"/>
          </w:tcPr>
          <w:p>
            <w:pPr>
              <w:jc w:val="center"/>
              <w:rPr>
                <w:rFonts w:ascii="Times New Roman" w:hAnsi="Times New Roman"/>
                <w:color w:val="000000"/>
                <w:szCs w:val="21"/>
              </w:rPr>
            </w:pPr>
            <w:r>
              <w:rPr>
                <w:rFonts w:ascii="Times New Roman" w:hAnsi="Times New Roman"/>
                <w:color w:val="000000"/>
                <w:spacing w:val="6"/>
                <w:kern w:val="0"/>
                <w:szCs w:val="21"/>
              </w:rPr>
              <w:t>—</w:t>
            </w:r>
          </w:p>
        </w:tc>
        <w:tc>
          <w:tcPr>
            <w:tcW w:w="2114" w:type="dxa"/>
            <w:vMerge w:val="restart"/>
            <w:tcBorders>
              <w:top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不会造成二次污染</w:t>
            </w: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432" w:type="dxa"/>
            <w:vMerge w:val="continue"/>
            <w:vAlign w:val="center"/>
          </w:tcPr>
          <w:p>
            <w:pPr>
              <w:widowControl/>
              <w:jc w:val="center"/>
              <w:rPr>
                <w:rFonts w:ascii="Times New Roman" w:hAnsi="Times New Roman"/>
                <w:color w:val="000000"/>
                <w:spacing w:val="6"/>
                <w:kern w:val="0"/>
                <w:szCs w:val="21"/>
              </w:rPr>
            </w:pPr>
          </w:p>
        </w:tc>
        <w:tc>
          <w:tcPr>
            <w:tcW w:w="1361"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机械设备</w:t>
            </w:r>
          </w:p>
        </w:tc>
        <w:tc>
          <w:tcPr>
            <w:tcW w:w="1131"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废机油</w:t>
            </w:r>
          </w:p>
        </w:tc>
        <w:tc>
          <w:tcPr>
            <w:tcW w:w="1267"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4"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0.05</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0</w:t>
            </w:r>
          </w:p>
        </w:tc>
        <w:tc>
          <w:tcPr>
            <w:tcW w:w="3295" w:type="dxa"/>
            <w:vAlign w:val="center"/>
          </w:tcPr>
          <w:p>
            <w:pPr>
              <w:adjustRightInd w:val="0"/>
              <w:snapToGrid w:val="0"/>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统一交由有资质部门集中处理处置。</w:t>
            </w:r>
          </w:p>
        </w:tc>
        <w:tc>
          <w:tcPr>
            <w:tcW w:w="1406" w:type="dxa"/>
            <w:vAlign w:val="center"/>
          </w:tcPr>
          <w:p>
            <w:pPr>
              <w:jc w:val="center"/>
              <w:rPr>
                <w:rFonts w:ascii="Times New Roman" w:hAnsi="Times New Roman"/>
                <w:color w:val="000000"/>
                <w:szCs w:val="21"/>
              </w:rPr>
            </w:pPr>
            <w:r>
              <w:rPr>
                <w:rFonts w:ascii="Times New Roman" w:hAnsi="Times New Roman"/>
                <w:color w:val="000000"/>
                <w:spacing w:val="6"/>
                <w:kern w:val="0"/>
                <w:szCs w:val="21"/>
              </w:rPr>
              <w:t>—</w:t>
            </w:r>
          </w:p>
        </w:tc>
        <w:tc>
          <w:tcPr>
            <w:tcW w:w="2114" w:type="dxa"/>
            <w:vMerge w:val="continue"/>
            <w:vAlign w:val="center"/>
          </w:tcPr>
          <w:p>
            <w:pPr>
              <w:jc w:val="center"/>
              <w:rPr>
                <w:rFonts w:ascii="Times New Roman" w:hAnsi="Times New Roman"/>
                <w:color w:val="000000"/>
                <w:szCs w:val="21"/>
              </w:rPr>
            </w:pPr>
          </w:p>
        </w:tc>
      </w:tr>
      <w:tr>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49" w:hRule="atLeast"/>
          <w:jc w:val="center"/>
        </w:trPr>
        <w:tc>
          <w:tcPr>
            <w:tcW w:w="432" w:type="dxa"/>
            <w:vAlign w:val="center"/>
          </w:tcPr>
          <w:p>
            <w:pPr>
              <w:widowControl/>
              <w:jc w:val="center"/>
              <w:rPr>
                <w:rFonts w:ascii="Times New Roman" w:hAnsi="Times New Roman"/>
                <w:color w:val="000000"/>
                <w:spacing w:val="6"/>
                <w:kern w:val="0"/>
                <w:szCs w:val="21"/>
              </w:rPr>
            </w:pPr>
            <w:r>
              <w:rPr>
                <w:rFonts w:ascii="Times New Roman" w:hAnsi="Times New Roman"/>
                <w:color w:val="000000"/>
                <w:spacing w:val="6"/>
                <w:kern w:val="0"/>
                <w:szCs w:val="21"/>
              </w:rPr>
              <w:t>噪声</w:t>
            </w:r>
          </w:p>
        </w:tc>
        <w:tc>
          <w:tcPr>
            <w:tcW w:w="136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设备噪声（运营期）</w:t>
            </w:r>
          </w:p>
        </w:tc>
        <w:tc>
          <w:tcPr>
            <w:tcW w:w="113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辅助设备噪声</w:t>
            </w:r>
          </w:p>
        </w:tc>
        <w:tc>
          <w:tcPr>
            <w:tcW w:w="1267" w:type="dxa"/>
            <w:vAlign w:val="center"/>
          </w:tcPr>
          <w:p>
            <w:pPr>
              <w:jc w:val="center"/>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4"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100dB（A）</w:t>
            </w:r>
          </w:p>
        </w:tc>
        <w:tc>
          <w:tcPr>
            <w:tcW w:w="1183"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991"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50 dB（A）</w:t>
            </w:r>
          </w:p>
        </w:tc>
        <w:tc>
          <w:tcPr>
            <w:tcW w:w="3295" w:type="dxa"/>
            <w:vAlign w:val="center"/>
          </w:tcPr>
          <w:p>
            <w:pPr>
              <w:jc w:val="center"/>
              <w:textAlignment w:val="baseline"/>
              <w:rPr>
                <w:rFonts w:ascii="Times New Roman" w:hAnsi="Times New Roman"/>
                <w:color w:val="000000"/>
                <w:szCs w:val="21"/>
              </w:rPr>
            </w:pPr>
            <w:r>
              <w:rPr>
                <w:rFonts w:ascii="Times New Roman" w:hAnsi="Times New Roman"/>
                <w:color w:val="000000"/>
                <w:spacing w:val="6"/>
                <w:kern w:val="0"/>
                <w:szCs w:val="21"/>
              </w:rPr>
              <w:t>隔音、吸声、减振</w:t>
            </w:r>
          </w:p>
        </w:tc>
        <w:tc>
          <w:tcPr>
            <w:tcW w:w="1406" w:type="dxa"/>
            <w:vAlign w:val="center"/>
          </w:tcPr>
          <w:p>
            <w:pPr>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w:t>
            </w:r>
          </w:p>
        </w:tc>
        <w:tc>
          <w:tcPr>
            <w:tcW w:w="2114" w:type="dxa"/>
            <w:vAlign w:val="center"/>
          </w:tcPr>
          <w:p>
            <w:pPr>
              <w:jc w:val="center"/>
              <w:textAlignment w:val="baseline"/>
              <w:rPr>
                <w:rFonts w:ascii="Times New Roman" w:hAnsi="Times New Roman"/>
                <w:color w:val="000000"/>
                <w:szCs w:val="21"/>
              </w:rPr>
            </w:pPr>
            <w:r>
              <w:rPr>
                <w:rFonts w:ascii="Times New Roman" w:hAnsi="Times New Roman"/>
                <w:color w:val="000000"/>
                <w:spacing w:val="6"/>
                <w:kern w:val="0"/>
                <w:szCs w:val="21"/>
              </w:rPr>
              <w:t>《工业企业厂界环境噪声排放标准》（GB12523-2011）3类标准</w:t>
            </w:r>
          </w:p>
        </w:tc>
      </w:tr>
    </w:tbl>
    <w:p>
      <w:pPr>
        <w:pStyle w:val="2"/>
        <w:sectPr>
          <w:pgSz w:w="16838" w:h="11906" w:orient="landscape"/>
          <w:pgMar w:top="1800" w:right="1440" w:bottom="1800" w:left="1440" w:header="851" w:footer="992" w:gutter="0"/>
          <w:cols w:space="720" w:num="1"/>
          <w:docGrid w:type="lines" w:linePitch="312" w:charSpace="0"/>
        </w:sectPr>
      </w:pPr>
    </w:p>
    <w:p>
      <w:pPr>
        <w:pStyle w:val="2"/>
        <w:spacing w:after="0" w:line="360" w:lineRule="auto"/>
        <w:ind w:firstLine="480" w:firstLineChars="200"/>
        <w:rPr>
          <w:sz w:val="24"/>
          <w:szCs w:val="24"/>
        </w:rPr>
      </w:pPr>
      <w:r>
        <w:rPr>
          <w:rFonts w:hint="eastAsia"/>
          <w:sz w:val="24"/>
          <w:szCs w:val="24"/>
        </w:rPr>
        <w:t>（2）其他管理要求</w:t>
      </w:r>
    </w:p>
    <w:p>
      <w:pPr>
        <w:pStyle w:val="2"/>
        <w:spacing w:after="0" w:line="360" w:lineRule="auto"/>
        <w:ind w:firstLine="480" w:firstLineChars="200"/>
        <w:rPr>
          <w:sz w:val="24"/>
          <w:szCs w:val="24"/>
        </w:rPr>
      </w:pPr>
      <w:r>
        <w:rPr>
          <w:rFonts w:hint="eastAsia"/>
          <w:sz w:val="24"/>
          <w:szCs w:val="24"/>
        </w:rPr>
        <w:t>本项目主体工程为尾矿库，环保工程主要为沉淀池、洒水车，环保工程需要与主体工程同时施工、同时建设、同时投产使用。</w:t>
      </w:r>
    </w:p>
    <w:p>
      <w:pPr>
        <w:spacing w:line="360" w:lineRule="auto"/>
        <w:ind w:firstLine="480" w:firstLineChars="200"/>
        <w:rPr>
          <w:rFonts w:ascii="Times New Roman" w:hAnsi="Times New Roman"/>
          <w:sz w:val="24"/>
        </w:rPr>
      </w:pPr>
      <w:r>
        <w:rPr>
          <w:rFonts w:ascii="Times New Roman" w:hAnsi="Times New Roman"/>
          <w:sz w:val="24"/>
        </w:rPr>
        <w:t>（3）建设单位应向社会公开的信息</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项目名称：</w:t>
      </w:r>
      <w:r>
        <w:rPr>
          <w:rFonts w:hint="eastAsia" w:ascii="Times New Roman" w:hAnsi="Times New Roman"/>
          <w:sz w:val="24"/>
          <w:szCs w:val="24"/>
        </w:rPr>
        <w:t>白山市江源区五道羊岔铁矿有限责任公司五道羊岔铁矿尾矿库扩建项目</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建设性质：</w:t>
      </w:r>
      <w:r>
        <w:rPr>
          <w:rFonts w:hint="eastAsia" w:ascii="Times New Roman" w:hAnsi="Times New Roman"/>
          <w:sz w:val="24"/>
          <w:szCs w:val="24"/>
        </w:rPr>
        <w:t>改扩建</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建设单位：</w:t>
      </w:r>
      <w:r>
        <w:rPr>
          <w:rFonts w:hint="eastAsia" w:ascii="Times New Roman" w:hAnsi="Times New Roman"/>
          <w:sz w:val="24"/>
          <w:szCs w:val="24"/>
        </w:rPr>
        <w:t>白山市江源区五道羊岔铁矿有限责任公司</w:t>
      </w:r>
    </w:p>
    <w:p>
      <w:pPr>
        <w:spacing w:line="360" w:lineRule="auto"/>
        <w:ind w:firstLine="480" w:firstLineChars="200"/>
        <w:rPr>
          <w:rFonts w:ascii="Times New Roman" w:hAnsi="Times New Roman"/>
          <w:color w:val="000000"/>
          <w:sz w:val="24"/>
        </w:rPr>
      </w:pPr>
      <w:r>
        <w:rPr>
          <w:rFonts w:ascii="Times New Roman" w:hAnsi="Times New Roman"/>
          <w:sz w:val="24"/>
          <w:szCs w:val="24"/>
        </w:rPr>
        <w:t>建设地点</w:t>
      </w:r>
      <w:r>
        <w:rPr>
          <w:rFonts w:hint="eastAsia" w:ascii="Times New Roman" w:hAnsi="Times New Roman"/>
          <w:sz w:val="24"/>
          <w:szCs w:val="24"/>
        </w:rPr>
        <w:t>及周围环境状况</w:t>
      </w:r>
      <w:r>
        <w:rPr>
          <w:rFonts w:ascii="Times New Roman" w:hAnsi="Times New Roman"/>
          <w:sz w:val="24"/>
          <w:szCs w:val="24"/>
        </w:rPr>
        <w:t>：</w:t>
      </w:r>
      <w:r>
        <w:rPr>
          <w:rFonts w:hint="eastAsia" w:ascii="Times New Roman" w:hAnsi="Times New Roman"/>
          <w:sz w:val="24"/>
          <w:szCs w:val="24"/>
        </w:rPr>
        <w:t>扩建项目位于白山市江源区</w:t>
      </w:r>
      <w:r>
        <w:rPr>
          <w:rFonts w:hint="eastAsia" w:ascii="Times New Roman" w:hAnsi="Times New Roman"/>
          <w:snapToGrid w:val="0"/>
          <w:kern w:val="0"/>
          <w:sz w:val="24"/>
        </w:rPr>
        <w:t>七岔村</w:t>
      </w:r>
      <w:r>
        <w:rPr>
          <w:rFonts w:hint="eastAsia" w:ascii="Times New Roman" w:hAnsi="Times New Roman"/>
          <w:sz w:val="24"/>
          <w:szCs w:val="24"/>
        </w:rPr>
        <w:t>现有厂区内。本项目中心坐标为东经：126°26'21.6"，北纬：42°05'22.6"。本项目厂界东侧为林地；南侧10m为西南岔河自西向东流；西侧14</w:t>
      </w:r>
      <w:r>
        <w:rPr>
          <w:rFonts w:ascii="Times New Roman" w:hAnsi="Times New Roman"/>
          <w:sz w:val="24"/>
          <w:szCs w:val="24"/>
        </w:rPr>
        <w:t>0m为林蛙养殖基地；北侧紧邻一条无名林间小路，127m为鹤大高速；西北侧566m隔鹤大高速为九道阳岔养鸡场。</w:t>
      </w:r>
    </w:p>
    <w:p>
      <w:pPr>
        <w:spacing w:line="360" w:lineRule="auto"/>
        <w:ind w:firstLine="480" w:firstLineChars="200"/>
        <w:rPr>
          <w:rFonts w:ascii="Times New Roman" w:hAnsi="Times New Roman"/>
          <w:color w:val="000000"/>
          <w:sz w:val="24"/>
        </w:rPr>
      </w:pPr>
      <w:r>
        <w:rPr>
          <w:rFonts w:ascii="Times New Roman" w:hAnsi="Times New Roman"/>
          <w:color w:val="000000"/>
          <w:sz w:val="24"/>
        </w:rPr>
        <w:t>项目新增投资为750万元，全部由企业自筹解决，环保投资为91万元，站总投资的12.1%。</w:t>
      </w:r>
    </w:p>
    <w:p>
      <w:pPr>
        <w:spacing w:line="360" w:lineRule="auto"/>
        <w:ind w:firstLine="480" w:firstLineChars="200"/>
        <w:rPr>
          <w:rFonts w:ascii="Times New Roman" w:hAnsi="Times New Roman"/>
          <w:sz w:val="24"/>
          <w:szCs w:val="24"/>
        </w:rPr>
      </w:pPr>
      <w:r>
        <w:rPr>
          <w:rFonts w:ascii="Times New Roman" w:hAnsi="Times New Roman"/>
          <w:sz w:val="24"/>
          <w:szCs w:val="24"/>
        </w:rPr>
        <w:t>建设规模：</w:t>
      </w:r>
    </w:p>
    <w:p>
      <w:pPr>
        <w:spacing w:line="360" w:lineRule="auto"/>
        <w:ind w:firstLine="480" w:firstLineChars="200"/>
        <w:rPr>
          <w:rFonts w:ascii="Times New Roman" w:hAnsi="Times New Roman"/>
          <w:sz w:val="24"/>
          <w:szCs w:val="24"/>
        </w:rPr>
      </w:pPr>
      <w:r>
        <w:rPr>
          <w:rFonts w:ascii="Times New Roman" w:hAnsi="Times New Roman"/>
          <w:sz w:val="24"/>
          <w:szCs w:val="24"/>
        </w:rPr>
        <w:t>①尾矿库扩建：本项目现有尾矿库扩建后总库容为11.40×10</w:t>
      </w:r>
      <w:r>
        <w:rPr>
          <w:rFonts w:ascii="Times New Roman" w:hAnsi="Times New Roman"/>
          <w:sz w:val="24"/>
          <w:szCs w:val="24"/>
          <w:vertAlign w:val="superscript"/>
        </w:rPr>
        <w:t>4</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，尾矿坝总坝高10m。服务年限为5.525年。</w:t>
      </w:r>
    </w:p>
    <w:p>
      <w:pPr>
        <w:spacing w:line="360" w:lineRule="auto"/>
        <w:ind w:firstLine="480" w:firstLineChars="200"/>
        <w:rPr>
          <w:rFonts w:ascii="Times New Roman" w:hAnsi="Times New Roman"/>
          <w:sz w:val="24"/>
          <w:szCs w:val="24"/>
        </w:rPr>
      </w:pPr>
      <w:r>
        <w:rPr>
          <w:rFonts w:ascii="Times New Roman" w:hAnsi="Times New Roman"/>
          <w:sz w:val="24"/>
          <w:szCs w:val="24"/>
        </w:rPr>
        <w:t>本次尾矿库的加高增容设计尾矿排矿方式为干排。设计内容主要包括：尾矿库加高增容，坝体加高后尾矿输送和回水设施、交通设施改造，以及相关的安全、环保设施等。</w:t>
      </w:r>
    </w:p>
    <w:p>
      <w:pPr>
        <w:pStyle w:val="2"/>
        <w:spacing w:line="360" w:lineRule="auto"/>
        <w:ind w:firstLine="480" w:firstLineChars="200"/>
        <w:rPr>
          <w:rFonts w:ascii="Times New Roman" w:hAnsi="Times New Roman"/>
          <w:sz w:val="24"/>
          <w:szCs w:val="24"/>
        </w:rPr>
      </w:pPr>
      <w:r>
        <w:rPr>
          <w:rFonts w:ascii="Times New Roman" w:hAnsi="Times New Roman"/>
          <w:sz w:val="24"/>
          <w:szCs w:val="24"/>
        </w:rPr>
        <w:t>②压滤车间工程：本项目在紧邻选矿车间西侧新建一座压滤车间，用于选矿后所排尾渣浆经压滤后尾渣拍拍。实现尾矿库湿排转变干排工程。占地面积为150m</w:t>
      </w:r>
      <w:r>
        <w:rPr>
          <w:rFonts w:ascii="Times New Roman" w:hAnsi="Times New Roman"/>
          <w:sz w:val="24"/>
          <w:szCs w:val="24"/>
          <w:vertAlign w:val="superscript"/>
        </w:rPr>
        <w:t>2</w:t>
      </w:r>
      <w:r>
        <w:rPr>
          <w:rFonts w:ascii="Times New Roman" w:hAnsi="Times New Roman"/>
          <w:sz w:val="24"/>
          <w:szCs w:val="24"/>
        </w:rPr>
        <w:t>，利用厂区内空地进行建设。满负荷年处理15×10</w:t>
      </w:r>
      <w:r>
        <w:rPr>
          <w:rFonts w:ascii="Times New Roman" w:hAnsi="Times New Roman"/>
          <w:sz w:val="24"/>
          <w:szCs w:val="24"/>
          <w:vertAlign w:val="superscript"/>
        </w:rPr>
        <w:t>4</w:t>
      </w:r>
      <w:r>
        <w:rPr>
          <w:rFonts w:ascii="Times New Roman" w:hAnsi="Times New Roman"/>
          <w:sz w:val="24"/>
          <w:szCs w:val="24"/>
        </w:rPr>
        <w:t>t其中2×10</w:t>
      </w:r>
      <w:r>
        <w:rPr>
          <w:rFonts w:ascii="Times New Roman" w:hAnsi="Times New Roman"/>
          <w:sz w:val="24"/>
          <w:szCs w:val="24"/>
          <w:vertAlign w:val="superscript"/>
        </w:rPr>
        <w:t>4</w:t>
      </w:r>
      <w:r>
        <w:rPr>
          <w:rFonts w:ascii="Times New Roman" w:hAnsi="Times New Roman"/>
          <w:sz w:val="24"/>
          <w:szCs w:val="24"/>
        </w:rPr>
        <w:t>t存入尾矿库，其余13×10</w:t>
      </w:r>
      <w:r>
        <w:rPr>
          <w:rFonts w:ascii="Times New Roman" w:hAnsi="Times New Roman"/>
          <w:sz w:val="24"/>
          <w:szCs w:val="24"/>
          <w:vertAlign w:val="superscript"/>
        </w:rPr>
        <w:t>4</w:t>
      </w:r>
      <w:r>
        <w:rPr>
          <w:rFonts w:ascii="Times New Roman" w:hAnsi="Times New Roman"/>
          <w:sz w:val="24"/>
          <w:szCs w:val="24"/>
        </w:rPr>
        <w:t>t外卖吉林市智德利商贸有限公司</w:t>
      </w:r>
    </w:p>
    <w:p>
      <w:pPr>
        <w:spacing w:line="360" w:lineRule="auto"/>
        <w:ind w:firstLine="480" w:firstLineChars="200"/>
        <w:rPr>
          <w:color w:val="000000"/>
          <w:sz w:val="24"/>
        </w:rPr>
      </w:pPr>
      <w:r>
        <w:rPr>
          <w:color w:val="000000"/>
          <w:sz w:val="24"/>
        </w:rPr>
        <w:t>主要环境保护措施：</w:t>
      </w:r>
    </w:p>
    <w:p>
      <w:pPr>
        <w:spacing w:line="360" w:lineRule="auto"/>
        <w:ind w:firstLine="480" w:firstLineChars="200"/>
        <w:rPr>
          <w:color w:val="000000"/>
          <w:sz w:val="24"/>
        </w:rPr>
      </w:pPr>
      <w:r>
        <w:rPr>
          <w:color w:val="000000"/>
          <w:sz w:val="24"/>
        </w:rPr>
        <w:t>营运期：</w:t>
      </w:r>
      <w:r>
        <w:rPr>
          <w:rFonts w:hint="eastAsia"/>
          <w:color w:val="000000"/>
          <w:sz w:val="24"/>
        </w:rPr>
        <w:t>①废气为</w:t>
      </w:r>
      <w:r>
        <w:rPr>
          <w:color w:val="000000"/>
          <w:sz w:val="24"/>
        </w:rPr>
        <w:t>尾矿库扬尘、</w:t>
      </w:r>
      <w:r>
        <w:rPr>
          <w:rFonts w:hint="eastAsia"/>
          <w:color w:val="000000"/>
          <w:sz w:val="24"/>
        </w:rPr>
        <w:t>胶带运输扬尘、尾矿汽车运输扬尘；②废水为</w:t>
      </w:r>
      <w:r>
        <w:rPr>
          <w:rFonts w:ascii="Times New Roman" w:hAnsi="Times New Roman"/>
          <w:color w:val="000000"/>
          <w:sz w:val="24"/>
          <w:szCs w:val="24"/>
        </w:rPr>
        <w:t>尾矿压滤废水以及尾矿库淋溶水</w:t>
      </w:r>
      <w:r>
        <w:rPr>
          <w:color w:val="000000"/>
          <w:sz w:val="24"/>
        </w:rPr>
        <w:t>。</w:t>
      </w:r>
      <w:r>
        <w:rPr>
          <w:rFonts w:hint="eastAsia"/>
          <w:color w:val="000000"/>
          <w:sz w:val="24"/>
        </w:rPr>
        <w:t>③噪声为</w:t>
      </w:r>
      <w:r>
        <w:rPr>
          <w:rFonts w:hint="eastAsia" w:ascii="Times New Roman" w:hAnsi="Times New Roman"/>
          <w:bCs/>
          <w:color w:val="000000"/>
          <w:sz w:val="24"/>
          <w:szCs w:val="24"/>
        </w:rPr>
        <w:t>压滤间内压滤机、渣浆泵、空压机、泥浆泵、起重机</w:t>
      </w:r>
      <w:r>
        <w:rPr>
          <w:rFonts w:hint="eastAsia"/>
          <w:bCs/>
          <w:color w:val="000000"/>
          <w:sz w:val="24"/>
          <w:szCs w:val="24"/>
        </w:rPr>
        <w:t>等设备噪声；④固废为</w:t>
      </w:r>
      <w:r>
        <w:rPr>
          <w:rFonts w:ascii="Times New Roman" w:hAnsi="Times New Roman"/>
          <w:bCs/>
          <w:color w:val="000000"/>
          <w:sz w:val="24"/>
          <w:szCs w:val="24"/>
        </w:rPr>
        <w:t>尾渣、压滤间沉淀池污泥、尾矿库沉淀池污泥、废机油</w:t>
      </w:r>
      <w:r>
        <w:rPr>
          <w:rFonts w:hint="eastAsia" w:ascii="Times New Roman" w:hAnsi="Times New Roman"/>
          <w:bCs/>
          <w:color w:val="000000"/>
          <w:sz w:val="24"/>
          <w:szCs w:val="24"/>
        </w:rPr>
        <w:t>。</w:t>
      </w:r>
    </w:p>
    <w:p>
      <w:pPr>
        <w:spacing w:line="360" w:lineRule="auto"/>
        <w:ind w:firstLine="480" w:firstLineChars="200"/>
        <w:rPr>
          <w:color w:val="000000"/>
          <w:sz w:val="24"/>
        </w:rPr>
      </w:pPr>
      <w:r>
        <w:rPr>
          <w:color w:val="000000"/>
          <w:sz w:val="24"/>
        </w:rPr>
        <w:t>拟采取的治理措施如下：</w:t>
      </w:r>
    </w:p>
    <w:p>
      <w:pPr>
        <w:spacing w:line="360" w:lineRule="auto"/>
        <w:ind w:firstLine="480" w:firstLineChars="200"/>
        <w:rPr>
          <w:rFonts w:ascii="Times New Roman" w:hAnsi="Times New Roman"/>
          <w:i/>
          <w:iCs/>
          <w:sz w:val="24"/>
          <w:szCs w:val="21"/>
          <w:u w:val="single"/>
        </w:rPr>
      </w:pPr>
      <w:r>
        <w:rPr>
          <w:rFonts w:hint="eastAsia"/>
          <w:color w:val="000000"/>
          <w:sz w:val="24"/>
        </w:rPr>
        <w:t>废气尾矿库扬尘倾倒后矿渣经碾压压实，定期对库内洒水降尘、加盖苫布；</w:t>
      </w:r>
      <w:r>
        <w:rPr>
          <w:rFonts w:ascii="Times New Roman" w:hAnsi="Times New Roman"/>
          <w:bCs/>
          <w:color w:val="000000"/>
          <w:sz w:val="24"/>
          <w:szCs w:val="24"/>
        </w:rPr>
        <w:t>胶带运输尾矿渣粉尘</w:t>
      </w:r>
      <w:r>
        <w:rPr>
          <w:rFonts w:hint="eastAsia" w:ascii="Times New Roman" w:hAnsi="Times New Roman"/>
          <w:bCs/>
          <w:color w:val="000000"/>
          <w:sz w:val="24"/>
          <w:szCs w:val="24"/>
        </w:rPr>
        <w:t>在设备上采取封闭措施；运输扬尘</w:t>
      </w:r>
      <w:r>
        <w:rPr>
          <w:rFonts w:ascii="Times New Roman" w:hAnsi="Times New Roman"/>
          <w:color w:val="000000"/>
          <w:sz w:val="24"/>
          <w:szCs w:val="24"/>
        </w:rPr>
        <w:t>对运输车辆采取苫布覆盖，定期对起尘路面洒水降尘</w:t>
      </w:r>
      <w:r>
        <w:rPr>
          <w:rFonts w:hint="eastAsia" w:ascii="Times New Roman" w:hAnsi="Times New Roman"/>
          <w:color w:val="000000"/>
          <w:sz w:val="24"/>
          <w:szCs w:val="24"/>
        </w:rPr>
        <w:t>。</w:t>
      </w:r>
      <w:r>
        <w:rPr>
          <w:rFonts w:hint="eastAsia" w:ascii="Times New Roman" w:hAnsi="Times New Roman"/>
          <w:bCs/>
          <w:color w:val="000000"/>
          <w:sz w:val="24"/>
          <w:szCs w:val="24"/>
        </w:rPr>
        <w:t>以上措施满足</w:t>
      </w:r>
      <w:r>
        <w:rPr>
          <w:rFonts w:ascii="Times New Roman" w:hAnsi="Times New Roman"/>
          <w:color w:val="000000"/>
          <w:sz w:val="24"/>
          <w:szCs w:val="24"/>
        </w:rPr>
        <w:t>《铁矿采选工业污染物排放标准》（GB28661-2012）中的</w:t>
      </w:r>
      <w:r>
        <w:rPr>
          <w:rFonts w:hint="eastAsia" w:ascii="Times New Roman" w:hAnsi="Times New Roman"/>
          <w:color w:val="000000"/>
          <w:sz w:val="24"/>
          <w:szCs w:val="24"/>
        </w:rPr>
        <w:t>无组织</w:t>
      </w:r>
      <w:r>
        <w:rPr>
          <w:rFonts w:ascii="Times New Roman" w:hAnsi="Times New Roman"/>
          <w:color w:val="000000"/>
          <w:sz w:val="24"/>
          <w:szCs w:val="24"/>
        </w:rPr>
        <w:t>排放浓度限值要求</w:t>
      </w:r>
      <w:r>
        <w:rPr>
          <w:color w:val="000000"/>
          <w:sz w:val="24"/>
        </w:rPr>
        <w:t>。</w:t>
      </w:r>
      <w:r>
        <w:rPr>
          <w:rFonts w:hint="eastAsia"/>
          <w:color w:val="000000"/>
          <w:sz w:val="24"/>
        </w:rPr>
        <w:t>废水</w:t>
      </w:r>
      <w:r>
        <w:rPr>
          <w:rFonts w:hint="eastAsia" w:ascii="Times New Roman" w:hAnsi="Times New Roman"/>
          <w:color w:val="000000"/>
          <w:sz w:val="24"/>
          <w:szCs w:val="24"/>
        </w:rPr>
        <w:t>尾矿压滤废水</w:t>
      </w:r>
      <w:r>
        <w:rPr>
          <w:rFonts w:ascii="Times New Roman" w:hAnsi="Times New Roman"/>
          <w:color w:val="000000"/>
          <w:sz w:val="24"/>
          <w:szCs w:val="24"/>
        </w:rPr>
        <w:t>全部通过水泵打入选矿车间内现有流入高位水池内，回用于选矿生产，不外排</w:t>
      </w:r>
      <w:r>
        <w:rPr>
          <w:rFonts w:hint="eastAsia" w:ascii="Times New Roman" w:hAnsi="Times New Roman"/>
          <w:color w:val="000000"/>
          <w:sz w:val="24"/>
          <w:szCs w:val="24"/>
        </w:rPr>
        <w:t>；尾矿库汛期淋溶水通过新建的导流管流入尾矿库下游拟建沉淀池内（容积为50m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）沉淀后，通过水泵抽至压滤间沉淀池内回用于选矿工序，不外排。噪声采取隔声、减震措施满足GB3096-2008《声环境质量标准》3类区标准。固废在采取相应处理和处置措施后不会产生二次污染。</w:t>
      </w:r>
    </w:p>
    <w:p>
      <w:pPr>
        <w:spacing w:line="360" w:lineRule="auto"/>
        <w:ind w:firstLine="480" w:firstLineChars="200"/>
        <w:jc w:val="left"/>
        <w:rPr>
          <w:rFonts w:ascii="Times New Roman" w:hAnsi="Times New Roman"/>
          <w:bCs/>
          <w:color w:val="000000"/>
          <w:sz w:val="24"/>
        </w:rPr>
      </w:pPr>
      <w:r>
        <w:rPr>
          <w:rFonts w:hint="eastAsia" w:ascii="Times New Roman" w:hAnsi="Times New Roman"/>
          <w:bCs/>
          <w:color w:val="000000"/>
          <w:sz w:val="24"/>
        </w:rPr>
        <w:t>6、生态保护措施</w:t>
      </w:r>
    </w:p>
    <w:p>
      <w:pPr>
        <w:spacing w:line="360" w:lineRule="auto"/>
        <w:ind w:firstLine="480" w:firstLineChars="200"/>
        <w:rPr>
          <w:color w:val="000000"/>
          <w:sz w:val="24"/>
          <w:szCs w:val="24"/>
        </w:rPr>
      </w:pPr>
      <w:r>
        <w:rPr>
          <w:rFonts w:hint="eastAsia"/>
          <w:color w:val="000000"/>
          <w:sz w:val="24"/>
          <w:szCs w:val="24"/>
        </w:rPr>
        <w:t>（1）为了减轻对周围森林植被的影响，建议对于尾矿库扬尘适当地采取洒水降尘，覆盖苫布，及时外运出售。</w:t>
      </w:r>
    </w:p>
    <w:p>
      <w:pPr>
        <w:spacing w:line="360" w:lineRule="auto"/>
        <w:ind w:firstLine="480" w:firstLineChars="200"/>
        <w:rPr>
          <w:rFonts w:ascii="Times New Roman" w:hAnsi="Times New Roman"/>
          <w:bCs/>
          <w:sz w:val="24"/>
        </w:rPr>
      </w:pPr>
      <w:r>
        <w:rPr>
          <w:rFonts w:hint="eastAsia" w:ascii="Times New Roman" w:hAnsi="Times New Roman"/>
          <w:bCs/>
          <w:sz w:val="24"/>
        </w:rPr>
        <w:t>（2）</w:t>
      </w:r>
      <w:r>
        <w:rPr>
          <w:rFonts w:ascii="Times New Roman" w:hAnsi="Times New Roman"/>
          <w:bCs/>
          <w:sz w:val="24"/>
        </w:rPr>
        <w:t>企业在项目建设过程中严格控制矿区用地，采矿生产过程中，尽量将高噪声设备放置在单独的隔声间内，避免和减少机械设备噪声对野生动物的影响。</w:t>
      </w:r>
    </w:p>
    <w:p>
      <w:pPr>
        <w:spacing w:line="360" w:lineRule="auto"/>
        <w:ind w:firstLine="480" w:firstLineChars="200"/>
      </w:pPr>
      <w:r>
        <w:rPr>
          <w:rFonts w:hint="eastAsia" w:ascii="Times New Roman" w:hAnsi="Times New Roman"/>
          <w:bCs/>
          <w:sz w:val="24"/>
        </w:rPr>
        <w:t>（3）</w:t>
      </w:r>
      <w:r>
        <w:rPr>
          <w:rFonts w:ascii="Times New Roman" w:hAnsi="Times New Roman"/>
          <w:bCs/>
          <w:sz w:val="24"/>
        </w:rPr>
        <w:t>企业对</w:t>
      </w:r>
      <w:r>
        <w:rPr>
          <w:rFonts w:hint="eastAsia" w:ascii="Times New Roman" w:hAnsi="Times New Roman"/>
          <w:bCs/>
          <w:sz w:val="24"/>
        </w:rPr>
        <w:t>尾矿库及胶带运输设备</w:t>
      </w:r>
      <w:r>
        <w:rPr>
          <w:rFonts w:ascii="Times New Roman" w:hAnsi="Times New Roman"/>
          <w:bCs/>
          <w:sz w:val="24"/>
        </w:rPr>
        <w:t>和</w:t>
      </w:r>
      <w:r>
        <w:rPr>
          <w:rFonts w:hint="eastAsia" w:ascii="Times New Roman" w:hAnsi="Times New Roman"/>
          <w:bCs/>
          <w:sz w:val="24"/>
        </w:rPr>
        <w:t>现有</w:t>
      </w:r>
      <w:r>
        <w:rPr>
          <w:rFonts w:ascii="Times New Roman" w:hAnsi="Times New Roman"/>
          <w:bCs/>
          <w:sz w:val="24"/>
        </w:rPr>
        <w:t>道路进行定期洒水降尘，降低扬尘产生量，减少本项目运营过程中对野生动物及其生境的影响。</w:t>
      </w:r>
    </w:p>
    <w:p>
      <w:pPr>
        <w:spacing w:line="360" w:lineRule="auto"/>
        <w:ind w:firstLine="480" w:firstLineChars="200"/>
      </w:pPr>
      <w:r>
        <w:rPr>
          <w:rFonts w:hint="eastAsia" w:ascii="Times New Roman" w:hAnsi="Times New Roman"/>
          <w:bCs/>
          <w:sz w:val="24"/>
        </w:rPr>
        <w:t>因此不会影响物种生存环境，不会破坏生物多样性，不会对该区域生态效能产生影响。</w:t>
      </w:r>
    </w:p>
    <w:p>
      <w:pPr>
        <w:pStyle w:val="55"/>
        <w:ind w:firstLine="0" w:firstLineChars="0"/>
        <w:outlineLvl w:val="0"/>
        <w:rPr>
          <w:rFonts w:ascii="Times New Roman" w:hAnsi="Times New Roman" w:eastAsia="宋体"/>
          <w:b/>
          <w:bCs/>
          <w:kern w:val="2"/>
          <w:sz w:val="24"/>
          <w:szCs w:val="21"/>
        </w:rPr>
      </w:pPr>
      <w:r>
        <w:rPr>
          <w:rFonts w:ascii="Times New Roman" w:hAnsi="Times New Roman" w:eastAsia="宋体"/>
          <w:b/>
          <w:bCs/>
          <w:sz w:val="24"/>
        </w:rPr>
        <w:t>10.1.</w:t>
      </w:r>
      <w:r>
        <w:rPr>
          <w:rFonts w:ascii="Times New Roman" w:hAnsi="Times New Roman" w:eastAsia="宋体"/>
          <w:b/>
          <w:bCs/>
          <w:kern w:val="2"/>
          <w:sz w:val="24"/>
          <w:szCs w:val="21"/>
        </w:rPr>
        <w:t>6环境管理制度</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spacing w:line="360" w:lineRule="auto"/>
              <w:jc w:val="center"/>
              <w:rPr>
                <w:rFonts w:ascii="Times New Roman" w:hAnsi="Times New Roman"/>
                <w:b/>
                <w:sz w:val="24"/>
              </w:rPr>
            </w:pPr>
            <w:r>
              <w:rPr>
                <w:rFonts w:hint="eastAsia" w:ascii="Times New Roman" w:hAnsi="Times New Roman"/>
                <w:b/>
                <w:sz w:val="24"/>
              </w:rPr>
              <w:t>白山市江源区五道羊岔铁矿有限责任公司</w:t>
            </w:r>
            <w:r>
              <w:rPr>
                <w:rFonts w:ascii="Times New Roman" w:hAnsi="Times New Roman"/>
                <w:b/>
                <w:sz w:val="24"/>
              </w:rPr>
              <w:t>环境管理制度</w:t>
            </w:r>
          </w:p>
          <w:p>
            <w:pPr>
              <w:spacing w:line="360" w:lineRule="auto"/>
              <w:ind w:firstLine="480" w:firstLineChars="200"/>
              <w:rPr>
                <w:rFonts w:ascii="Times New Roman" w:hAnsi="Times New Roman"/>
                <w:sz w:val="24"/>
              </w:rPr>
            </w:pPr>
            <w:r>
              <w:rPr>
                <w:rFonts w:ascii="Times New Roman" w:hAnsi="Times New Roman"/>
                <w:sz w:val="24"/>
              </w:rPr>
              <w:t>第一章  总则</w:t>
            </w:r>
          </w:p>
          <w:p>
            <w:pPr>
              <w:spacing w:line="360" w:lineRule="auto"/>
              <w:ind w:firstLine="480" w:firstLineChars="200"/>
              <w:rPr>
                <w:rFonts w:ascii="Times New Roman" w:hAnsi="Times New Roman"/>
                <w:sz w:val="24"/>
              </w:rPr>
            </w:pPr>
            <w:r>
              <w:rPr>
                <w:rFonts w:ascii="Times New Roman" w:hAnsi="Times New Roman"/>
                <w:sz w:val="24"/>
              </w:rPr>
              <w:t>第一条  根据《中华人民共和国环境保护法》及相关规定，为切实做好企业环保工作，结合本企业实际情况，特制定本管理制度。</w:t>
            </w:r>
          </w:p>
          <w:p>
            <w:pPr>
              <w:spacing w:line="360" w:lineRule="auto"/>
              <w:ind w:firstLine="480" w:firstLineChars="200"/>
              <w:rPr>
                <w:rFonts w:ascii="Times New Roman" w:hAnsi="Times New Roman"/>
                <w:sz w:val="24"/>
              </w:rPr>
            </w:pPr>
            <w:r>
              <w:rPr>
                <w:rFonts w:ascii="Times New Roman" w:hAnsi="Times New Roman"/>
                <w:sz w:val="24"/>
              </w:rPr>
              <w:t>第二条  本企业环境保护管理主要任务是：宣传和执行环境保护法律法规及有关规定，充分、合理地利用各种资源、能源，控制和消除污染，促进本企业生产发展，创造良好的工作生活环境，使企业的经济活动能尽量减少对周围生态环境的污染。</w:t>
            </w:r>
          </w:p>
          <w:p>
            <w:pPr>
              <w:spacing w:line="360" w:lineRule="auto"/>
              <w:ind w:firstLine="480" w:firstLineChars="200"/>
              <w:rPr>
                <w:rFonts w:ascii="Times New Roman" w:hAnsi="Times New Roman"/>
                <w:sz w:val="24"/>
              </w:rPr>
            </w:pPr>
            <w:r>
              <w:rPr>
                <w:rFonts w:ascii="Times New Roman" w:hAnsi="Times New Roman"/>
                <w:sz w:val="24"/>
              </w:rPr>
              <w:t>第三条  保护环境人人有责。企业员工、领导都要认真、自觉学习、遵守环境保护法律法规及有关规定，正确看待和处理生产与保护环境之间的关系，坚持预防为主，防治结合的方针，提倡车间清洁生产、循环利用，从源头消灭污染物。</w:t>
            </w:r>
          </w:p>
          <w:p>
            <w:pPr>
              <w:spacing w:line="360" w:lineRule="auto"/>
              <w:ind w:firstLine="480" w:firstLineChars="200"/>
              <w:rPr>
                <w:rFonts w:ascii="Times New Roman" w:hAnsi="Times New Roman"/>
                <w:sz w:val="24"/>
              </w:rPr>
            </w:pPr>
            <w:r>
              <w:rPr>
                <w:rFonts w:ascii="Times New Roman" w:hAnsi="Times New Roman"/>
                <w:sz w:val="24"/>
              </w:rPr>
              <w:t>第二章  组织结构</w:t>
            </w:r>
          </w:p>
          <w:p>
            <w:pPr>
              <w:spacing w:line="360" w:lineRule="auto"/>
              <w:ind w:firstLine="480" w:firstLineChars="200"/>
              <w:rPr>
                <w:rFonts w:ascii="Times New Roman" w:hAnsi="Times New Roman"/>
                <w:sz w:val="24"/>
              </w:rPr>
            </w:pPr>
            <w:r>
              <w:rPr>
                <w:rFonts w:ascii="Times New Roman" w:hAnsi="Times New Roman"/>
                <w:sz w:val="24"/>
              </w:rPr>
              <w:t>第四条  根据环境保护法，企业应设置环境保护和环境监测机构，企业生产厂长负责企业环保全面工作，技术部人员负责本企业环境保护工作的管理检查工作，改善企业环境状况，减少企业对周围环境的污染，并协调企业与政府环保部门的工作。</w:t>
            </w:r>
          </w:p>
          <w:p>
            <w:pPr>
              <w:spacing w:line="360" w:lineRule="auto"/>
              <w:ind w:firstLine="480" w:firstLineChars="200"/>
              <w:rPr>
                <w:rFonts w:ascii="Times New Roman" w:hAnsi="Times New Roman"/>
                <w:sz w:val="24"/>
              </w:rPr>
            </w:pPr>
            <w:r>
              <w:rPr>
                <w:rFonts w:ascii="Times New Roman" w:hAnsi="Times New Roman"/>
                <w:sz w:val="24"/>
              </w:rPr>
              <w:t xml:space="preserve">第三章  基本原则 </w:t>
            </w:r>
          </w:p>
          <w:p>
            <w:pPr>
              <w:spacing w:line="360" w:lineRule="auto"/>
              <w:ind w:firstLine="480" w:firstLineChars="200"/>
              <w:rPr>
                <w:rFonts w:ascii="Times New Roman" w:hAnsi="Times New Roman"/>
                <w:sz w:val="24"/>
              </w:rPr>
            </w:pPr>
            <w:r>
              <w:rPr>
                <w:rFonts w:ascii="Times New Roman" w:hAnsi="Times New Roman"/>
                <w:sz w:val="24"/>
              </w:rPr>
              <w:t xml:space="preserve">第五条   企业环保工作由分管环保领导主管，搞好企业内的环保工作，并直接向企业负责人汇报环保事项。 </w:t>
            </w:r>
          </w:p>
          <w:p>
            <w:pPr>
              <w:spacing w:line="360" w:lineRule="auto"/>
              <w:ind w:firstLine="480" w:firstLineChars="200"/>
              <w:rPr>
                <w:rFonts w:ascii="Times New Roman" w:hAnsi="Times New Roman"/>
                <w:sz w:val="24"/>
              </w:rPr>
            </w:pPr>
            <w:r>
              <w:rPr>
                <w:rFonts w:ascii="Times New Roman" w:hAnsi="Times New Roman"/>
                <w:sz w:val="24"/>
              </w:rPr>
              <w:t xml:space="preserve">第六条   环保人员要重视防治“三废”污染，保护环境。要把环境保护工作作为生产管理的一个重要组成部分，纳入到日常生产中去，实行生产环保一齐抓。 </w:t>
            </w:r>
          </w:p>
          <w:p>
            <w:pPr>
              <w:spacing w:line="360" w:lineRule="auto"/>
              <w:ind w:firstLine="480" w:firstLineChars="200"/>
              <w:rPr>
                <w:rFonts w:ascii="Times New Roman" w:hAnsi="Times New Roman"/>
                <w:sz w:val="24"/>
              </w:rPr>
            </w:pPr>
            <w:r>
              <w:rPr>
                <w:rFonts w:ascii="Times New Roman" w:hAnsi="Times New Roman"/>
                <w:sz w:val="24"/>
              </w:rPr>
              <w:t xml:space="preserve">第七条   环境保护工作关系到周边环境和每个职工的身体健康及企业生产发展，企业员工必须严格执行环境保护工作制度，任何违反环保工作制度，造成事故者，必根据事故程度追究责任。 </w:t>
            </w:r>
          </w:p>
          <w:p>
            <w:pPr>
              <w:spacing w:line="360" w:lineRule="auto"/>
              <w:ind w:firstLine="480" w:firstLineChars="200"/>
              <w:rPr>
                <w:rFonts w:ascii="Times New Roman" w:hAnsi="Times New Roman"/>
                <w:sz w:val="24"/>
              </w:rPr>
            </w:pPr>
            <w:r>
              <w:rPr>
                <w:rFonts w:ascii="Times New Roman" w:hAnsi="Times New Roman"/>
                <w:sz w:val="24"/>
              </w:rPr>
              <w:t xml:space="preserve">第八条   防止“三废”污染，所有造成环境污染和其它公害的车间都必须提出治理规划，有计划、有步骤地加以实施，本企业在财力、物力、人力方面应及时给予安排解决。 </w:t>
            </w:r>
          </w:p>
          <w:p>
            <w:pPr>
              <w:spacing w:line="360" w:lineRule="auto"/>
              <w:ind w:firstLine="480" w:firstLineChars="200"/>
              <w:rPr>
                <w:rFonts w:ascii="Times New Roman" w:hAnsi="Times New Roman"/>
                <w:sz w:val="24"/>
              </w:rPr>
            </w:pPr>
            <w:r>
              <w:rPr>
                <w:rFonts w:ascii="Times New Roman" w:hAnsi="Times New Roman"/>
                <w:sz w:val="24"/>
              </w:rPr>
              <w:t xml:space="preserve">第九条   对环保设施、设备等要认真管理，建立定期检查、维修和维修后验收制度，保证设备、设施完好，运转率达到考核指标要求，并确保备品备药的正常储备量。 </w:t>
            </w:r>
          </w:p>
          <w:p>
            <w:pPr>
              <w:spacing w:line="360" w:lineRule="auto"/>
              <w:ind w:firstLine="480" w:firstLineChars="200"/>
              <w:rPr>
                <w:rFonts w:ascii="Times New Roman" w:hAnsi="Times New Roman"/>
                <w:sz w:val="24"/>
              </w:rPr>
            </w:pPr>
            <w:r>
              <w:rPr>
                <w:rFonts w:ascii="Times New Roman" w:hAnsi="Times New Roman"/>
                <w:sz w:val="24"/>
              </w:rPr>
              <w:t>第十条   在下达企业考核各项指标的同时，把环保工作作为评定内容之一。</w:t>
            </w:r>
          </w:p>
          <w:p>
            <w:pPr>
              <w:spacing w:line="360" w:lineRule="auto"/>
              <w:ind w:firstLine="480" w:firstLineChars="200"/>
              <w:rPr>
                <w:rFonts w:ascii="Times New Roman" w:hAnsi="Times New Roman"/>
                <w:sz w:val="24"/>
              </w:rPr>
            </w:pPr>
            <w:r>
              <w:rPr>
                <w:rFonts w:ascii="Times New Roman" w:hAnsi="Times New Roman"/>
                <w:sz w:val="24"/>
              </w:rPr>
              <w:t>第十一条  凡新建、扩建、改造项目中的“三废”治理和综合利用工作所需资金、设备材料、各项环保措施、设施的建设、运行及维护费用，必须同时列入计划，切实予以保证，不得以任何理由为借口排挤“三废”治理和综合利用工程的资金、设备、材料和人力等。</w:t>
            </w:r>
          </w:p>
          <w:p>
            <w:pPr>
              <w:spacing w:line="360" w:lineRule="auto"/>
              <w:ind w:firstLine="480" w:firstLineChars="200"/>
              <w:rPr>
                <w:rFonts w:ascii="Times New Roman" w:hAnsi="Times New Roman"/>
                <w:sz w:val="24"/>
              </w:rPr>
            </w:pPr>
            <w:r>
              <w:rPr>
                <w:rFonts w:ascii="Times New Roman" w:hAnsi="Times New Roman"/>
                <w:sz w:val="24"/>
              </w:rPr>
              <w:t xml:space="preserve">第四章   环保机构职责 </w:t>
            </w:r>
          </w:p>
          <w:p>
            <w:pPr>
              <w:spacing w:line="360" w:lineRule="auto"/>
              <w:ind w:firstLine="480" w:firstLineChars="200"/>
              <w:rPr>
                <w:rFonts w:ascii="Times New Roman" w:hAnsi="Times New Roman"/>
                <w:sz w:val="24"/>
              </w:rPr>
            </w:pPr>
            <w:r>
              <w:rPr>
                <w:rFonts w:ascii="Times New Roman" w:hAnsi="Times New Roman"/>
                <w:sz w:val="24"/>
              </w:rPr>
              <w:t xml:space="preserve">第十四条   本企业环保机构职责： </w:t>
            </w:r>
          </w:p>
          <w:p>
            <w:pPr>
              <w:spacing w:line="360" w:lineRule="auto"/>
              <w:ind w:firstLine="480" w:firstLineChars="200"/>
              <w:rPr>
                <w:rFonts w:ascii="Times New Roman" w:hAnsi="Times New Roman"/>
                <w:sz w:val="24"/>
              </w:rPr>
            </w:pPr>
            <w:r>
              <w:rPr>
                <w:rFonts w:ascii="Times New Roman" w:hAnsi="Times New Roman"/>
                <w:sz w:val="24"/>
              </w:rPr>
              <w:t xml:space="preserve">一、在企业分管领导负责下，认真贯彻执行国家、上级主管部门的有关环保方针、政策和法规，负责企业本企业环保工作的管理、监察和测试等。 </w:t>
            </w:r>
          </w:p>
          <w:p>
            <w:pPr>
              <w:spacing w:line="360" w:lineRule="auto"/>
              <w:ind w:firstLine="480" w:firstLineChars="200"/>
              <w:rPr>
                <w:rFonts w:ascii="Times New Roman" w:hAnsi="Times New Roman"/>
                <w:sz w:val="24"/>
              </w:rPr>
            </w:pPr>
            <w:r>
              <w:rPr>
                <w:rFonts w:ascii="Times New Roman" w:hAnsi="Times New Roman"/>
                <w:sz w:val="24"/>
              </w:rPr>
              <w:t xml:space="preserve">二、负责组织制定环保长远规划和年度总结报告。 </w:t>
            </w:r>
          </w:p>
          <w:p>
            <w:pPr>
              <w:spacing w:line="360" w:lineRule="auto"/>
              <w:ind w:firstLine="480" w:firstLineChars="200"/>
              <w:rPr>
                <w:rFonts w:ascii="Times New Roman" w:hAnsi="Times New Roman"/>
                <w:sz w:val="24"/>
              </w:rPr>
            </w:pPr>
            <w:r>
              <w:rPr>
                <w:rFonts w:ascii="Times New Roman" w:hAnsi="Times New Roman"/>
                <w:sz w:val="24"/>
              </w:rPr>
              <w:t xml:space="preserve">三、监督检查本厂执行“三废”治理情况，参加新建、扩建和改造项目方案的研究和审查工作，并参加验收，提出环保意见和要求。 </w:t>
            </w:r>
          </w:p>
          <w:p>
            <w:pPr>
              <w:spacing w:line="360" w:lineRule="auto"/>
              <w:ind w:firstLine="480" w:firstLineChars="200"/>
              <w:rPr>
                <w:rFonts w:ascii="Times New Roman" w:hAnsi="Times New Roman"/>
                <w:sz w:val="24"/>
              </w:rPr>
            </w:pPr>
            <w:r>
              <w:rPr>
                <w:rFonts w:ascii="Times New Roman" w:hAnsi="Times New Roman"/>
                <w:sz w:val="24"/>
              </w:rPr>
              <w:t xml:space="preserve">四、组织企业内部环境监测，掌握原始记录，建立环保设施运行台帐，做好环保资料归档和统计工作，按时向上级环保部门报告。 </w:t>
            </w:r>
          </w:p>
          <w:p>
            <w:pPr>
              <w:spacing w:line="360" w:lineRule="auto"/>
              <w:ind w:firstLine="480" w:firstLineChars="200"/>
              <w:rPr>
                <w:rFonts w:ascii="Times New Roman" w:hAnsi="Times New Roman"/>
                <w:sz w:val="24"/>
              </w:rPr>
            </w:pPr>
            <w:r>
              <w:rPr>
                <w:rFonts w:ascii="Times New Roman" w:hAnsi="Times New Roman"/>
                <w:sz w:val="24"/>
              </w:rPr>
              <w:t>五、对员工进行环保法律、法规教育和宣传，提高员工的环保意识，并对环保岗位进行培训考核。</w:t>
            </w:r>
          </w:p>
          <w:p>
            <w:pPr>
              <w:spacing w:line="360" w:lineRule="auto"/>
              <w:ind w:firstLine="480" w:firstLineChars="200"/>
              <w:rPr>
                <w:rFonts w:ascii="Times New Roman" w:hAnsi="Times New Roman"/>
                <w:sz w:val="24"/>
              </w:rPr>
            </w:pPr>
            <w:r>
              <w:rPr>
                <w:rFonts w:ascii="Times New Roman" w:hAnsi="Times New Roman"/>
                <w:sz w:val="24"/>
              </w:rPr>
              <w:t xml:space="preserve">第五章   奖励和惩罚 </w:t>
            </w:r>
          </w:p>
          <w:p>
            <w:pPr>
              <w:spacing w:line="360" w:lineRule="auto"/>
              <w:ind w:firstLine="480" w:firstLineChars="200"/>
              <w:rPr>
                <w:rFonts w:ascii="Times New Roman" w:hAnsi="Times New Roman"/>
                <w:sz w:val="24"/>
              </w:rPr>
            </w:pPr>
            <w:r>
              <w:rPr>
                <w:rFonts w:ascii="Times New Roman" w:hAnsi="Times New Roman"/>
                <w:sz w:val="24"/>
              </w:rPr>
              <w:t xml:space="preserve">第十五条   凡本企业员工，在环境保护工作中，成绩明显者给予精神和物质奖励。 </w:t>
            </w:r>
          </w:p>
          <w:p>
            <w:pPr>
              <w:spacing w:line="360" w:lineRule="auto"/>
              <w:ind w:firstLine="480" w:firstLineChars="200"/>
              <w:rPr>
                <w:rFonts w:ascii="Times New Roman" w:hAnsi="Times New Roman"/>
                <w:sz w:val="24"/>
              </w:rPr>
            </w:pPr>
            <w:r>
              <w:rPr>
                <w:rFonts w:ascii="Times New Roman" w:hAnsi="Times New Roman"/>
                <w:sz w:val="24"/>
              </w:rPr>
              <w:t xml:space="preserve">第十六条  凡本企业员工玩忽职守，任意排放企业“三废”，造成污染环境事件，按公司制度予以处罚，触犯《中华人民共和国环境保护法》论处，视情节轻重，给予行政处分，赔款，直至追究刑事责任。 </w:t>
            </w:r>
          </w:p>
          <w:p>
            <w:pPr>
              <w:spacing w:line="360" w:lineRule="auto"/>
              <w:ind w:firstLine="480" w:firstLineChars="200"/>
              <w:rPr>
                <w:rFonts w:ascii="Times New Roman" w:hAnsi="Times New Roman"/>
                <w:sz w:val="24"/>
              </w:rPr>
            </w:pPr>
            <w:r>
              <w:rPr>
                <w:rFonts w:ascii="Times New Roman" w:hAnsi="Times New Roman"/>
                <w:sz w:val="24"/>
              </w:rPr>
              <w:t xml:space="preserve">第六章   附则 </w:t>
            </w:r>
          </w:p>
          <w:p>
            <w:pPr>
              <w:spacing w:line="360" w:lineRule="auto"/>
              <w:ind w:firstLine="480" w:firstLineChars="200"/>
              <w:rPr>
                <w:rFonts w:ascii="Times New Roman" w:hAnsi="Times New Roman"/>
                <w:sz w:val="24"/>
              </w:rPr>
            </w:pPr>
            <w:r>
              <w:rPr>
                <w:rFonts w:ascii="Times New Roman" w:hAnsi="Times New Roman"/>
                <w:sz w:val="24"/>
              </w:rPr>
              <w:t xml:space="preserve">第十七条  本制度与国家法律、法规等部门文件有抵触时，按上级文件规定执行。 </w:t>
            </w:r>
          </w:p>
          <w:p>
            <w:pPr>
              <w:spacing w:line="360" w:lineRule="auto"/>
              <w:ind w:firstLine="480" w:firstLineChars="200"/>
              <w:rPr>
                <w:rFonts w:ascii="Times New Roman" w:hAnsi="Times New Roman"/>
                <w:sz w:val="24"/>
              </w:rPr>
            </w:pPr>
            <w:r>
              <w:rPr>
                <w:rFonts w:ascii="Times New Roman" w:hAnsi="Times New Roman"/>
                <w:sz w:val="24"/>
              </w:rPr>
              <w:t>第十八条  本管理制度属企业规章制度的一部分，有企业负责贯彻落实和执行，管理部门要严格执行，并监督、检查。</w:t>
            </w:r>
          </w:p>
        </w:tc>
      </w:tr>
    </w:tbl>
    <w:p>
      <w:pPr>
        <w:pStyle w:val="4"/>
        <w:spacing w:before="0" w:after="0"/>
        <w:rPr>
          <w:rFonts w:ascii="Times New Roman" w:hAnsi="Times New Roman"/>
        </w:rPr>
      </w:pPr>
      <w:bookmarkStart w:id="674" w:name="_Toc23568"/>
      <w:bookmarkStart w:id="675" w:name="_Toc31016"/>
      <w:bookmarkStart w:id="676" w:name="_Toc5727"/>
      <w:bookmarkStart w:id="677" w:name="_Toc12236"/>
      <w:bookmarkStart w:id="678" w:name="_Toc484616335"/>
      <w:bookmarkStart w:id="679" w:name="_Toc486350039"/>
      <w:r>
        <w:rPr>
          <w:rFonts w:ascii="Times New Roman" w:hAnsi="Times New Roman"/>
        </w:rPr>
        <w:t>10.2环境监理</w:t>
      </w:r>
      <w:bookmarkEnd w:id="674"/>
      <w:bookmarkEnd w:id="675"/>
      <w:bookmarkEnd w:id="676"/>
      <w:bookmarkEnd w:id="677"/>
      <w:bookmarkEnd w:id="678"/>
      <w:bookmarkEnd w:id="679"/>
    </w:p>
    <w:p>
      <w:pPr>
        <w:spacing w:line="360" w:lineRule="auto"/>
        <w:ind w:firstLine="480" w:firstLineChars="200"/>
        <w:rPr>
          <w:rFonts w:ascii="Times New Roman" w:hAnsi="Times New Roman"/>
          <w:sz w:val="24"/>
        </w:rPr>
      </w:pPr>
      <w:r>
        <w:rPr>
          <w:rFonts w:ascii="Times New Roman" w:hAnsi="Times New Roman"/>
          <w:sz w:val="24"/>
        </w:rPr>
        <w:t>环境监理是提高环评有效性的重要手段，是落实环保“三同时”制度的有效措施。针对本项目，将环境监理纳入到工程监理中，工程监理过程中配备专门人员及设备开展环境监理工作。</w:t>
      </w:r>
      <w:bookmarkStart w:id="680" w:name="_Toc241577393"/>
      <w:bookmarkStart w:id="681" w:name="_Toc250724889"/>
      <w:bookmarkStart w:id="682" w:name="_Toc244840876"/>
      <w:bookmarkStart w:id="683" w:name="_Toc247511283"/>
      <w:bookmarkStart w:id="684" w:name="_Toc291255084"/>
      <w:bookmarkStart w:id="685" w:name="_Toc293678165"/>
      <w:bookmarkStart w:id="686" w:name="_Toc296326951"/>
      <w:bookmarkStart w:id="687" w:name="_Toc344216985"/>
      <w:bookmarkStart w:id="688" w:name="_Toc418706014"/>
      <w:bookmarkStart w:id="689" w:name="_Toc340855366"/>
      <w:bookmarkStart w:id="690" w:name="_Toc461818994"/>
      <w:bookmarkStart w:id="691" w:name="_Toc476759987"/>
    </w:p>
    <w:p>
      <w:pPr>
        <w:widowControl/>
        <w:adjustRightInd w:val="0"/>
        <w:snapToGrid w:val="0"/>
        <w:spacing w:line="360" w:lineRule="auto"/>
        <w:outlineLvl w:val="0"/>
        <w:rPr>
          <w:rFonts w:ascii="Times New Roman" w:hAnsi="Times New Roman"/>
          <w:b/>
          <w:sz w:val="24"/>
        </w:rPr>
      </w:pPr>
      <w:bookmarkStart w:id="692" w:name="_Toc23277"/>
      <w:bookmarkStart w:id="693" w:name="_Toc12449"/>
      <w:bookmarkStart w:id="694" w:name="_Toc22159"/>
      <w:r>
        <w:rPr>
          <w:rFonts w:ascii="Times New Roman" w:hAnsi="Times New Roman"/>
          <w:b/>
          <w:sz w:val="24"/>
        </w:rPr>
        <w:t>10.2.1人员设置</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spacing w:line="360" w:lineRule="auto"/>
        <w:ind w:firstLine="480" w:firstLineChars="200"/>
        <w:rPr>
          <w:rFonts w:ascii="Times New Roman" w:hAnsi="Times New Roman"/>
          <w:sz w:val="24"/>
        </w:rPr>
      </w:pPr>
      <w:r>
        <w:rPr>
          <w:rFonts w:ascii="Times New Roman" w:hAnsi="Times New Roman"/>
          <w:sz w:val="24"/>
        </w:rPr>
        <w:t>环境监理实行环境监理工程师负责制，具备环境保护方面的专业知识。</w:t>
      </w:r>
      <w:bookmarkStart w:id="695" w:name="_Toc293678166"/>
      <w:bookmarkStart w:id="696" w:name="_Toc296326952"/>
      <w:bookmarkStart w:id="697" w:name="_Toc340855367"/>
      <w:bookmarkStart w:id="698" w:name="_Toc344216986"/>
      <w:bookmarkStart w:id="699" w:name="_Toc418706015"/>
      <w:bookmarkStart w:id="700" w:name="_Toc461818995"/>
      <w:bookmarkStart w:id="701" w:name="_Toc476759988"/>
      <w:bookmarkStart w:id="702" w:name="_Toc291255085"/>
      <w:bookmarkStart w:id="703" w:name="_Toc250724890"/>
      <w:bookmarkStart w:id="704" w:name="_Toc247511284"/>
      <w:bookmarkStart w:id="705" w:name="_Toc244840877"/>
      <w:bookmarkStart w:id="706" w:name="_Toc241577394"/>
    </w:p>
    <w:p>
      <w:pPr>
        <w:widowControl/>
        <w:adjustRightInd w:val="0"/>
        <w:snapToGrid w:val="0"/>
        <w:spacing w:line="360" w:lineRule="auto"/>
        <w:outlineLvl w:val="0"/>
        <w:rPr>
          <w:rFonts w:ascii="Times New Roman" w:hAnsi="Times New Roman"/>
          <w:b/>
          <w:sz w:val="24"/>
        </w:rPr>
      </w:pPr>
      <w:bookmarkStart w:id="707" w:name="_Toc29216"/>
      <w:bookmarkStart w:id="708" w:name="_Toc13977"/>
      <w:bookmarkStart w:id="709" w:name="_Toc27183"/>
      <w:r>
        <w:rPr>
          <w:rFonts w:ascii="Times New Roman" w:hAnsi="Times New Roman"/>
          <w:b/>
          <w:sz w:val="24"/>
        </w:rPr>
        <w:t>10.2.2环境监理职责</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pPr>
        <w:spacing w:line="360" w:lineRule="auto"/>
        <w:ind w:firstLine="480" w:firstLineChars="200"/>
        <w:rPr>
          <w:rFonts w:ascii="Times New Roman" w:hAnsi="Times New Roman"/>
          <w:sz w:val="24"/>
        </w:rPr>
      </w:pPr>
      <w:r>
        <w:rPr>
          <w:rFonts w:ascii="Times New Roman" w:hAnsi="Times New Roman"/>
          <w:sz w:val="24"/>
        </w:rPr>
        <w:t>环境监理工程师依据合同条款对工程活动中的环境保护工作进行监督管理，其职责如下：</w:t>
      </w:r>
    </w:p>
    <w:p>
      <w:pPr>
        <w:spacing w:line="360" w:lineRule="auto"/>
        <w:ind w:firstLine="480" w:firstLineChars="200"/>
        <w:rPr>
          <w:rFonts w:ascii="Times New Roman" w:hAnsi="Times New Roman"/>
          <w:sz w:val="24"/>
        </w:rPr>
      </w:pPr>
      <w:r>
        <w:rPr>
          <w:rFonts w:ascii="Times New Roman" w:hAnsi="Times New Roman"/>
          <w:sz w:val="24"/>
        </w:rPr>
        <w:t>1、监督承包商环保合同条款的执行情况，并负责解释环保条款，对重大环境问题提出处理意见和报告。</w:t>
      </w:r>
    </w:p>
    <w:p>
      <w:pPr>
        <w:spacing w:line="360" w:lineRule="auto"/>
        <w:ind w:firstLine="480" w:firstLineChars="200"/>
        <w:rPr>
          <w:rFonts w:ascii="Times New Roman" w:hAnsi="Times New Roman"/>
          <w:sz w:val="24"/>
        </w:rPr>
      </w:pPr>
      <w:r>
        <w:rPr>
          <w:rFonts w:ascii="Times New Roman" w:hAnsi="Times New Roman"/>
          <w:sz w:val="24"/>
        </w:rPr>
        <w:t>2、发现并掌握工程施工中的环境问题，下达监测指令。对监测结果进行分析研究，并提出环境保护改善方案。</w:t>
      </w:r>
    </w:p>
    <w:p>
      <w:pPr>
        <w:spacing w:line="360" w:lineRule="auto"/>
        <w:ind w:firstLine="480" w:firstLineChars="200"/>
        <w:rPr>
          <w:rFonts w:ascii="Times New Roman" w:hAnsi="Times New Roman"/>
          <w:sz w:val="24"/>
        </w:rPr>
      </w:pPr>
      <w:r>
        <w:rPr>
          <w:rFonts w:ascii="Times New Roman" w:hAnsi="Times New Roman"/>
          <w:sz w:val="24"/>
        </w:rPr>
        <w:t>3、参加承包商提出的技术方案和施工进度计划的审查会议，就环保问题提出改进意见，审查承包商提出可能造成污染施工材料，设备清单及所列环保指标。</w:t>
      </w:r>
    </w:p>
    <w:p>
      <w:pPr>
        <w:spacing w:line="360" w:lineRule="auto"/>
        <w:ind w:firstLine="480" w:firstLineChars="200"/>
        <w:rPr>
          <w:rFonts w:ascii="Times New Roman" w:hAnsi="Times New Roman"/>
          <w:sz w:val="24"/>
        </w:rPr>
      </w:pPr>
      <w:r>
        <w:rPr>
          <w:rFonts w:ascii="Times New Roman" w:hAnsi="Times New Roman"/>
          <w:sz w:val="24"/>
        </w:rPr>
        <w:t>4、协调业主和承包商之间的关系，处理合同中有关环保部分的违约事件，根据合同规定，按程序公正的处理好环保方面的双方索赔。</w:t>
      </w:r>
    </w:p>
    <w:p>
      <w:pPr>
        <w:spacing w:line="360" w:lineRule="auto"/>
        <w:ind w:firstLine="480" w:firstLineChars="200"/>
        <w:rPr>
          <w:rFonts w:ascii="Times New Roman" w:hAnsi="Times New Roman"/>
          <w:sz w:val="24"/>
        </w:rPr>
      </w:pPr>
      <w:r>
        <w:rPr>
          <w:rFonts w:ascii="Times New Roman" w:hAnsi="Times New Roman"/>
          <w:sz w:val="24"/>
        </w:rPr>
        <w:t>5、对现场出现的环境问题及处理结果做出记录，每周向环境管理机构提交周报表，并根据积累的有关资料整理环境监理档案，每月提交一份环境监理评估报告。</w:t>
      </w:r>
    </w:p>
    <w:p>
      <w:pPr>
        <w:spacing w:line="360" w:lineRule="auto"/>
        <w:ind w:firstLine="480" w:firstLineChars="200"/>
        <w:rPr>
          <w:rFonts w:ascii="Times New Roman" w:hAnsi="Times New Roman"/>
          <w:sz w:val="24"/>
        </w:rPr>
      </w:pPr>
      <w:r>
        <w:rPr>
          <w:rFonts w:ascii="Times New Roman" w:hAnsi="Times New Roman"/>
          <w:sz w:val="24"/>
        </w:rPr>
        <w:t>6、参加单元工程的竣工验收工作，对已完成的工程责令清理和恢复现场。</w:t>
      </w:r>
    </w:p>
    <w:p>
      <w:pPr>
        <w:widowControl/>
        <w:adjustRightInd w:val="0"/>
        <w:snapToGrid w:val="0"/>
        <w:spacing w:line="360" w:lineRule="auto"/>
        <w:ind w:firstLine="482" w:firstLineChars="200"/>
        <w:outlineLvl w:val="2"/>
        <w:rPr>
          <w:rFonts w:ascii="Times New Roman" w:hAnsi="Times New Roman"/>
          <w:b/>
          <w:sz w:val="24"/>
        </w:rPr>
      </w:pPr>
      <w:bookmarkStart w:id="710" w:name="_Toc3187"/>
      <w:bookmarkStart w:id="711" w:name="_Toc15845"/>
      <w:bookmarkStart w:id="712" w:name="_Toc19563"/>
      <w:r>
        <w:rPr>
          <w:rFonts w:ascii="Times New Roman" w:hAnsi="Times New Roman"/>
          <w:b/>
          <w:sz w:val="24"/>
        </w:rPr>
        <w:t>10.2.3环境监理范围和内容</w:t>
      </w:r>
      <w:bookmarkEnd w:id="710"/>
      <w:bookmarkEnd w:id="711"/>
      <w:bookmarkEnd w:id="712"/>
    </w:p>
    <w:p>
      <w:pPr>
        <w:spacing w:line="360" w:lineRule="auto"/>
        <w:ind w:firstLine="480" w:firstLineChars="200"/>
        <w:rPr>
          <w:rFonts w:ascii="Times New Roman" w:hAnsi="Times New Roman"/>
          <w:sz w:val="24"/>
        </w:rPr>
      </w:pPr>
      <w:r>
        <w:rPr>
          <w:rFonts w:ascii="Times New Roman" w:hAnsi="Times New Roman"/>
          <w:sz w:val="24"/>
        </w:rPr>
        <w:t>1、施工阶段环境监理</w:t>
      </w:r>
    </w:p>
    <w:p>
      <w:pPr>
        <w:spacing w:line="360" w:lineRule="auto"/>
        <w:ind w:firstLine="480" w:firstLineChars="200"/>
        <w:rPr>
          <w:rFonts w:ascii="Times New Roman" w:hAnsi="Times New Roman"/>
          <w:sz w:val="24"/>
        </w:rPr>
      </w:pPr>
      <w:r>
        <w:rPr>
          <w:rFonts w:ascii="Times New Roman" w:hAnsi="Times New Roman"/>
          <w:sz w:val="24"/>
        </w:rPr>
        <w:t>监理工作范围主要是</w:t>
      </w:r>
      <w:r>
        <w:rPr>
          <w:rFonts w:hint="eastAsia" w:ascii="Times New Roman" w:hAnsi="Times New Roman"/>
          <w:sz w:val="24"/>
        </w:rPr>
        <w:t>尾矿库</w:t>
      </w:r>
      <w:r>
        <w:rPr>
          <w:rFonts w:ascii="Times New Roman" w:hAnsi="Times New Roman"/>
          <w:sz w:val="24"/>
        </w:rPr>
        <w:t>等区域。监理工作内容如下：</w:t>
      </w:r>
    </w:p>
    <w:p>
      <w:pPr>
        <w:spacing w:line="360" w:lineRule="auto"/>
        <w:ind w:firstLine="480" w:firstLineChars="200"/>
        <w:rPr>
          <w:rFonts w:ascii="Times New Roman" w:hAnsi="Times New Roman"/>
          <w:sz w:val="24"/>
        </w:rPr>
      </w:pPr>
      <w:r>
        <w:rPr>
          <w:rFonts w:ascii="Times New Roman" w:hAnsi="Times New Roman"/>
          <w:sz w:val="24"/>
        </w:rPr>
        <w:t>①施工行为污染达标环境监理：施工废水、废气、噪声、固体废物及其他污染达标排放；</w:t>
      </w:r>
    </w:p>
    <w:p>
      <w:pPr>
        <w:spacing w:line="360" w:lineRule="auto"/>
        <w:ind w:firstLine="480" w:firstLineChars="200"/>
        <w:rPr>
          <w:rFonts w:ascii="Times New Roman" w:hAnsi="Times New Roman"/>
          <w:sz w:val="24"/>
        </w:rPr>
      </w:pPr>
      <w:r>
        <w:rPr>
          <w:rFonts w:ascii="Times New Roman" w:hAnsi="Times New Roman"/>
          <w:sz w:val="24"/>
        </w:rPr>
        <w:t>②环保设施（措施）环境监理：废水、废气、噪声、固体废物及其他环保污染治理设施与主体工程同时施工；环保污染治理设施经济技术上可行。</w:t>
      </w:r>
    </w:p>
    <w:p>
      <w:pPr>
        <w:spacing w:line="360" w:lineRule="auto"/>
        <w:ind w:firstLine="480" w:firstLineChars="200"/>
        <w:rPr>
          <w:rFonts w:ascii="Times New Roman" w:hAnsi="Times New Roman"/>
          <w:sz w:val="24"/>
        </w:rPr>
      </w:pPr>
      <w:r>
        <w:rPr>
          <w:rFonts w:ascii="Times New Roman" w:hAnsi="Times New Roman"/>
          <w:sz w:val="24"/>
        </w:rPr>
        <w:t>③生态减缓、恢复及保护监理：将施工场地等纳入到生态减缓、恢复中及其技术上可行。</w:t>
      </w:r>
    </w:p>
    <w:p>
      <w:pPr>
        <w:spacing w:line="360" w:lineRule="auto"/>
        <w:ind w:firstLine="480" w:firstLineChars="200"/>
        <w:rPr>
          <w:rFonts w:ascii="Times New Roman" w:hAnsi="Times New Roman"/>
          <w:sz w:val="24"/>
        </w:rPr>
      </w:pPr>
      <w:r>
        <w:rPr>
          <w:rFonts w:ascii="Times New Roman" w:hAnsi="Times New Roman"/>
          <w:sz w:val="24"/>
        </w:rPr>
        <w:t>2、运营阶段环境监理</w:t>
      </w:r>
    </w:p>
    <w:p>
      <w:pPr>
        <w:spacing w:line="360" w:lineRule="auto"/>
        <w:ind w:firstLine="480" w:firstLineChars="200"/>
        <w:rPr>
          <w:rFonts w:ascii="Times New Roman" w:hAnsi="Times New Roman"/>
          <w:sz w:val="24"/>
        </w:rPr>
      </w:pPr>
      <w:r>
        <w:rPr>
          <w:rFonts w:ascii="Times New Roman" w:hAnsi="Times New Roman"/>
          <w:sz w:val="24"/>
        </w:rPr>
        <w:t>①环保设施运行情况监理：污染治理设施与主体工程同时试运行；污染物达标排放。</w:t>
      </w:r>
    </w:p>
    <w:p>
      <w:pPr>
        <w:spacing w:line="360" w:lineRule="auto"/>
        <w:ind w:firstLine="480" w:firstLineChars="200"/>
        <w:rPr>
          <w:rFonts w:ascii="Times New Roman" w:hAnsi="Times New Roman"/>
          <w:sz w:val="24"/>
        </w:rPr>
      </w:pPr>
      <w:r>
        <w:rPr>
          <w:rFonts w:ascii="Times New Roman" w:hAnsi="Times New Roman"/>
          <w:sz w:val="24"/>
        </w:rPr>
        <w:t>②生态保护措施环境监理：落实生态减缓、补偿及保护措施。</w:t>
      </w:r>
    </w:p>
    <w:p>
      <w:pPr>
        <w:spacing w:line="360" w:lineRule="auto"/>
        <w:ind w:firstLine="480" w:firstLineChars="200"/>
        <w:rPr>
          <w:rFonts w:ascii="Times New Roman" w:hAnsi="Times New Roman"/>
          <w:sz w:val="24"/>
        </w:rPr>
      </w:pPr>
      <w:r>
        <w:rPr>
          <w:rFonts w:ascii="Times New Roman" w:hAnsi="Times New Roman"/>
          <w:sz w:val="24"/>
        </w:rPr>
        <w:t>③环境风险防范措施环境监理：非正常工况下环保设施的运行及污染防治措施；事故风险防范应急措施。</w:t>
      </w:r>
    </w:p>
    <w:p>
      <w:pPr>
        <w:pStyle w:val="4"/>
        <w:spacing w:before="0" w:after="0"/>
        <w:rPr>
          <w:rFonts w:ascii="Times New Roman" w:hAnsi="Times New Roman"/>
        </w:rPr>
      </w:pPr>
      <w:bookmarkStart w:id="713" w:name="_Toc484616336"/>
      <w:bookmarkStart w:id="714" w:name="_Toc867"/>
      <w:bookmarkStart w:id="715" w:name="_Toc486350040"/>
      <w:bookmarkStart w:id="716" w:name="_Toc3029"/>
      <w:bookmarkStart w:id="717" w:name="_Toc22040"/>
      <w:bookmarkStart w:id="718" w:name="_Toc11428"/>
      <w:r>
        <w:rPr>
          <w:rFonts w:ascii="Times New Roman" w:hAnsi="Times New Roman"/>
        </w:rPr>
        <w:t>10.3环境监测计划</w:t>
      </w:r>
      <w:bookmarkEnd w:id="713"/>
      <w:bookmarkEnd w:id="714"/>
      <w:bookmarkEnd w:id="715"/>
      <w:bookmarkEnd w:id="716"/>
      <w:bookmarkEnd w:id="717"/>
      <w:bookmarkEnd w:id="718"/>
    </w:p>
    <w:p>
      <w:pPr>
        <w:adjustRightInd w:val="0"/>
        <w:snapToGrid w:val="0"/>
        <w:spacing w:line="360" w:lineRule="auto"/>
        <w:ind w:firstLine="480" w:firstLineChars="200"/>
        <w:rPr>
          <w:rFonts w:ascii="Times New Roman" w:hAnsi="Times New Roman"/>
          <w:sz w:val="24"/>
        </w:rPr>
      </w:pPr>
      <w:r>
        <w:rPr>
          <w:rFonts w:ascii="Times New Roman" w:hAnsi="Times New Roman"/>
          <w:sz w:val="24"/>
        </w:rPr>
        <w:t>为确保工程建设各项环保设施正常运行，预测、预报环境质量，控制环境污染，判断环境质量是否符合国家制定的环境质量标准。依据项目各个时期主要环境影响因素制定环境监测计划。</w:t>
      </w:r>
    </w:p>
    <w:p>
      <w:pPr>
        <w:spacing w:line="360" w:lineRule="auto"/>
        <w:ind w:firstLine="480" w:firstLineChars="200"/>
        <w:rPr>
          <w:rFonts w:ascii="Times New Roman" w:hAnsi="Times New Roman"/>
          <w:sz w:val="24"/>
        </w:rPr>
      </w:pPr>
      <w:r>
        <w:rPr>
          <w:rFonts w:ascii="Times New Roman" w:hAnsi="Times New Roman"/>
          <w:sz w:val="24"/>
        </w:rPr>
        <w:t>（1）监测目的</w:t>
      </w:r>
    </w:p>
    <w:p>
      <w:pPr>
        <w:spacing w:line="360" w:lineRule="auto"/>
        <w:ind w:firstLine="480" w:firstLineChars="200"/>
        <w:rPr>
          <w:rFonts w:ascii="Times New Roman" w:hAnsi="Times New Roman"/>
          <w:sz w:val="24"/>
        </w:rPr>
      </w:pPr>
      <w:r>
        <w:rPr>
          <w:rFonts w:ascii="Times New Roman" w:hAnsi="Times New Roman"/>
          <w:sz w:val="24"/>
        </w:rPr>
        <w:t>跟踪监测本工程实施环境保护措施后的效果、达标情况及环境质量的动态变化。</w:t>
      </w:r>
    </w:p>
    <w:p>
      <w:pPr>
        <w:spacing w:line="360" w:lineRule="auto"/>
        <w:ind w:firstLine="480" w:firstLineChars="200"/>
        <w:rPr>
          <w:rFonts w:ascii="Times New Roman" w:hAnsi="Times New Roman"/>
          <w:sz w:val="24"/>
        </w:rPr>
      </w:pPr>
      <w:r>
        <w:rPr>
          <w:rFonts w:ascii="Times New Roman" w:hAnsi="Times New Roman"/>
          <w:sz w:val="24"/>
        </w:rPr>
        <w:t>（2）监测项目、频率和位置</w:t>
      </w:r>
    </w:p>
    <w:p>
      <w:pPr>
        <w:spacing w:line="360" w:lineRule="auto"/>
        <w:ind w:firstLine="480" w:firstLineChars="200"/>
        <w:rPr>
          <w:rFonts w:ascii="Times New Roman" w:hAnsi="Times New Roman"/>
          <w:sz w:val="24"/>
        </w:rPr>
      </w:pPr>
      <w:r>
        <w:rPr>
          <w:rFonts w:ascii="Times New Roman" w:hAnsi="Times New Roman"/>
          <w:sz w:val="24"/>
        </w:rPr>
        <w:t>监测项目、频率和位置见表10-2。</w:t>
      </w:r>
    </w:p>
    <w:p>
      <w:pPr>
        <w:jc w:val="center"/>
        <w:rPr>
          <w:rFonts w:ascii="Times New Roman" w:hAnsi="Times New Roman"/>
          <w:b/>
          <w:sz w:val="24"/>
        </w:rPr>
      </w:pPr>
      <w:r>
        <w:rPr>
          <w:rFonts w:ascii="Times New Roman" w:hAnsi="Times New Roman"/>
          <w:b/>
          <w:sz w:val="24"/>
        </w:rPr>
        <w:t>表10-2 环境监测计划表</w:t>
      </w:r>
    </w:p>
    <w:tbl>
      <w:tblPr>
        <w:tblStyle w:val="2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21"/>
        <w:gridCol w:w="960"/>
        <w:gridCol w:w="1368"/>
        <w:gridCol w:w="1096"/>
        <w:gridCol w:w="2389"/>
        <w:gridCol w:w="23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21" w:type="dxa"/>
            <w:vAlign w:val="center"/>
          </w:tcPr>
          <w:p>
            <w:pPr>
              <w:ind w:left="-101" w:leftChars="-48" w:right="-103" w:rightChars="-49"/>
              <w:jc w:val="center"/>
              <w:rPr>
                <w:rFonts w:ascii="Times New Roman" w:hAnsi="Times New Roman"/>
                <w:szCs w:val="21"/>
              </w:rPr>
            </w:pPr>
            <w:r>
              <w:rPr>
                <w:rFonts w:ascii="Times New Roman" w:hAnsi="Times New Roman"/>
                <w:szCs w:val="21"/>
              </w:rPr>
              <w:t>实施</w:t>
            </w:r>
          </w:p>
          <w:p>
            <w:pPr>
              <w:ind w:left="-101" w:leftChars="-48" w:right="-103" w:rightChars="-49"/>
              <w:jc w:val="center"/>
              <w:rPr>
                <w:rFonts w:ascii="Times New Roman" w:hAnsi="Times New Roman"/>
                <w:szCs w:val="21"/>
              </w:rPr>
            </w:pPr>
            <w:r>
              <w:rPr>
                <w:rFonts w:ascii="Times New Roman" w:hAnsi="Times New Roman"/>
                <w:szCs w:val="21"/>
              </w:rPr>
              <w:t>阶段</w:t>
            </w:r>
          </w:p>
        </w:tc>
        <w:tc>
          <w:tcPr>
            <w:tcW w:w="960" w:type="dxa"/>
            <w:vAlign w:val="center"/>
          </w:tcPr>
          <w:p>
            <w:pPr>
              <w:ind w:left="-101" w:leftChars="-48" w:right="-103" w:rightChars="-49"/>
              <w:jc w:val="center"/>
              <w:rPr>
                <w:rFonts w:ascii="Times New Roman" w:hAnsi="Times New Roman"/>
                <w:szCs w:val="21"/>
              </w:rPr>
            </w:pPr>
            <w:r>
              <w:rPr>
                <w:rFonts w:ascii="Times New Roman" w:hAnsi="Times New Roman"/>
                <w:szCs w:val="21"/>
              </w:rPr>
              <w:t>监测项目</w:t>
            </w:r>
          </w:p>
        </w:tc>
        <w:tc>
          <w:tcPr>
            <w:tcW w:w="1368" w:type="dxa"/>
            <w:vAlign w:val="center"/>
          </w:tcPr>
          <w:p>
            <w:pPr>
              <w:ind w:left="-101" w:leftChars="-48" w:right="-103" w:rightChars="-49"/>
              <w:jc w:val="center"/>
              <w:rPr>
                <w:rFonts w:ascii="Times New Roman" w:hAnsi="Times New Roman"/>
                <w:szCs w:val="21"/>
              </w:rPr>
            </w:pPr>
            <w:r>
              <w:rPr>
                <w:rFonts w:ascii="Times New Roman" w:hAnsi="Times New Roman"/>
                <w:szCs w:val="21"/>
              </w:rPr>
              <w:t>监测内容</w:t>
            </w:r>
          </w:p>
        </w:tc>
        <w:tc>
          <w:tcPr>
            <w:tcW w:w="1096" w:type="dxa"/>
            <w:vAlign w:val="center"/>
          </w:tcPr>
          <w:p>
            <w:pPr>
              <w:ind w:left="-101" w:leftChars="-48" w:right="-103" w:rightChars="-49"/>
              <w:jc w:val="center"/>
              <w:rPr>
                <w:rFonts w:ascii="Times New Roman" w:hAnsi="Times New Roman"/>
                <w:szCs w:val="21"/>
              </w:rPr>
            </w:pPr>
            <w:r>
              <w:rPr>
                <w:rFonts w:ascii="Times New Roman" w:hAnsi="Times New Roman"/>
                <w:szCs w:val="21"/>
              </w:rPr>
              <w:t>监测时间</w:t>
            </w:r>
          </w:p>
          <w:p>
            <w:pPr>
              <w:ind w:left="-101" w:leftChars="-48" w:right="-103" w:rightChars="-49"/>
              <w:jc w:val="center"/>
              <w:rPr>
                <w:rFonts w:ascii="Times New Roman" w:hAnsi="Times New Roman"/>
                <w:szCs w:val="21"/>
              </w:rPr>
            </w:pPr>
            <w:r>
              <w:rPr>
                <w:rFonts w:ascii="Times New Roman" w:hAnsi="Times New Roman"/>
                <w:szCs w:val="21"/>
              </w:rPr>
              <w:t>及频率</w:t>
            </w:r>
          </w:p>
        </w:tc>
        <w:tc>
          <w:tcPr>
            <w:tcW w:w="2389" w:type="dxa"/>
            <w:vAlign w:val="center"/>
          </w:tcPr>
          <w:p>
            <w:pPr>
              <w:ind w:left="-101" w:leftChars="-48" w:right="-103" w:rightChars="-49"/>
              <w:jc w:val="center"/>
              <w:rPr>
                <w:rFonts w:ascii="Times New Roman" w:hAnsi="Times New Roman"/>
                <w:szCs w:val="21"/>
              </w:rPr>
            </w:pPr>
            <w:r>
              <w:rPr>
                <w:rFonts w:ascii="Times New Roman" w:hAnsi="Times New Roman"/>
                <w:szCs w:val="21"/>
              </w:rPr>
              <w:t>监测地点</w:t>
            </w:r>
          </w:p>
        </w:tc>
        <w:tc>
          <w:tcPr>
            <w:tcW w:w="2386" w:type="dxa"/>
            <w:vAlign w:val="center"/>
          </w:tcPr>
          <w:p>
            <w:pPr>
              <w:ind w:left="-101" w:leftChars="-48" w:right="-103" w:rightChars="-49"/>
              <w:jc w:val="center"/>
              <w:rPr>
                <w:rFonts w:ascii="Times New Roman" w:hAnsi="Times New Roman"/>
                <w:szCs w:val="21"/>
              </w:rPr>
            </w:pPr>
            <w:r>
              <w:rPr>
                <w:rFonts w:ascii="Times New Roman" w:hAnsi="Times New Roman"/>
                <w:szCs w:val="21"/>
              </w:rPr>
              <w:t>监测因子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21" w:type="dxa"/>
            <w:vMerge w:val="restart"/>
            <w:vAlign w:val="center"/>
          </w:tcPr>
          <w:p>
            <w:pPr>
              <w:ind w:left="-101" w:leftChars="-48" w:right="-103" w:rightChars="-49"/>
              <w:jc w:val="center"/>
              <w:rPr>
                <w:rFonts w:ascii="Times New Roman" w:hAnsi="Times New Roman"/>
                <w:szCs w:val="21"/>
              </w:rPr>
            </w:pPr>
            <w:r>
              <w:rPr>
                <w:rFonts w:ascii="Times New Roman" w:hAnsi="Times New Roman"/>
                <w:szCs w:val="21"/>
              </w:rPr>
              <w:t>施</w:t>
            </w:r>
          </w:p>
          <w:p>
            <w:pPr>
              <w:ind w:left="-101" w:leftChars="-48" w:right="-103" w:rightChars="-49"/>
              <w:jc w:val="center"/>
              <w:rPr>
                <w:rFonts w:ascii="Times New Roman" w:hAnsi="Times New Roman"/>
                <w:szCs w:val="21"/>
              </w:rPr>
            </w:pPr>
            <w:r>
              <w:rPr>
                <w:rFonts w:ascii="Times New Roman" w:hAnsi="Times New Roman"/>
                <w:szCs w:val="21"/>
              </w:rPr>
              <w:t>工</w:t>
            </w:r>
          </w:p>
          <w:p>
            <w:pPr>
              <w:ind w:left="-101" w:leftChars="-48" w:right="-103" w:rightChars="-49"/>
              <w:jc w:val="center"/>
              <w:rPr>
                <w:rFonts w:ascii="Times New Roman" w:hAnsi="Times New Roman"/>
                <w:szCs w:val="21"/>
              </w:rPr>
            </w:pPr>
            <w:r>
              <w:rPr>
                <w:rFonts w:ascii="Times New Roman" w:hAnsi="Times New Roman"/>
                <w:szCs w:val="21"/>
              </w:rPr>
              <w:t>期</w:t>
            </w:r>
          </w:p>
        </w:tc>
        <w:tc>
          <w:tcPr>
            <w:tcW w:w="960" w:type="dxa"/>
            <w:vAlign w:val="center"/>
          </w:tcPr>
          <w:p>
            <w:pPr>
              <w:ind w:left="-101" w:leftChars="-48" w:right="-103" w:rightChars="-49"/>
              <w:jc w:val="center"/>
              <w:rPr>
                <w:rFonts w:ascii="Times New Roman" w:hAnsi="Times New Roman"/>
                <w:szCs w:val="21"/>
              </w:rPr>
            </w:pPr>
            <w:r>
              <w:rPr>
                <w:rFonts w:ascii="Times New Roman" w:hAnsi="Times New Roman"/>
                <w:szCs w:val="21"/>
              </w:rPr>
              <w:t>废气</w:t>
            </w:r>
          </w:p>
        </w:tc>
        <w:tc>
          <w:tcPr>
            <w:tcW w:w="1368" w:type="dxa"/>
            <w:vAlign w:val="center"/>
          </w:tcPr>
          <w:p>
            <w:pPr>
              <w:ind w:left="-101" w:leftChars="-48" w:right="-103" w:rightChars="-49"/>
              <w:jc w:val="center"/>
              <w:rPr>
                <w:rFonts w:ascii="Times New Roman" w:hAnsi="Times New Roman"/>
                <w:szCs w:val="21"/>
              </w:rPr>
            </w:pPr>
            <w:r>
              <w:rPr>
                <w:rFonts w:ascii="Times New Roman" w:hAnsi="Times New Roman"/>
                <w:szCs w:val="21"/>
              </w:rPr>
              <w:t>施工扬尘</w:t>
            </w:r>
          </w:p>
        </w:tc>
        <w:tc>
          <w:tcPr>
            <w:tcW w:w="1096" w:type="dxa"/>
            <w:vAlign w:val="center"/>
          </w:tcPr>
          <w:p>
            <w:pPr>
              <w:ind w:left="-101" w:leftChars="-48" w:right="-103" w:rightChars="-49"/>
              <w:jc w:val="center"/>
              <w:rPr>
                <w:rFonts w:ascii="Times New Roman" w:hAnsi="Times New Roman"/>
                <w:szCs w:val="21"/>
              </w:rPr>
            </w:pPr>
            <w:r>
              <w:rPr>
                <w:rFonts w:ascii="Times New Roman" w:hAnsi="Times New Roman"/>
                <w:szCs w:val="21"/>
              </w:rPr>
              <w:t>1期/年</w:t>
            </w:r>
          </w:p>
          <w:p>
            <w:pPr>
              <w:ind w:left="-101" w:leftChars="-48" w:right="-103" w:rightChars="-49"/>
              <w:jc w:val="center"/>
              <w:rPr>
                <w:rFonts w:ascii="Times New Roman" w:hAnsi="Times New Roman"/>
                <w:szCs w:val="21"/>
              </w:rPr>
            </w:pPr>
            <w:r>
              <w:rPr>
                <w:rFonts w:ascii="Times New Roman" w:hAnsi="Times New Roman"/>
                <w:szCs w:val="21"/>
              </w:rPr>
              <w:t>3天/期</w:t>
            </w:r>
          </w:p>
        </w:tc>
        <w:tc>
          <w:tcPr>
            <w:tcW w:w="2389" w:type="dxa"/>
            <w:vAlign w:val="center"/>
          </w:tcPr>
          <w:p>
            <w:pPr>
              <w:ind w:left="-101" w:leftChars="-48" w:right="-103" w:rightChars="-49"/>
              <w:jc w:val="center"/>
              <w:rPr>
                <w:rFonts w:ascii="Times New Roman" w:hAnsi="Times New Roman"/>
                <w:szCs w:val="21"/>
              </w:rPr>
            </w:pPr>
            <w:r>
              <w:rPr>
                <w:rFonts w:ascii="Times New Roman" w:hAnsi="Times New Roman"/>
                <w:szCs w:val="21"/>
              </w:rPr>
              <w:t>施工场区上下风向</w:t>
            </w:r>
          </w:p>
        </w:tc>
        <w:tc>
          <w:tcPr>
            <w:tcW w:w="2386" w:type="dxa"/>
            <w:vAlign w:val="center"/>
          </w:tcPr>
          <w:p>
            <w:pPr>
              <w:ind w:left="-101" w:leftChars="-48" w:right="-103" w:rightChars="-49"/>
              <w:jc w:val="center"/>
              <w:rPr>
                <w:rFonts w:ascii="Times New Roman" w:hAnsi="Times New Roman"/>
                <w:szCs w:val="21"/>
              </w:rPr>
            </w:pPr>
            <w:r>
              <w:rPr>
                <w:rFonts w:ascii="Times New Roman" w:hAnsi="Times New Roman"/>
                <w:szCs w:val="21"/>
              </w:rPr>
              <w:t>TSP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21" w:type="dxa"/>
            <w:vMerge w:val="continue"/>
            <w:vAlign w:val="center"/>
          </w:tcPr>
          <w:p>
            <w:pPr>
              <w:widowControl/>
              <w:jc w:val="left"/>
              <w:rPr>
                <w:rFonts w:ascii="Times New Roman" w:hAnsi="Times New Roman"/>
                <w:szCs w:val="21"/>
              </w:rPr>
            </w:pPr>
          </w:p>
        </w:tc>
        <w:tc>
          <w:tcPr>
            <w:tcW w:w="960" w:type="dxa"/>
            <w:vAlign w:val="center"/>
          </w:tcPr>
          <w:p>
            <w:pPr>
              <w:ind w:left="-101" w:leftChars="-48" w:right="-103" w:rightChars="-49"/>
              <w:jc w:val="center"/>
              <w:rPr>
                <w:rFonts w:ascii="Times New Roman" w:hAnsi="Times New Roman"/>
                <w:szCs w:val="21"/>
              </w:rPr>
            </w:pPr>
            <w:r>
              <w:rPr>
                <w:rFonts w:ascii="Times New Roman" w:hAnsi="Times New Roman"/>
                <w:szCs w:val="21"/>
              </w:rPr>
              <w:t>噪声</w:t>
            </w:r>
          </w:p>
        </w:tc>
        <w:tc>
          <w:tcPr>
            <w:tcW w:w="1368" w:type="dxa"/>
            <w:vAlign w:val="center"/>
          </w:tcPr>
          <w:p>
            <w:pPr>
              <w:ind w:left="-101" w:leftChars="-48" w:right="-103" w:rightChars="-49"/>
              <w:jc w:val="center"/>
              <w:rPr>
                <w:rFonts w:ascii="Times New Roman" w:hAnsi="Times New Roman"/>
                <w:szCs w:val="21"/>
              </w:rPr>
            </w:pPr>
            <w:r>
              <w:rPr>
                <w:rFonts w:ascii="Times New Roman" w:hAnsi="Times New Roman"/>
                <w:szCs w:val="21"/>
              </w:rPr>
              <w:t>施工机械噪声</w:t>
            </w:r>
          </w:p>
        </w:tc>
        <w:tc>
          <w:tcPr>
            <w:tcW w:w="1096" w:type="dxa"/>
            <w:vAlign w:val="center"/>
          </w:tcPr>
          <w:p>
            <w:pPr>
              <w:ind w:left="-101" w:leftChars="-48" w:right="-103" w:rightChars="-49"/>
              <w:jc w:val="center"/>
              <w:rPr>
                <w:rFonts w:ascii="Times New Roman" w:hAnsi="Times New Roman"/>
                <w:szCs w:val="21"/>
              </w:rPr>
            </w:pPr>
            <w:r>
              <w:rPr>
                <w:rFonts w:ascii="Times New Roman" w:hAnsi="Times New Roman"/>
                <w:szCs w:val="21"/>
              </w:rPr>
              <w:t>1次/季度</w:t>
            </w:r>
          </w:p>
        </w:tc>
        <w:tc>
          <w:tcPr>
            <w:tcW w:w="2389" w:type="dxa"/>
            <w:vAlign w:val="center"/>
          </w:tcPr>
          <w:p>
            <w:pPr>
              <w:ind w:left="-101" w:leftChars="-48" w:right="-103" w:rightChars="-49"/>
              <w:jc w:val="center"/>
              <w:rPr>
                <w:rFonts w:ascii="Times New Roman" w:hAnsi="Times New Roman"/>
                <w:szCs w:val="21"/>
              </w:rPr>
            </w:pPr>
            <w:r>
              <w:rPr>
                <w:rFonts w:ascii="Times New Roman" w:hAnsi="Times New Roman"/>
                <w:szCs w:val="21"/>
              </w:rPr>
              <w:t>施工场地场界外1m</w:t>
            </w:r>
          </w:p>
        </w:tc>
        <w:tc>
          <w:tcPr>
            <w:tcW w:w="2386" w:type="dxa"/>
            <w:vMerge w:val="restart"/>
            <w:vAlign w:val="center"/>
          </w:tcPr>
          <w:p>
            <w:pPr>
              <w:ind w:left="-101" w:leftChars="-48" w:right="-103" w:rightChars="-49"/>
              <w:jc w:val="center"/>
              <w:rPr>
                <w:rFonts w:ascii="Times New Roman" w:hAnsi="Times New Roman"/>
                <w:szCs w:val="21"/>
              </w:rPr>
            </w:pPr>
            <w:r>
              <w:rPr>
                <w:rFonts w:ascii="Times New Roman" w:hAnsi="Times New Roman"/>
                <w:szCs w:val="21"/>
              </w:rPr>
              <w:t>等效连续A声级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21" w:type="dxa"/>
            <w:vMerge w:val="restart"/>
            <w:vAlign w:val="center"/>
          </w:tcPr>
          <w:p>
            <w:pPr>
              <w:ind w:left="-101" w:leftChars="-48" w:right="-103" w:rightChars="-49"/>
              <w:jc w:val="center"/>
              <w:rPr>
                <w:rFonts w:ascii="Times New Roman" w:hAnsi="Times New Roman"/>
                <w:szCs w:val="21"/>
              </w:rPr>
            </w:pPr>
          </w:p>
          <w:p>
            <w:pPr>
              <w:ind w:left="-101" w:leftChars="-48" w:right="-103" w:rightChars="-49"/>
              <w:jc w:val="center"/>
              <w:rPr>
                <w:rFonts w:ascii="Times New Roman" w:hAnsi="Times New Roman"/>
                <w:szCs w:val="21"/>
              </w:rPr>
            </w:pPr>
          </w:p>
          <w:p>
            <w:pPr>
              <w:ind w:left="-101" w:leftChars="-48" w:right="-103" w:rightChars="-49"/>
              <w:jc w:val="center"/>
              <w:rPr>
                <w:rFonts w:ascii="Times New Roman" w:hAnsi="Times New Roman"/>
                <w:szCs w:val="21"/>
              </w:rPr>
            </w:pPr>
            <w:r>
              <w:rPr>
                <w:rFonts w:ascii="Times New Roman" w:hAnsi="Times New Roman"/>
                <w:szCs w:val="21"/>
              </w:rPr>
              <w:t>运</w:t>
            </w:r>
          </w:p>
          <w:p>
            <w:pPr>
              <w:ind w:left="-101" w:leftChars="-48" w:right="-103" w:rightChars="-49"/>
              <w:jc w:val="center"/>
              <w:rPr>
                <w:rFonts w:ascii="Times New Roman" w:hAnsi="Times New Roman"/>
                <w:szCs w:val="21"/>
              </w:rPr>
            </w:pPr>
            <w:r>
              <w:rPr>
                <w:rFonts w:ascii="Times New Roman" w:hAnsi="Times New Roman"/>
                <w:szCs w:val="21"/>
              </w:rPr>
              <w:t>营</w:t>
            </w:r>
          </w:p>
          <w:p>
            <w:pPr>
              <w:ind w:left="-101" w:leftChars="-48" w:right="-103" w:rightChars="-49"/>
              <w:jc w:val="center"/>
              <w:rPr>
                <w:rFonts w:ascii="Times New Roman" w:hAnsi="Times New Roman"/>
                <w:szCs w:val="21"/>
              </w:rPr>
            </w:pPr>
            <w:r>
              <w:rPr>
                <w:rFonts w:ascii="Times New Roman" w:hAnsi="Times New Roman"/>
                <w:szCs w:val="21"/>
              </w:rPr>
              <w:t>期</w:t>
            </w:r>
          </w:p>
        </w:tc>
        <w:tc>
          <w:tcPr>
            <w:tcW w:w="960" w:type="dxa"/>
            <w:vAlign w:val="center"/>
          </w:tcPr>
          <w:p>
            <w:pPr>
              <w:ind w:left="-101" w:leftChars="-48" w:right="-103" w:rightChars="-49"/>
              <w:jc w:val="center"/>
              <w:rPr>
                <w:rFonts w:ascii="Times New Roman" w:hAnsi="Times New Roman"/>
                <w:szCs w:val="21"/>
              </w:rPr>
            </w:pPr>
            <w:r>
              <w:rPr>
                <w:rFonts w:ascii="Times New Roman" w:hAnsi="Times New Roman"/>
                <w:szCs w:val="21"/>
              </w:rPr>
              <w:t>噪声</w:t>
            </w:r>
          </w:p>
        </w:tc>
        <w:tc>
          <w:tcPr>
            <w:tcW w:w="1368" w:type="dxa"/>
            <w:vAlign w:val="center"/>
          </w:tcPr>
          <w:p>
            <w:pPr>
              <w:ind w:left="-101" w:leftChars="-48" w:right="-103" w:rightChars="-49"/>
              <w:jc w:val="center"/>
              <w:rPr>
                <w:rFonts w:ascii="Times New Roman" w:hAnsi="Times New Roman"/>
                <w:szCs w:val="21"/>
              </w:rPr>
            </w:pPr>
            <w:r>
              <w:rPr>
                <w:rFonts w:ascii="Times New Roman" w:hAnsi="Times New Roman"/>
                <w:szCs w:val="21"/>
              </w:rPr>
              <w:t>设备噪声</w:t>
            </w:r>
          </w:p>
        </w:tc>
        <w:tc>
          <w:tcPr>
            <w:tcW w:w="1096" w:type="dxa"/>
            <w:vAlign w:val="center"/>
          </w:tcPr>
          <w:p>
            <w:pPr>
              <w:ind w:left="-101" w:leftChars="-48" w:right="-103" w:rightChars="-49"/>
              <w:jc w:val="center"/>
              <w:rPr>
                <w:rFonts w:ascii="Times New Roman" w:hAnsi="Times New Roman"/>
                <w:szCs w:val="21"/>
              </w:rPr>
            </w:pPr>
            <w:r>
              <w:rPr>
                <w:rFonts w:ascii="Times New Roman" w:hAnsi="Times New Roman"/>
                <w:szCs w:val="21"/>
              </w:rPr>
              <w:t>1次/年</w:t>
            </w:r>
          </w:p>
        </w:tc>
        <w:tc>
          <w:tcPr>
            <w:tcW w:w="2389" w:type="dxa"/>
            <w:vAlign w:val="center"/>
          </w:tcPr>
          <w:p>
            <w:pPr>
              <w:ind w:left="-101" w:leftChars="-48" w:right="-103" w:rightChars="-49"/>
              <w:jc w:val="center"/>
              <w:rPr>
                <w:rFonts w:ascii="Times New Roman" w:hAnsi="Times New Roman"/>
                <w:szCs w:val="21"/>
              </w:rPr>
            </w:pPr>
            <w:r>
              <w:rPr>
                <w:rFonts w:ascii="Times New Roman" w:hAnsi="Times New Roman"/>
                <w:szCs w:val="21"/>
              </w:rPr>
              <w:t>工业广场厂界外1m</w:t>
            </w:r>
          </w:p>
        </w:tc>
        <w:tc>
          <w:tcPr>
            <w:tcW w:w="2386" w:type="dxa"/>
            <w:vMerge w:val="continue"/>
            <w:vAlign w:val="center"/>
          </w:tcPr>
          <w:p>
            <w:pPr>
              <w:widowControl/>
              <w:jc w:val="left"/>
              <w:rPr>
                <w:rFonts w:ascii="Times New Roman" w:hAnsi="Times New Roman"/>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21" w:type="dxa"/>
            <w:vMerge w:val="continue"/>
            <w:vAlign w:val="center"/>
          </w:tcPr>
          <w:p>
            <w:pPr>
              <w:widowControl/>
              <w:jc w:val="left"/>
              <w:rPr>
                <w:rFonts w:ascii="Times New Roman" w:hAnsi="Times New Roman"/>
                <w:szCs w:val="21"/>
              </w:rPr>
            </w:pPr>
          </w:p>
        </w:tc>
        <w:tc>
          <w:tcPr>
            <w:tcW w:w="960" w:type="dxa"/>
            <w:vAlign w:val="center"/>
          </w:tcPr>
          <w:p>
            <w:pPr>
              <w:ind w:left="-101" w:leftChars="-48" w:right="-103" w:rightChars="-49"/>
              <w:jc w:val="center"/>
              <w:rPr>
                <w:rFonts w:ascii="Times New Roman" w:hAnsi="Times New Roman"/>
                <w:szCs w:val="21"/>
              </w:rPr>
            </w:pPr>
            <w:r>
              <w:rPr>
                <w:rFonts w:ascii="Times New Roman" w:hAnsi="Times New Roman"/>
                <w:szCs w:val="21"/>
              </w:rPr>
              <w:t>废气</w:t>
            </w:r>
          </w:p>
        </w:tc>
        <w:tc>
          <w:tcPr>
            <w:tcW w:w="1368" w:type="dxa"/>
            <w:vAlign w:val="center"/>
          </w:tcPr>
          <w:p>
            <w:pPr>
              <w:ind w:left="-101" w:leftChars="-48" w:right="-103" w:rightChars="-49"/>
              <w:jc w:val="center"/>
              <w:rPr>
                <w:rFonts w:ascii="Times New Roman" w:hAnsi="Times New Roman"/>
                <w:szCs w:val="21"/>
              </w:rPr>
            </w:pPr>
            <w:r>
              <w:rPr>
                <w:rFonts w:hint="eastAsia" w:ascii="Times New Roman" w:hAnsi="Times New Roman"/>
                <w:szCs w:val="21"/>
              </w:rPr>
              <w:t>厂区扬尘</w:t>
            </w:r>
          </w:p>
        </w:tc>
        <w:tc>
          <w:tcPr>
            <w:tcW w:w="1096" w:type="dxa"/>
            <w:vAlign w:val="center"/>
          </w:tcPr>
          <w:p>
            <w:pPr>
              <w:ind w:left="-101" w:leftChars="-48" w:right="-103" w:rightChars="-49"/>
              <w:jc w:val="center"/>
              <w:rPr>
                <w:rFonts w:ascii="Times New Roman" w:hAnsi="Times New Roman"/>
                <w:szCs w:val="21"/>
              </w:rPr>
            </w:pPr>
            <w:r>
              <w:rPr>
                <w:rFonts w:ascii="Times New Roman" w:hAnsi="Times New Roman"/>
                <w:szCs w:val="21"/>
              </w:rPr>
              <w:t>1次/半年</w:t>
            </w:r>
          </w:p>
          <w:p>
            <w:pPr>
              <w:ind w:left="-101" w:leftChars="-48" w:right="-103" w:rightChars="-49"/>
              <w:jc w:val="center"/>
              <w:rPr>
                <w:rFonts w:ascii="Times New Roman" w:hAnsi="Times New Roman"/>
                <w:szCs w:val="21"/>
              </w:rPr>
            </w:pPr>
            <w:r>
              <w:rPr>
                <w:rFonts w:ascii="Times New Roman" w:hAnsi="Times New Roman"/>
                <w:szCs w:val="21"/>
              </w:rPr>
              <w:t>3天/期</w:t>
            </w:r>
          </w:p>
        </w:tc>
        <w:tc>
          <w:tcPr>
            <w:tcW w:w="2389" w:type="dxa"/>
            <w:vAlign w:val="center"/>
          </w:tcPr>
          <w:p>
            <w:pPr>
              <w:ind w:left="-101" w:leftChars="-48" w:right="-103" w:rightChars="-49"/>
              <w:jc w:val="center"/>
              <w:rPr>
                <w:rFonts w:ascii="Times New Roman" w:hAnsi="Times New Roman"/>
                <w:szCs w:val="21"/>
              </w:rPr>
            </w:pPr>
            <w:r>
              <w:rPr>
                <w:rFonts w:hint="eastAsia" w:ascii="Times New Roman" w:hAnsi="Times New Roman"/>
                <w:szCs w:val="21"/>
              </w:rPr>
              <w:t>厂区</w:t>
            </w:r>
            <w:r>
              <w:rPr>
                <w:rFonts w:ascii="Times New Roman" w:hAnsi="Times New Roman"/>
                <w:szCs w:val="21"/>
              </w:rPr>
              <w:t>口风向10m处以及下风向10m处、下侧风向10m处、下侧风向10m处、下侧风向10m处</w:t>
            </w:r>
          </w:p>
        </w:tc>
        <w:tc>
          <w:tcPr>
            <w:tcW w:w="2386" w:type="dxa"/>
            <w:vAlign w:val="center"/>
          </w:tcPr>
          <w:p>
            <w:pPr>
              <w:ind w:left="-101" w:leftChars="-48" w:right="-103" w:rightChars="-49"/>
              <w:jc w:val="center"/>
              <w:rPr>
                <w:rFonts w:ascii="Times New Roman" w:hAnsi="Times New Roman"/>
                <w:szCs w:val="21"/>
              </w:rPr>
            </w:pPr>
            <w:r>
              <w:rPr>
                <w:rFonts w:ascii="Times New Roman" w:hAnsi="Times New Roman"/>
                <w:szCs w:val="21"/>
              </w:rPr>
              <w:t xml:space="preserve">TSP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21" w:type="dxa"/>
            <w:vMerge w:val="continue"/>
            <w:vAlign w:val="center"/>
          </w:tcPr>
          <w:p>
            <w:pPr>
              <w:widowControl/>
              <w:jc w:val="left"/>
              <w:rPr>
                <w:rFonts w:ascii="Times New Roman" w:hAnsi="Times New Roman"/>
                <w:szCs w:val="21"/>
              </w:rPr>
            </w:pPr>
          </w:p>
        </w:tc>
        <w:tc>
          <w:tcPr>
            <w:tcW w:w="960" w:type="dxa"/>
            <w:vAlign w:val="center"/>
          </w:tcPr>
          <w:p>
            <w:pPr>
              <w:ind w:left="-101" w:leftChars="-48" w:right="-103" w:rightChars="-49"/>
              <w:jc w:val="center"/>
              <w:rPr>
                <w:rFonts w:ascii="Times New Roman" w:hAnsi="Times New Roman"/>
                <w:szCs w:val="21"/>
              </w:rPr>
            </w:pPr>
            <w:r>
              <w:rPr>
                <w:rFonts w:ascii="Times New Roman" w:hAnsi="Times New Roman"/>
                <w:szCs w:val="21"/>
              </w:rPr>
              <w:t>地下水</w:t>
            </w:r>
          </w:p>
        </w:tc>
        <w:tc>
          <w:tcPr>
            <w:tcW w:w="1368" w:type="dxa"/>
            <w:vAlign w:val="center"/>
          </w:tcPr>
          <w:p>
            <w:pPr>
              <w:ind w:left="-101" w:leftChars="-48" w:right="-103" w:rightChars="-49"/>
              <w:jc w:val="center"/>
              <w:rPr>
                <w:rFonts w:ascii="Times New Roman" w:hAnsi="Times New Roman"/>
                <w:szCs w:val="21"/>
              </w:rPr>
            </w:pPr>
            <w:r>
              <w:rPr>
                <w:rFonts w:ascii="Times New Roman" w:hAnsi="Times New Roman"/>
                <w:szCs w:val="21"/>
              </w:rPr>
              <w:t>地下水水质</w:t>
            </w:r>
          </w:p>
        </w:tc>
        <w:tc>
          <w:tcPr>
            <w:tcW w:w="1096" w:type="dxa"/>
            <w:vAlign w:val="center"/>
          </w:tcPr>
          <w:p>
            <w:pPr>
              <w:ind w:left="-101" w:leftChars="-48" w:right="-103" w:rightChars="-49"/>
              <w:jc w:val="center"/>
              <w:rPr>
                <w:rFonts w:ascii="Times New Roman" w:hAnsi="Times New Roman"/>
                <w:szCs w:val="21"/>
              </w:rPr>
            </w:pPr>
            <w:r>
              <w:rPr>
                <w:rFonts w:hint="eastAsia" w:ascii="Times New Roman" w:hAnsi="Times New Roman"/>
                <w:szCs w:val="21"/>
              </w:rPr>
              <w:t>6次/年</w:t>
            </w:r>
          </w:p>
        </w:tc>
        <w:tc>
          <w:tcPr>
            <w:tcW w:w="2389" w:type="dxa"/>
            <w:vAlign w:val="center"/>
          </w:tcPr>
          <w:p>
            <w:pPr>
              <w:ind w:left="-101" w:leftChars="-48" w:right="-103" w:rightChars="-49"/>
              <w:jc w:val="center"/>
              <w:rPr>
                <w:rFonts w:ascii="Times New Roman" w:hAnsi="Times New Roman"/>
                <w:szCs w:val="21"/>
              </w:rPr>
            </w:pPr>
            <w:r>
              <w:rPr>
                <w:szCs w:val="21"/>
              </w:rPr>
              <w:t>每单月采样一次，一年六次。在监测井水质没有上升趋势，且变化不大，而现有污染源排污量未增的情况下，可每年在枯水期监测一次，一旦监测结果存在明显的上升趋势，或在监测井附近有新的污染源或现有污染源新增排污量时，即恢复正常监测频次。</w:t>
            </w:r>
          </w:p>
        </w:tc>
        <w:tc>
          <w:tcPr>
            <w:tcW w:w="2386" w:type="dxa"/>
            <w:vAlign w:val="center"/>
          </w:tcPr>
          <w:p>
            <w:pPr>
              <w:ind w:left="-101" w:leftChars="-48" w:right="-103" w:rightChars="-49"/>
              <w:jc w:val="center"/>
              <w:rPr>
                <w:rFonts w:ascii="Times New Roman" w:hAnsi="Times New Roman"/>
                <w:szCs w:val="21"/>
              </w:rPr>
            </w:pPr>
            <w:r>
              <w:rPr>
                <w:rFonts w:ascii="Times New Roman" w:hAnsi="Times New Roman"/>
                <w:szCs w:val="21"/>
              </w:rPr>
              <w:t>参照地下水现状监测因子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21" w:type="dxa"/>
            <w:vMerge w:val="continue"/>
            <w:vAlign w:val="center"/>
          </w:tcPr>
          <w:p>
            <w:pPr>
              <w:widowControl/>
              <w:jc w:val="left"/>
              <w:rPr>
                <w:rFonts w:ascii="Times New Roman" w:hAnsi="Times New Roman"/>
                <w:szCs w:val="21"/>
              </w:rPr>
            </w:pPr>
          </w:p>
        </w:tc>
        <w:tc>
          <w:tcPr>
            <w:tcW w:w="960" w:type="dxa"/>
            <w:vAlign w:val="center"/>
          </w:tcPr>
          <w:p>
            <w:pPr>
              <w:ind w:left="-101" w:leftChars="-48" w:right="-103" w:rightChars="-49"/>
              <w:jc w:val="center"/>
              <w:rPr>
                <w:rFonts w:ascii="Times New Roman" w:hAnsi="Times New Roman"/>
                <w:szCs w:val="21"/>
              </w:rPr>
            </w:pPr>
            <w:r>
              <w:rPr>
                <w:rFonts w:ascii="Times New Roman" w:hAnsi="Times New Roman"/>
                <w:szCs w:val="21"/>
              </w:rPr>
              <w:t>土壤</w:t>
            </w:r>
          </w:p>
        </w:tc>
        <w:tc>
          <w:tcPr>
            <w:tcW w:w="1368" w:type="dxa"/>
            <w:vAlign w:val="center"/>
          </w:tcPr>
          <w:p>
            <w:pPr>
              <w:ind w:left="-101" w:leftChars="-48" w:right="-103" w:rightChars="-49"/>
              <w:jc w:val="center"/>
              <w:rPr>
                <w:rFonts w:ascii="Times New Roman" w:hAnsi="Times New Roman"/>
                <w:szCs w:val="21"/>
              </w:rPr>
            </w:pPr>
            <w:r>
              <w:rPr>
                <w:rFonts w:ascii="Times New Roman" w:hAnsi="Times New Roman"/>
                <w:szCs w:val="21"/>
              </w:rPr>
              <w:t>土壤</w:t>
            </w:r>
          </w:p>
        </w:tc>
        <w:tc>
          <w:tcPr>
            <w:tcW w:w="1096" w:type="dxa"/>
            <w:vAlign w:val="center"/>
          </w:tcPr>
          <w:p>
            <w:pPr>
              <w:ind w:left="-101" w:leftChars="-48" w:right="-103" w:rightChars="-49"/>
              <w:jc w:val="center"/>
              <w:rPr>
                <w:rFonts w:ascii="Times New Roman" w:hAnsi="Times New Roman"/>
                <w:szCs w:val="21"/>
              </w:rPr>
            </w:pPr>
            <w:r>
              <w:rPr>
                <w:rFonts w:ascii="Times New Roman" w:hAnsi="Times New Roman"/>
                <w:szCs w:val="21"/>
              </w:rPr>
              <w:t>1次/年</w:t>
            </w:r>
          </w:p>
        </w:tc>
        <w:tc>
          <w:tcPr>
            <w:tcW w:w="2389" w:type="dxa"/>
            <w:vAlign w:val="center"/>
          </w:tcPr>
          <w:p>
            <w:pPr>
              <w:ind w:left="-101" w:leftChars="-48" w:right="-103" w:rightChars="-49"/>
              <w:jc w:val="center"/>
              <w:rPr>
                <w:rFonts w:ascii="Times New Roman" w:hAnsi="Times New Roman"/>
                <w:szCs w:val="21"/>
              </w:rPr>
            </w:pPr>
            <w:r>
              <w:rPr>
                <w:rFonts w:ascii="Times New Roman" w:hAnsi="Times New Roman"/>
                <w:szCs w:val="21"/>
              </w:rPr>
              <w:t>参照现状监测点</w:t>
            </w:r>
          </w:p>
        </w:tc>
        <w:tc>
          <w:tcPr>
            <w:tcW w:w="2386" w:type="dxa"/>
            <w:vAlign w:val="center"/>
          </w:tcPr>
          <w:p>
            <w:pPr>
              <w:ind w:left="-101" w:leftChars="-48" w:right="-103" w:rightChars="-49"/>
              <w:jc w:val="center"/>
              <w:rPr>
                <w:rFonts w:ascii="Times New Roman" w:hAnsi="Times New Roman"/>
                <w:szCs w:val="21"/>
              </w:rPr>
            </w:pPr>
            <w:r>
              <w:rPr>
                <w:rFonts w:ascii="Times New Roman" w:hAnsi="Times New Roman"/>
                <w:szCs w:val="21"/>
              </w:rPr>
              <w:t>参照土壤现状监测因子</w:t>
            </w:r>
          </w:p>
        </w:tc>
      </w:tr>
    </w:tbl>
    <w:p>
      <w:pPr>
        <w:spacing w:line="360" w:lineRule="auto"/>
        <w:ind w:firstLine="480" w:firstLineChars="200"/>
        <w:rPr>
          <w:rFonts w:ascii="Times New Roman" w:hAnsi="Times New Roman"/>
          <w:sz w:val="24"/>
        </w:rPr>
      </w:pPr>
      <w:r>
        <w:rPr>
          <w:rFonts w:ascii="Times New Roman" w:hAnsi="Times New Roman"/>
          <w:sz w:val="24"/>
        </w:rPr>
        <w:t>由于环境监测涉及专业人员较多，而企业难以配齐符合环境监测要求的人员和仪器设备，同时监测次数不多，鉴于上述情况，项目环境监测可委托当地有资质单位来承担监测任务。</w:t>
      </w:r>
    </w:p>
    <w:p>
      <w:pPr>
        <w:pStyle w:val="4"/>
        <w:rPr>
          <w:rFonts w:ascii="Times New Roman" w:hAnsi="Times New Roman"/>
        </w:rPr>
      </w:pPr>
      <w:bookmarkStart w:id="719" w:name="_Toc8033"/>
      <w:bookmarkStart w:id="720" w:name="_Toc4705"/>
      <w:bookmarkStart w:id="721" w:name="_Toc22055"/>
      <w:bookmarkStart w:id="722" w:name="_Toc8781"/>
      <w:bookmarkStart w:id="723" w:name="_Toc486350041"/>
      <w:bookmarkStart w:id="724" w:name="_Toc484616337"/>
      <w:r>
        <w:rPr>
          <w:rFonts w:ascii="Times New Roman" w:hAnsi="Times New Roman"/>
        </w:rPr>
        <w:t>10.</w:t>
      </w:r>
      <w:r>
        <w:rPr>
          <w:rFonts w:hint="eastAsia" w:ascii="Times New Roman" w:hAnsi="Times New Roman"/>
        </w:rPr>
        <w:t>4</w:t>
      </w:r>
      <w:r>
        <w:rPr>
          <w:rFonts w:ascii="Times New Roman" w:hAnsi="Times New Roman"/>
        </w:rPr>
        <w:t>环境设施竣工验收</w:t>
      </w:r>
      <w:bookmarkEnd w:id="719"/>
      <w:bookmarkEnd w:id="720"/>
      <w:bookmarkEnd w:id="721"/>
      <w:bookmarkEnd w:id="722"/>
      <w:bookmarkEnd w:id="723"/>
      <w:bookmarkEnd w:id="724"/>
    </w:p>
    <w:p>
      <w:pPr>
        <w:spacing w:line="360" w:lineRule="auto"/>
        <w:ind w:firstLine="480" w:firstLineChars="200"/>
        <w:rPr>
          <w:rFonts w:ascii="Times New Roman" w:hAnsi="Times New Roman"/>
          <w:bCs/>
          <w:kern w:val="0"/>
          <w:sz w:val="24"/>
        </w:rPr>
      </w:pPr>
      <w:r>
        <w:rPr>
          <w:rFonts w:ascii="Times New Roman" w:hAnsi="Times New Roman"/>
          <w:bCs/>
          <w:kern w:val="0"/>
          <w:sz w:val="24"/>
        </w:rPr>
        <w:t>根据环境保护部文件国环规环评[2017]4号关于发布《建设项目竣工环境保护验收暂行办法》的公告建设项目需要配套建设水、噪声或者固体废物污染防治设施的，新修改的《中华人民共和国</w:t>
      </w:r>
      <w:r>
        <w:fldChar w:fldCharType="begin"/>
      </w:r>
      <w:r>
        <w:instrText xml:space="preserve"> HYPERLINK "http://www.h2o-china.com/news/search?stype=title&amp;schv=%E6%B0%B4%E6%B1%A1%E6%9F%93" \t "http://www.h2o-china.com/news/_blank" \o "水污染" </w:instrText>
      </w:r>
      <w:r>
        <w:fldChar w:fldCharType="separate"/>
      </w:r>
      <w:r>
        <w:rPr>
          <w:rFonts w:ascii="Times New Roman" w:hAnsi="Times New Roman"/>
          <w:bCs/>
          <w:kern w:val="0"/>
          <w:sz w:val="24"/>
        </w:rPr>
        <w:t>水污染</w:t>
      </w:r>
      <w:r>
        <w:rPr>
          <w:rFonts w:ascii="Times New Roman" w:hAnsi="Times New Roman"/>
          <w:bCs/>
          <w:kern w:val="0"/>
          <w:sz w:val="24"/>
        </w:rPr>
        <w:fldChar w:fldCharType="end"/>
      </w:r>
      <w:r>
        <w:rPr>
          <w:rFonts w:ascii="Times New Roman" w:hAnsi="Times New Roman"/>
          <w:bCs/>
          <w:kern w:val="0"/>
          <w:sz w:val="24"/>
        </w:rPr>
        <w:t>防治法》生效实施前或者《中华人民共和国固体废物污染环境防治法》《中华人民共和国环境噪声污染防治法》修改完成前，应依法由环境保护部门对建设项目水、噪声或者固体废物污染防治设施进行验收。</w:t>
      </w:r>
    </w:p>
    <w:p>
      <w:pPr>
        <w:spacing w:line="360" w:lineRule="auto"/>
        <w:ind w:firstLine="480" w:firstLineChars="200"/>
        <w:rPr>
          <w:rFonts w:ascii="Times New Roman" w:hAnsi="Times New Roman"/>
          <w:sz w:val="24"/>
        </w:rPr>
      </w:pPr>
      <w:r>
        <w:rPr>
          <w:rFonts w:ascii="Times New Roman" w:hAnsi="Times New Roman"/>
          <w:bCs/>
          <w:kern w:val="0"/>
          <w:sz w:val="24"/>
        </w:rPr>
        <w:t>待项目竣工后，建设单位应向审批环境影响报告表的环境保护行政主管部门提出验收申请，并由有资质的环境监测部门具体制定监测计划</w:t>
      </w:r>
      <w:r>
        <w:rPr>
          <w:rFonts w:ascii="Times New Roman" w:hAnsi="Times New Roman"/>
          <w:sz w:val="24"/>
        </w:rPr>
        <w:t>。环保设施竣工验收主要内容见表10-</w:t>
      </w:r>
      <w:r>
        <w:rPr>
          <w:rFonts w:hint="eastAsia" w:ascii="Times New Roman" w:hAnsi="Times New Roman"/>
          <w:sz w:val="24"/>
        </w:rPr>
        <w:t>3</w:t>
      </w:r>
      <w:r>
        <w:rPr>
          <w:rFonts w:ascii="Times New Roman" w:hAnsi="Times New Roman"/>
          <w:sz w:val="24"/>
        </w:rPr>
        <w:t>和表10-</w:t>
      </w:r>
      <w:r>
        <w:rPr>
          <w:rFonts w:hint="eastAsia" w:ascii="Times New Roman" w:hAnsi="Times New Roman"/>
          <w:sz w:val="24"/>
        </w:rPr>
        <w:t>4</w:t>
      </w:r>
      <w:r>
        <w:rPr>
          <w:rFonts w:ascii="Times New Roman" w:hAnsi="Times New Roman"/>
          <w:sz w:val="24"/>
        </w:rPr>
        <w:t>。</w:t>
      </w:r>
    </w:p>
    <w:p>
      <w:pPr>
        <w:jc w:val="center"/>
        <w:rPr>
          <w:rFonts w:ascii="Times New Roman" w:hAnsi="Times New Roman"/>
          <w:b/>
          <w:color w:val="000000"/>
          <w:sz w:val="24"/>
        </w:rPr>
      </w:pPr>
      <w:r>
        <w:rPr>
          <w:rFonts w:ascii="Times New Roman" w:hAnsi="Times New Roman"/>
          <w:b/>
          <w:color w:val="000000"/>
          <w:sz w:val="24"/>
        </w:rPr>
        <w:t>表10-</w:t>
      </w:r>
      <w:r>
        <w:rPr>
          <w:rFonts w:hint="eastAsia" w:ascii="Times New Roman" w:hAnsi="Times New Roman"/>
          <w:b/>
          <w:color w:val="000000"/>
          <w:sz w:val="24"/>
        </w:rPr>
        <w:t>3</w:t>
      </w:r>
      <w:r>
        <w:rPr>
          <w:rFonts w:ascii="Times New Roman" w:hAnsi="Times New Roman"/>
          <w:b/>
          <w:color w:val="000000"/>
          <w:sz w:val="24"/>
        </w:rPr>
        <w:t xml:space="preserve"> 工程环保设施监察、监管内容一览表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90"/>
        <w:gridCol w:w="960"/>
        <w:gridCol w:w="1710"/>
        <w:gridCol w:w="2610"/>
        <w:gridCol w:w="1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45" w:type="dxa"/>
            <w:vAlign w:val="center"/>
          </w:tcPr>
          <w:p>
            <w:pPr>
              <w:adjustRightInd w:val="0"/>
              <w:jc w:val="center"/>
              <w:rPr>
                <w:rFonts w:ascii="Times New Roman" w:hAnsi="Times New Roman"/>
                <w:color w:val="000000"/>
                <w:szCs w:val="21"/>
              </w:rPr>
            </w:pPr>
            <w:r>
              <w:rPr>
                <w:rFonts w:ascii="Times New Roman" w:hAnsi="Times New Roman"/>
                <w:color w:val="000000"/>
                <w:szCs w:val="21"/>
              </w:rPr>
              <w:t>序号</w:t>
            </w:r>
          </w:p>
        </w:tc>
        <w:tc>
          <w:tcPr>
            <w:tcW w:w="690" w:type="dxa"/>
            <w:vAlign w:val="center"/>
          </w:tcPr>
          <w:p>
            <w:pPr>
              <w:adjustRightInd w:val="0"/>
              <w:jc w:val="center"/>
              <w:rPr>
                <w:rFonts w:ascii="Times New Roman" w:hAnsi="Times New Roman"/>
                <w:color w:val="000000"/>
                <w:szCs w:val="21"/>
              </w:rPr>
            </w:pPr>
            <w:r>
              <w:rPr>
                <w:rFonts w:ascii="Times New Roman" w:hAnsi="Times New Roman"/>
                <w:color w:val="000000"/>
                <w:szCs w:val="21"/>
              </w:rPr>
              <w:t>要素</w:t>
            </w:r>
          </w:p>
        </w:tc>
        <w:tc>
          <w:tcPr>
            <w:tcW w:w="960" w:type="dxa"/>
            <w:vAlign w:val="center"/>
          </w:tcPr>
          <w:p>
            <w:pPr>
              <w:adjustRightInd w:val="0"/>
              <w:jc w:val="center"/>
              <w:rPr>
                <w:rFonts w:ascii="Times New Roman" w:hAnsi="Times New Roman"/>
                <w:color w:val="000000"/>
                <w:szCs w:val="21"/>
              </w:rPr>
            </w:pPr>
            <w:r>
              <w:rPr>
                <w:rFonts w:ascii="Times New Roman" w:hAnsi="Times New Roman"/>
                <w:color w:val="000000"/>
                <w:szCs w:val="21"/>
              </w:rPr>
              <w:t>类别</w:t>
            </w:r>
          </w:p>
        </w:tc>
        <w:tc>
          <w:tcPr>
            <w:tcW w:w="1710" w:type="dxa"/>
            <w:vAlign w:val="center"/>
          </w:tcPr>
          <w:p>
            <w:pPr>
              <w:adjustRightInd w:val="0"/>
              <w:jc w:val="center"/>
              <w:rPr>
                <w:rFonts w:ascii="Times New Roman" w:hAnsi="Times New Roman"/>
                <w:color w:val="000000"/>
                <w:szCs w:val="21"/>
              </w:rPr>
            </w:pPr>
            <w:r>
              <w:rPr>
                <w:rFonts w:ascii="Times New Roman" w:hAnsi="Times New Roman"/>
                <w:color w:val="000000"/>
                <w:szCs w:val="21"/>
              </w:rPr>
              <w:t>项目</w:t>
            </w:r>
          </w:p>
        </w:tc>
        <w:tc>
          <w:tcPr>
            <w:tcW w:w="2610" w:type="dxa"/>
            <w:vAlign w:val="center"/>
          </w:tcPr>
          <w:p>
            <w:pPr>
              <w:adjustRightInd w:val="0"/>
              <w:jc w:val="center"/>
              <w:rPr>
                <w:rFonts w:ascii="Times New Roman" w:hAnsi="Times New Roman"/>
                <w:color w:val="000000"/>
                <w:szCs w:val="21"/>
              </w:rPr>
            </w:pPr>
            <w:r>
              <w:rPr>
                <w:rFonts w:ascii="Times New Roman" w:hAnsi="Times New Roman"/>
                <w:color w:val="000000"/>
                <w:szCs w:val="21"/>
              </w:rPr>
              <w:t>环保措施</w:t>
            </w:r>
          </w:p>
        </w:tc>
        <w:tc>
          <w:tcPr>
            <w:tcW w:w="1919" w:type="dxa"/>
            <w:vAlign w:val="center"/>
          </w:tcPr>
          <w:p>
            <w:pPr>
              <w:adjustRightIn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45" w:type="dxa"/>
            <w:vMerge w:val="restart"/>
            <w:vAlign w:val="center"/>
          </w:tcPr>
          <w:p>
            <w:pPr>
              <w:adjustRightInd w:val="0"/>
              <w:jc w:val="center"/>
              <w:rPr>
                <w:rFonts w:ascii="Times New Roman" w:hAnsi="Times New Roman"/>
                <w:color w:val="000000"/>
                <w:szCs w:val="21"/>
              </w:rPr>
            </w:pPr>
            <w:r>
              <w:rPr>
                <w:rFonts w:ascii="Times New Roman" w:hAnsi="Times New Roman"/>
                <w:color w:val="000000"/>
                <w:szCs w:val="21"/>
              </w:rPr>
              <w:t>1</w:t>
            </w:r>
          </w:p>
        </w:tc>
        <w:tc>
          <w:tcPr>
            <w:tcW w:w="690" w:type="dxa"/>
            <w:vMerge w:val="restart"/>
            <w:vAlign w:val="center"/>
          </w:tcPr>
          <w:p>
            <w:pPr>
              <w:adjustRightInd w:val="0"/>
              <w:jc w:val="center"/>
              <w:rPr>
                <w:rFonts w:ascii="Times New Roman" w:hAnsi="Times New Roman"/>
                <w:color w:val="000000"/>
                <w:szCs w:val="21"/>
              </w:rPr>
            </w:pPr>
            <w:r>
              <w:rPr>
                <w:rFonts w:ascii="Times New Roman" w:hAnsi="Times New Roman"/>
                <w:color w:val="000000"/>
                <w:szCs w:val="21"/>
              </w:rPr>
              <w:t>废水</w:t>
            </w:r>
          </w:p>
        </w:tc>
        <w:tc>
          <w:tcPr>
            <w:tcW w:w="960" w:type="dxa"/>
            <w:vAlign w:val="center"/>
          </w:tcPr>
          <w:p>
            <w:pPr>
              <w:adjustRightInd w:val="0"/>
              <w:jc w:val="center"/>
              <w:rPr>
                <w:rFonts w:ascii="Times New Roman" w:hAnsi="Times New Roman"/>
                <w:color w:val="000000"/>
                <w:szCs w:val="21"/>
              </w:rPr>
            </w:pPr>
            <w:r>
              <w:rPr>
                <w:rFonts w:ascii="Times New Roman" w:hAnsi="Times New Roman"/>
                <w:color w:val="000000"/>
                <w:szCs w:val="21"/>
              </w:rPr>
              <w:t>施工期</w:t>
            </w:r>
          </w:p>
        </w:tc>
        <w:tc>
          <w:tcPr>
            <w:tcW w:w="1710" w:type="dxa"/>
            <w:vAlign w:val="center"/>
          </w:tcPr>
          <w:p>
            <w:pPr>
              <w:adjustRightInd w:val="0"/>
              <w:jc w:val="center"/>
              <w:rPr>
                <w:rFonts w:ascii="Times New Roman" w:hAnsi="Times New Roman"/>
                <w:color w:val="000000"/>
                <w:szCs w:val="21"/>
              </w:rPr>
            </w:pPr>
            <w:r>
              <w:rPr>
                <w:rFonts w:ascii="Times New Roman" w:hAnsi="Times New Roman"/>
                <w:color w:val="000000"/>
                <w:szCs w:val="21"/>
              </w:rPr>
              <w:t>生产废水</w:t>
            </w:r>
          </w:p>
        </w:tc>
        <w:tc>
          <w:tcPr>
            <w:tcW w:w="2610" w:type="dxa"/>
            <w:vAlign w:val="center"/>
          </w:tcPr>
          <w:p>
            <w:pPr>
              <w:adjustRightInd w:val="0"/>
              <w:jc w:val="center"/>
              <w:rPr>
                <w:rFonts w:ascii="Times New Roman" w:hAnsi="Times New Roman"/>
                <w:color w:val="000000"/>
                <w:szCs w:val="21"/>
              </w:rPr>
            </w:pPr>
            <w:r>
              <w:rPr>
                <w:rFonts w:ascii="Times New Roman" w:hAnsi="Times New Roman"/>
                <w:color w:val="000000"/>
                <w:szCs w:val="21"/>
              </w:rPr>
              <w:t>沉淀池</w:t>
            </w:r>
          </w:p>
        </w:tc>
        <w:tc>
          <w:tcPr>
            <w:tcW w:w="1919" w:type="dxa"/>
            <w:vAlign w:val="center"/>
          </w:tcPr>
          <w:p>
            <w:pPr>
              <w:adjustRightInd w:val="0"/>
              <w:jc w:val="center"/>
              <w:rPr>
                <w:rFonts w:ascii="Times New Roman" w:hAnsi="Times New Roman"/>
                <w:color w:val="000000"/>
                <w:szCs w:val="21"/>
              </w:rPr>
            </w:pPr>
            <w:r>
              <w:rPr>
                <w:rFonts w:ascii="Times New Roman" w:hAnsi="Times New Roman"/>
                <w:color w:val="000000"/>
                <w:szCs w:val="21"/>
              </w:rPr>
              <w:t>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运营期</w:t>
            </w:r>
          </w:p>
        </w:tc>
        <w:tc>
          <w:tcPr>
            <w:tcW w:w="1710" w:type="dxa"/>
            <w:vAlign w:val="center"/>
          </w:tcPr>
          <w:p>
            <w:pPr>
              <w:adjustRightInd w:val="0"/>
              <w:jc w:val="center"/>
              <w:rPr>
                <w:rFonts w:ascii="Times New Roman" w:hAnsi="Times New Roman"/>
                <w:color w:val="000000"/>
                <w:szCs w:val="21"/>
              </w:rPr>
            </w:pPr>
            <w:r>
              <w:rPr>
                <w:rFonts w:hint="eastAsia" w:ascii="Times New Roman" w:hAnsi="Times New Roman"/>
                <w:szCs w:val="21"/>
              </w:rPr>
              <w:t>尾矿浆废水、尾矿库淋溶水</w:t>
            </w:r>
          </w:p>
        </w:tc>
        <w:tc>
          <w:tcPr>
            <w:tcW w:w="2610" w:type="dxa"/>
            <w:vAlign w:val="center"/>
          </w:tcPr>
          <w:p>
            <w:pPr>
              <w:adjustRightInd w:val="0"/>
              <w:jc w:val="center"/>
              <w:rPr>
                <w:rFonts w:ascii="Times New Roman" w:hAnsi="Times New Roman"/>
                <w:color w:val="000000"/>
                <w:szCs w:val="21"/>
              </w:rPr>
            </w:pPr>
            <w:r>
              <w:rPr>
                <w:rFonts w:hint="eastAsia"/>
                <w:bCs/>
                <w:color w:val="000000"/>
                <w:szCs w:val="21"/>
              </w:rPr>
              <w:t>尾矿浆废水经拟建压滤间压滤设备后，在沉淀池内沉</w:t>
            </w:r>
            <w:r>
              <w:rPr>
                <w:rFonts w:ascii="Times New Roman" w:hAnsi="Times New Roman"/>
                <w:bCs/>
                <w:color w:val="000000"/>
                <w:szCs w:val="21"/>
              </w:rPr>
              <w:t>淀（150m</w:t>
            </w:r>
            <w:r>
              <w:rPr>
                <w:rFonts w:ascii="Times New Roman" w:hAnsi="Times New Roman"/>
                <w:bCs/>
                <w:color w:val="000000"/>
                <w:szCs w:val="21"/>
                <w:vertAlign w:val="superscript"/>
              </w:rPr>
              <w:t>3</w:t>
            </w:r>
            <w:r>
              <w:rPr>
                <w:rFonts w:ascii="Times New Roman" w:hAnsi="Times New Roman"/>
                <w:bCs/>
                <w:color w:val="000000"/>
                <w:szCs w:val="21"/>
              </w:rPr>
              <w:t>）</w:t>
            </w:r>
            <w:r>
              <w:rPr>
                <w:rFonts w:hint="eastAsia" w:ascii="Times New Roman" w:hAnsi="Times New Roman"/>
                <w:bCs/>
                <w:color w:val="000000"/>
                <w:szCs w:val="21"/>
              </w:rPr>
              <w:t>通过水泵打回选矿车间高位水池；尾矿库淋溶水通过沉淀池沉淀（50m</w:t>
            </w:r>
            <w:r>
              <w:rPr>
                <w:rFonts w:hint="eastAsia" w:ascii="Times New Roman" w:hAnsi="Times New Roman"/>
                <w:bCs/>
                <w:color w:val="000000"/>
                <w:szCs w:val="21"/>
                <w:vertAlign w:val="superscript"/>
              </w:rPr>
              <w:t>3</w:t>
            </w:r>
            <w:r>
              <w:rPr>
                <w:rFonts w:hint="eastAsia" w:ascii="Times New Roman" w:hAnsi="Times New Roman"/>
                <w:bCs/>
                <w:color w:val="000000"/>
                <w:szCs w:val="21"/>
              </w:rPr>
              <w:t>）后通过水泵打会压滤车间沉淀池内</w:t>
            </w:r>
            <w:r>
              <w:rPr>
                <w:rFonts w:hint="eastAsia"/>
                <w:bCs/>
                <w:color w:val="000000"/>
                <w:szCs w:val="21"/>
              </w:rPr>
              <w:t>。</w:t>
            </w:r>
          </w:p>
        </w:tc>
        <w:tc>
          <w:tcPr>
            <w:tcW w:w="1919" w:type="dxa"/>
            <w:vAlign w:val="center"/>
          </w:tcPr>
          <w:p>
            <w:pPr>
              <w:adjustRightInd w:val="0"/>
              <w:jc w:val="center"/>
              <w:rPr>
                <w:rFonts w:ascii="Times New Roman" w:hAnsi="Times New Roman"/>
                <w:color w:val="000000"/>
                <w:szCs w:val="21"/>
              </w:rPr>
            </w:pPr>
            <w:r>
              <w:rPr>
                <w:rFonts w:hint="eastAsia" w:ascii="Times New Roman" w:hAnsi="Times New Roman"/>
                <w:color w:val="000000"/>
                <w:spacing w:val="6"/>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45" w:type="dxa"/>
            <w:vMerge w:val="restart"/>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2</w:t>
            </w:r>
          </w:p>
        </w:tc>
        <w:tc>
          <w:tcPr>
            <w:tcW w:w="690" w:type="dxa"/>
            <w:vMerge w:val="restart"/>
            <w:vAlign w:val="center"/>
          </w:tcPr>
          <w:p>
            <w:pPr>
              <w:adjustRightInd w:val="0"/>
              <w:jc w:val="center"/>
              <w:rPr>
                <w:rFonts w:ascii="Times New Roman" w:hAnsi="Times New Roman"/>
                <w:color w:val="000000"/>
                <w:szCs w:val="21"/>
              </w:rPr>
            </w:pPr>
            <w:r>
              <w:rPr>
                <w:rFonts w:ascii="Times New Roman" w:hAnsi="Times New Roman"/>
                <w:color w:val="000000"/>
                <w:szCs w:val="21"/>
              </w:rPr>
              <w:t>废气</w:t>
            </w:r>
          </w:p>
        </w:tc>
        <w:tc>
          <w:tcPr>
            <w:tcW w:w="960" w:type="dxa"/>
            <w:vAlign w:val="center"/>
          </w:tcPr>
          <w:p>
            <w:pPr>
              <w:pStyle w:val="64"/>
              <w:adjustRightInd w:val="0"/>
              <w:spacing w:line="240" w:lineRule="auto"/>
              <w:rPr>
                <w:rFonts w:ascii="Times New Roman" w:hAnsi="Times New Roman"/>
                <w:color w:val="000000"/>
                <w:szCs w:val="21"/>
              </w:rPr>
            </w:pPr>
            <w:r>
              <w:rPr>
                <w:rFonts w:ascii="Times New Roman" w:hAnsi="Times New Roman"/>
                <w:color w:val="000000"/>
                <w:szCs w:val="21"/>
              </w:rPr>
              <w:t>施工期</w:t>
            </w:r>
          </w:p>
        </w:tc>
        <w:tc>
          <w:tcPr>
            <w:tcW w:w="1710" w:type="dxa"/>
            <w:vAlign w:val="center"/>
          </w:tcPr>
          <w:p>
            <w:pPr>
              <w:adjustRightInd w:val="0"/>
              <w:jc w:val="center"/>
              <w:rPr>
                <w:rFonts w:ascii="Times New Roman" w:hAnsi="Times New Roman"/>
                <w:color w:val="000000"/>
                <w:szCs w:val="21"/>
              </w:rPr>
            </w:pPr>
            <w:r>
              <w:rPr>
                <w:rFonts w:ascii="Times New Roman" w:hAnsi="Times New Roman"/>
                <w:color w:val="000000"/>
                <w:szCs w:val="21"/>
              </w:rPr>
              <w:t>扬尘</w:t>
            </w:r>
          </w:p>
        </w:tc>
        <w:tc>
          <w:tcPr>
            <w:tcW w:w="2610" w:type="dxa"/>
            <w:vAlign w:val="center"/>
          </w:tcPr>
          <w:p>
            <w:pPr>
              <w:adjustRightInd w:val="0"/>
              <w:jc w:val="center"/>
              <w:rPr>
                <w:rFonts w:ascii="Times New Roman" w:hAnsi="Times New Roman"/>
                <w:color w:val="000000"/>
                <w:szCs w:val="21"/>
              </w:rPr>
            </w:pPr>
            <w:r>
              <w:rPr>
                <w:color w:val="000000"/>
                <w:szCs w:val="21"/>
              </w:rPr>
              <w:t>洒水车及洒水降尘</w:t>
            </w:r>
            <w:r>
              <w:rPr>
                <w:rFonts w:hint="eastAsia"/>
                <w:color w:val="000000"/>
                <w:szCs w:val="21"/>
              </w:rPr>
              <w:t>，</w:t>
            </w:r>
            <w:r>
              <w:rPr>
                <w:rFonts w:ascii="Times New Roman" w:hAnsi="Times New Roman"/>
                <w:color w:val="000000"/>
                <w:szCs w:val="21"/>
              </w:rPr>
              <w:t>施工现场全封闭设置围挡，严禁敞开式作业，施工现场道路应进行地面硬化，各种堆料应封闭储存或建设防风抑尘设施。渣土运输车辆要全部采取密闭措施，严查渣土车沿途洒落，在建筑工地集中区域设置运输指定通道，规定时间、路线进行运输作业</w:t>
            </w:r>
          </w:p>
        </w:tc>
        <w:tc>
          <w:tcPr>
            <w:tcW w:w="1919" w:type="dxa"/>
            <w:vMerge w:val="restart"/>
            <w:vAlign w:val="center"/>
          </w:tcPr>
          <w:p>
            <w:pPr>
              <w:adjustRightIn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GB28661-2012</w:t>
            </w:r>
          </w:p>
          <w:p>
            <w:pPr>
              <w:adjustRightInd w:val="0"/>
              <w:jc w:val="center"/>
              <w:textAlignment w:val="baseline"/>
              <w:rPr>
                <w:rFonts w:ascii="Times New Roman" w:hAnsi="Times New Roman"/>
                <w:color w:val="000000"/>
                <w:spacing w:val="6"/>
                <w:kern w:val="0"/>
                <w:szCs w:val="21"/>
              </w:rPr>
            </w:pPr>
            <w:r>
              <w:rPr>
                <w:rFonts w:ascii="Times New Roman" w:hAnsi="Times New Roman"/>
                <w:color w:val="000000"/>
                <w:spacing w:val="6"/>
                <w:kern w:val="0"/>
                <w:szCs w:val="21"/>
              </w:rPr>
              <w:t>《铁矿采选工业污染物排放标准》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restart"/>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运营期</w:t>
            </w:r>
          </w:p>
        </w:tc>
        <w:tc>
          <w:tcPr>
            <w:tcW w:w="1710" w:type="dxa"/>
            <w:vAlign w:val="center"/>
          </w:tcPr>
          <w:p>
            <w:pPr>
              <w:adjustRightInd w:val="0"/>
              <w:snapToGrid w:val="0"/>
              <w:jc w:val="center"/>
              <w:rPr>
                <w:rFonts w:ascii="Times New Roman" w:hAnsi="Times New Roman"/>
                <w:color w:val="000000"/>
                <w:szCs w:val="21"/>
              </w:rPr>
            </w:pPr>
            <w:r>
              <w:rPr>
                <w:rFonts w:hint="eastAsia" w:ascii="Times New Roman" w:hAnsi="Times New Roman"/>
                <w:szCs w:val="21"/>
              </w:rPr>
              <w:t>尾矿库扬尘</w:t>
            </w:r>
          </w:p>
        </w:tc>
        <w:tc>
          <w:tcPr>
            <w:tcW w:w="2610" w:type="dxa"/>
            <w:vAlign w:val="center"/>
          </w:tcPr>
          <w:p>
            <w:pPr>
              <w:adjustRightInd w:val="0"/>
              <w:snapToGrid w:val="0"/>
              <w:jc w:val="center"/>
              <w:rPr>
                <w:rFonts w:ascii="Times New Roman" w:hAnsi="Times New Roman"/>
                <w:color w:val="000000"/>
                <w:szCs w:val="21"/>
              </w:rPr>
            </w:pPr>
            <w:r>
              <w:rPr>
                <w:rFonts w:hint="eastAsia" w:ascii="Times New Roman" w:hAnsi="Times New Roman"/>
                <w:szCs w:val="21"/>
              </w:rPr>
              <w:t>尾矿库扬尘采取洒水降尘，</w:t>
            </w:r>
            <w:r>
              <w:rPr>
                <w:rFonts w:ascii="Times New Roman" w:hAnsi="Times New Roman"/>
                <w:szCs w:val="21"/>
              </w:rPr>
              <w:t>加盖苫布</w:t>
            </w:r>
            <w:r>
              <w:rPr>
                <w:rFonts w:hint="eastAsia" w:ascii="Times New Roman" w:hAnsi="Times New Roman"/>
                <w:szCs w:val="21"/>
              </w:rPr>
              <w:t>，</w:t>
            </w:r>
            <w:r>
              <w:rPr>
                <w:rFonts w:ascii="Times New Roman" w:hAnsi="Times New Roman"/>
                <w:szCs w:val="21"/>
              </w:rPr>
              <w:t>洒水降尘</w:t>
            </w:r>
          </w:p>
        </w:tc>
        <w:tc>
          <w:tcPr>
            <w:tcW w:w="1919" w:type="dxa"/>
            <w:vMerge w:val="continue"/>
            <w:vAlign w:val="center"/>
          </w:tcPr>
          <w:p>
            <w:pPr>
              <w:adjustRightIn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adjustRightInd w:val="0"/>
              <w:jc w:val="center"/>
              <w:rPr>
                <w:rFonts w:ascii="Times New Roman" w:hAnsi="Times New Roman"/>
                <w:color w:val="000000"/>
                <w:szCs w:val="21"/>
              </w:rPr>
            </w:pPr>
          </w:p>
        </w:tc>
        <w:tc>
          <w:tcPr>
            <w:tcW w:w="1710" w:type="dxa"/>
            <w:vAlign w:val="center"/>
          </w:tcPr>
          <w:p>
            <w:pPr>
              <w:adjustRightInd w:val="0"/>
              <w:snapToGrid w:val="0"/>
              <w:jc w:val="center"/>
              <w:rPr>
                <w:rFonts w:ascii="Times New Roman" w:hAnsi="Times New Roman"/>
                <w:color w:val="000000"/>
                <w:szCs w:val="21"/>
              </w:rPr>
            </w:pPr>
            <w:r>
              <w:rPr>
                <w:rFonts w:hint="eastAsia" w:ascii="Times New Roman" w:hAnsi="Times New Roman"/>
                <w:szCs w:val="21"/>
              </w:rPr>
              <w:t>胶带运输粉尘</w:t>
            </w:r>
          </w:p>
        </w:tc>
        <w:tc>
          <w:tcPr>
            <w:tcW w:w="2610" w:type="dxa"/>
            <w:vAlign w:val="center"/>
          </w:tcPr>
          <w:p>
            <w:pPr>
              <w:adjustRightInd w:val="0"/>
              <w:snapToGrid w:val="0"/>
              <w:jc w:val="center"/>
              <w:textAlignment w:val="baseline"/>
              <w:rPr>
                <w:rFonts w:ascii="Times New Roman" w:hAnsi="Times New Roman"/>
                <w:color w:val="000000"/>
                <w:szCs w:val="21"/>
              </w:rPr>
            </w:pPr>
            <w:r>
              <w:rPr>
                <w:rFonts w:hint="eastAsia" w:ascii="Times New Roman" w:hAnsi="Times New Roman"/>
                <w:spacing w:val="6"/>
                <w:kern w:val="0"/>
                <w:szCs w:val="21"/>
              </w:rPr>
              <w:t>封闭措施</w:t>
            </w:r>
          </w:p>
        </w:tc>
        <w:tc>
          <w:tcPr>
            <w:tcW w:w="1919" w:type="dxa"/>
            <w:vMerge w:val="continue"/>
            <w:vAlign w:val="center"/>
          </w:tcPr>
          <w:p>
            <w:pPr>
              <w:adjustRightIn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adjustRightInd w:val="0"/>
              <w:jc w:val="center"/>
              <w:rPr>
                <w:rFonts w:ascii="Times New Roman" w:hAnsi="Times New Roman"/>
                <w:color w:val="000000"/>
                <w:szCs w:val="21"/>
              </w:rPr>
            </w:pPr>
          </w:p>
        </w:tc>
        <w:tc>
          <w:tcPr>
            <w:tcW w:w="1710" w:type="dxa"/>
            <w:vAlign w:val="center"/>
          </w:tcPr>
          <w:p>
            <w:pPr>
              <w:adjustRightInd w:val="0"/>
              <w:snapToGrid w:val="0"/>
              <w:jc w:val="center"/>
              <w:rPr>
                <w:rFonts w:ascii="Times New Roman" w:hAnsi="Times New Roman"/>
                <w:color w:val="000000"/>
                <w:szCs w:val="21"/>
              </w:rPr>
            </w:pPr>
            <w:r>
              <w:rPr>
                <w:rFonts w:hint="eastAsia" w:ascii="Times New Roman" w:hAnsi="Times New Roman"/>
                <w:szCs w:val="21"/>
              </w:rPr>
              <w:t>汽车运输扬尘</w:t>
            </w:r>
          </w:p>
        </w:tc>
        <w:tc>
          <w:tcPr>
            <w:tcW w:w="2610" w:type="dxa"/>
            <w:vAlign w:val="center"/>
          </w:tcPr>
          <w:p>
            <w:pPr>
              <w:adjustRightInd w:val="0"/>
              <w:snapToGrid w:val="0"/>
              <w:jc w:val="center"/>
              <w:textAlignment w:val="baseline"/>
              <w:rPr>
                <w:rFonts w:ascii="Times New Roman" w:hAnsi="Times New Roman"/>
                <w:color w:val="000000"/>
                <w:spacing w:val="6"/>
                <w:kern w:val="0"/>
                <w:szCs w:val="21"/>
              </w:rPr>
            </w:pPr>
            <w:r>
              <w:rPr>
                <w:rFonts w:ascii="Times New Roman" w:hAnsi="Times New Roman"/>
                <w:color w:val="000000"/>
                <w:szCs w:val="21"/>
                <w:lang w:val="zh-CN"/>
              </w:rPr>
              <w:t>采用篷布遮盖，并要求车辆行驶过程中，降低行车速度</w:t>
            </w:r>
          </w:p>
        </w:tc>
        <w:tc>
          <w:tcPr>
            <w:tcW w:w="1919" w:type="dxa"/>
            <w:vMerge w:val="continue"/>
            <w:vAlign w:val="center"/>
          </w:tcPr>
          <w:p>
            <w:pPr>
              <w:adjustRightInd w:val="0"/>
              <w:jc w:val="center"/>
              <w:textAlignment w:val="baseline"/>
              <w:rPr>
                <w:rFonts w:ascii="Times New Roman" w:hAnsi="Times New Roman"/>
                <w:color w:val="000000"/>
                <w:spacing w:val="6"/>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现有工程改造</w:t>
            </w:r>
          </w:p>
        </w:tc>
        <w:tc>
          <w:tcPr>
            <w:tcW w:w="171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原有锅炉烟尘</w:t>
            </w:r>
          </w:p>
        </w:tc>
        <w:tc>
          <w:tcPr>
            <w:tcW w:w="2610" w:type="dxa"/>
            <w:vAlign w:val="center"/>
          </w:tcPr>
          <w:p>
            <w:pPr>
              <w:adjustRightInd w:val="0"/>
              <w:jc w:val="center"/>
              <w:textAlignment w:val="baseline"/>
              <w:rPr>
                <w:rFonts w:ascii="Times New Roman" w:hAnsi="Times New Roman"/>
                <w:color w:val="000000"/>
                <w:spacing w:val="6"/>
                <w:kern w:val="0"/>
                <w:szCs w:val="21"/>
              </w:rPr>
            </w:pPr>
            <w:r>
              <w:rPr>
                <w:rFonts w:hint="eastAsia" w:ascii="Times New Roman" w:hAnsi="Times New Roman"/>
                <w:color w:val="000000"/>
                <w:szCs w:val="21"/>
                <w:lang w:val="zh-CN"/>
              </w:rPr>
              <w:t>拆除现有</w:t>
            </w:r>
            <w:r>
              <w:rPr>
                <w:rFonts w:hint="eastAsia" w:ascii="Times New Roman" w:hAnsi="Times New Roman"/>
                <w:color w:val="000000"/>
                <w:szCs w:val="21"/>
              </w:rPr>
              <w:t>1</w:t>
            </w:r>
            <w:r>
              <w:rPr>
                <w:rFonts w:hint="eastAsia" w:ascii="Times New Roman" w:hAnsi="Times New Roman"/>
                <w:color w:val="000000"/>
                <w:szCs w:val="21"/>
                <w:lang w:val="zh-CN"/>
              </w:rPr>
              <w:t>台燃煤锅炉，冬季职工改用电采暖。</w:t>
            </w:r>
          </w:p>
        </w:tc>
        <w:tc>
          <w:tcPr>
            <w:tcW w:w="1919" w:type="dxa"/>
            <w:vAlign w:val="center"/>
          </w:tcPr>
          <w:p>
            <w:pPr>
              <w:adjustRightIn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45" w:type="dxa"/>
            <w:vMerge w:val="restart"/>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3</w:t>
            </w:r>
          </w:p>
        </w:tc>
        <w:tc>
          <w:tcPr>
            <w:tcW w:w="690" w:type="dxa"/>
            <w:vMerge w:val="restart"/>
            <w:vAlign w:val="center"/>
          </w:tcPr>
          <w:p>
            <w:pPr>
              <w:adjustRightInd w:val="0"/>
              <w:jc w:val="center"/>
              <w:rPr>
                <w:rFonts w:ascii="Times New Roman" w:hAnsi="Times New Roman"/>
                <w:color w:val="000000"/>
                <w:szCs w:val="21"/>
              </w:rPr>
            </w:pPr>
            <w:r>
              <w:rPr>
                <w:rFonts w:ascii="Times New Roman" w:hAnsi="Times New Roman"/>
                <w:color w:val="000000"/>
                <w:szCs w:val="21"/>
              </w:rPr>
              <w:t>噪声</w:t>
            </w:r>
          </w:p>
        </w:tc>
        <w:tc>
          <w:tcPr>
            <w:tcW w:w="96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施工期</w:t>
            </w:r>
          </w:p>
        </w:tc>
        <w:tc>
          <w:tcPr>
            <w:tcW w:w="171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设备噪声</w:t>
            </w:r>
          </w:p>
        </w:tc>
        <w:tc>
          <w:tcPr>
            <w:tcW w:w="2610" w:type="dxa"/>
            <w:vAlign w:val="center"/>
          </w:tcPr>
          <w:p>
            <w:pPr>
              <w:adjustRightIn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经过树林距离衰减达标排放</w:t>
            </w:r>
          </w:p>
        </w:tc>
        <w:tc>
          <w:tcPr>
            <w:tcW w:w="1919" w:type="dxa"/>
            <w:vAlign w:val="center"/>
          </w:tcPr>
          <w:p>
            <w:pPr>
              <w:adjustRightInd w:val="0"/>
              <w:jc w:val="center"/>
              <w:textAlignment w:val="baseline"/>
              <w:rPr>
                <w:rFonts w:ascii="Times New Roman" w:hAnsi="Times New Roman"/>
                <w:color w:val="000000"/>
                <w:spacing w:val="6"/>
                <w:kern w:val="0"/>
                <w:szCs w:val="21"/>
              </w:rPr>
            </w:pPr>
            <w:r>
              <w:rPr>
                <w:rFonts w:ascii="Times New Roman" w:hAnsi="Times New Roman"/>
                <w:color w:val="000000"/>
                <w:szCs w:val="21"/>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restart"/>
            <w:vAlign w:val="center"/>
          </w:tcPr>
          <w:p>
            <w:pPr>
              <w:pStyle w:val="64"/>
              <w:adjustRightInd w:val="0"/>
              <w:spacing w:line="240" w:lineRule="auto"/>
              <w:rPr>
                <w:rFonts w:ascii="Times New Roman" w:hAnsi="Times New Roman"/>
                <w:color w:val="000000"/>
                <w:szCs w:val="21"/>
              </w:rPr>
            </w:pPr>
            <w:r>
              <w:rPr>
                <w:rFonts w:hint="eastAsia" w:ascii="Times New Roman" w:hAnsi="Times New Roman"/>
                <w:color w:val="000000"/>
                <w:szCs w:val="21"/>
              </w:rPr>
              <w:t>运营期</w:t>
            </w:r>
          </w:p>
        </w:tc>
        <w:tc>
          <w:tcPr>
            <w:tcW w:w="1710" w:type="dxa"/>
            <w:vAlign w:val="center"/>
          </w:tcPr>
          <w:p>
            <w:pPr>
              <w:pStyle w:val="45"/>
              <w:spacing w:line="240" w:lineRule="auto"/>
              <w:textAlignment w:val="auto"/>
              <w:rPr>
                <w:rFonts w:ascii="Times New Roman" w:hAnsi="Times New Roman"/>
                <w:color w:val="000000"/>
                <w:kern w:val="2"/>
                <w:sz w:val="21"/>
                <w:szCs w:val="21"/>
              </w:rPr>
            </w:pPr>
            <w:r>
              <w:rPr>
                <w:rFonts w:ascii="Times New Roman" w:hAnsi="Times New Roman"/>
                <w:color w:val="000000"/>
                <w:kern w:val="2"/>
                <w:sz w:val="21"/>
                <w:szCs w:val="21"/>
              </w:rPr>
              <w:t>设备减噪</w:t>
            </w:r>
          </w:p>
        </w:tc>
        <w:tc>
          <w:tcPr>
            <w:tcW w:w="2610" w:type="dxa"/>
            <w:vAlign w:val="center"/>
          </w:tcPr>
          <w:p>
            <w:pPr>
              <w:rPr>
                <w:rFonts w:ascii="Times New Roman" w:hAnsi="Times New Roman"/>
                <w:color w:val="000000"/>
                <w:szCs w:val="21"/>
              </w:rPr>
            </w:pPr>
            <w:r>
              <w:rPr>
                <w:rFonts w:ascii="Times New Roman" w:hAnsi="Times New Roman"/>
                <w:color w:val="000000"/>
                <w:szCs w:val="21"/>
              </w:rPr>
              <w:t>尽量选用低噪声型号的设备；</w:t>
            </w:r>
            <w:r>
              <w:rPr>
                <w:rFonts w:hint="eastAsia" w:ascii="Times New Roman" w:hAnsi="Times New Roman"/>
                <w:color w:val="000000"/>
                <w:szCs w:val="21"/>
              </w:rPr>
              <w:t>设备</w:t>
            </w:r>
            <w:r>
              <w:rPr>
                <w:rFonts w:ascii="Times New Roman" w:hAnsi="Times New Roman"/>
                <w:color w:val="000000"/>
                <w:szCs w:val="21"/>
              </w:rPr>
              <w:t>安装消声器、隔声罩和基础减振等</w:t>
            </w:r>
            <w:r>
              <w:rPr>
                <w:rFonts w:hint="eastAsia" w:ascii="Times New Roman" w:hAnsi="Times New Roman"/>
                <w:color w:val="000000"/>
                <w:szCs w:val="21"/>
              </w:rPr>
              <w:t>；将选矿厂内的</w:t>
            </w:r>
            <w:r>
              <w:rPr>
                <w:rFonts w:ascii="Times New Roman" w:hAnsi="Times New Roman"/>
                <w:color w:val="000000"/>
                <w:szCs w:val="21"/>
              </w:rPr>
              <w:t>强噪声设备</w:t>
            </w:r>
            <w:r>
              <w:rPr>
                <w:rFonts w:hint="eastAsia" w:ascii="Times New Roman" w:hAnsi="Times New Roman"/>
                <w:color w:val="000000"/>
                <w:szCs w:val="21"/>
              </w:rPr>
              <w:t>放置于封闭厂房内，</w:t>
            </w:r>
            <w:r>
              <w:rPr>
                <w:rFonts w:ascii="Times New Roman" w:hAnsi="Times New Roman"/>
                <w:color w:val="000000"/>
                <w:szCs w:val="21"/>
              </w:rPr>
              <w:t>采取隔声、吸声材料制作门窗、砌体等</w:t>
            </w:r>
            <w:r>
              <w:rPr>
                <w:rFonts w:hint="eastAsia" w:ascii="Times New Roman" w:hAnsi="Times New Roman"/>
                <w:color w:val="000000"/>
                <w:szCs w:val="21"/>
              </w:rPr>
              <w:t>；经过周围周围山林的吸声降噪，达标排放。</w:t>
            </w:r>
          </w:p>
        </w:tc>
        <w:tc>
          <w:tcPr>
            <w:tcW w:w="1919" w:type="dxa"/>
            <w:vAlign w:val="center"/>
          </w:tcPr>
          <w:p>
            <w:pPr>
              <w:adjustRightInd w:val="0"/>
              <w:jc w:val="center"/>
              <w:rPr>
                <w:rFonts w:ascii="Times New Roman" w:hAnsi="Times New Roman"/>
                <w:color w:val="000000"/>
                <w:szCs w:val="21"/>
              </w:rPr>
            </w:pPr>
            <w:r>
              <w:rPr>
                <w:rFonts w:ascii="Times New Roman" w:hAnsi="Times New Roman"/>
                <w:color w:val="000000"/>
                <w:spacing w:val="6"/>
                <w:kern w:val="0"/>
                <w:szCs w:val="21"/>
              </w:rPr>
              <w:t>《工业企业厂界环境噪声排放标准》（GB12523-2011）3类标准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pStyle w:val="64"/>
              <w:adjustRightInd w:val="0"/>
              <w:spacing w:line="240" w:lineRule="auto"/>
              <w:rPr>
                <w:rFonts w:ascii="Times New Roman" w:hAnsi="Times New Roman"/>
                <w:color w:val="000000"/>
                <w:szCs w:val="21"/>
              </w:rPr>
            </w:pPr>
          </w:p>
        </w:tc>
        <w:tc>
          <w:tcPr>
            <w:tcW w:w="1710" w:type="dxa"/>
            <w:vAlign w:val="center"/>
          </w:tcPr>
          <w:p>
            <w:pPr>
              <w:pStyle w:val="45"/>
              <w:spacing w:line="240" w:lineRule="auto"/>
              <w:textAlignment w:val="auto"/>
              <w:rPr>
                <w:rFonts w:ascii="Times New Roman" w:hAnsi="Times New Roman"/>
                <w:color w:val="000000"/>
                <w:kern w:val="2"/>
                <w:sz w:val="21"/>
                <w:szCs w:val="21"/>
              </w:rPr>
            </w:pPr>
            <w:r>
              <w:rPr>
                <w:rFonts w:hint="eastAsia" w:ascii="Times New Roman" w:hAnsi="Times New Roman"/>
                <w:color w:val="000000"/>
                <w:kern w:val="2"/>
                <w:sz w:val="21"/>
                <w:szCs w:val="21"/>
              </w:rPr>
              <w:t>交通运输噪声</w:t>
            </w:r>
          </w:p>
        </w:tc>
        <w:tc>
          <w:tcPr>
            <w:tcW w:w="2610" w:type="dxa"/>
            <w:vAlign w:val="center"/>
          </w:tcPr>
          <w:p>
            <w:pPr>
              <w:adjustRightInd w:val="0"/>
              <w:jc w:val="center"/>
              <w:rPr>
                <w:rFonts w:ascii="Times New Roman" w:hAnsi="Times New Roman"/>
                <w:color w:val="000000"/>
                <w:szCs w:val="21"/>
              </w:rPr>
            </w:pPr>
            <w:r>
              <w:rPr>
                <w:rFonts w:ascii="Times New Roman" w:hAnsi="Times New Roman"/>
                <w:color w:val="000000"/>
                <w:szCs w:val="21"/>
              </w:rPr>
              <w:t>运输车辆夜间经过村屯时，限制行车速递，严禁鸣笛等，减少夜间行车速度等</w:t>
            </w:r>
            <w:r>
              <w:rPr>
                <w:rFonts w:hint="eastAsia" w:ascii="Times New Roman" w:hAnsi="Times New Roman"/>
                <w:color w:val="000000"/>
                <w:szCs w:val="21"/>
              </w:rPr>
              <w:t>。</w:t>
            </w:r>
          </w:p>
        </w:tc>
        <w:tc>
          <w:tcPr>
            <w:tcW w:w="1919" w:type="dxa"/>
            <w:vAlign w:val="center"/>
          </w:tcPr>
          <w:p>
            <w:pPr>
              <w:adjustRightInd w:val="0"/>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45" w:type="dxa"/>
            <w:vMerge w:val="restart"/>
            <w:vAlign w:val="center"/>
          </w:tcPr>
          <w:p>
            <w:pPr>
              <w:adjustRightInd w:val="0"/>
              <w:jc w:val="center"/>
            </w:pPr>
          </w:p>
          <w:p>
            <w:pPr>
              <w:pStyle w:val="2"/>
              <w:rPr>
                <w:rFonts w:ascii="Times New Roman" w:hAnsi="Times New Roman"/>
                <w:color w:val="000000"/>
                <w:szCs w:val="21"/>
              </w:rPr>
            </w:pPr>
          </w:p>
          <w:p>
            <w:pPr>
              <w:pStyle w:val="2"/>
              <w:rPr>
                <w:rFonts w:ascii="Times New Roman" w:hAnsi="Times New Roman"/>
                <w:color w:val="000000"/>
                <w:szCs w:val="21"/>
              </w:rPr>
            </w:pPr>
          </w:p>
          <w:p>
            <w:pPr>
              <w:pStyle w:val="2"/>
              <w:rPr>
                <w:rFonts w:ascii="Times New Roman" w:hAnsi="Times New Roman"/>
                <w:color w:val="000000"/>
                <w:szCs w:val="21"/>
              </w:rPr>
            </w:pPr>
            <w:r>
              <w:rPr>
                <w:rFonts w:hint="eastAsia" w:ascii="Times New Roman" w:hAnsi="Times New Roman"/>
                <w:color w:val="000000"/>
                <w:szCs w:val="21"/>
              </w:rPr>
              <w:t>4</w:t>
            </w:r>
          </w:p>
        </w:tc>
        <w:tc>
          <w:tcPr>
            <w:tcW w:w="690" w:type="dxa"/>
            <w:vMerge w:val="restart"/>
            <w:vAlign w:val="center"/>
          </w:tcPr>
          <w:p>
            <w:pPr>
              <w:adjustRightInd w:val="0"/>
              <w:jc w:val="center"/>
              <w:rPr>
                <w:rFonts w:ascii="Times New Roman" w:hAnsi="Times New Roman"/>
                <w:color w:val="000000"/>
                <w:szCs w:val="21"/>
              </w:rPr>
            </w:pPr>
            <w:r>
              <w:rPr>
                <w:rFonts w:ascii="Times New Roman" w:hAnsi="Times New Roman"/>
                <w:color w:val="000000"/>
                <w:szCs w:val="21"/>
              </w:rPr>
              <w:t>固体废物</w:t>
            </w:r>
          </w:p>
        </w:tc>
        <w:tc>
          <w:tcPr>
            <w:tcW w:w="960" w:type="dxa"/>
            <w:vMerge w:val="restart"/>
            <w:vAlign w:val="center"/>
          </w:tcPr>
          <w:p>
            <w:pPr>
              <w:jc w:val="center"/>
              <w:rPr>
                <w:rFonts w:ascii="Times New Roman" w:hAnsi="Times New Roman"/>
                <w:color w:val="000000"/>
                <w:szCs w:val="21"/>
              </w:rPr>
            </w:pPr>
            <w:r>
              <w:rPr>
                <w:rFonts w:ascii="Times New Roman" w:hAnsi="Times New Roman"/>
                <w:color w:val="000000"/>
                <w:szCs w:val="21"/>
              </w:rPr>
              <w:t>施工期</w:t>
            </w:r>
          </w:p>
        </w:tc>
        <w:tc>
          <w:tcPr>
            <w:tcW w:w="1710" w:type="dxa"/>
            <w:vAlign w:val="center"/>
          </w:tcPr>
          <w:p>
            <w:pPr>
              <w:jc w:val="center"/>
              <w:rPr>
                <w:rFonts w:ascii="Times New Roman" w:hAnsi="Times New Roman"/>
                <w:color w:val="000000"/>
                <w:szCs w:val="21"/>
              </w:rPr>
            </w:pPr>
            <w:r>
              <w:rPr>
                <w:rFonts w:ascii="Times New Roman" w:hAnsi="Times New Roman"/>
                <w:color w:val="000000"/>
                <w:szCs w:val="21"/>
              </w:rPr>
              <w:t>建筑垃圾</w:t>
            </w:r>
          </w:p>
        </w:tc>
        <w:tc>
          <w:tcPr>
            <w:tcW w:w="2610" w:type="dxa"/>
            <w:vAlign w:val="center"/>
          </w:tcPr>
          <w:p>
            <w:pPr>
              <w:pStyle w:val="9"/>
              <w:spacing w:line="240" w:lineRule="auto"/>
              <w:ind w:firstLine="0"/>
              <w:rPr>
                <w:color w:val="000000"/>
                <w:spacing w:val="6"/>
                <w:kern w:val="0"/>
                <w:szCs w:val="21"/>
              </w:rPr>
            </w:pPr>
            <w:r>
              <w:rPr>
                <w:color w:val="000000"/>
                <w:sz w:val="21"/>
                <w:szCs w:val="21"/>
              </w:rPr>
              <w:t>建筑垃圾运至建筑垃圾填埋场堆存。</w:t>
            </w:r>
          </w:p>
        </w:tc>
        <w:tc>
          <w:tcPr>
            <w:tcW w:w="1919" w:type="dxa"/>
            <w:vAlign w:val="center"/>
          </w:tcPr>
          <w:p>
            <w:pPr>
              <w:jc w:val="center"/>
              <w:rPr>
                <w:rFonts w:ascii="Times New Roman" w:hAnsi="Times New Roman"/>
                <w:color w:val="000000"/>
                <w:spacing w:val="6"/>
                <w:kern w:val="0"/>
                <w:szCs w:val="21"/>
              </w:rPr>
            </w:pPr>
            <w:r>
              <w:rPr>
                <w:rFonts w:ascii="Times New Roman" w:hAnsi="Times New Roman"/>
                <w:color w:val="000000"/>
                <w:szCs w:val="21"/>
              </w:rPr>
              <w:t>建筑垃圾填埋场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jc w:val="center"/>
              <w:rPr>
                <w:rFonts w:ascii="Times New Roman" w:hAnsi="Times New Roman"/>
                <w:color w:val="000000"/>
                <w:szCs w:val="21"/>
              </w:rPr>
            </w:pPr>
          </w:p>
        </w:tc>
        <w:tc>
          <w:tcPr>
            <w:tcW w:w="1710" w:type="dxa"/>
            <w:vAlign w:val="center"/>
          </w:tcPr>
          <w:p>
            <w:pPr>
              <w:jc w:val="center"/>
              <w:rPr>
                <w:rFonts w:ascii="Times New Roman" w:hAnsi="Times New Roman"/>
                <w:color w:val="000000"/>
                <w:szCs w:val="21"/>
              </w:rPr>
            </w:pPr>
            <w:r>
              <w:rPr>
                <w:rFonts w:hint="eastAsia" w:ascii="Times New Roman" w:hAnsi="Times New Roman"/>
                <w:color w:val="000000"/>
                <w:szCs w:val="21"/>
              </w:rPr>
              <w:t>生活垃圾</w:t>
            </w:r>
          </w:p>
        </w:tc>
        <w:tc>
          <w:tcPr>
            <w:tcW w:w="2610" w:type="dxa"/>
            <w:vAlign w:val="center"/>
          </w:tcPr>
          <w:p>
            <w:pPr>
              <w:pStyle w:val="23"/>
              <w:spacing w:after="0"/>
              <w:ind w:firstLine="0" w:firstLineChars="0"/>
              <w:jc w:val="center"/>
              <w:rPr>
                <w:rFonts w:ascii="Times New Roman" w:hAnsi="Times New Roman"/>
                <w:color w:val="000000"/>
                <w:szCs w:val="21"/>
              </w:rPr>
            </w:pPr>
            <w:r>
              <w:rPr>
                <w:color w:val="000000"/>
                <w:szCs w:val="21"/>
              </w:rPr>
              <w:t>生活垃圾定期运至当地生活垃圾填埋场。</w:t>
            </w:r>
          </w:p>
        </w:tc>
        <w:tc>
          <w:tcPr>
            <w:tcW w:w="1919" w:type="dxa"/>
            <w:vAlign w:val="center"/>
          </w:tcPr>
          <w:p>
            <w:pPr>
              <w:jc w:val="center"/>
              <w:rPr>
                <w:rFonts w:ascii="Times New Roman" w:hAnsi="Times New Roman"/>
                <w:color w:val="000000"/>
                <w:szCs w:val="21"/>
              </w:rPr>
            </w:pPr>
            <w:r>
              <w:rPr>
                <w:rFonts w:hint="eastAsia" w:ascii="Times New Roman" w:hAnsi="Times New Roman"/>
                <w:color w:val="000000"/>
                <w:szCs w:val="21"/>
              </w:rPr>
              <w:t>生活垃圾</w:t>
            </w:r>
            <w:r>
              <w:rPr>
                <w:rFonts w:ascii="Times New Roman" w:hAnsi="Times New Roman"/>
                <w:color w:val="000000"/>
                <w:szCs w:val="21"/>
              </w:rPr>
              <w:t>填埋场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restart"/>
            <w:vAlign w:val="center"/>
          </w:tcPr>
          <w:p>
            <w:pPr>
              <w:jc w:val="center"/>
              <w:rPr>
                <w:rFonts w:ascii="Times New Roman" w:hAnsi="Times New Roman"/>
                <w:color w:val="000000"/>
                <w:szCs w:val="21"/>
              </w:rPr>
            </w:pPr>
            <w:r>
              <w:rPr>
                <w:rFonts w:ascii="Times New Roman" w:hAnsi="Times New Roman"/>
                <w:color w:val="000000"/>
                <w:szCs w:val="21"/>
              </w:rPr>
              <w:t>运营期</w:t>
            </w:r>
          </w:p>
        </w:tc>
        <w:tc>
          <w:tcPr>
            <w:tcW w:w="1710" w:type="dxa"/>
            <w:vAlign w:val="center"/>
          </w:tcPr>
          <w:p>
            <w:pPr>
              <w:adjustRightInd w:val="0"/>
              <w:snapToGrid w:val="0"/>
              <w:jc w:val="center"/>
              <w:textAlignment w:val="baseline"/>
              <w:rPr>
                <w:rFonts w:ascii="Times New Roman" w:hAnsi="Times New Roman"/>
                <w:color w:val="000000"/>
                <w:szCs w:val="21"/>
              </w:rPr>
            </w:pPr>
            <w:r>
              <w:rPr>
                <w:rFonts w:hint="eastAsia" w:ascii="Times New Roman" w:hAnsi="Times New Roman"/>
                <w:color w:val="000000"/>
                <w:spacing w:val="6"/>
                <w:kern w:val="0"/>
                <w:szCs w:val="21"/>
              </w:rPr>
              <w:t>尾矿泥饼</w:t>
            </w:r>
          </w:p>
        </w:tc>
        <w:tc>
          <w:tcPr>
            <w:tcW w:w="2610" w:type="dxa"/>
            <w:vAlign w:val="center"/>
          </w:tcPr>
          <w:p>
            <w:pPr>
              <w:jc w:val="center"/>
              <w:rPr>
                <w:rFonts w:ascii="Times New Roman" w:hAnsi="Times New Roman"/>
                <w:color w:val="000000"/>
                <w:szCs w:val="21"/>
              </w:rPr>
            </w:pPr>
            <w:r>
              <w:rPr>
                <w:rFonts w:hint="eastAsia" w:ascii="Times New Roman" w:hAnsi="Times New Roman"/>
                <w:color w:val="000000"/>
                <w:spacing w:val="6"/>
                <w:kern w:val="0"/>
                <w:szCs w:val="21"/>
              </w:rPr>
              <w:t>一部分外卖吉林市智德利商贸有限公司，另一部分堆放至尾矿库内。</w:t>
            </w:r>
          </w:p>
        </w:tc>
        <w:tc>
          <w:tcPr>
            <w:tcW w:w="1919" w:type="dxa"/>
            <w:vMerge w:val="restart"/>
            <w:vAlign w:val="center"/>
          </w:tcPr>
          <w:p>
            <w:pPr>
              <w:pStyle w:val="9"/>
              <w:spacing w:line="240" w:lineRule="auto"/>
              <w:jc w:val="center"/>
              <w:rPr>
                <w:color w:val="000000"/>
                <w:spacing w:val="6"/>
                <w:kern w:val="0"/>
                <w:szCs w:val="21"/>
              </w:rPr>
            </w:pPr>
            <w:r>
              <w:rPr>
                <w:color w:val="000000"/>
                <w:spacing w:val="6"/>
                <w:kern w:val="0"/>
                <w:sz w:val="21"/>
                <w:szCs w:val="21"/>
              </w:rPr>
              <w:t>《一般工业固体废物储存、处置场污染控制标准》（GB18599-2001）（2013年修订）Ⅰ类固体废物的规定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jc w:val="center"/>
              <w:rPr>
                <w:rFonts w:ascii="Times New Roman" w:hAnsi="Times New Roman"/>
                <w:color w:val="000000"/>
                <w:szCs w:val="21"/>
              </w:rPr>
            </w:pPr>
          </w:p>
        </w:tc>
        <w:tc>
          <w:tcPr>
            <w:tcW w:w="1710" w:type="dxa"/>
            <w:vAlign w:val="center"/>
          </w:tcPr>
          <w:p>
            <w:pPr>
              <w:adjustRightInd w:val="0"/>
              <w:snapToGrid w:val="0"/>
              <w:jc w:val="center"/>
              <w:textAlignment w:val="baseline"/>
              <w:rPr>
                <w:rFonts w:ascii="Times New Roman" w:hAnsi="Times New Roman"/>
                <w:color w:val="000000"/>
                <w:szCs w:val="21"/>
              </w:rPr>
            </w:pPr>
            <w:r>
              <w:rPr>
                <w:rFonts w:hint="eastAsia" w:ascii="Times New Roman" w:hAnsi="Times New Roman"/>
                <w:color w:val="000000"/>
                <w:spacing w:val="6"/>
                <w:kern w:val="0"/>
                <w:szCs w:val="21"/>
              </w:rPr>
              <w:t>压滤间沉淀池污泥</w:t>
            </w:r>
          </w:p>
        </w:tc>
        <w:tc>
          <w:tcPr>
            <w:tcW w:w="2610" w:type="dxa"/>
            <w:vAlign w:val="center"/>
          </w:tcPr>
          <w:p>
            <w:pPr>
              <w:adjustRightInd w:val="0"/>
              <w:snapToGrid w:val="0"/>
              <w:jc w:val="center"/>
              <w:rPr>
                <w:rFonts w:ascii="Times New Roman" w:hAnsi="Times New Roman"/>
                <w:snapToGrid w:val="0"/>
                <w:color w:val="000000"/>
                <w:kern w:val="0"/>
                <w:szCs w:val="21"/>
              </w:rPr>
            </w:pPr>
            <w:r>
              <w:rPr>
                <w:rFonts w:hint="eastAsia" w:ascii="Times New Roman" w:hAnsi="Times New Roman"/>
                <w:color w:val="000000"/>
                <w:spacing w:val="6"/>
                <w:kern w:val="0"/>
                <w:szCs w:val="21"/>
              </w:rPr>
              <w:t>堆放至尾矿库内</w:t>
            </w:r>
          </w:p>
        </w:tc>
        <w:tc>
          <w:tcPr>
            <w:tcW w:w="1919" w:type="dxa"/>
            <w:vMerge w:val="continue"/>
            <w:vAlign w:val="center"/>
          </w:tcPr>
          <w:p>
            <w:pPr>
              <w:pStyle w:val="23"/>
              <w:spacing w:after="0"/>
              <w:ind w:firstLine="0" w:firstLineChars="0"/>
              <w:jc w:val="center"/>
              <w:rPr>
                <w:rFonts w:ascii="Times New Roman" w:hAnsi="Times New Roman"/>
                <w:color w:val="000000"/>
                <w:spacing w:val="6"/>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adjustRightInd w:val="0"/>
              <w:jc w:val="center"/>
              <w:textAlignment w:val="baseline"/>
              <w:rPr>
                <w:rFonts w:ascii="Times New Roman" w:hAnsi="Times New Roman"/>
                <w:color w:val="000000"/>
                <w:szCs w:val="21"/>
              </w:rPr>
            </w:pPr>
          </w:p>
        </w:tc>
        <w:tc>
          <w:tcPr>
            <w:tcW w:w="1710"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尾矿库沉淀池污泥</w:t>
            </w:r>
          </w:p>
        </w:tc>
        <w:tc>
          <w:tcPr>
            <w:tcW w:w="2610" w:type="dxa"/>
            <w:vAlign w:val="center"/>
          </w:tcPr>
          <w:p>
            <w:pPr>
              <w:adjustRightInd w:val="0"/>
              <w:snapToGrid w:val="0"/>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堆放至尾矿库内</w:t>
            </w:r>
          </w:p>
        </w:tc>
        <w:tc>
          <w:tcPr>
            <w:tcW w:w="1919" w:type="dxa"/>
            <w:vMerge w:val="continue"/>
            <w:vAlign w:val="center"/>
          </w:tcPr>
          <w:p>
            <w:pPr>
              <w:adjustRightIn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adjustRightInd w:val="0"/>
              <w:jc w:val="center"/>
              <w:textAlignment w:val="baseline"/>
              <w:rPr>
                <w:rFonts w:ascii="Times New Roman" w:hAnsi="Times New Roman"/>
                <w:color w:val="000000"/>
                <w:szCs w:val="21"/>
              </w:rPr>
            </w:pPr>
          </w:p>
        </w:tc>
        <w:tc>
          <w:tcPr>
            <w:tcW w:w="1710" w:type="dxa"/>
            <w:vAlign w:val="center"/>
          </w:tcPr>
          <w:p>
            <w:pPr>
              <w:adjustRightInd w:val="0"/>
              <w:snapToGrid w:val="0"/>
              <w:jc w:val="center"/>
              <w:textAlignment w:val="baseline"/>
              <w:rPr>
                <w:rFonts w:ascii="Times New Roman" w:hAnsi="Times New Roman"/>
                <w:color w:val="000000"/>
                <w:spacing w:val="6"/>
                <w:kern w:val="0"/>
                <w:szCs w:val="21"/>
              </w:rPr>
            </w:pPr>
            <w:r>
              <w:rPr>
                <w:rFonts w:hint="eastAsia" w:ascii="Times New Roman" w:hAnsi="Times New Roman"/>
                <w:color w:val="000000"/>
                <w:spacing w:val="6"/>
                <w:kern w:val="0"/>
                <w:szCs w:val="21"/>
              </w:rPr>
              <w:t>废机油</w:t>
            </w:r>
          </w:p>
        </w:tc>
        <w:tc>
          <w:tcPr>
            <w:tcW w:w="2610" w:type="dxa"/>
            <w:vAlign w:val="center"/>
          </w:tcPr>
          <w:p>
            <w:pPr>
              <w:adjustRightInd w:val="0"/>
              <w:snapToGrid w:val="0"/>
              <w:jc w:val="center"/>
              <w:rPr>
                <w:rFonts w:ascii="Times New Roman" w:hAnsi="Times New Roman"/>
                <w:color w:val="000000"/>
                <w:spacing w:val="6"/>
                <w:kern w:val="0"/>
                <w:szCs w:val="21"/>
              </w:rPr>
            </w:pPr>
            <w:r>
              <w:rPr>
                <w:rFonts w:hint="eastAsia" w:ascii="Times New Roman" w:hAnsi="Times New Roman"/>
                <w:color w:val="000000"/>
                <w:spacing w:val="6"/>
                <w:kern w:val="0"/>
                <w:szCs w:val="21"/>
              </w:rPr>
              <w:t>统一交由有资质部门集中处理处置。</w:t>
            </w:r>
          </w:p>
        </w:tc>
        <w:tc>
          <w:tcPr>
            <w:tcW w:w="1919"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合理处理处置，不产生二次污染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45"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5</w:t>
            </w:r>
          </w:p>
        </w:tc>
        <w:tc>
          <w:tcPr>
            <w:tcW w:w="69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地下水</w:t>
            </w:r>
          </w:p>
        </w:tc>
        <w:tc>
          <w:tcPr>
            <w:tcW w:w="960" w:type="dxa"/>
            <w:vAlign w:val="center"/>
          </w:tcPr>
          <w:p>
            <w:pPr>
              <w:adjustRightInd w:val="0"/>
              <w:jc w:val="center"/>
              <w:textAlignment w:val="baseline"/>
              <w:rPr>
                <w:rFonts w:ascii="Times New Roman" w:hAnsi="Times New Roman"/>
                <w:color w:val="000000"/>
                <w:szCs w:val="21"/>
              </w:rPr>
            </w:pPr>
            <w:r>
              <w:rPr>
                <w:rFonts w:hint="eastAsia" w:ascii="Times New Roman" w:hAnsi="Times New Roman"/>
                <w:color w:val="000000"/>
                <w:szCs w:val="21"/>
              </w:rPr>
              <w:t>运营期</w:t>
            </w:r>
          </w:p>
        </w:tc>
        <w:tc>
          <w:tcPr>
            <w:tcW w:w="1710" w:type="dxa"/>
            <w:vAlign w:val="center"/>
          </w:tcPr>
          <w:p>
            <w:pPr>
              <w:adjustRightInd w:val="0"/>
              <w:jc w:val="center"/>
              <w:textAlignment w:val="baseline"/>
              <w:rPr>
                <w:rFonts w:ascii="Times New Roman" w:hAnsi="Times New Roman"/>
                <w:color w:val="000000"/>
                <w:szCs w:val="21"/>
              </w:rPr>
            </w:pPr>
            <w:r>
              <w:rPr>
                <w:rFonts w:hint="eastAsia" w:ascii="Times New Roman" w:hAnsi="Times New Roman"/>
                <w:color w:val="000000"/>
                <w:szCs w:val="21"/>
              </w:rPr>
              <w:t>沉淀池渗滤液</w:t>
            </w:r>
          </w:p>
        </w:tc>
        <w:tc>
          <w:tcPr>
            <w:tcW w:w="261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沉淀池50m</w:t>
            </w:r>
            <w:r>
              <w:rPr>
                <w:rFonts w:hint="eastAsia" w:ascii="Times New Roman" w:hAnsi="Times New Roman"/>
                <w:color w:val="000000"/>
                <w:szCs w:val="21"/>
                <w:vertAlign w:val="superscript"/>
              </w:rPr>
              <w:t>3</w:t>
            </w:r>
            <w:r>
              <w:rPr>
                <w:rFonts w:hint="eastAsia" w:ascii="Times New Roman" w:hAnsi="Times New Roman"/>
                <w:color w:val="000000"/>
                <w:szCs w:val="21"/>
              </w:rPr>
              <w:t>，沉淀池均做防渗措施。</w:t>
            </w:r>
          </w:p>
        </w:tc>
        <w:tc>
          <w:tcPr>
            <w:tcW w:w="1919"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不对地下水</w:t>
            </w:r>
          </w:p>
          <w:p>
            <w:pPr>
              <w:adjustRightInd w:val="0"/>
              <w:jc w:val="center"/>
              <w:rPr>
                <w:rFonts w:ascii="Times New Roman" w:hAnsi="Times New Roman"/>
                <w:color w:val="000000"/>
                <w:szCs w:val="21"/>
              </w:rPr>
            </w:pPr>
            <w:r>
              <w:rPr>
                <w:rFonts w:hint="eastAsia" w:ascii="Times New Roman" w:hAnsi="Times New Roman"/>
                <w:color w:val="000000"/>
                <w:szCs w:val="21"/>
              </w:rPr>
              <w:t>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5" w:type="dxa"/>
            <w:vMerge w:val="restart"/>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6</w:t>
            </w:r>
          </w:p>
        </w:tc>
        <w:tc>
          <w:tcPr>
            <w:tcW w:w="690" w:type="dxa"/>
            <w:vMerge w:val="restart"/>
            <w:vAlign w:val="center"/>
          </w:tcPr>
          <w:p>
            <w:pPr>
              <w:adjustRightInd w:val="0"/>
              <w:jc w:val="center"/>
              <w:rPr>
                <w:rFonts w:ascii="Times New Roman" w:hAnsi="Times New Roman"/>
                <w:color w:val="000000"/>
                <w:szCs w:val="21"/>
              </w:rPr>
            </w:pPr>
            <w:r>
              <w:rPr>
                <w:rFonts w:ascii="Times New Roman" w:hAnsi="Times New Roman"/>
                <w:color w:val="000000"/>
                <w:szCs w:val="21"/>
              </w:rPr>
              <w:t>生态</w:t>
            </w:r>
          </w:p>
        </w:tc>
        <w:tc>
          <w:tcPr>
            <w:tcW w:w="960" w:type="dxa"/>
            <w:vMerge w:val="restart"/>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施工期</w:t>
            </w:r>
          </w:p>
        </w:tc>
        <w:tc>
          <w:tcPr>
            <w:tcW w:w="171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植物保护</w:t>
            </w:r>
          </w:p>
        </w:tc>
        <w:tc>
          <w:tcPr>
            <w:tcW w:w="2610" w:type="dxa"/>
            <w:vAlign w:val="center"/>
          </w:tcPr>
          <w:p>
            <w:pPr>
              <w:adjustRightInd w:val="0"/>
              <w:snapToGrid w:val="0"/>
              <w:jc w:val="center"/>
              <w:rPr>
                <w:rFonts w:ascii="Times New Roman" w:hAnsi="Times New Roman"/>
                <w:color w:val="000000"/>
                <w:szCs w:val="21"/>
              </w:rPr>
            </w:pPr>
            <w:r>
              <w:rPr>
                <w:rFonts w:hint="eastAsia" w:ascii="Times New Roman" w:hAnsi="Times New Roman"/>
                <w:szCs w:val="21"/>
              </w:rPr>
              <w:t>施工场地设置在选矿厂用地范围内，利用现有道路，施工动土作业应安排在晴朗无风天气下，尽量避免大风天，适当地采取洒水降尘措施。</w:t>
            </w:r>
          </w:p>
        </w:tc>
        <w:tc>
          <w:tcPr>
            <w:tcW w:w="1919" w:type="dxa"/>
            <w:vMerge w:val="restart"/>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不对生态环境造成影响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adjustRightInd w:val="0"/>
              <w:jc w:val="center"/>
              <w:rPr>
                <w:rFonts w:ascii="Times New Roman" w:hAnsi="Times New Roman"/>
                <w:color w:val="000000"/>
                <w:szCs w:val="21"/>
              </w:rPr>
            </w:pPr>
          </w:p>
        </w:tc>
        <w:tc>
          <w:tcPr>
            <w:tcW w:w="171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动物保护</w:t>
            </w:r>
          </w:p>
        </w:tc>
        <w:tc>
          <w:tcPr>
            <w:tcW w:w="2610" w:type="dxa"/>
            <w:vAlign w:val="center"/>
          </w:tcPr>
          <w:p>
            <w:pPr>
              <w:rPr>
                <w:rFonts w:ascii="Times New Roman" w:hAnsi="Times New Roman"/>
                <w:color w:val="000000"/>
                <w:szCs w:val="21"/>
              </w:rPr>
            </w:pPr>
            <w:r>
              <w:rPr>
                <w:rFonts w:ascii="Times New Roman" w:hAnsi="Times New Roman"/>
                <w:szCs w:val="21"/>
              </w:rPr>
              <w:t>提高施工及工作人员的保护意识，在场地设置警示牌，以提醒施工人员加强野生动物保护意识，不人为伤害野生动物。</w:t>
            </w:r>
          </w:p>
        </w:tc>
        <w:tc>
          <w:tcPr>
            <w:tcW w:w="1919" w:type="dxa"/>
            <w:vMerge w:val="continue"/>
            <w:vAlign w:val="center"/>
          </w:tcPr>
          <w:p>
            <w:pPr>
              <w:adjustRightIn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adjustRightInd w:val="0"/>
              <w:jc w:val="center"/>
              <w:rPr>
                <w:rFonts w:ascii="Times New Roman" w:hAnsi="Times New Roman"/>
                <w:color w:val="000000"/>
                <w:szCs w:val="21"/>
              </w:rPr>
            </w:pPr>
          </w:p>
        </w:tc>
        <w:tc>
          <w:tcPr>
            <w:tcW w:w="171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水土流失防治</w:t>
            </w:r>
          </w:p>
        </w:tc>
        <w:tc>
          <w:tcPr>
            <w:tcW w:w="2610" w:type="dxa"/>
            <w:vAlign w:val="center"/>
          </w:tcPr>
          <w:p>
            <w:pPr>
              <w:adjustRightInd w:val="0"/>
              <w:snapToGrid w:val="0"/>
              <w:jc w:val="center"/>
              <w:rPr>
                <w:rFonts w:ascii="Times New Roman" w:hAnsi="Times New Roman"/>
                <w:color w:val="000000"/>
                <w:szCs w:val="21"/>
              </w:rPr>
            </w:pPr>
            <w:r>
              <w:rPr>
                <w:rFonts w:ascii="Times New Roman" w:hAnsi="Times New Roman"/>
                <w:color w:val="000000"/>
                <w:szCs w:val="21"/>
              </w:rPr>
              <w:t>合理安排施工季节和作业时间，优化施工方案，尽量避免雨季进行大量开挖工程，减小水土流失。</w:t>
            </w:r>
            <w:r>
              <w:rPr>
                <w:rFonts w:hint="eastAsia" w:ascii="新宋体" w:hAnsi="新宋体" w:eastAsia="新宋体"/>
                <w:color w:val="000000"/>
                <w:szCs w:val="21"/>
              </w:rPr>
              <w:t>场地平整后尽快夯实、硬化，大风天气适量洒水等。</w:t>
            </w:r>
            <w:r>
              <w:rPr>
                <w:rFonts w:ascii="Times New Roman" w:hAnsi="Times New Roman" w:eastAsia="新宋体"/>
                <w:color w:val="000000"/>
                <w:spacing w:val="-2"/>
                <w:szCs w:val="21"/>
              </w:rPr>
              <w:t>施工前应在施工场</w:t>
            </w:r>
            <w:r>
              <w:rPr>
                <w:rFonts w:ascii="Times New Roman" w:hAnsi="Times New Roman" w:eastAsia="新宋体"/>
                <w:color w:val="000000"/>
                <w:szCs w:val="21"/>
              </w:rPr>
              <w:t>地内布设临时简易排水沟，以便于施工期能及时导出地面径流</w:t>
            </w:r>
            <w:r>
              <w:rPr>
                <w:rFonts w:hint="eastAsia" w:ascii="Times New Roman" w:hAnsi="Times New Roman" w:eastAsia="新宋体"/>
                <w:color w:val="000000"/>
                <w:szCs w:val="21"/>
              </w:rPr>
              <w:t>。</w:t>
            </w:r>
          </w:p>
        </w:tc>
        <w:tc>
          <w:tcPr>
            <w:tcW w:w="1919" w:type="dxa"/>
            <w:vMerge w:val="continue"/>
            <w:vAlign w:val="center"/>
          </w:tcPr>
          <w:p>
            <w:pPr>
              <w:adjustRightIn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restart"/>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运营期</w:t>
            </w:r>
          </w:p>
        </w:tc>
        <w:tc>
          <w:tcPr>
            <w:tcW w:w="171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植被保护</w:t>
            </w:r>
          </w:p>
        </w:tc>
        <w:tc>
          <w:tcPr>
            <w:tcW w:w="2610" w:type="dxa"/>
            <w:vAlign w:val="center"/>
          </w:tcPr>
          <w:p>
            <w:pPr>
              <w:adjustRightInd w:val="0"/>
              <w:snapToGrid w:val="0"/>
              <w:jc w:val="center"/>
              <w:rPr>
                <w:rFonts w:ascii="Times New Roman" w:hAnsi="Times New Roman"/>
                <w:color w:val="000000"/>
                <w:szCs w:val="21"/>
              </w:rPr>
            </w:pPr>
            <w:r>
              <w:rPr>
                <w:rFonts w:hint="eastAsia"/>
                <w:color w:val="000000"/>
                <w:szCs w:val="21"/>
              </w:rPr>
              <w:t>对于尾矿库适当地采取洒水降尘，覆盖苫布，及时外运出售。</w:t>
            </w:r>
          </w:p>
        </w:tc>
        <w:tc>
          <w:tcPr>
            <w:tcW w:w="1919" w:type="dxa"/>
            <w:vMerge w:val="continue"/>
            <w:vAlign w:val="center"/>
          </w:tcPr>
          <w:p>
            <w:pPr>
              <w:adjustRightIn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Merge w:val="continue"/>
            <w:vAlign w:val="center"/>
          </w:tcPr>
          <w:p>
            <w:pPr>
              <w:adjustRightInd w:val="0"/>
              <w:jc w:val="center"/>
              <w:rPr>
                <w:rFonts w:ascii="Times New Roman" w:hAnsi="Times New Roman"/>
                <w:color w:val="000000"/>
                <w:szCs w:val="21"/>
              </w:rPr>
            </w:pPr>
          </w:p>
        </w:tc>
        <w:tc>
          <w:tcPr>
            <w:tcW w:w="171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动物保护</w:t>
            </w:r>
          </w:p>
        </w:tc>
        <w:tc>
          <w:tcPr>
            <w:tcW w:w="2610" w:type="dxa"/>
            <w:vAlign w:val="center"/>
          </w:tcPr>
          <w:p>
            <w:pPr>
              <w:ind w:firstLine="420" w:firstLineChars="200"/>
              <w:rPr>
                <w:rFonts w:ascii="Times New Roman" w:hAnsi="Times New Roman"/>
                <w:color w:val="000000"/>
                <w:szCs w:val="21"/>
              </w:rPr>
            </w:pPr>
            <w:r>
              <w:rPr>
                <w:rFonts w:ascii="Times New Roman" w:hAnsi="Times New Roman"/>
                <w:bCs/>
                <w:szCs w:val="21"/>
              </w:rPr>
              <w:t>企业在项目建设过程中严格控制用地，生产过程中，尽量将高噪声设备放置在单独的隔声间内，避免和减少机械设备噪声对野生动物的影响。企业对道路进行定期洒水降尘或加设围挡，降低扬尘产生量，减少本项目运营过程中对野生动物及其生境的影响。</w:t>
            </w:r>
          </w:p>
        </w:tc>
        <w:tc>
          <w:tcPr>
            <w:tcW w:w="1919" w:type="dxa"/>
            <w:vMerge w:val="continue"/>
            <w:vAlign w:val="center"/>
          </w:tcPr>
          <w:p>
            <w:pPr>
              <w:adjustRightInd w:val="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45" w:type="dxa"/>
            <w:vMerge w:val="continue"/>
            <w:vAlign w:val="center"/>
          </w:tcPr>
          <w:p>
            <w:pPr>
              <w:adjustRightInd w:val="0"/>
              <w:jc w:val="center"/>
              <w:rPr>
                <w:rFonts w:ascii="Times New Roman" w:hAnsi="Times New Roman"/>
                <w:color w:val="000000"/>
                <w:szCs w:val="21"/>
              </w:rPr>
            </w:pPr>
          </w:p>
        </w:tc>
        <w:tc>
          <w:tcPr>
            <w:tcW w:w="690" w:type="dxa"/>
            <w:vMerge w:val="continue"/>
            <w:vAlign w:val="center"/>
          </w:tcPr>
          <w:p>
            <w:pPr>
              <w:adjustRightInd w:val="0"/>
              <w:jc w:val="center"/>
              <w:rPr>
                <w:rFonts w:ascii="Times New Roman" w:hAnsi="Times New Roman"/>
                <w:color w:val="000000"/>
                <w:szCs w:val="21"/>
              </w:rPr>
            </w:pPr>
          </w:p>
        </w:tc>
        <w:tc>
          <w:tcPr>
            <w:tcW w:w="96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闭矿期</w:t>
            </w:r>
          </w:p>
        </w:tc>
        <w:tc>
          <w:tcPr>
            <w:tcW w:w="1710" w:type="dxa"/>
            <w:vAlign w:val="center"/>
          </w:tcPr>
          <w:p>
            <w:pPr>
              <w:adjustRightInd w:val="0"/>
              <w:jc w:val="center"/>
              <w:rPr>
                <w:rFonts w:ascii="Times New Roman" w:hAnsi="Times New Roman"/>
                <w:color w:val="000000"/>
                <w:szCs w:val="21"/>
              </w:rPr>
            </w:pPr>
            <w:r>
              <w:rPr>
                <w:rFonts w:hint="eastAsia" w:ascii="Times New Roman" w:hAnsi="Times New Roman"/>
                <w:color w:val="000000"/>
                <w:szCs w:val="21"/>
              </w:rPr>
              <w:t>植被恢复</w:t>
            </w:r>
          </w:p>
        </w:tc>
        <w:tc>
          <w:tcPr>
            <w:tcW w:w="2610" w:type="dxa"/>
            <w:vAlign w:val="center"/>
          </w:tcPr>
          <w:p>
            <w:pPr>
              <w:adjustRightInd w:val="0"/>
              <w:snapToGrid w:val="0"/>
              <w:jc w:val="center"/>
              <w:rPr>
                <w:rFonts w:ascii="Times New Roman" w:hAnsi="Times New Roman"/>
                <w:color w:val="000000"/>
                <w:szCs w:val="21"/>
              </w:rPr>
            </w:pPr>
            <w:r>
              <w:rPr>
                <w:rFonts w:hint="eastAsia" w:ascii="Times New Roman" w:hAnsi="Times New Roman"/>
                <w:szCs w:val="21"/>
              </w:rPr>
              <w:t>尾矿库全面植被恢复措施</w:t>
            </w:r>
          </w:p>
        </w:tc>
        <w:tc>
          <w:tcPr>
            <w:tcW w:w="1919" w:type="dxa"/>
            <w:vMerge w:val="continue"/>
            <w:vAlign w:val="center"/>
          </w:tcPr>
          <w:p>
            <w:pPr>
              <w:adjustRightInd w:val="0"/>
              <w:jc w:val="center"/>
              <w:rPr>
                <w:rFonts w:ascii="Times New Roman" w:hAnsi="Times New Roman"/>
                <w:color w:val="000000"/>
                <w:szCs w:val="21"/>
              </w:rPr>
            </w:pPr>
          </w:p>
        </w:tc>
      </w:tr>
    </w:tbl>
    <w:p>
      <w:pPr>
        <w:pStyle w:val="2"/>
        <w:rPr>
          <w:color w:val="000000"/>
        </w:rPr>
      </w:pPr>
    </w:p>
    <w:p>
      <w:pPr>
        <w:jc w:val="center"/>
        <w:rPr>
          <w:rFonts w:ascii="Times New Roman" w:hAnsi="Times New Roman"/>
          <w:b/>
          <w:color w:val="000000"/>
          <w:sz w:val="24"/>
          <w:szCs w:val="24"/>
          <w:u w:val="single"/>
        </w:rPr>
      </w:pPr>
      <w:r>
        <w:rPr>
          <w:rFonts w:ascii="Times New Roman" w:hAnsi="Times New Roman"/>
          <w:b/>
          <w:color w:val="000000"/>
          <w:sz w:val="24"/>
          <w:szCs w:val="24"/>
          <w:u w:val="single"/>
        </w:rPr>
        <w:t>表10-</w:t>
      </w:r>
      <w:r>
        <w:rPr>
          <w:rFonts w:hint="eastAsia" w:ascii="Times New Roman" w:hAnsi="Times New Roman"/>
          <w:b/>
          <w:color w:val="000000"/>
          <w:sz w:val="24"/>
          <w:szCs w:val="24"/>
          <w:u w:val="single"/>
        </w:rPr>
        <w:t>4</w:t>
      </w:r>
      <w:r>
        <w:rPr>
          <w:rFonts w:ascii="Times New Roman" w:hAnsi="Times New Roman"/>
          <w:b/>
          <w:color w:val="000000"/>
          <w:sz w:val="24"/>
          <w:szCs w:val="24"/>
          <w:u w:val="single"/>
        </w:rPr>
        <w:t xml:space="preserve"> 工程竣工环境保护验收“三同时”一览表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399"/>
        <w:gridCol w:w="1657"/>
        <w:gridCol w:w="3143"/>
        <w:gridCol w:w="20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Align w:val="center"/>
          </w:tcPr>
          <w:p>
            <w:pPr>
              <w:adjustRightInd w:val="0"/>
              <w:snapToGrid w:val="0"/>
              <w:ind w:left="-180" w:right="-108"/>
              <w:jc w:val="center"/>
              <w:rPr>
                <w:rFonts w:ascii="Times New Roman" w:hAnsi="Times New Roman"/>
                <w:color w:val="000000"/>
                <w:szCs w:val="21"/>
                <w:u w:val="single"/>
              </w:rPr>
            </w:pPr>
            <w:r>
              <w:rPr>
                <w:rFonts w:ascii="Times New Roman" w:hAnsi="Times New Roman"/>
                <w:color w:val="000000"/>
                <w:szCs w:val="21"/>
                <w:u w:val="single"/>
              </w:rPr>
              <w:t>序号</w:t>
            </w:r>
          </w:p>
        </w:tc>
        <w:tc>
          <w:tcPr>
            <w:tcW w:w="1399"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类别</w:t>
            </w:r>
          </w:p>
        </w:tc>
        <w:tc>
          <w:tcPr>
            <w:tcW w:w="1657" w:type="dxa"/>
            <w:vAlign w:val="center"/>
          </w:tcPr>
          <w:p>
            <w:pPr>
              <w:adjustRightInd w:val="0"/>
              <w:snapToGrid w:val="0"/>
              <w:ind w:left="-108" w:right="-108"/>
              <w:jc w:val="center"/>
              <w:rPr>
                <w:rFonts w:ascii="Times New Roman" w:hAnsi="Times New Roman"/>
                <w:color w:val="000000"/>
                <w:szCs w:val="21"/>
                <w:u w:val="single"/>
              </w:rPr>
            </w:pPr>
            <w:r>
              <w:rPr>
                <w:rFonts w:ascii="Times New Roman" w:hAnsi="Times New Roman"/>
                <w:color w:val="000000"/>
                <w:szCs w:val="21"/>
                <w:u w:val="single"/>
              </w:rPr>
              <w:t>治理对象</w:t>
            </w:r>
          </w:p>
        </w:tc>
        <w:tc>
          <w:tcPr>
            <w:tcW w:w="3143"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治理方案</w:t>
            </w:r>
          </w:p>
        </w:tc>
        <w:tc>
          <w:tcPr>
            <w:tcW w:w="2013"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治理效果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restart"/>
            <w:vAlign w:val="center"/>
          </w:tcPr>
          <w:p>
            <w:pPr>
              <w:adjustRightInd w:val="0"/>
              <w:snapToGrid w:val="0"/>
              <w:ind w:left="-180" w:right="-108"/>
              <w:jc w:val="center"/>
              <w:rPr>
                <w:rFonts w:ascii="Times New Roman" w:hAnsi="Times New Roman"/>
                <w:color w:val="000000"/>
                <w:szCs w:val="21"/>
                <w:u w:val="single"/>
              </w:rPr>
            </w:pPr>
            <w:r>
              <w:rPr>
                <w:rFonts w:hint="eastAsia" w:ascii="Times New Roman" w:hAnsi="Times New Roman"/>
                <w:color w:val="000000"/>
                <w:szCs w:val="21"/>
                <w:u w:val="single"/>
              </w:rPr>
              <w:t>1</w:t>
            </w:r>
          </w:p>
        </w:tc>
        <w:tc>
          <w:tcPr>
            <w:tcW w:w="1399" w:type="dxa"/>
            <w:vMerge w:val="restart"/>
            <w:vAlign w:val="center"/>
          </w:tcPr>
          <w:p>
            <w:pPr>
              <w:adjustRightInd w:val="0"/>
              <w:snapToGrid w:val="0"/>
              <w:ind w:left="-108" w:right="-108"/>
              <w:jc w:val="center"/>
              <w:rPr>
                <w:rFonts w:ascii="Times New Roman" w:hAnsi="Times New Roman"/>
                <w:color w:val="000000"/>
                <w:szCs w:val="21"/>
                <w:u w:val="single"/>
              </w:rPr>
            </w:pPr>
            <w:r>
              <w:rPr>
                <w:rFonts w:ascii="Times New Roman" w:hAnsi="Times New Roman"/>
                <w:color w:val="000000"/>
                <w:szCs w:val="21"/>
                <w:u w:val="single"/>
              </w:rPr>
              <w:t>废气治理措施</w:t>
            </w:r>
          </w:p>
        </w:tc>
        <w:tc>
          <w:tcPr>
            <w:tcW w:w="1657" w:type="dxa"/>
            <w:vAlign w:val="center"/>
          </w:tcPr>
          <w:p>
            <w:pPr>
              <w:adjustRightInd w:val="0"/>
              <w:snapToGrid w:val="0"/>
              <w:jc w:val="center"/>
              <w:rPr>
                <w:rFonts w:ascii="Times New Roman" w:hAnsi="Times New Roman"/>
                <w:color w:val="000000"/>
                <w:spacing w:val="6"/>
                <w:kern w:val="0"/>
                <w:szCs w:val="21"/>
                <w:u w:val="single"/>
              </w:rPr>
            </w:pPr>
            <w:r>
              <w:rPr>
                <w:rFonts w:hint="eastAsia" w:ascii="Times New Roman" w:hAnsi="Times New Roman"/>
                <w:szCs w:val="21"/>
                <w:u w:val="single"/>
              </w:rPr>
              <w:t>尾矿库扬尘</w:t>
            </w:r>
          </w:p>
        </w:tc>
        <w:tc>
          <w:tcPr>
            <w:tcW w:w="3143" w:type="dxa"/>
            <w:vAlign w:val="center"/>
          </w:tcPr>
          <w:p>
            <w:pPr>
              <w:adjustRightInd w:val="0"/>
              <w:snapToGrid w:val="0"/>
              <w:jc w:val="center"/>
              <w:rPr>
                <w:rFonts w:ascii="Times New Roman" w:hAnsi="Times New Roman"/>
                <w:color w:val="000000"/>
                <w:szCs w:val="21"/>
                <w:u w:val="single"/>
              </w:rPr>
            </w:pPr>
            <w:r>
              <w:rPr>
                <w:rFonts w:hint="eastAsia" w:ascii="Times New Roman" w:hAnsi="Times New Roman"/>
                <w:szCs w:val="21"/>
                <w:u w:val="single"/>
              </w:rPr>
              <w:t>尾矿库扬尘采取洒水降尘，</w:t>
            </w:r>
            <w:r>
              <w:rPr>
                <w:rFonts w:ascii="Times New Roman" w:hAnsi="Times New Roman"/>
                <w:szCs w:val="21"/>
                <w:u w:val="single"/>
              </w:rPr>
              <w:t>加盖苫布</w:t>
            </w:r>
            <w:r>
              <w:rPr>
                <w:rFonts w:hint="eastAsia" w:ascii="Times New Roman" w:hAnsi="Times New Roman"/>
                <w:szCs w:val="21"/>
                <w:u w:val="single"/>
              </w:rPr>
              <w:t>，</w:t>
            </w:r>
            <w:r>
              <w:rPr>
                <w:rFonts w:ascii="Times New Roman" w:hAnsi="Times New Roman"/>
                <w:szCs w:val="21"/>
                <w:u w:val="single"/>
              </w:rPr>
              <w:t>洒水降尘</w:t>
            </w:r>
          </w:p>
        </w:tc>
        <w:tc>
          <w:tcPr>
            <w:tcW w:w="2013" w:type="dxa"/>
            <w:vMerge w:val="restart"/>
            <w:vAlign w:val="center"/>
          </w:tcPr>
          <w:p>
            <w:pPr>
              <w:adjustRightInd w:val="0"/>
              <w:snapToGrid w:val="0"/>
              <w:ind w:left="-108" w:right="-159"/>
              <w:jc w:val="center"/>
              <w:rPr>
                <w:rFonts w:ascii="Times New Roman" w:hAnsi="Times New Roman"/>
                <w:color w:val="000000"/>
                <w:szCs w:val="21"/>
                <w:u w:val="single"/>
              </w:rPr>
            </w:pPr>
            <w:r>
              <w:rPr>
                <w:rFonts w:ascii="Times New Roman" w:hAnsi="Times New Roman"/>
                <w:color w:val="000000"/>
                <w:szCs w:val="21"/>
                <w:u w:val="single"/>
              </w:rPr>
              <w:t>满足《铁矿采选工业污染物排放标准》（GB28661-2012）颗粒物的无组织限值要求（1.0mg/m</w:t>
            </w:r>
            <w:r>
              <w:rPr>
                <w:rFonts w:ascii="Times New Roman" w:hAnsi="Times New Roman"/>
                <w:color w:val="000000"/>
                <w:szCs w:val="21"/>
                <w:u w:val="single"/>
                <w:vertAlign w:val="superscript"/>
              </w:rPr>
              <w:t>3</w:t>
            </w:r>
            <w:r>
              <w:rPr>
                <w:rFonts w:ascii="Times New Roman" w:hAnsi="Times New Roman"/>
                <w:color w:val="00000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Merge w:val="continue"/>
            <w:vAlign w:val="center"/>
          </w:tcPr>
          <w:p>
            <w:pPr>
              <w:adjustRightInd w:val="0"/>
              <w:snapToGrid w:val="0"/>
              <w:ind w:left="-108" w:right="-108"/>
              <w:jc w:val="center"/>
              <w:rPr>
                <w:rFonts w:ascii="Times New Roman" w:hAnsi="Times New Roman"/>
                <w:color w:val="000000"/>
                <w:szCs w:val="21"/>
                <w:u w:val="single"/>
              </w:rPr>
            </w:pPr>
          </w:p>
        </w:tc>
        <w:tc>
          <w:tcPr>
            <w:tcW w:w="1657" w:type="dxa"/>
            <w:vAlign w:val="center"/>
          </w:tcPr>
          <w:p>
            <w:pPr>
              <w:adjustRightInd w:val="0"/>
              <w:snapToGrid w:val="0"/>
              <w:jc w:val="center"/>
              <w:rPr>
                <w:rFonts w:ascii="Times New Roman" w:hAnsi="Times New Roman"/>
                <w:color w:val="000000"/>
                <w:spacing w:val="6"/>
                <w:kern w:val="0"/>
                <w:szCs w:val="21"/>
                <w:u w:val="single"/>
              </w:rPr>
            </w:pPr>
            <w:r>
              <w:rPr>
                <w:rFonts w:hint="eastAsia" w:ascii="Times New Roman" w:hAnsi="Times New Roman"/>
                <w:szCs w:val="21"/>
                <w:u w:val="single"/>
              </w:rPr>
              <w:t>胶带运输粉尘</w:t>
            </w:r>
          </w:p>
        </w:tc>
        <w:tc>
          <w:tcPr>
            <w:tcW w:w="3143" w:type="dxa"/>
            <w:vAlign w:val="center"/>
          </w:tcPr>
          <w:p>
            <w:pPr>
              <w:adjustRightInd w:val="0"/>
              <w:snapToGrid w:val="0"/>
              <w:jc w:val="center"/>
              <w:textAlignment w:val="baseline"/>
              <w:rPr>
                <w:rFonts w:ascii="Times New Roman" w:hAnsi="Times New Roman"/>
                <w:color w:val="000000"/>
                <w:szCs w:val="21"/>
                <w:u w:val="single"/>
              </w:rPr>
            </w:pPr>
            <w:r>
              <w:rPr>
                <w:rFonts w:hint="eastAsia" w:ascii="Times New Roman" w:hAnsi="Times New Roman"/>
                <w:spacing w:val="6"/>
                <w:kern w:val="0"/>
                <w:szCs w:val="21"/>
                <w:u w:val="single"/>
              </w:rPr>
              <w:t>封闭措施</w:t>
            </w:r>
          </w:p>
        </w:tc>
        <w:tc>
          <w:tcPr>
            <w:tcW w:w="2013" w:type="dxa"/>
            <w:vMerge w:val="continue"/>
            <w:vAlign w:val="center"/>
          </w:tcPr>
          <w:p>
            <w:pPr>
              <w:adjustRightInd w:val="0"/>
              <w:snapToGrid w:val="0"/>
              <w:ind w:left="-108" w:right="-159"/>
              <w:jc w:val="center"/>
              <w:rPr>
                <w:rFonts w:ascii="Times New Roman" w:hAnsi="Times New Roman"/>
                <w:color w:val="000000"/>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Merge w:val="continue"/>
            <w:vAlign w:val="center"/>
          </w:tcPr>
          <w:p>
            <w:pPr>
              <w:adjustRightInd w:val="0"/>
              <w:snapToGrid w:val="0"/>
              <w:ind w:left="-108" w:right="-108"/>
              <w:jc w:val="center"/>
              <w:rPr>
                <w:rFonts w:ascii="Times New Roman" w:hAnsi="Times New Roman"/>
                <w:color w:val="000000"/>
                <w:szCs w:val="21"/>
                <w:u w:val="single"/>
              </w:rPr>
            </w:pPr>
          </w:p>
        </w:tc>
        <w:tc>
          <w:tcPr>
            <w:tcW w:w="1657" w:type="dxa"/>
            <w:vAlign w:val="center"/>
          </w:tcPr>
          <w:p>
            <w:pPr>
              <w:adjustRightInd w:val="0"/>
              <w:snapToGrid w:val="0"/>
              <w:jc w:val="center"/>
              <w:rPr>
                <w:rFonts w:ascii="Times New Roman" w:hAnsi="Times New Roman"/>
                <w:color w:val="000000"/>
                <w:spacing w:val="6"/>
                <w:kern w:val="0"/>
                <w:szCs w:val="21"/>
                <w:u w:val="single"/>
              </w:rPr>
            </w:pPr>
            <w:r>
              <w:rPr>
                <w:rFonts w:hint="eastAsia" w:ascii="Times New Roman" w:hAnsi="Times New Roman"/>
                <w:szCs w:val="21"/>
                <w:u w:val="single"/>
              </w:rPr>
              <w:t>汽车运输扬尘</w:t>
            </w:r>
          </w:p>
        </w:tc>
        <w:tc>
          <w:tcPr>
            <w:tcW w:w="3143" w:type="dxa"/>
            <w:vAlign w:val="center"/>
          </w:tcPr>
          <w:p>
            <w:pPr>
              <w:adjustRightInd w:val="0"/>
              <w:snapToGrid w:val="0"/>
              <w:jc w:val="center"/>
              <w:textAlignment w:val="baseline"/>
              <w:rPr>
                <w:rFonts w:ascii="Times New Roman" w:hAnsi="Times New Roman"/>
                <w:color w:val="000000"/>
                <w:szCs w:val="21"/>
                <w:u w:val="single"/>
              </w:rPr>
            </w:pPr>
            <w:r>
              <w:rPr>
                <w:rFonts w:ascii="Times New Roman" w:hAnsi="Times New Roman"/>
                <w:color w:val="000000"/>
                <w:szCs w:val="21"/>
                <w:u w:val="single"/>
                <w:lang w:val="zh-CN"/>
              </w:rPr>
              <w:t>采用篷布遮盖，并要求车辆行驶过程中，降低行车速度</w:t>
            </w:r>
          </w:p>
        </w:tc>
        <w:tc>
          <w:tcPr>
            <w:tcW w:w="2013" w:type="dxa"/>
            <w:vMerge w:val="continue"/>
            <w:vAlign w:val="center"/>
          </w:tcPr>
          <w:p>
            <w:pPr>
              <w:adjustRightInd w:val="0"/>
              <w:snapToGrid w:val="0"/>
              <w:ind w:left="-108" w:right="-159"/>
              <w:jc w:val="center"/>
              <w:rPr>
                <w:rFonts w:ascii="Times New Roman" w:hAnsi="Times New Roman"/>
                <w:color w:val="000000"/>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Merge w:val="continue"/>
            <w:vAlign w:val="center"/>
          </w:tcPr>
          <w:p>
            <w:pPr>
              <w:adjustRightInd w:val="0"/>
              <w:snapToGrid w:val="0"/>
              <w:ind w:left="-108" w:right="-108"/>
              <w:jc w:val="center"/>
              <w:rPr>
                <w:rFonts w:ascii="Times New Roman" w:hAnsi="Times New Roman"/>
                <w:color w:val="000000"/>
                <w:szCs w:val="21"/>
                <w:u w:val="single"/>
              </w:rPr>
            </w:pPr>
          </w:p>
        </w:tc>
        <w:tc>
          <w:tcPr>
            <w:tcW w:w="1657" w:type="dxa"/>
            <w:vAlign w:val="center"/>
          </w:tcPr>
          <w:p>
            <w:pPr>
              <w:adjustRightInd w:val="0"/>
              <w:snapToGrid w:val="0"/>
              <w:jc w:val="center"/>
              <w:rPr>
                <w:rFonts w:ascii="Times New Roman" w:hAnsi="Times New Roman"/>
                <w:color w:val="000000"/>
                <w:spacing w:val="6"/>
                <w:kern w:val="0"/>
                <w:szCs w:val="21"/>
                <w:u w:val="single"/>
              </w:rPr>
            </w:pPr>
            <w:r>
              <w:rPr>
                <w:rFonts w:hint="eastAsia" w:ascii="Times New Roman" w:hAnsi="Times New Roman"/>
                <w:szCs w:val="21"/>
                <w:u w:val="single"/>
              </w:rPr>
              <w:t>现有厂区0.6t/h燃煤锅炉烟尘</w:t>
            </w:r>
          </w:p>
        </w:tc>
        <w:tc>
          <w:tcPr>
            <w:tcW w:w="3143" w:type="dxa"/>
            <w:vAlign w:val="center"/>
          </w:tcPr>
          <w:p>
            <w:pPr>
              <w:adjustRightInd w:val="0"/>
              <w:snapToGrid w:val="0"/>
              <w:jc w:val="center"/>
              <w:textAlignment w:val="baseline"/>
              <w:rPr>
                <w:rFonts w:ascii="Times New Roman" w:hAnsi="Times New Roman"/>
                <w:color w:val="000000"/>
                <w:szCs w:val="21"/>
                <w:u w:val="single"/>
              </w:rPr>
            </w:pPr>
            <w:r>
              <w:rPr>
                <w:rFonts w:hint="eastAsia" w:ascii="Times New Roman" w:hAnsi="Times New Roman"/>
                <w:spacing w:val="6"/>
                <w:kern w:val="0"/>
                <w:szCs w:val="21"/>
                <w:u w:val="single"/>
              </w:rPr>
              <w:t>冬季职工采用电采暖。</w:t>
            </w:r>
          </w:p>
        </w:tc>
        <w:tc>
          <w:tcPr>
            <w:tcW w:w="2013" w:type="dxa"/>
            <w:vMerge w:val="continue"/>
            <w:vAlign w:val="center"/>
          </w:tcPr>
          <w:p>
            <w:pPr>
              <w:adjustRightInd w:val="0"/>
              <w:snapToGrid w:val="0"/>
              <w:ind w:left="-108" w:right="-159"/>
              <w:jc w:val="center"/>
              <w:rPr>
                <w:rFonts w:ascii="Times New Roman" w:hAnsi="Times New Roman"/>
                <w:color w:val="000000"/>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Align w:val="center"/>
          </w:tcPr>
          <w:p>
            <w:pPr>
              <w:adjustRightInd w:val="0"/>
              <w:snapToGrid w:val="0"/>
              <w:ind w:left="-180" w:right="-108"/>
              <w:jc w:val="center"/>
              <w:rPr>
                <w:rFonts w:ascii="Times New Roman" w:hAnsi="Times New Roman"/>
                <w:color w:val="000000"/>
                <w:szCs w:val="21"/>
                <w:u w:val="single"/>
              </w:rPr>
            </w:pPr>
            <w:r>
              <w:rPr>
                <w:rFonts w:hint="eastAsia" w:ascii="Times New Roman" w:hAnsi="Times New Roman"/>
                <w:color w:val="000000"/>
                <w:szCs w:val="21"/>
                <w:u w:val="single"/>
              </w:rPr>
              <w:t>2</w:t>
            </w:r>
          </w:p>
        </w:tc>
        <w:tc>
          <w:tcPr>
            <w:tcW w:w="1399" w:type="dxa"/>
            <w:vAlign w:val="center"/>
          </w:tcPr>
          <w:p>
            <w:pPr>
              <w:adjustRightInd w:val="0"/>
              <w:snapToGrid w:val="0"/>
              <w:ind w:left="-108" w:right="-108"/>
              <w:jc w:val="center"/>
              <w:rPr>
                <w:rFonts w:ascii="Times New Roman" w:hAnsi="Times New Roman"/>
                <w:color w:val="000000"/>
                <w:szCs w:val="21"/>
                <w:u w:val="single"/>
              </w:rPr>
            </w:pPr>
            <w:r>
              <w:rPr>
                <w:rFonts w:ascii="Times New Roman" w:hAnsi="Times New Roman"/>
                <w:color w:val="000000"/>
                <w:szCs w:val="21"/>
                <w:u w:val="single"/>
              </w:rPr>
              <w:t>废水治理措施</w:t>
            </w:r>
          </w:p>
        </w:tc>
        <w:tc>
          <w:tcPr>
            <w:tcW w:w="1657" w:type="dxa"/>
            <w:vAlign w:val="center"/>
          </w:tcPr>
          <w:p>
            <w:pPr>
              <w:adjustRightInd w:val="0"/>
              <w:snapToGrid w:val="0"/>
              <w:jc w:val="center"/>
              <w:rPr>
                <w:rFonts w:ascii="Times New Roman" w:hAnsi="Times New Roman"/>
                <w:color w:val="000000"/>
                <w:szCs w:val="21"/>
                <w:u w:val="single"/>
              </w:rPr>
            </w:pPr>
            <w:r>
              <w:rPr>
                <w:rFonts w:hint="eastAsia" w:ascii="Times New Roman" w:hAnsi="Times New Roman"/>
                <w:szCs w:val="21"/>
                <w:u w:val="single"/>
              </w:rPr>
              <w:t>尾矿浆废水、尾矿库淋溶水</w:t>
            </w:r>
          </w:p>
        </w:tc>
        <w:tc>
          <w:tcPr>
            <w:tcW w:w="3143" w:type="dxa"/>
            <w:vAlign w:val="center"/>
          </w:tcPr>
          <w:p>
            <w:pPr>
              <w:ind w:firstLine="420" w:firstLineChars="200"/>
              <w:jc w:val="left"/>
              <w:rPr>
                <w:rFonts w:ascii="Times New Roman" w:hAnsi="Times New Roman"/>
                <w:color w:val="000000"/>
                <w:szCs w:val="21"/>
                <w:u w:val="single"/>
              </w:rPr>
            </w:pPr>
            <w:r>
              <w:rPr>
                <w:rFonts w:hint="eastAsia"/>
                <w:bCs/>
                <w:color w:val="000000"/>
                <w:szCs w:val="21"/>
                <w:u w:val="single"/>
              </w:rPr>
              <w:t>尾矿浆废水经拟建压滤间压滤设备后，在沉淀池内沉</w:t>
            </w:r>
            <w:r>
              <w:rPr>
                <w:rFonts w:ascii="Times New Roman" w:hAnsi="Times New Roman"/>
                <w:bCs/>
                <w:color w:val="000000"/>
                <w:szCs w:val="21"/>
                <w:u w:val="single"/>
              </w:rPr>
              <w:t>淀（150m</w:t>
            </w:r>
            <w:r>
              <w:rPr>
                <w:rFonts w:ascii="Times New Roman" w:hAnsi="Times New Roman"/>
                <w:bCs/>
                <w:color w:val="000000"/>
                <w:szCs w:val="21"/>
                <w:u w:val="single"/>
                <w:vertAlign w:val="superscript"/>
              </w:rPr>
              <w:t>3</w:t>
            </w:r>
            <w:r>
              <w:rPr>
                <w:rFonts w:ascii="Times New Roman" w:hAnsi="Times New Roman"/>
                <w:bCs/>
                <w:color w:val="000000"/>
                <w:szCs w:val="21"/>
                <w:u w:val="single"/>
              </w:rPr>
              <w:t>）</w:t>
            </w:r>
            <w:r>
              <w:rPr>
                <w:rFonts w:hint="eastAsia" w:ascii="Times New Roman" w:hAnsi="Times New Roman"/>
                <w:bCs/>
                <w:color w:val="000000"/>
                <w:szCs w:val="21"/>
                <w:u w:val="single"/>
              </w:rPr>
              <w:t>通过水泵打回选矿车间高位水池；尾矿库淋溶水通过沉淀池沉淀（50m</w:t>
            </w:r>
            <w:r>
              <w:rPr>
                <w:rFonts w:hint="eastAsia" w:ascii="Times New Roman" w:hAnsi="Times New Roman"/>
                <w:bCs/>
                <w:color w:val="000000"/>
                <w:szCs w:val="21"/>
                <w:u w:val="single"/>
                <w:vertAlign w:val="superscript"/>
              </w:rPr>
              <w:t>3</w:t>
            </w:r>
            <w:r>
              <w:rPr>
                <w:rFonts w:hint="eastAsia" w:ascii="Times New Roman" w:hAnsi="Times New Roman"/>
                <w:bCs/>
                <w:color w:val="000000"/>
                <w:szCs w:val="21"/>
                <w:u w:val="single"/>
              </w:rPr>
              <w:t>）后通过水泵打会压滤车间沉淀池内</w:t>
            </w:r>
            <w:r>
              <w:rPr>
                <w:rFonts w:hint="eastAsia"/>
                <w:bCs/>
                <w:color w:val="000000"/>
                <w:szCs w:val="21"/>
                <w:u w:val="single"/>
              </w:rPr>
              <w:t>。</w:t>
            </w:r>
          </w:p>
        </w:tc>
        <w:tc>
          <w:tcPr>
            <w:tcW w:w="2013" w:type="dxa"/>
            <w:vAlign w:val="center"/>
          </w:tcPr>
          <w:p>
            <w:pPr>
              <w:adjustRightInd w:val="0"/>
              <w:snapToGrid w:val="0"/>
              <w:jc w:val="center"/>
              <w:rPr>
                <w:rFonts w:ascii="Times New Roman" w:hAnsi="Times New Roman"/>
                <w:color w:val="000000"/>
                <w:szCs w:val="21"/>
                <w:u w:val="single"/>
              </w:rPr>
            </w:pPr>
            <w:r>
              <w:rPr>
                <w:rFonts w:hint="eastAsia" w:ascii="Times New Roman" w:hAnsi="Times New Roman"/>
                <w:color w:val="000000"/>
                <w:spacing w:val="6"/>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restart"/>
            <w:vAlign w:val="center"/>
          </w:tcPr>
          <w:p>
            <w:pPr>
              <w:adjustRightInd w:val="0"/>
              <w:snapToGrid w:val="0"/>
              <w:ind w:left="-180" w:right="-108"/>
              <w:jc w:val="center"/>
              <w:rPr>
                <w:rFonts w:ascii="Times New Roman" w:hAnsi="Times New Roman"/>
                <w:color w:val="000000"/>
                <w:szCs w:val="21"/>
                <w:u w:val="single"/>
              </w:rPr>
            </w:pPr>
            <w:r>
              <w:rPr>
                <w:rFonts w:hint="eastAsia" w:ascii="Times New Roman" w:hAnsi="Times New Roman"/>
                <w:color w:val="000000"/>
                <w:szCs w:val="21"/>
                <w:u w:val="single"/>
              </w:rPr>
              <w:t>3</w:t>
            </w:r>
          </w:p>
        </w:tc>
        <w:tc>
          <w:tcPr>
            <w:tcW w:w="1399" w:type="dxa"/>
            <w:vMerge w:val="restart"/>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噪声防治</w:t>
            </w:r>
          </w:p>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措施</w:t>
            </w:r>
          </w:p>
        </w:tc>
        <w:tc>
          <w:tcPr>
            <w:tcW w:w="1657" w:type="dxa"/>
            <w:vAlign w:val="center"/>
          </w:tcPr>
          <w:p>
            <w:pPr>
              <w:pStyle w:val="45"/>
              <w:snapToGrid w:val="0"/>
              <w:spacing w:line="240" w:lineRule="auto"/>
              <w:textAlignment w:val="auto"/>
              <w:rPr>
                <w:rFonts w:ascii="Times New Roman" w:hAnsi="Times New Roman"/>
                <w:color w:val="000000"/>
                <w:sz w:val="21"/>
                <w:szCs w:val="21"/>
                <w:u w:val="single"/>
              </w:rPr>
            </w:pPr>
            <w:r>
              <w:rPr>
                <w:rFonts w:hint="eastAsia" w:ascii="Times New Roman" w:hAnsi="Times New Roman"/>
                <w:color w:val="000000"/>
                <w:kern w:val="2"/>
                <w:sz w:val="21"/>
                <w:szCs w:val="21"/>
                <w:u w:val="single"/>
              </w:rPr>
              <w:t>设备噪声</w:t>
            </w:r>
          </w:p>
        </w:tc>
        <w:tc>
          <w:tcPr>
            <w:tcW w:w="3143" w:type="dxa"/>
            <w:vAlign w:val="center"/>
          </w:tcPr>
          <w:p>
            <w:pPr>
              <w:rPr>
                <w:rFonts w:ascii="Times New Roman" w:hAnsi="Times New Roman"/>
                <w:color w:val="000000"/>
                <w:szCs w:val="21"/>
                <w:u w:val="single"/>
              </w:rPr>
            </w:pPr>
            <w:r>
              <w:rPr>
                <w:rFonts w:ascii="Times New Roman" w:hAnsi="Times New Roman"/>
                <w:color w:val="000000"/>
                <w:szCs w:val="21"/>
                <w:u w:val="single"/>
              </w:rPr>
              <w:t>尽量选用低噪声型号的设备；</w:t>
            </w:r>
            <w:r>
              <w:rPr>
                <w:rFonts w:hint="eastAsia" w:ascii="Times New Roman" w:hAnsi="Times New Roman"/>
                <w:color w:val="000000"/>
                <w:szCs w:val="21"/>
                <w:u w:val="single"/>
              </w:rPr>
              <w:t>设备</w:t>
            </w:r>
            <w:r>
              <w:rPr>
                <w:rFonts w:ascii="Times New Roman" w:hAnsi="Times New Roman"/>
                <w:color w:val="000000"/>
                <w:szCs w:val="21"/>
                <w:u w:val="single"/>
              </w:rPr>
              <w:t>安装消声器、隔声罩和基础减振等</w:t>
            </w:r>
            <w:r>
              <w:rPr>
                <w:rFonts w:hint="eastAsia" w:ascii="Times New Roman" w:hAnsi="Times New Roman"/>
                <w:color w:val="000000"/>
                <w:szCs w:val="21"/>
                <w:u w:val="single"/>
              </w:rPr>
              <w:t>；将选矿厂内的</w:t>
            </w:r>
            <w:r>
              <w:rPr>
                <w:rFonts w:ascii="Times New Roman" w:hAnsi="Times New Roman"/>
                <w:color w:val="000000"/>
                <w:szCs w:val="21"/>
                <w:u w:val="single"/>
              </w:rPr>
              <w:t>强噪声设备</w:t>
            </w:r>
            <w:r>
              <w:rPr>
                <w:rFonts w:hint="eastAsia" w:ascii="Times New Roman" w:hAnsi="Times New Roman"/>
                <w:color w:val="000000"/>
                <w:szCs w:val="21"/>
                <w:u w:val="single"/>
              </w:rPr>
              <w:t>放置于封闭厂房内，</w:t>
            </w:r>
            <w:r>
              <w:rPr>
                <w:rFonts w:ascii="Times New Roman" w:hAnsi="Times New Roman"/>
                <w:color w:val="000000"/>
                <w:szCs w:val="21"/>
                <w:u w:val="single"/>
              </w:rPr>
              <w:t>采取隔声、吸声材料制作门窗、砌体等</w:t>
            </w:r>
            <w:r>
              <w:rPr>
                <w:rFonts w:hint="eastAsia" w:ascii="Times New Roman" w:hAnsi="Times New Roman"/>
                <w:color w:val="000000"/>
                <w:szCs w:val="21"/>
                <w:u w:val="single"/>
              </w:rPr>
              <w:t>；经过周围山林的吸声降噪，达标排放。</w:t>
            </w:r>
          </w:p>
        </w:tc>
        <w:tc>
          <w:tcPr>
            <w:tcW w:w="2013" w:type="dxa"/>
            <w:vAlign w:val="center"/>
          </w:tcPr>
          <w:p>
            <w:pPr>
              <w:adjustRightInd w:val="0"/>
              <w:snapToGrid w:val="0"/>
              <w:ind w:left="-108" w:right="-156"/>
              <w:jc w:val="center"/>
              <w:rPr>
                <w:rFonts w:ascii="Times New Roman" w:hAnsi="Times New Roman"/>
                <w:color w:val="000000"/>
                <w:szCs w:val="21"/>
                <w:u w:val="single"/>
              </w:rPr>
            </w:pPr>
            <w:r>
              <w:rPr>
                <w:rFonts w:ascii="Times New Roman" w:hAnsi="Times New Roman"/>
                <w:color w:val="000000"/>
                <w:szCs w:val="21"/>
                <w:u w:val="single"/>
              </w:rPr>
              <w:t>确保工业广场厂界噪声满足GB12348-2008《工业企业厂界环境噪声排放标准》3类标准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Merge w:val="continue"/>
            <w:vAlign w:val="center"/>
          </w:tcPr>
          <w:p>
            <w:pPr>
              <w:adjustRightInd w:val="0"/>
              <w:snapToGrid w:val="0"/>
              <w:jc w:val="center"/>
              <w:rPr>
                <w:rFonts w:ascii="Times New Roman" w:hAnsi="Times New Roman"/>
                <w:color w:val="000000"/>
                <w:szCs w:val="21"/>
                <w:u w:val="single"/>
              </w:rPr>
            </w:pPr>
          </w:p>
        </w:tc>
        <w:tc>
          <w:tcPr>
            <w:tcW w:w="1657" w:type="dxa"/>
            <w:vAlign w:val="center"/>
          </w:tcPr>
          <w:p>
            <w:pPr>
              <w:pStyle w:val="45"/>
              <w:snapToGrid w:val="0"/>
              <w:spacing w:line="240" w:lineRule="auto"/>
              <w:textAlignment w:val="auto"/>
              <w:rPr>
                <w:rFonts w:ascii="Times New Roman" w:hAnsi="Times New Roman"/>
                <w:color w:val="000000"/>
                <w:sz w:val="21"/>
                <w:szCs w:val="21"/>
                <w:u w:val="single"/>
              </w:rPr>
            </w:pPr>
            <w:r>
              <w:rPr>
                <w:rFonts w:hint="eastAsia" w:ascii="Times New Roman" w:hAnsi="Times New Roman"/>
                <w:color w:val="000000"/>
                <w:kern w:val="2"/>
                <w:sz w:val="21"/>
                <w:szCs w:val="21"/>
                <w:u w:val="single"/>
              </w:rPr>
              <w:t>交通运输噪声</w:t>
            </w:r>
          </w:p>
        </w:tc>
        <w:tc>
          <w:tcPr>
            <w:tcW w:w="3143"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运输车辆夜间经过村屯时，限制行车速递，严禁鸣笛等，减少夜间行车速度等</w:t>
            </w:r>
            <w:r>
              <w:rPr>
                <w:rFonts w:hint="eastAsia" w:ascii="Times New Roman" w:hAnsi="Times New Roman"/>
                <w:color w:val="000000"/>
                <w:szCs w:val="21"/>
                <w:u w:val="single"/>
              </w:rPr>
              <w:t>。</w:t>
            </w:r>
          </w:p>
        </w:tc>
        <w:tc>
          <w:tcPr>
            <w:tcW w:w="2013" w:type="dxa"/>
            <w:vAlign w:val="center"/>
          </w:tcPr>
          <w:p>
            <w:pPr>
              <w:adjustRightInd w:val="0"/>
              <w:snapToGrid w:val="0"/>
              <w:ind w:left="-108" w:right="-156"/>
              <w:jc w:val="center"/>
              <w:rPr>
                <w:rFonts w:ascii="Times New Roman" w:hAnsi="Times New Roman"/>
                <w:color w:val="000000"/>
                <w:szCs w:val="21"/>
                <w:u w:val="single"/>
              </w:rPr>
            </w:pPr>
            <w:r>
              <w:rPr>
                <w:rFonts w:hint="eastAsia" w:ascii="Times New Roman" w:hAnsi="Times New Roman"/>
                <w:color w:val="00000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restart"/>
            <w:vAlign w:val="center"/>
          </w:tcPr>
          <w:p>
            <w:pPr>
              <w:adjustRightInd w:val="0"/>
              <w:snapToGrid w:val="0"/>
              <w:ind w:left="-108" w:right="-108"/>
              <w:jc w:val="center"/>
              <w:rPr>
                <w:rFonts w:ascii="Times New Roman" w:hAnsi="Times New Roman"/>
                <w:color w:val="000000"/>
                <w:szCs w:val="21"/>
                <w:u w:val="single"/>
              </w:rPr>
            </w:pPr>
            <w:r>
              <w:rPr>
                <w:rFonts w:hint="eastAsia" w:ascii="Times New Roman" w:hAnsi="Times New Roman"/>
                <w:color w:val="000000"/>
                <w:szCs w:val="21"/>
                <w:u w:val="single"/>
              </w:rPr>
              <w:t>4</w:t>
            </w:r>
          </w:p>
        </w:tc>
        <w:tc>
          <w:tcPr>
            <w:tcW w:w="1399" w:type="dxa"/>
            <w:vMerge w:val="restart"/>
            <w:vAlign w:val="center"/>
          </w:tcPr>
          <w:p>
            <w:pPr>
              <w:adjustRightInd w:val="0"/>
              <w:snapToGrid w:val="0"/>
              <w:ind w:left="-108"/>
              <w:jc w:val="center"/>
              <w:rPr>
                <w:rFonts w:ascii="Times New Roman" w:hAnsi="Times New Roman"/>
                <w:color w:val="000000"/>
                <w:szCs w:val="21"/>
                <w:u w:val="single"/>
              </w:rPr>
            </w:pPr>
            <w:r>
              <w:rPr>
                <w:rFonts w:ascii="Times New Roman" w:hAnsi="Times New Roman"/>
                <w:color w:val="000000"/>
                <w:szCs w:val="21"/>
                <w:u w:val="single"/>
              </w:rPr>
              <w:t>固废处置措施</w:t>
            </w:r>
          </w:p>
        </w:tc>
        <w:tc>
          <w:tcPr>
            <w:tcW w:w="1657" w:type="dxa"/>
            <w:vAlign w:val="center"/>
          </w:tcPr>
          <w:p>
            <w:pPr>
              <w:adjustRightInd w:val="0"/>
              <w:snapToGrid w:val="0"/>
              <w:jc w:val="center"/>
              <w:textAlignment w:val="baseline"/>
              <w:rPr>
                <w:rFonts w:ascii="Times New Roman" w:hAnsi="Times New Roman"/>
                <w:color w:val="000000"/>
                <w:szCs w:val="21"/>
                <w:u w:val="single"/>
              </w:rPr>
            </w:pPr>
            <w:r>
              <w:rPr>
                <w:rFonts w:hint="eastAsia" w:ascii="Times New Roman" w:hAnsi="Times New Roman"/>
                <w:color w:val="000000"/>
                <w:spacing w:val="6"/>
                <w:kern w:val="0"/>
                <w:szCs w:val="21"/>
                <w:u w:val="single"/>
              </w:rPr>
              <w:t>尾矿泥饼</w:t>
            </w:r>
          </w:p>
        </w:tc>
        <w:tc>
          <w:tcPr>
            <w:tcW w:w="3143" w:type="dxa"/>
            <w:vAlign w:val="center"/>
          </w:tcPr>
          <w:p>
            <w:pPr>
              <w:jc w:val="center"/>
              <w:rPr>
                <w:rFonts w:ascii="Times New Roman" w:hAnsi="Times New Roman"/>
                <w:color w:val="000000"/>
                <w:szCs w:val="21"/>
                <w:u w:val="single"/>
              </w:rPr>
            </w:pPr>
            <w:r>
              <w:rPr>
                <w:rFonts w:hint="eastAsia" w:ascii="Times New Roman" w:hAnsi="Times New Roman"/>
                <w:color w:val="000000"/>
                <w:spacing w:val="6"/>
                <w:kern w:val="0"/>
                <w:szCs w:val="21"/>
                <w:u w:val="single"/>
              </w:rPr>
              <w:t>一部分外卖吉林市智德利商贸有限公司，另一部分堆放至尾矿库内。</w:t>
            </w:r>
          </w:p>
        </w:tc>
        <w:tc>
          <w:tcPr>
            <w:tcW w:w="2013" w:type="dxa"/>
            <w:vMerge w:val="restart"/>
            <w:vAlign w:val="center"/>
          </w:tcPr>
          <w:p>
            <w:pPr>
              <w:adjustRightInd w:val="0"/>
              <w:snapToGrid w:val="0"/>
              <w:ind w:left="-108" w:right="-156"/>
              <w:jc w:val="center"/>
              <w:rPr>
                <w:rFonts w:ascii="Times New Roman" w:hAnsi="Times New Roman"/>
                <w:color w:val="000000"/>
                <w:szCs w:val="21"/>
                <w:u w:val="single"/>
              </w:rPr>
            </w:pPr>
            <w:r>
              <w:rPr>
                <w:rFonts w:ascii="Times New Roman" w:hAnsi="Times New Roman"/>
                <w:color w:val="000000"/>
                <w:kern w:val="0"/>
                <w:szCs w:val="21"/>
                <w:u w:val="single"/>
              </w:rPr>
              <w:t>不产生二次污染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Merge w:val="continue"/>
            <w:vAlign w:val="center"/>
          </w:tcPr>
          <w:p>
            <w:pPr>
              <w:adjustRightInd w:val="0"/>
              <w:snapToGrid w:val="0"/>
              <w:jc w:val="center"/>
              <w:rPr>
                <w:rFonts w:ascii="Times New Roman" w:hAnsi="Times New Roman"/>
                <w:color w:val="000000"/>
                <w:szCs w:val="21"/>
                <w:u w:val="single"/>
              </w:rPr>
            </w:pPr>
          </w:p>
        </w:tc>
        <w:tc>
          <w:tcPr>
            <w:tcW w:w="1657" w:type="dxa"/>
            <w:vAlign w:val="center"/>
          </w:tcPr>
          <w:p>
            <w:pPr>
              <w:adjustRightInd w:val="0"/>
              <w:snapToGrid w:val="0"/>
              <w:jc w:val="center"/>
              <w:textAlignment w:val="baseline"/>
              <w:rPr>
                <w:rFonts w:ascii="Times New Roman" w:hAnsi="Times New Roman"/>
                <w:color w:val="000000"/>
                <w:szCs w:val="21"/>
                <w:u w:val="single"/>
              </w:rPr>
            </w:pPr>
            <w:r>
              <w:rPr>
                <w:rFonts w:hint="eastAsia" w:ascii="Times New Roman" w:hAnsi="Times New Roman"/>
                <w:color w:val="000000"/>
                <w:spacing w:val="6"/>
                <w:kern w:val="0"/>
                <w:szCs w:val="21"/>
                <w:u w:val="single"/>
              </w:rPr>
              <w:t>压滤间沉淀池污泥</w:t>
            </w:r>
          </w:p>
        </w:tc>
        <w:tc>
          <w:tcPr>
            <w:tcW w:w="3143" w:type="dxa"/>
            <w:vAlign w:val="center"/>
          </w:tcPr>
          <w:p>
            <w:pPr>
              <w:adjustRightInd w:val="0"/>
              <w:snapToGrid w:val="0"/>
              <w:jc w:val="center"/>
              <w:rPr>
                <w:rFonts w:ascii="Times New Roman" w:hAnsi="Times New Roman"/>
                <w:snapToGrid w:val="0"/>
                <w:color w:val="000000"/>
                <w:kern w:val="0"/>
                <w:szCs w:val="21"/>
                <w:u w:val="single"/>
              </w:rPr>
            </w:pPr>
            <w:r>
              <w:rPr>
                <w:rFonts w:hint="eastAsia" w:ascii="Times New Roman" w:hAnsi="Times New Roman"/>
                <w:color w:val="000000"/>
                <w:spacing w:val="6"/>
                <w:kern w:val="0"/>
                <w:szCs w:val="21"/>
                <w:u w:val="single"/>
              </w:rPr>
              <w:t>堆放至尾矿库内</w:t>
            </w:r>
          </w:p>
        </w:tc>
        <w:tc>
          <w:tcPr>
            <w:tcW w:w="2013" w:type="dxa"/>
            <w:vMerge w:val="continue"/>
            <w:vAlign w:val="center"/>
          </w:tcPr>
          <w:p>
            <w:pPr>
              <w:adjustRightInd w:val="0"/>
              <w:snapToGrid w:val="0"/>
              <w:ind w:left="-108" w:right="-156"/>
              <w:jc w:val="center"/>
              <w:rPr>
                <w:rFonts w:ascii="Times New Roman" w:hAnsi="Times New Roman"/>
                <w:color w:val="000000"/>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Merge w:val="continue"/>
            <w:vAlign w:val="center"/>
          </w:tcPr>
          <w:p>
            <w:pPr>
              <w:adjustRightInd w:val="0"/>
              <w:snapToGrid w:val="0"/>
              <w:jc w:val="center"/>
              <w:rPr>
                <w:rFonts w:ascii="Times New Roman" w:hAnsi="Times New Roman"/>
                <w:color w:val="000000"/>
                <w:szCs w:val="21"/>
                <w:u w:val="single"/>
              </w:rPr>
            </w:pPr>
          </w:p>
        </w:tc>
        <w:tc>
          <w:tcPr>
            <w:tcW w:w="1657" w:type="dxa"/>
            <w:vAlign w:val="center"/>
          </w:tcPr>
          <w:p>
            <w:pPr>
              <w:adjustRightInd w:val="0"/>
              <w:snapToGrid w:val="0"/>
              <w:jc w:val="center"/>
              <w:textAlignment w:val="baseline"/>
              <w:rPr>
                <w:rFonts w:ascii="Times New Roman" w:hAnsi="Times New Roman"/>
                <w:color w:val="000000"/>
                <w:szCs w:val="21"/>
                <w:u w:val="single"/>
              </w:rPr>
            </w:pPr>
            <w:r>
              <w:rPr>
                <w:rFonts w:hint="eastAsia" w:ascii="Times New Roman" w:hAnsi="Times New Roman"/>
                <w:color w:val="000000"/>
                <w:spacing w:val="6"/>
                <w:kern w:val="0"/>
                <w:szCs w:val="21"/>
                <w:u w:val="single"/>
              </w:rPr>
              <w:t>尾矿库沉淀池污泥</w:t>
            </w:r>
          </w:p>
        </w:tc>
        <w:tc>
          <w:tcPr>
            <w:tcW w:w="3143" w:type="dxa"/>
            <w:vAlign w:val="center"/>
          </w:tcPr>
          <w:p>
            <w:pPr>
              <w:adjustRightInd w:val="0"/>
              <w:snapToGrid w:val="0"/>
              <w:jc w:val="center"/>
              <w:rPr>
                <w:rFonts w:ascii="Times New Roman" w:hAnsi="Times New Roman"/>
                <w:color w:val="000000"/>
                <w:spacing w:val="6"/>
                <w:kern w:val="0"/>
                <w:szCs w:val="21"/>
                <w:u w:val="single"/>
              </w:rPr>
            </w:pPr>
            <w:r>
              <w:rPr>
                <w:rFonts w:hint="eastAsia" w:ascii="Times New Roman" w:hAnsi="Times New Roman"/>
                <w:color w:val="000000"/>
                <w:spacing w:val="6"/>
                <w:kern w:val="0"/>
                <w:szCs w:val="21"/>
                <w:u w:val="single"/>
              </w:rPr>
              <w:t>堆放至尾矿库内</w:t>
            </w:r>
          </w:p>
        </w:tc>
        <w:tc>
          <w:tcPr>
            <w:tcW w:w="2013" w:type="dxa"/>
            <w:vMerge w:val="continue"/>
            <w:vAlign w:val="center"/>
          </w:tcPr>
          <w:p>
            <w:pPr>
              <w:adjustRightInd w:val="0"/>
              <w:snapToGrid w:val="0"/>
              <w:ind w:left="-108" w:right="-156"/>
              <w:jc w:val="center"/>
              <w:rPr>
                <w:rFonts w:ascii="Times New Roman" w:hAnsi="Times New Roman"/>
                <w:color w:val="000000"/>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Merge w:val="continue"/>
            <w:vAlign w:val="center"/>
          </w:tcPr>
          <w:p>
            <w:pPr>
              <w:adjustRightInd w:val="0"/>
              <w:snapToGrid w:val="0"/>
              <w:jc w:val="center"/>
              <w:rPr>
                <w:rFonts w:ascii="Times New Roman" w:hAnsi="Times New Roman"/>
                <w:color w:val="000000"/>
                <w:szCs w:val="21"/>
                <w:u w:val="single"/>
              </w:rPr>
            </w:pPr>
          </w:p>
        </w:tc>
        <w:tc>
          <w:tcPr>
            <w:tcW w:w="1657" w:type="dxa"/>
            <w:vAlign w:val="center"/>
          </w:tcPr>
          <w:p>
            <w:pPr>
              <w:adjustRightInd w:val="0"/>
              <w:snapToGrid w:val="0"/>
              <w:jc w:val="center"/>
              <w:textAlignment w:val="baseline"/>
              <w:rPr>
                <w:rFonts w:ascii="Times New Roman" w:hAnsi="Times New Roman"/>
                <w:color w:val="000000"/>
                <w:szCs w:val="21"/>
                <w:u w:val="single"/>
              </w:rPr>
            </w:pPr>
            <w:r>
              <w:rPr>
                <w:rFonts w:hint="eastAsia" w:ascii="Times New Roman" w:hAnsi="Times New Roman"/>
                <w:color w:val="000000"/>
                <w:spacing w:val="6"/>
                <w:kern w:val="0"/>
                <w:szCs w:val="21"/>
                <w:u w:val="single"/>
              </w:rPr>
              <w:t>废机油</w:t>
            </w:r>
          </w:p>
        </w:tc>
        <w:tc>
          <w:tcPr>
            <w:tcW w:w="3143" w:type="dxa"/>
            <w:vAlign w:val="center"/>
          </w:tcPr>
          <w:p>
            <w:pPr>
              <w:adjustRightInd w:val="0"/>
              <w:snapToGrid w:val="0"/>
              <w:jc w:val="center"/>
              <w:rPr>
                <w:rFonts w:ascii="Times New Roman" w:hAnsi="Times New Roman"/>
                <w:color w:val="000000"/>
                <w:spacing w:val="6"/>
                <w:kern w:val="0"/>
                <w:szCs w:val="21"/>
                <w:u w:val="single"/>
              </w:rPr>
            </w:pPr>
            <w:r>
              <w:rPr>
                <w:rFonts w:hint="eastAsia" w:ascii="Times New Roman" w:hAnsi="Times New Roman"/>
                <w:color w:val="000000"/>
                <w:spacing w:val="6"/>
                <w:kern w:val="0"/>
                <w:szCs w:val="21"/>
                <w:u w:val="single"/>
              </w:rPr>
              <w:t>统一交由有资质部门集中处理处置。</w:t>
            </w:r>
          </w:p>
        </w:tc>
        <w:tc>
          <w:tcPr>
            <w:tcW w:w="2013" w:type="dxa"/>
            <w:vMerge w:val="continue"/>
            <w:vAlign w:val="center"/>
          </w:tcPr>
          <w:p>
            <w:pPr>
              <w:adjustRightInd w:val="0"/>
              <w:snapToGrid w:val="0"/>
              <w:ind w:left="-108" w:right="-156"/>
              <w:jc w:val="center"/>
              <w:rPr>
                <w:rFonts w:ascii="Times New Roman" w:hAnsi="Times New Roman"/>
                <w:color w:val="000000"/>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restart"/>
            <w:vAlign w:val="center"/>
          </w:tcPr>
          <w:p>
            <w:pPr>
              <w:adjustRightInd w:val="0"/>
              <w:snapToGrid w:val="0"/>
              <w:ind w:left="-180" w:right="-108"/>
              <w:jc w:val="center"/>
              <w:rPr>
                <w:rFonts w:ascii="Times New Roman" w:hAnsi="Times New Roman"/>
                <w:color w:val="000000"/>
                <w:szCs w:val="21"/>
                <w:u w:val="single"/>
              </w:rPr>
            </w:pPr>
            <w:r>
              <w:rPr>
                <w:rFonts w:hint="eastAsia" w:ascii="Times New Roman" w:hAnsi="Times New Roman"/>
                <w:color w:val="000000"/>
                <w:szCs w:val="21"/>
                <w:u w:val="single"/>
              </w:rPr>
              <w:t>5</w:t>
            </w:r>
          </w:p>
        </w:tc>
        <w:tc>
          <w:tcPr>
            <w:tcW w:w="1399" w:type="dxa"/>
            <w:vMerge w:val="restart"/>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环境风险</w:t>
            </w:r>
          </w:p>
        </w:tc>
        <w:tc>
          <w:tcPr>
            <w:tcW w:w="1657" w:type="dxa"/>
            <w:vAlign w:val="center"/>
          </w:tcPr>
          <w:p>
            <w:pPr>
              <w:ind w:left="-105" w:leftChars="-50" w:right="-107" w:rightChars="-51"/>
              <w:jc w:val="center"/>
              <w:rPr>
                <w:rFonts w:ascii="Times New Roman" w:hAnsi="Times New Roman"/>
                <w:color w:val="000000"/>
                <w:szCs w:val="21"/>
                <w:u w:val="single"/>
              </w:rPr>
            </w:pPr>
            <w:r>
              <w:rPr>
                <w:rFonts w:hint="eastAsia" w:ascii="Times New Roman" w:hAnsi="Times New Roman"/>
                <w:color w:val="000000"/>
                <w:szCs w:val="21"/>
                <w:u w:val="single"/>
              </w:rPr>
              <w:t>尾矿库</w:t>
            </w:r>
          </w:p>
        </w:tc>
        <w:tc>
          <w:tcPr>
            <w:tcW w:w="3143"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截水沟、挡墙、加盖苫布</w:t>
            </w:r>
          </w:p>
        </w:tc>
        <w:tc>
          <w:tcPr>
            <w:tcW w:w="2013" w:type="dxa"/>
            <w:vMerge w:val="restart"/>
            <w:vAlign w:val="center"/>
          </w:tcPr>
          <w:p>
            <w:pPr>
              <w:adjustRightInd w:val="0"/>
              <w:snapToGrid w:val="0"/>
              <w:ind w:left="-108" w:right="-156"/>
              <w:jc w:val="center"/>
              <w:rPr>
                <w:rFonts w:ascii="Times New Roman" w:hAnsi="Times New Roman"/>
                <w:color w:val="000000"/>
                <w:szCs w:val="21"/>
                <w:u w:val="single"/>
              </w:rPr>
            </w:pPr>
            <w:r>
              <w:rPr>
                <w:rFonts w:ascii="Times New Roman" w:hAnsi="Times New Roman"/>
                <w:color w:val="000000"/>
                <w:szCs w:val="21"/>
                <w:u w:val="single"/>
              </w:rPr>
              <w:t>不会造成环境风险事故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Merge w:val="continue"/>
            <w:vAlign w:val="center"/>
          </w:tcPr>
          <w:p>
            <w:pPr>
              <w:adjustRightInd w:val="0"/>
              <w:snapToGrid w:val="0"/>
              <w:jc w:val="center"/>
              <w:rPr>
                <w:rFonts w:ascii="Times New Roman" w:hAnsi="Times New Roman"/>
                <w:color w:val="000000"/>
                <w:szCs w:val="21"/>
                <w:u w:val="single"/>
              </w:rPr>
            </w:pPr>
          </w:p>
        </w:tc>
        <w:tc>
          <w:tcPr>
            <w:tcW w:w="1657" w:type="dxa"/>
            <w:vAlign w:val="center"/>
          </w:tcPr>
          <w:p>
            <w:pPr>
              <w:ind w:left="-105" w:leftChars="-50" w:right="-107" w:rightChars="-51"/>
              <w:jc w:val="center"/>
              <w:rPr>
                <w:rFonts w:ascii="Times New Roman" w:hAnsi="Times New Roman"/>
                <w:color w:val="000000"/>
                <w:szCs w:val="21"/>
                <w:u w:val="single"/>
              </w:rPr>
            </w:pPr>
            <w:r>
              <w:rPr>
                <w:rFonts w:hint="eastAsia" w:ascii="Times New Roman" w:hAnsi="Times New Roman"/>
                <w:color w:val="000000"/>
                <w:szCs w:val="21"/>
                <w:u w:val="single"/>
              </w:rPr>
              <w:t>沉淀池</w:t>
            </w:r>
          </w:p>
        </w:tc>
        <w:tc>
          <w:tcPr>
            <w:tcW w:w="3143"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防渗措施</w:t>
            </w:r>
          </w:p>
        </w:tc>
        <w:tc>
          <w:tcPr>
            <w:tcW w:w="2013" w:type="dxa"/>
            <w:vMerge w:val="continue"/>
            <w:vAlign w:val="center"/>
          </w:tcPr>
          <w:p>
            <w:pPr>
              <w:adjustRightInd w:val="0"/>
              <w:snapToGrid w:val="0"/>
              <w:ind w:left="-108" w:right="-156"/>
              <w:jc w:val="center"/>
              <w:rPr>
                <w:rFonts w:ascii="Times New Roman" w:hAnsi="Times New Roman"/>
                <w:color w:val="000000"/>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生态保护与恢复</w:t>
            </w:r>
          </w:p>
        </w:tc>
        <w:tc>
          <w:tcPr>
            <w:tcW w:w="1657"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现有尾矿库</w:t>
            </w:r>
          </w:p>
        </w:tc>
        <w:tc>
          <w:tcPr>
            <w:tcW w:w="3143" w:type="dxa"/>
            <w:vAlign w:val="center"/>
          </w:tcPr>
          <w:p>
            <w:pPr>
              <w:jc w:val="center"/>
              <w:rPr>
                <w:rFonts w:ascii="Times New Roman" w:hAnsi="Times New Roman"/>
                <w:color w:val="000000"/>
                <w:szCs w:val="21"/>
                <w:u w:val="single"/>
              </w:rPr>
            </w:pPr>
            <w:r>
              <w:rPr>
                <w:rFonts w:hint="eastAsia" w:ascii="Times New Roman" w:hAnsi="Times New Roman"/>
                <w:szCs w:val="21"/>
                <w:u w:val="single"/>
              </w:rPr>
              <w:t>闭矿期现有尾矿库及厂区复垦</w:t>
            </w:r>
          </w:p>
        </w:tc>
        <w:tc>
          <w:tcPr>
            <w:tcW w:w="2013"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Merge w:val="continue"/>
            <w:vAlign w:val="center"/>
          </w:tcPr>
          <w:p>
            <w:pPr>
              <w:adjustRightInd w:val="0"/>
              <w:snapToGrid w:val="0"/>
              <w:ind w:left="-180" w:right="-108"/>
              <w:jc w:val="center"/>
              <w:rPr>
                <w:rFonts w:ascii="Times New Roman" w:hAnsi="Times New Roman"/>
                <w:color w:val="000000"/>
                <w:szCs w:val="21"/>
                <w:u w:val="single"/>
              </w:rPr>
            </w:pPr>
          </w:p>
        </w:tc>
        <w:tc>
          <w:tcPr>
            <w:tcW w:w="1399"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现有尾矿库尾矿渣清运</w:t>
            </w:r>
          </w:p>
        </w:tc>
        <w:tc>
          <w:tcPr>
            <w:tcW w:w="1657"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现有尾矿库</w:t>
            </w:r>
          </w:p>
        </w:tc>
        <w:tc>
          <w:tcPr>
            <w:tcW w:w="3143" w:type="dxa"/>
            <w:vAlign w:val="center"/>
          </w:tcPr>
          <w:p>
            <w:pPr>
              <w:jc w:val="center"/>
              <w:rPr>
                <w:rFonts w:ascii="Times New Roman" w:hAnsi="Times New Roman"/>
                <w:szCs w:val="21"/>
                <w:u w:val="single"/>
              </w:rPr>
            </w:pPr>
            <w:r>
              <w:rPr>
                <w:rFonts w:hint="eastAsia" w:ascii="Times New Roman" w:hAnsi="Times New Roman"/>
                <w:szCs w:val="21"/>
                <w:u w:val="single"/>
              </w:rPr>
              <w:t>现有尾矿库13万t尾渣清运</w:t>
            </w:r>
          </w:p>
        </w:tc>
        <w:tc>
          <w:tcPr>
            <w:tcW w:w="2013"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Align w:val="center"/>
          </w:tcPr>
          <w:p>
            <w:pPr>
              <w:adjustRightInd w:val="0"/>
              <w:snapToGrid w:val="0"/>
              <w:ind w:left="-180" w:right="-108"/>
              <w:jc w:val="center"/>
              <w:rPr>
                <w:rFonts w:ascii="Times New Roman" w:hAnsi="Times New Roman"/>
                <w:color w:val="000000"/>
                <w:szCs w:val="21"/>
                <w:u w:val="single"/>
              </w:rPr>
            </w:pPr>
            <w:r>
              <w:rPr>
                <w:rFonts w:hint="eastAsia" w:ascii="Times New Roman" w:hAnsi="Times New Roman"/>
                <w:color w:val="000000"/>
                <w:szCs w:val="21"/>
                <w:u w:val="single"/>
              </w:rPr>
              <w:t>7</w:t>
            </w:r>
          </w:p>
        </w:tc>
        <w:tc>
          <w:tcPr>
            <w:tcW w:w="1399" w:type="dxa"/>
            <w:vAlign w:val="center"/>
          </w:tcPr>
          <w:p>
            <w:pPr>
              <w:adjustRightInd w:val="0"/>
              <w:snapToGrid w:val="0"/>
              <w:jc w:val="center"/>
              <w:rPr>
                <w:rFonts w:ascii="Times New Roman" w:hAnsi="Times New Roman"/>
                <w:color w:val="000000"/>
                <w:szCs w:val="21"/>
                <w:u w:val="single"/>
              </w:rPr>
            </w:pPr>
            <w:r>
              <w:rPr>
                <w:rFonts w:ascii="Times New Roman" w:hAnsi="Times New Roman"/>
                <w:color w:val="000000"/>
                <w:szCs w:val="21"/>
                <w:u w:val="single"/>
              </w:rPr>
              <w:t>水土流失</w:t>
            </w:r>
          </w:p>
        </w:tc>
        <w:tc>
          <w:tcPr>
            <w:tcW w:w="1657"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水土保持</w:t>
            </w:r>
          </w:p>
        </w:tc>
        <w:tc>
          <w:tcPr>
            <w:tcW w:w="3143"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闭矿期的水土保持监测、防治、补偿措施</w:t>
            </w:r>
          </w:p>
        </w:tc>
        <w:tc>
          <w:tcPr>
            <w:tcW w:w="2013" w:type="dxa"/>
            <w:vAlign w:val="center"/>
          </w:tcPr>
          <w:p>
            <w:pPr>
              <w:jc w:val="center"/>
              <w:rPr>
                <w:rFonts w:ascii="Times New Roman" w:hAnsi="Times New Roman"/>
                <w:color w:val="000000"/>
                <w:szCs w:val="21"/>
                <w:u w:val="single"/>
              </w:rPr>
            </w:pPr>
            <w:r>
              <w:rPr>
                <w:rFonts w:ascii="Times New Roman" w:hAnsi="Times New Roman"/>
                <w:color w:val="000000"/>
                <w:szCs w:val="21"/>
                <w:u w:val="single"/>
              </w:rPr>
              <w:t>满足水土保持措施要求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dxa"/>
            <w:vAlign w:val="center"/>
          </w:tcPr>
          <w:p>
            <w:pPr>
              <w:adjustRightInd w:val="0"/>
              <w:snapToGrid w:val="0"/>
              <w:ind w:left="-180" w:right="-108"/>
              <w:jc w:val="center"/>
              <w:rPr>
                <w:rFonts w:ascii="Times New Roman" w:hAnsi="Times New Roman"/>
                <w:color w:val="000000"/>
                <w:szCs w:val="21"/>
                <w:u w:val="single"/>
              </w:rPr>
            </w:pPr>
            <w:r>
              <w:rPr>
                <w:rFonts w:hint="eastAsia" w:ascii="Times New Roman" w:hAnsi="Times New Roman"/>
                <w:color w:val="000000"/>
                <w:szCs w:val="21"/>
                <w:u w:val="single"/>
              </w:rPr>
              <w:t>8</w:t>
            </w:r>
          </w:p>
        </w:tc>
        <w:tc>
          <w:tcPr>
            <w:tcW w:w="1399" w:type="dxa"/>
            <w:vAlign w:val="center"/>
          </w:tcPr>
          <w:p>
            <w:pPr>
              <w:adjustRightInd w:val="0"/>
              <w:snapToGrid w:val="0"/>
              <w:jc w:val="center"/>
              <w:rPr>
                <w:rFonts w:ascii="Times New Roman" w:hAnsi="Times New Roman"/>
                <w:color w:val="000000"/>
                <w:szCs w:val="21"/>
                <w:u w:val="single"/>
              </w:rPr>
            </w:pPr>
            <w:r>
              <w:rPr>
                <w:rFonts w:hint="eastAsia" w:ascii="Times New Roman" w:hAnsi="Times New Roman"/>
                <w:color w:val="000000"/>
                <w:szCs w:val="21"/>
                <w:u w:val="single"/>
              </w:rPr>
              <w:t>尾矿库排洪措施论证</w:t>
            </w:r>
          </w:p>
        </w:tc>
        <w:tc>
          <w:tcPr>
            <w:tcW w:w="1657" w:type="dxa"/>
            <w:vAlign w:val="center"/>
          </w:tcPr>
          <w:p>
            <w:pPr>
              <w:jc w:val="center"/>
              <w:rPr>
                <w:rFonts w:ascii="Times New Roman" w:hAnsi="Times New Roman"/>
                <w:color w:val="000000"/>
                <w:szCs w:val="21"/>
                <w:u w:val="single"/>
              </w:rPr>
            </w:pPr>
            <w:r>
              <w:rPr>
                <w:rFonts w:hint="eastAsia" w:ascii="Times New Roman" w:hAnsi="Times New Roman"/>
                <w:color w:val="000000"/>
                <w:szCs w:val="21"/>
                <w:u w:val="single"/>
              </w:rPr>
              <w:t>--</w:t>
            </w:r>
          </w:p>
        </w:tc>
        <w:tc>
          <w:tcPr>
            <w:tcW w:w="3143" w:type="dxa"/>
            <w:vAlign w:val="center"/>
          </w:tcPr>
          <w:p>
            <w:pPr>
              <w:jc w:val="center"/>
              <w:rPr>
                <w:rFonts w:ascii="Times New Roman" w:hAnsi="Times New Roman"/>
                <w:color w:val="000000"/>
                <w:szCs w:val="21"/>
                <w:u w:val="single"/>
              </w:rPr>
            </w:pPr>
            <w:r>
              <w:rPr>
                <w:rFonts w:hint="eastAsia" w:ascii="Times New Roman" w:hAnsi="Times New Roman"/>
                <w:szCs w:val="21"/>
                <w:u w:val="single"/>
              </w:rPr>
              <w:t>邀请相关水利部门就项目排洪等进行论证分析</w:t>
            </w:r>
          </w:p>
        </w:tc>
        <w:tc>
          <w:tcPr>
            <w:tcW w:w="2013" w:type="dxa"/>
            <w:vAlign w:val="center"/>
          </w:tcPr>
          <w:p>
            <w:pPr>
              <w:jc w:val="center"/>
              <w:rPr>
                <w:rFonts w:ascii="Times New Roman" w:hAnsi="Times New Roman"/>
                <w:color w:val="000000"/>
                <w:szCs w:val="21"/>
                <w:u w:val="single"/>
              </w:rPr>
            </w:pPr>
          </w:p>
        </w:tc>
      </w:tr>
    </w:tbl>
    <w:p>
      <w:bookmarkStart w:id="725" w:name="_Toc25090"/>
    </w:p>
    <w:p>
      <w:pPr>
        <w:pStyle w:val="61"/>
        <w:rPr>
          <w:rFonts w:hint="default"/>
        </w:rPr>
      </w:pPr>
    </w:p>
    <w:p>
      <w:pPr>
        <w:pStyle w:val="61"/>
        <w:rPr>
          <w:rFonts w:hint="default"/>
        </w:rPr>
      </w:pPr>
    </w:p>
    <w:p>
      <w:pPr>
        <w:pStyle w:val="61"/>
        <w:rPr>
          <w:rFonts w:hint="default"/>
        </w:rPr>
      </w:pPr>
    </w:p>
    <w:p>
      <w:pPr>
        <w:pStyle w:val="61"/>
        <w:rPr>
          <w:rFonts w:hint="default"/>
        </w:rPr>
      </w:pPr>
    </w:p>
    <w:p>
      <w:pPr>
        <w:pStyle w:val="61"/>
        <w:rPr>
          <w:rFonts w:hint="default"/>
        </w:rPr>
      </w:pPr>
    </w:p>
    <w:p>
      <w:pPr>
        <w:pStyle w:val="61"/>
        <w:rPr>
          <w:rFonts w:hint="default"/>
        </w:rPr>
      </w:pPr>
    </w:p>
    <w:p>
      <w:pPr>
        <w:pStyle w:val="61"/>
        <w:rPr>
          <w:rFonts w:hint="default"/>
        </w:rPr>
      </w:pPr>
    </w:p>
    <w:p>
      <w:pPr>
        <w:pStyle w:val="61"/>
        <w:rPr>
          <w:rFonts w:hint="default"/>
        </w:rPr>
      </w:pPr>
    </w:p>
    <w:p/>
    <w:p/>
    <w:p/>
    <w:p>
      <w:pPr>
        <w:pStyle w:val="3"/>
        <w:spacing w:beforeLines="150" w:beforeAutospacing="0" w:afterLines="150" w:afterAutospacing="0" w:line="360" w:lineRule="auto"/>
      </w:pPr>
      <w:bookmarkStart w:id="726" w:name="_Toc15456"/>
      <w:bookmarkStart w:id="727" w:name="_Toc17202"/>
      <w:r>
        <w:rPr>
          <w:rFonts w:hint="eastAsia"/>
        </w:rPr>
        <w:t>第十一章 结论与建议</w:t>
      </w:r>
      <w:bookmarkEnd w:id="725"/>
      <w:bookmarkEnd w:id="726"/>
      <w:bookmarkEnd w:id="727"/>
    </w:p>
    <w:p>
      <w:pPr>
        <w:pStyle w:val="4"/>
        <w:rPr>
          <w:rFonts w:ascii="Times New Roman" w:hAnsi="Times New Roman" w:eastAsia="宋体"/>
          <w:sz w:val="24"/>
          <w:szCs w:val="24"/>
        </w:rPr>
      </w:pPr>
      <w:bookmarkStart w:id="728" w:name="_Toc8561"/>
      <w:bookmarkStart w:id="729" w:name="_Toc7897"/>
      <w:bookmarkStart w:id="730" w:name="_Toc5818"/>
      <w:r>
        <w:rPr>
          <w:rFonts w:ascii="Times New Roman" w:hAnsi="Times New Roman" w:eastAsia="宋体"/>
          <w:sz w:val="24"/>
          <w:szCs w:val="24"/>
        </w:rPr>
        <w:t>11.1建设项目概况</w:t>
      </w:r>
      <w:bookmarkEnd w:id="728"/>
      <w:bookmarkEnd w:id="729"/>
      <w:bookmarkEnd w:id="730"/>
    </w:p>
    <w:p>
      <w:pPr>
        <w:spacing w:line="360" w:lineRule="auto"/>
        <w:ind w:firstLine="480" w:firstLineChars="200"/>
        <w:jc w:val="left"/>
        <w:rPr>
          <w:i/>
          <w:iCs/>
          <w:u w:val="single"/>
        </w:rPr>
      </w:pPr>
      <w:r>
        <w:rPr>
          <w:rFonts w:hint="eastAsia" w:ascii="Times New Roman" w:hAnsi="Times New Roman"/>
          <w:sz w:val="24"/>
          <w:szCs w:val="24"/>
        </w:rPr>
        <w:t>白山市江源区五道羊岔铁矿有限责任公司五道羊岔铁矿尾矿库扩建项目</w:t>
      </w:r>
      <w:r>
        <w:rPr>
          <w:rFonts w:ascii="Times New Roman" w:hAnsi="Times New Roman"/>
          <w:sz w:val="24"/>
          <w:szCs w:val="24"/>
        </w:rPr>
        <w:t>位于</w:t>
      </w:r>
      <w:r>
        <w:rPr>
          <w:rFonts w:hint="eastAsia" w:ascii="Times New Roman" w:hAnsi="Times New Roman"/>
          <w:sz w:val="24"/>
          <w:szCs w:val="24"/>
        </w:rPr>
        <w:t>扩建项目位于白山市江源区</w:t>
      </w:r>
      <w:r>
        <w:rPr>
          <w:rFonts w:hint="eastAsia" w:ascii="Times New Roman" w:hAnsi="Times New Roman"/>
          <w:snapToGrid w:val="0"/>
          <w:kern w:val="0"/>
          <w:sz w:val="24"/>
        </w:rPr>
        <w:t>七岔村</w:t>
      </w:r>
      <w:r>
        <w:rPr>
          <w:rFonts w:hint="eastAsia" w:ascii="Times New Roman" w:hAnsi="Times New Roman"/>
          <w:sz w:val="24"/>
          <w:szCs w:val="24"/>
        </w:rPr>
        <w:t>现有厂区内</w:t>
      </w:r>
      <w:r>
        <w:rPr>
          <w:rFonts w:ascii="Times New Roman" w:hAnsi="Times New Roman"/>
          <w:sz w:val="24"/>
          <w:szCs w:val="24"/>
        </w:rPr>
        <w:t>，</w:t>
      </w:r>
      <w:r>
        <w:rPr>
          <w:rFonts w:hint="eastAsia" w:ascii="Times New Roman" w:hAnsi="Times New Roman"/>
          <w:sz w:val="24"/>
          <w:szCs w:val="24"/>
        </w:rPr>
        <w:t>项目中心坐标为东经：126°26'21.6"，北纬：42°05'22.6"。本项目厂界东侧为林地；南侧10m为西南岔河自西向东流；西侧140m为林蛙养殖基地；北侧紧邻一条无名林间小路，127m为鹤大高速；西北侧566m隔鹤大高速为九道阳岔养鸡场。</w:t>
      </w:r>
      <w:r>
        <w:rPr>
          <w:rFonts w:ascii="Times New Roman" w:hAnsi="Times New Roman"/>
          <w:sz w:val="24"/>
        </w:rPr>
        <w:t>本次扩建项目总投资为750</w:t>
      </w:r>
      <w:r>
        <w:rPr>
          <w:rFonts w:ascii="Times New Roman" w:hAnsi="Times New Roman"/>
          <w:color w:val="000000"/>
          <w:sz w:val="24"/>
          <w:szCs w:val="24"/>
        </w:rPr>
        <w:t>万元</w:t>
      </w:r>
      <w:r>
        <w:rPr>
          <w:rFonts w:ascii="Times New Roman" w:hAnsi="Times New Roman"/>
          <w:sz w:val="24"/>
        </w:rPr>
        <w:t>，其中环保投资91万元，约占总投资的12.1%。</w:t>
      </w:r>
    </w:p>
    <w:p>
      <w:pPr>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本次</w:t>
      </w:r>
      <w:r>
        <w:rPr>
          <w:rFonts w:hint="eastAsia" w:ascii="Times New Roman" w:hAnsi="Times New Roman"/>
          <w:sz w:val="24"/>
          <w:szCs w:val="24"/>
        </w:rPr>
        <w:t>扩建项目建设内容包括压滤间建设工程及尾矿库，总占地面积76000m</w:t>
      </w:r>
      <w:r>
        <w:rPr>
          <w:rFonts w:hint="eastAsia" w:ascii="Times New Roman" w:hAnsi="Times New Roman"/>
          <w:sz w:val="24"/>
          <w:szCs w:val="24"/>
          <w:vertAlign w:val="superscript"/>
        </w:rPr>
        <w:t>2</w:t>
      </w:r>
      <w:r>
        <w:rPr>
          <w:rFonts w:hint="eastAsia" w:ascii="Times New Roman" w:hAnsi="Times New Roman"/>
          <w:sz w:val="24"/>
          <w:szCs w:val="24"/>
        </w:rPr>
        <w:t>，</w:t>
      </w:r>
      <w:r>
        <w:rPr>
          <w:rFonts w:hint="eastAsia" w:ascii="Times New Roman" w:hAnsi="Times New Roman"/>
          <w:color w:val="000000"/>
          <w:sz w:val="24"/>
          <w:szCs w:val="24"/>
        </w:rPr>
        <w:t>新增</w:t>
      </w:r>
      <w:bookmarkStart w:id="788" w:name="_GoBack"/>
      <w:bookmarkEnd w:id="788"/>
      <w:r>
        <w:rPr>
          <w:rFonts w:hint="eastAsia" w:ascii="Times New Roman" w:hAnsi="Times New Roman"/>
          <w:color w:val="000000"/>
          <w:sz w:val="24"/>
          <w:szCs w:val="24"/>
        </w:rPr>
        <w:t>占地类型为林地（企业正在办理相关手，见附件）。其中现有尾矿库扩建后总库容为11.40×10</w:t>
      </w:r>
      <w:r>
        <w:rPr>
          <w:rFonts w:hint="eastAsia" w:ascii="Times New Roman" w:hAnsi="Times New Roman"/>
          <w:color w:val="000000"/>
          <w:sz w:val="24"/>
          <w:szCs w:val="24"/>
          <w:vertAlign w:val="superscript"/>
        </w:rPr>
        <w:t>4</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3</w:t>
      </w:r>
      <w:r>
        <w:rPr>
          <w:rFonts w:hint="eastAsia" w:ascii="Times New Roman" w:hAnsi="Times New Roman"/>
          <w:color w:val="000000"/>
          <w:sz w:val="24"/>
          <w:szCs w:val="24"/>
        </w:rPr>
        <w:t>，尾矿坝总坝高10m。服务年限为5.525年；压滤车间</w:t>
      </w:r>
      <w:r>
        <w:rPr>
          <w:rFonts w:hint="eastAsia" w:ascii="Times New Roman" w:hAnsi="Times New Roman"/>
          <w:sz w:val="24"/>
          <w:szCs w:val="24"/>
        </w:rPr>
        <w:t>满负荷</w:t>
      </w:r>
      <w:r>
        <w:rPr>
          <w:rFonts w:ascii="Times New Roman" w:hAnsi="Times New Roman"/>
          <w:sz w:val="24"/>
          <w:szCs w:val="24"/>
        </w:rPr>
        <w:t>年</w:t>
      </w:r>
      <w:r>
        <w:rPr>
          <w:rFonts w:hint="eastAsia" w:ascii="Times New Roman" w:hAnsi="Times New Roman"/>
          <w:sz w:val="24"/>
          <w:szCs w:val="24"/>
        </w:rPr>
        <w:t>处理</w:t>
      </w:r>
      <w:r>
        <w:rPr>
          <w:rFonts w:ascii="Times New Roman" w:hAnsi="Times New Roman"/>
          <w:sz w:val="24"/>
          <w:szCs w:val="24"/>
        </w:rPr>
        <w:t>1</w:t>
      </w:r>
      <w:r>
        <w:rPr>
          <w:rFonts w:hint="eastAsia" w:ascii="Times New Roman" w:hAnsi="Times New Roman"/>
          <w:sz w:val="24"/>
          <w:szCs w:val="24"/>
        </w:rPr>
        <w:t>5</w:t>
      </w:r>
      <w:r>
        <w:rPr>
          <w:rFonts w:ascii="Times New Roman" w:hAnsi="Times New Roman"/>
          <w:sz w:val="24"/>
          <w:szCs w:val="24"/>
        </w:rPr>
        <w:t>×10</w:t>
      </w:r>
      <w:r>
        <w:rPr>
          <w:rFonts w:ascii="Times New Roman" w:hAnsi="Times New Roman"/>
          <w:sz w:val="24"/>
          <w:szCs w:val="24"/>
          <w:vertAlign w:val="superscript"/>
        </w:rPr>
        <w:t>4</w:t>
      </w:r>
      <w:r>
        <w:rPr>
          <w:rFonts w:ascii="Times New Roman" w:hAnsi="Times New Roman"/>
          <w:sz w:val="24"/>
          <w:szCs w:val="24"/>
        </w:rPr>
        <w:t>t其中2×10</w:t>
      </w:r>
      <w:r>
        <w:rPr>
          <w:rFonts w:hint="eastAsia" w:ascii="Times New Roman" w:hAnsi="Times New Roman"/>
          <w:sz w:val="24"/>
          <w:szCs w:val="24"/>
          <w:vertAlign w:val="superscript"/>
        </w:rPr>
        <w:t>4</w:t>
      </w:r>
      <w:r>
        <w:rPr>
          <w:rFonts w:ascii="Times New Roman" w:hAnsi="Times New Roman"/>
          <w:sz w:val="24"/>
          <w:szCs w:val="24"/>
        </w:rPr>
        <w:t>t存入尾矿库</w:t>
      </w:r>
      <w:r>
        <w:rPr>
          <w:rFonts w:hint="eastAsia" w:ascii="Times New Roman" w:hAnsi="Times New Roman"/>
          <w:sz w:val="24"/>
          <w:szCs w:val="24"/>
        </w:rPr>
        <w:t>，其余13</w:t>
      </w:r>
      <w:r>
        <w:rPr>
          <w:rFonts w:ascii="Times New Roman" w:hAnsi="Times New Roman"/>
          <w:sz w:val="24"/>
          <w:szCs w:val="24"/>
        </w:rPr>
        <w:t>×10</w:t>
      </w:r>
      <w:r>
        <w:rPr>
          <w:rFonts w:ascii="Times New Roman" w:hAnsi="Times New Roman"/>
          <w:sz w:val="24"/>
          <w:szCs w:val="24"/>
          <w:vertAlign w:val="superscript"/>
        </w:rPr>
        <w:t>4</w:t>
      </w:r>
      <w:r>
        <w:rPr>
          <w:rFonts w:ascii="Times New Roman" w:hAnsi="Times New Roman"/>
          <w:sz w:val="24"/>
          <w:szCs w:val="24"/>
        </w:rPr>
        <w:t>t</w:t>
      </w:r>
      <w:r>
        <w:rPr>
          <w:rFonts w:hint="eastAsia" w:ascii="Times New Roman" w:hAnsi="Times New Roman"/>
          <w:sz w:val="24"/>
          <w:szCs w:val="24"/>
        </w:rPr>
        <w:t>外卖吉林市智德利商贸有限公司</w:t>
      </w:r>
      <w:r>
        <w:rPr>
          <w:rFonts w:hint="eastAsia" w:ascii="Times New Roman" w:hAnsi="Times New Roman"/>
          <w:color w:val="000000"/>
          <w:sz w:val="24"/>
          <w:szCs w:val="24"/>
        </w:rPr>
        <w:t>。</w:t>
      </w:r>
    </w:p>
    <w:p>
      <w:pPr>
        <w:pStyle w:val="4"/>
        <w:rPr>
          <w:rFonts w:ascii="Times New Roman" w:hAnsi="Times New Roman" w:eastAsia="宋体"/>
          <w:sz w:val="24"/>
          <w:szCs w:val="24"/>
        </w:rPr>
      </w:pPr>
      <w:bookmarkStart w:id="731" w:name="_Toc484616340"/>
      <w:bookmarkStart w:id="732" w:name="_Toc24850"/>
      <w:bookmarkStart w:id="733" w:name="_Toc486350044"/>
      <w:bookmarkStart w:id="734" w:name="_Toc101109127"/>
      <w:bookmarkStart w:id="735" w:name="_Toc101131424"/>
      <w:bookmarkStart w:id="736" w:name="_Toc25979"/>
      <w:bookmarkStart w:id="737" w:name="_Toc9277"/>
      <w:bookmarkStart w:id="738" w:name="_Toc11007"/>
      <w:r>
        <w:rPr>
          <w:rFonts w:ascii="Times New Roman" w:hAnsi="Times New Roman" w:eastAsia="宋体"/>
          <w:sz w:val="24"/>
          <w:szCs w:val="24"/>
        </w:rPr>
        <w:t>11.2环境现状评价结论</w:t>
      </w:r>
      <w:bookmarkEnd w:id="731"/>
      <w:bookmarkEnd w:id="732"/>
      <w:bookmarkEnd w:id="733"/>
      <w:bookmarkEnd w:id="734"/>
      <w:bookmarkEnd w:id="735"/>
      <w:bookmarkEnd w:id="736"/>
      <w:bookmarkEnd w:id="737"/>
      <w:bookmarkEnd w:id="738"/>
    </w:p>
    <w:p>
      <w:pPr>
        <w:adjustRightInd w:val="0"/>
        <w:snapToGrid w:val="0"/>
        <w:spacing w:line="360" w:lineRule="auto"/>
        <w:ind w:firstLine="480" w:firstLineChars="200"/>
        <w:rPr>
          <w:rFonts w:ascii="Times New Roman" w:hAnsi="Times New Roman"/>
          <w:sz w:val="24"/>
        </w:rPr>
      </w:pPr>
      <w:r>
        <w:rPr>
          <w:rFonts w:ascii="Times New Roman" w:hAnsi="Times New Roman"/>
          <w:sz w:val="24"/>
        </w:rPr>
        <w:t>（1）大气环境质量现状</w:t>
      </w:r>
    </w:p>
    <w:p>
      <w:pPr>
        <w:adjustRightInd w:val="0"/>
        <w:snapToGrid w:val="0"/>
        <w:spacing w:line="360" w:lineRule="auto"/>
        <w:ind w:firstLine="480" w:firstLineChars="200"/>
        <w:rPr>
          <w:rFonts w:ascii="Times New Roman" w:hAnsi="Times New Roman"/>
          <w:sz w:val="24"/>
          <w:szCs w:val="24"/>
        </w:rPr>
      </w:pPr>
      <w:r>
        <w:rPr>
          <w:rFonts w:ascii="Times New Roman" w:hAnsi="Times New Roman"/>
          <w:bCs/>
          <w:sz w:val="24"/>
          <w:szCs w:val="24"/>
        </w:rPr>
        <w:t>本项目位于环境质量非达标区，评价区内无一类区。CO、PM</w:t>
      </w:r>
      <w:r>
        <w:rPr>
          <w:rFonts w:ascii="Times New Roman" w:hAnsi="Times New Roman"/>
          <w:bCs/>
          <w:sz w:val="24"/>
          <w:szCs w:val="24"/>
          <w:vertAlign w:val="subscript"/>
        </w:rPr>
        <w:t>2.5</w:t>
      </w:r>
      <w:r>
        <w:rPr>
          <w:rFonts w:ascii="Times New Roman" w:hAnsi="Times New Roman"/>
          <w:bCs/>
          <w:sz w:val="24"/>
          <w:szCs w:val="24"/>
        </w:rPr>
        <w:t>、O</w:t>
      </w:r>
      <w:r>
        <w:rPr>
          <w:rFonts w:ascii="Times New Roman" w:hAnsi="Times New Roman"/>
          <w:bCs/>
          <w:sz w:val="24"/>
          <w:szCs w:val="24"/>
          <w:vertAlign w:val="subscript"/>
        </w:rPr>
        <w:t>3</w:t>
      </w:r>
      <w:r>
        <w:rPr>
          <w:rFonts w:ascii="Times New Roman" w:hAnsi="Times New Roman"/>
          <w:bCs/>
          <w:sz w:val="24"/>
          <w:szCs w:val="24"/>
        </w:rPr>
        <w:t>、PM</w:t>
      </w:r>
      <w:r>
        <w:rPr>
          <w:rFonts w:ascii="Times New Roman" w:hAnsi="Times New Roman"/>
          <w:bCs/>
          <w:sz w:val="24"/>
          <w:szCs w:val="24"/>
          <w:vertAlign w:val="subscript"/>
        </w:rPr>
        <w:t>10</w:t>
      </w:r>
      <w:r>
        <w:rPr>
          <w:rFonts w:ascii="Times New Roman" w:hAnsi="Times New Roman"/>
          <w:bCs/>
          <w:sz w:val="24"/>
          <w:szCs w:val="24"/>
        </w:rPr>
        <w:t>、SO</w:t>
      </w:r>
      <w:r>
        <w:rPr>
          <w:rFonts w:ascii="Times New Roman" w:hAnsi="Times New Roman"/>
          <w:bCs/>
          <w:sz w:val="24"/>
          <w:szCs w:val="24"/>
          <w:vertAlign w:val="subscript"/>
        </w:rPr>
        <w:t>2</w:t>
      </w:r>
      <w:r>
        <w:rPr>
          <w:rFonts w:ascii="Times New Roman" w:hAnsi="Times New Roman"/>
          <w:bCs/>
          <w:sz w:val="24"/>
          <w:szCs w:val="24"/>
        </w:rPr>
        <w:t>、NO</w:t>
      </w:r>
      <w:r>
        <w:rPr>
          <w:rFonts w:ascii="Times New Roman" w:hAnsi="Times New Roman"/>
          <w:bCs/>
          <w:sz w:val="24"/>
          <w:szCs w:val="24"/>
          <w:vertAlign w:val="subscript"/>
        </w:rPr>
        <w:t>2</w:t>
      </w:r>
      <w:r>
        <w:rPr>
          <w:rFonts w:ascii="Times New Roman" w:hAnsi="Times New Roman"/>
          <w:bCs/>
          <w:sz w:val="24"/>
          <w:szCs w:val="24"/>
        </w:rPr>
        <w:t>除PM</w:t>
      </w:r>
      <w:r>
        <w:rPr>
          <w:rFonts w:ascii="Times New Roman" w:hAnsi="Times New Roman"/>
          <w:bCs/>
          <w:sz w:val="24"/>
          <w:szCs w:val="24"/>
          <w:vertAlign w:val="subscript"/>
        </w:rPr>
        <w:t>10</w:t>
      </w:r>
      <w:r>
        <w:rPr>
          <w:rFonts w:hint="eastAsia" w:ascii="Times New Roman" w:hAnsi="Times New Roman"/>
          <w:bCs/>
          <w:sz w:val="24"/>
          <w:szCs w:val="24"/>
        </w:rPr>
        <w:t>、</w:t>
      </w:r>
      <w:r>
        <w:rPr>
          <w:rFonts w:ascii="Times New Roman" w:hAnsi="Times New Roman"/>
          <w:bCs/>
          <w:sz w:val="24"/>
          <w:szCs w:val="24"/>
        </w:rPr>
        <w:t>PM</w:t>
      </w:r>
      <w:r>
        <w:rPr>
          <w:rFonts w:ascii="Times New Roman" w:hAnsi="Times New Roman"/>
          <w:bCs/>
          <w:sz w:val="24"/>
          <w:szCs w:val="24"/>
          <w:vertAlign w:val="subscript"/>
        </w:rPr>
        <w:t>2.5</w:t>
      </w:r>
      <w:r>
        <w:rPr>
          <w:rFonts w:ascii="Times New Roman" w:hAnsi="Times New Roman"/>
          <w:bCs/>
          <w:sz w:val="24"/>
          <w:szCs w:val="24"/>
        </w:rPr>
        <w:t>其他因子均满足《环境空气质量标准》(GB3095-2012)中二级标准的要求，说明项目所在区域内环境空气质量一般</w:t>
      </w:r>
      <w:r>
        <w:rPr>
          <w:rFonts w:ascii="Times New Roman" w:hAnsi="Times New Roman"/>
          <w:kern w:val="0"/>
          <w:sz w:val="24"/>
          <w:szCs w:val="24"/>
        </w:rPr>
        <w:t>。</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（2）地表水环境质量现</w:t>
      </w:r>
      <w:r>
        <w:rPr>
          <w:rFonts w:hint="eastAsia" w:ascii="Times New Roman" w:hAnsi="Times New Roman"/>
          <w:sz w:val="24"/>
        </w:rPr>
        <w:t xml:space="preserve"> </w:t>
      </w:r>
      <w:r>
        <w:rPr>
          <w:rFonts w:ascii="Times New Roman" w:hAnsi="Times New Roman"/>
          <w:sz w:val="24"/>
        </w:rPr>
        <w:t>状</w:t>
      </w:r>
    </w:p>
    <w:p>
      <w:pPr>
        <w:pStyle w:val="2"/>
        <w:spacing w:line="360" w:lineRule="auto"/>
        <w:ind w:firstLine="480" w:firstLineChars="200"/>
        <w:rPr>
          <w:rFonts w:ascii="Times New Roman" w:hAnsi="Times New Roman"/>
          <w:color w:val="000000"/>
          <w:sz w:val="24"/>
        </w:rPr>
      </w:pPr>
      <w:r>
        <w:rPr>
          <w:rFonts w:hint="eastAsia" w:ascii="Times New Roman" w:hAnsi="Times New Roman"/>
          <w:color w:val="000000"/>
          <w:sz w:val="24"/>
        </w:rPr>
        <w:t>通过地表水监测评价结果可以看出，所有监测断面的各污染物因子均能满足GB3838-2002《地表水环境质量标准》中</w:t>
      </w:r>
      <w:r>
        <w:rPr>
          <w:rFonts w:ascii="Times New Roman" w:hAnsi="Times New Roman"/>
          <w:color w:val="000000"/>
          <w:sz w:val="24"/>
        </w:rPr>
        <w:t>III</w:t>
      </w:r>
      <w:r>
        <w:rPr>
          <w:rFonts w:hint="eastAsia" w:ascii="Times New Roman" w:hAnsi="Times New Roman"/>
          <w:color w:val="000000"/>
          <w:sz w:val="24"/>
        </w:rPr>
        <w:t>类标准，说明该区域地表水质量较好。</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（3）地下水环境现状</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通过</w:t>
      </w:r>
      <w:r>
        <w:rPr>
          <w:rFonts w:ascii="Times New Roman" w:hAnsi="Times New Roman"/>
          <w:sz w:val="24"/>
        </w:rPr>
        <w:t>地下水环境质量监测结果可以看出，</w:t>
      </w:r>
      <w:r>
        <w:rPr>
          <w:rFonts w:hint="eastAsia" w:ascii="Times New Roman" w:hAnsi="Times New Roman"/>
          <w:sz w:val="24"/>
        </w:rPr>
        <w:t>所有</w:t>
      </w:r>
      <w:r>
        <w:rPr>
          <w:rFonts w:ascii="Times New Roman" w:hAnsi="Times New Roman"/>
          <w:sz w:val="24"/>
        </w:rPr>
        <w:t>监测</w:t>
      </w:r>
      <w:r>
        <w:rPr>
          <w:rFonts w:hint="eastAsia" w:ascii="Times New Roman" w:hAnsi="Times New Roman"/>
          <w:sz w:val="24"/>
        </w:rPr>
        <w:t>点的各项监测因子</w:t>
      </w:r>
      <w:r>
        <w:rPr>
          <w:rFonts w:ascii="Times New Roman" w:hAnsi="Times New Roman"/>
          <w:sz w:val="24"/>
        </w:rPr>
        <w:t>均能够满足《地下水质量标准》（GB/T14848-2017）中Ⅲ类标准要求，说明区域地下水环境较好</w:t>
      </w:r>
      <w:r>
        <w:rPr>
          <w:rFonts w:ascii="Times New Roman" w:hAnsi="Times New Roman"/>
          <w:kern w:val="0"/>
          <w:sz w:val="24"/>
        </w:rPr>
        <w:t>。</w:t>
      </w:r>
    </w:p>
    <w:p>
      <w:pPr>
        <w:adjustRightInd w:val="0"/>
        <w:snapToGrid w:val="0"/>
        <w:spacing w:line="360" w:lineRule="auto"/>
        <w:ind w:firstLine="480" w:firstLineChars="200"/>
        <w:rPr>
          <w:rFonts w:ascii="Times New Roman" w:hAnsi="Times New Roman"/>
          <w:snapToGrid w:val="0"/>
          <w:sz w:val="24"/>
        </w:rPr>
      </w:pPr>
      <w:r>
        <w:rPr>
          <w:rFonts w:ascii="Times New Roman" w:hAnsi="Times New Roman"/>
          <w:snapToGrid w:val="0"/>
          <w:sz w:val="24"/>
        </w:rPr>
        <w:t>（4）声环境现状</w:t>
      </w:r>
    </w:p>
    <w:p>
      <w:pPr>
        <w:spacing w:line="360" w:lineRule="auto"/>
        <w:ind w:firstLine="480" w:firstLineChars="200"/>
        <w:rPr>
          <w:rFonts w:ascii="Times New Roman" w:hAnsi="Times New Roman"/>
          <w:sz w:val="24"/>
        </w:rPr>
      </w:pPr>
      <w:r>
        <w:rPr>
          <w:rFonts w:hint="eastAsia" w:ascii="Times New Roman" w:hAnsi="Times New Roman"/>
          <w:sz w:val="24"/>
        </w:rPr>
        <w:t>通过声环境质量监测结果可以看出，本项目厂界</w:t>
      </w:r>
      <w:r>
        <w:rPr>
          <w:rFonts w:ascii="Times New Roman" w:hAnsi="Times New Roman"/>
          <w:sz w:val="24"/>
        </w:rPr>
        <w:t>四周能够满足GB3096-2008《声环境质量标准》中3类区标准，评价区域声环境质量良好。</w:t>
      </w:r>
    </w:p>
    <w:p>
      <w:pPr>
        <w:spacing w:line="360" w:lineRule="auto"/>
        <w:ind w:firstLine="480" w:firstLineChars="200"/>
        <w:rPr>
          <w:color w:val="000000"/>
          <w:sz w:val="24"/>
          <w:szCs w:val="24"/>
        </w:rPr>
      </w:pPr>
      <w:r>
        <w:rPr>
          <w:rFonts w:hint="eastAsia"/>
          <w:color w:val="000000"/>
          <w:sz w:val="24"/>
          <w:szCs w:val="24"/>
        </w:rPr>
        <w:t>（5）土壤现状</w:t>
      </w:r>
    </w:p>
    <w:p>
      <w:pPr>
        <w:spacing w:line="360" w:lineRule="auto"/>
        <w:ind w:firstLine="480" w:firstLineChars="200"/>
        <w:rPr>
          <w:color w:val="000000"/>
          <w:sz w:val="24"/>
          <w:szCs w:val="24"/>
        </w:rPr>
      </w:pPr>
      <w:r>
        <w:rPr>
          <w:rFonts w:hint="eastAsia"/>
          <w:color w:val="000000"/>
          <w:sz w:val="24"/>
          <w:szCs w:val="24"/>
        </w:rPr>
        <w:t>通过土壤质量评价结果可以得出，建设用地土壤中污染物含量低于风险筛选值，建设用地土壤污染风险一般情况下可以忽略。</w:t>
      </w:r>
    </w:p>
    <w:p>
      <w:pPr>
        <w:spacing w:line="360" w:lineRule="auto"/>
        <w:ind w:firstLine="480" w:firstLineChars="200"/>
        <w:rPr>
          <w:rFonts w:ascii="Times New Roman" w:hAnsi="Times New Roman"/>
          <w:snapToGrid w:val="0"/>
          <w:sz w:val="24"/>
        </w:rPr>
      </w:pPr>
      <w:r>
        <w:rPr>
          <w:rFonts w:hint="eastAsia" w:ascii="Times New Roman" w:hAnsi="Times New Roman"/>
          <w:sz w:val="24"/>
        </w:rPr>
        <w:t>（6）</w:t>
      </w:r>
      <w:r>
        <w:rPr>
          <w:rFonts w:ascii="Times New Roman" w:hAnsi="Times New Roman"/>
          <w:sz w:val="24"/>
        </w:rPr>
        <w:t>生态环境现状</w:t>
      </w:r>
    </w:p>
    <w:p>
      <w:pPr>
        <w:autoSpaceDE w:val="0"/>
        <w:autoSpaceDN w:val="0"/>
        <w:adjustRightInd w:val="0"/>
        <w:spacing w:line="360" w:lineRule="auto"/>
        <w:ind w:firstLine="480"/>
        <w:jc w:val="left"/>
        <w:rPr>
          <w:rFonts w:ascii="Times New Roman" w:hAnsi="Times New Roman"/>
          <w:color w:val="000000"/>
          <w:sz w:val="24"/>
        </w:rPr>
      </w:pPr>
      <w:r>
        <w:rPr>
          <w:rFonts w:ascii="Times New Roman" w:hAnsi="Times New Roman"/>
          <w:sz w:val="24"/>
        </w:rPr>
        <w:t>由生态环境现状调查与评价可知，</w:t>
      </w:r>
      <w:r>
        <w:rPr>
          <w:rFonts w:ascii="Times New Roman" w:hAnsi="Times New Roman"/>
          <w:color w:val="000000"/>
          <w:sz w:val="24"/>
        </w:rPr>
        <w:t>区域内林地主要为落叶阔叶林和灌木林，植被覆盖率较高，因此，评价区总体生态环境质量</w:t>
      </w:r>
      <w:r>
        <w:rPr>
          <w:rFonts w:hint="eastAsia" w:ascii="Times New Roman" w:hAnsi="Times New Roman"/>
          <w:color w:val="000000"/>
          <w:sz w:val="24"/>
        </w:rPr>
        <w:t>属于良好</w:t>
      </w:r>
      <w:r>
        <w:rPr>
          <w:rFonts w:ascii="Times New Roman" w:hAnsi="Times New Roman"/>
          <w:color w:val="000000"/>
          <w:sz w:val="24"/>
        </w:rPr>
        <w:t>。</w:t>
      </w:r>
    </w:p>
    <w:p>
      <w:pPr>
        <w:pStyle w:val="4"/>
        <w:rPr>
          <w:rFonts w:ascii="Times New Roman" w:hAnsi="Times New Roman" w:eastAsia="宋体"/>
          <w:sz w:val="24"/>
          <w:szCs w:val="24"/>
        </w:rPr>
      </w:pPr>
      <w:bookmarkStart w:id="739" w:name="_Toc486350045"/>
      <w:bookmarkStart w:id="740" w:name="_Toc31561"/>
      <w:bookmarkStart w:id="741" w:name="_Toc484616341"/>
      <w:bookmarkStart w:id="742" w:name="_Toc6443"/>
      <w:bookmarkStart w:id="743" w:name="_Toc2301"/>
      <w:bookmarkStart w:id="744" w:name="_Toc32322"/>
      <w:r>
        <w:rPr>
          <w:rFonts w:ascii="Times New Roman" w:hAnsi="Times New Roman" w:eastAsia="宋体"/>
          <w:sz w:val="24"/>
          <w:szCs w:val="24"/>
        </w:rPr>
        <w:t>11.3污染影响与防治措施</w:t>
      </w:r>
      <w:bookmarkEnd w:id="739"/>
      <w:bookmarkEnd w:id="740"/>
      <w:bookmarkEnd w:id="741"/>
      <w:bookmarkEnd w:id="742"/>
      <w:bookmarkEnd w:id="743"/>
      <w:bookmarkEnd w:id="744"/>
    </w:p>
    <w:p>
      <w:pPr>
        <w:widowControl/>
        <w:adjustRightInd w:val="0"/>
        <w:snapToGrid w:val="0"/>
        <w:spacing w:line="360" w:lineRule="auto"/>
        <w:outlineLvl w:val="2"/>
        <w:rPr>
          <w:rFonts w:ascii="Times New Roman" w:hAnsi="Times New Roman"/>
          <w:b/>
          <w:sz w:val="24"/>
          <w:szCs w:val="24"/>
        </w:rPr>
      </w:pPr>
      <w:bookmarkStart w:id="745" w:name="_Toc10803"/>
      <w:bookmarkStart w:id="746" w:name="_Toc552"/>
      <w:bookmarkStart w:id="747" w:name="_Toc9763"/>
      <w:r>
        <w:rPr>
          <w:rFonts w:ascii="Times New Roman" w:hAnsi="Times New Roman"/>
          <w:b/>
          <w:sz w:val="24"/>
          <w:szCs w:val="24"/>
        </w:rPr>
        <w:t>11.3.1施工期</w:t>
      </w:r>
      <w:bookmarkEnd w:id="745"/>
      <w:bookmarkEnd w:id="746"/>
      <w:bookmarkEnd w:id="747"/>
    </w:p>
    <w:p>
      <w:pPr>
        <w:pStyle w:val="10"/>
        <w:rPr>
          <w:rFonts w:ascii="Times New Roman" w:hAnsi="Times New Roman"/>
          <w:bCs/>
        </w:rPr>
      </w:pPr>
      <w:r>
        <w:rPr>
          <w:rFonts w:ascii="Times New Roman" w:hAnsi="Times New Roman"/>
          <w:bCs/>
        </w:rPr>
        <w:t>1、废水</w:t>
      </w:r>
    </w:p>
    <w:p>
      <w:pPr>
        <w:pStyle w:val="10"/>
        <w:rPr>
          <w:rFonts w:ascii="Times New Roman" w:hAnsi="Times New Roman"/>
        </w:rPr>
      </w:pPr>
      <w:r>
        <w:rPr>
          <w:rFonts w:ascii="Times New Roman" w:hAnsi="Times New Roman"/>
        </w:rPr>
        <w:t>建设期的废水排放主要来自建筑施工人员的生活污水和施工废水。施工废水全部排入沉淀池处理，处理后废水可回用至施工砂石料冲洗或机械设备清洗，也可用于</w:t>
      </w:r>
      <w:r>
        <w:rPr>
          <w:rFonts w:ascii="Times New Roman" w:hAnsi="Times New Roman"/>
          <w:szCs w:val="21"/>
        </w:rPr>
        <w:t>厂区绿化及降尘用水，</w:t>
      </w:r>
      <w:r>
        <w:rPr>
          <w:rFonts w:ascii="Times New Roman" w:hAnsi="Times New Roman"/>
        </w:rPr>
        <w:t>施工废水不外排。生活污水排入厂区现有防渗旱厕，由当地农户定期清掏作农肥。</w:t>
      </w:r>
    </w:p>
    <w:p>
      <w:pPr>
        <w:pStyle w:val="10"/>
        <w:rPr>
          <w:rFonts w:ascii="Times New Roman" w:hAnsi="Times New Roman"/>
          <w:bCs/>
        </w:rPr>
      </w:pPr>
      <w:r>
        <w:rPr>
          <w:rFonts w:ascii="Times New Roman" w:hAnsi="Times New Roman"/>
          <w:bCs/>
        </w:rPr>
        <w:t>2、废气</w:t>
      </w:r>
    </w:p>
    <w:p>
      <w:pPr>
        <w:pStyle w:val="10"/>
        <w:rPr>
          <w:rFonts w:ascii="Times New Roman" w:hAnsi="Times New Roman"/>
        </w:rPr>
      </w:pPr>
      <w:r>
        <w:rPr>
          <w:rFonts w:ascii="Times New Roman" w:hAnsi="Times New Roman"/>
        </w:rPr>
        <w:t>建设期间大气的主要污染因子为粉尘，为尽可能减少粉尘对建设项目周边地区的影响，应实施标准化施工。首先，要加强施工管理，地面硬化处理；其次是施工过程中适当地采用喷水降尘，对运输交通道路及时清扫、洒水。此外，在运输过程需采用封闭车辆。</w:t>
      </w:r>
    </w:p>
    <w:p>
      <w:pPr>
        <w:pStyle w:val="10"/>
        <w:rPr>
          <w:rFonts w:ascii="Times New Roman" w:hAnsi="Times New Roman"/>
          <w:szCs w:val="21"/>
        </w:rPr>
      </w:pPr>
      <w:r>
        <w:rPr>
          <w:rFonts w:ascii="Times New Roman" w:hAnsi="Times New Roman"/>
          <w:szCs w:val="21"/>
        </w:rPr>
        <w:t>针对施工机械及运输车辆尾气排放，企业在施工期加强施工机械及车辆的管理，进行定期保养和维护，选用符合国家规定的尾气达标的施工机械，确保施工机械尾气排放不对周围环境空气产生明显不利影响。</w:t>
      </w:r>
    </w:p>
    <w:p>
      <w:pPr>
        <w:pStyle w:val="10"/>
        <w:rPr>
          <w:rFonts w:ascii="Times New Roman" w:hAnsi="Times New Roman"/>
          <w:szCs w:val="21"/>
        </w:rPr>
      </w:pPr>
      <w:r>
        <w:rPr>
          <w:rFonts w:ascii="Times New Roman" w:hAnsi="Times New Roman"/>
          <w:szCs w:val="21"/>
        </w:rPr>
        <w:t>根据《吉林省落实大气污染防治行动计划实施细则》，本项目施工期扬尘防治应采取以下措施：工程施工现场应全封闭设置围挡，严禁敞开式作业，施工现场道路应进行地面硬化，各种堆料应封闭储存或建设防风抑尘设施。渣土运输车辆要全部采取密闭措施，严查渣土车沿途洒落，在建筑工地集中区域设置运输指定通道，规定时间、路线进行运输作业。</w:t>
      </w:r>
    </w:p>
    <w:p>
      <w:pPr>
        <w:pStyle w:val="10"/>
        <w:snapToGrid/>
        <w:rPr>
          <w:rFonts w:ascii="Times New Roman" w:hAnsi="Times New Roman"/>
          <w:bCs/>
        </w:rPr>
      </w:pPr>
      <w:r>
        <w:rPr>
          <w:rFonts w:ascii="Times New Roman" w:hAnsi="Times New Roman"/>
          <w:bCs/>
        </w:rPr>
        <w:t>3、噪声</w:t>
      </w:r>
    </w:p>
    <w:p>
      <w:pPr>
        <w:spacing w:line="360" w:lineRule="auto"/>
        <w:ind w:firstLine="480" w:firstLineChars="200"/>
        <w:rPr>
          <w:rFonts w:ascii="Times New Roman" w:hAnsi="Times New Roman"/>
          <w:sz w:val="24"/>
        </w:rPr>
      </w:pPr>
      <w:r>
        <w:rPr>
          <w:rFonts w:ascii="Times New Roman" w:hAnsi="Times New Roman"/>
          <w:sz w:val="24"/>
          <w:szCs w:val="24"/>
        </w:rPr>
        <w:t>施工机械包括运输车辆、装载机等设备，这些机械运行时将会不同程度的产生噪声，</w:t>
      </w:r>
      <w:r>
        <w:rPr>
          <w:rFonts w:ascii="Times New Roman" w:hAnsi="Times New Roman"/>
          <w:color w:val="000000"/>
          <w:sz w:val="24"/>
          <w:szCs w:val="24"/>
        </w:rPr>
        <w:t>另外现有选矿厂内各种设备拆除过程中会产生噪声。</w:t>
      </w:r>
      <w:r>
        <w:rPr>
          <w:rFonts w:ascii="Times New Roman" w:hAnsi="Times New Roman"/>
          <w:sz w:val="24"/>
          <w:szCs w:val="21"/>
        </w:rPr>
        <w:t>通过</w:t>
      </w:r>
      <w:r>
        <w:rPr>
          <w:rFonts w:ascii="Times New Roman" w:hAnsi="Times New Roman"/>
          <w:sz w:val="24"/>
        </w:rPr>
        <w:t>采用低噪声机械设备和运输车辆，加强对运输车辆的维修与养护，使其处于良好的运行状态，合理安排施工机械的使用，减少高噪声设备的使用时间，减小施工期噪声影响。</w:t>
      </w:r>
    </w:p>
    <w:p>
      <w:pPr>
        <w:spacing w:line="360" w:lineRule="auto"/>
        <w:ind w:firstLine="480" w:firstLineChars="200"/>
        <w:rPr>
          <w:rFonts w:ascii="Times New Roman" w:hAnsi="Times New Roman"/>
          <w:bCs/>
          <w:sz w:val="24"/>
        </w:rPr>
      </w:pPr>
      <w:r>
        <w:rPr>
          <w:rFonts w:ascii="Times New Roman" w:hAnsi="Times New Roman"/>
          <w:bCs/>
          <w:sz w:val="24"/>
        </w:rPr>
        <w:t>4、固体废物</w:t>
      </w:r>
    </w:p>
    <w:p>
      <w:pPr>
        <w:spacing w:line="360" w:lineRule="auto"/>
        <w:ind w:firstLine="480" w:firstLineChars="200"/>
        <w:rPr>
          <w:rFonts w:ascii="Times New Roman" w:hAnsi="Times New Roman"/>
          <w:sz w:val="24"/>
          <w:szCs w:val="24"/>
        </w:rPr>
      </w:pPr>
      <w:r>
        <w:rPr>
          <w:rFonts w:ascii="Times New Roman" w:hAnsi="Times New Roman"/>
          <w:sz w:val="24"/>
          <w:szCs w:val="24"/>
        </w:rPr>
        <w:t>本项目施工期产生的固体废物主要是施工建筑垃圾及施工人员生活垃圾。</w:t>
      </w:r>
    </w:p>
    <w:p>
      <w:pPr>
        <w:spacing w:line="360" w:lineRule="auto"/>
        <w:ind w:firstLine="480" w:firstLineChars="200"/>
        <w:rPr>
          <w:rFonts w:ascii="Times New Roman" w:hAnsi="Times New Roman"/>
          <w:sz w:val="24"/>
          <w:szCs w:val="24"/>
        </w:rPr>
      </w:pPr>
      <w:r>
        <w:rPr>
          <w:rFonts w:ascii="Times New Roman" w:hAnsi="Times New Roman"/>
          <w:sz w:val="24"/>
          <w:szCs w:val="24"/>
        </w:rPr>
        <w:t>施工建筑垃圾运至建筑垃圾填埋场堆存。施工人员生活垃圾定期运至当地生活垃圾填埋场。</w:t>
      </w:r>
    </w:p>
    <w:p>
      <w:pPr>
        <w:spacing w:line="360" w:lineRule="auto"/>
        <w:ind w:firstLine="480" w:firstLineChars="200"/>
        <w:rPr>
          <w:rFonts w:ascii="Times New Roman" w:hAnsi="Times New Roman"/>
          <w:bCs/>
          <w:sz w:val="24"/>
        </w:rPr>
      </w:pPr>
      <w:r>
        <w:rPr>
          <w:rFonts w:ascii="Times New Roman" w:hAnsi="Times New Roman"/>
          <w:bCs/>
          <w:sz w:val="24"/>
        </w:rPr>
        <w:t>5、生态保护措施</w:t>
      </w:r>
    </w:p>
    <w:p>
      <w:pPr>
        <w:spacing w:line="360" w:lineRule="auto"/>
        <w:ind w:firstLine="480" w:firstLineChars="200"/>
        <w:rPr>
          <w:rFonts w:ascii="Times New Roman" w:hAnsi="Times New Roman"/>
          <w:sz w:val="24"/>
        </w:rPr>
      </w:pPr>
      <w:r>
        <w:rPr>
          <w:rFonts w:ascii="Times New Roman" w:hAnsi="Times New Roman"/>
          <w:sz w:val="24"/>
        </w:rPr>
        <w:t>（1）植被保护措施</w:t>
      </w:r>
    </w:p>
    <w:p>
      <w:pPr>
        <w:spacing w:line="360" w:lineRule="auto"/>
        <w:ind w:firstLine="480" w:firstLineChars="200"/>
        <w:rPr>
          <w:rFonts w:ascii="Times New Roman" w:hAnsi="Times New Roman"/>
          <w:sz w:val="24"/>
        </w:rPr>
      </w:pPr>
      <w:r>
        <w:rPr>
          <w:rFonts w:ascii="Times New Roman" w:hAnsi="Times New Roman"/>
          <w:sz w:val="24"/>
        </w:rPr>
        <w:t>本项目应严格控制施工占地，禁止林木乱砍乱伐。建议将施工场地设置在选矿厂占地范围之内，利用现有道路，不破坏周围植被，施工动土作业应安排在晴朗无风天气下，尽量避免大风天，施工过程中适当地采取洒水降尘措施。</w:t>
      </w:r>
    </w:p>
    <w:p>
      <w:pPr>
        <w:spacing w:line="360" w:lineRule="auto"/>
        <w:ind w:firstLine="480" w:firstLineChars="200"/>
        <w:rPr>
          <w:rFonts w:ascii="Times New Roman" w:hAnsi="Times New Roman"/>
          <w:sz w:val="24"/>
        </w:rPr>
      </w:pPr>
      <w:r>
        <w:rPr>
          <w:rFonts w:ascii="Times New Roman" w:hAnsi="Times New Roman"/>
          <w:sz w:val="24"/>
        </w:rPr>
        <w:t xml:space="preserve">（2）野生动物的保护措施 </w:t>
      </w:r>
    </w:p>
    <w:p>
      <w:pPr>
        <w:spacing w:line="360" w:lineRule="auto"/>
        <w:ind w:firstLine="480" w:firstLineChars="200"/>
        <w:rPr>
          <w:rFonts w:ascii="Times New Roman" w:hAnsi="Times New Roman"/>
          <w:sz w:val="24"/>
        </w:rPr>
      </w:pPr>
      <w:r>
        <w:rPr>
          <w:rFonts w:ascii="Times New Roman" w:hAnsi="Times New Roman"/>
          <w:sz w:val="24"/>
        </w:rPr>
        <w:t>提高施工及工作人员的保护意识，在场地设置警示牌，以提醒施工人员和运行期管理及养护人员加强野生动物保护意识，不人为伤害野生动物。施工人员必须遵守《中华人民共和国野生动物保护法》，严禁在施工区及其周围捕猎野生动物。</w:t>
      </w:r>
    </w:p>
    <w:p>
      <w:pPr>
        <w:spacing w:line="360" w:lineRule="auto"/>
        <w:ind w:firstLine="480" w:firstLineChars="200"/>
        <w:rPr>
          <w:rFonts w:ascii="Times New Roman" w:hAnsi="Times New Roman"/>
          <w:color w:val="000000"/>
          <w:sz w:val="24"/>
        </w:rPr>
      </w:pPr>
      <w:r>
        <w:rPr>
          <w:rFonts w:ascii="Times New Roman" w:hAnsi="Times New Roman"/>
          <w:color w:val="000000"/>
          <w:sz w:val="24"/>
        </w:rPr>
        <w:t>（3）水土流失保护措施</w:t>
      </w:r>
    </w:p>
    <w:p>
      <w:pPr>
        <w:spacing w:line="360" w:lineRule="auto"/>
        <w:ind w:firstLine="480" w:firstLineChars="200"/>
        <w:rPr>
          <w:rFonts w:ascii="Times New Roman" w:hAnsi="Times New Roman" w:eastAsia="新宋体"/>
          <w:color w:val="000000"/>
          <w:spacing w:val="-5"/>
          <w:sz w:val="24"/>
        </w:rPr>
      </w:pPr>
      <w:r>
        <w:rPr>
          <w:rFonts w:ascii="Times New Roman" w:hAnsi="Times New Roman"/>
          <w:color w:val="000000"/>
          <w:sz w:val="24"/>
        </w:rPr>
        <w:t>合理安排施工季节和作业时间，优化施工方案，尽量避免雨季进行大量开挖工程，减小水土流失。</w:t>
      </w:r>
      <w:r>
        <w:rPr>
          <w:rFonts w:ascii="Times New Roman" w:hAnsi="Times New Roman" w:eastAsia="新宋体"/>
          <w:color w:val="000000"/>
          <w:sz w:val="24"/>
        </w:rPr>
        <w:t>施工砂土在室内堆放或搭建顶棚， 大风天气设置围档。场地平整后尽快夯实、硬化，大风天气适量洒水等。</w:t>
      </w:r>
      <w:r>
        <w:rPr>
          <w:rFonts w:ascii="Times New Roman" w:hAnsi="Times New Roman" w:eastAsia="新宋体"/>
          <w:color w:val="000000"/>
          <w:spacing w:val="-2"/>
          <w:sz w:val="24"/>
        </w:rPr>
        <w:t>施工前应在施工场</w:t>
      </w:r>
      <w:r>
        <w:rPr>
          <w:rFonts w:ascii="Times New Roman" w:hAnsi="Times New Roman" w:eastAsia="新宋体"/>
          <w:color w:val="000000"/>
          <w:sz w:val="24"/>
        </w:rPr>
        <w:t>地内布设临时简易排水沟，以便于施工期能及时导出地面径流。</w:t>
      </w:r>
      <w:r>
        <w:rPr>
          <w:rFonts w:ascii="Times New Roman" w:hAnsi="Times New Roman" w:eastAsia="新宋体"/>
          <w:color w:val="000000"/>
          <w:spacing w:val="-2"/>
          <w:sz w:val="24"/>
        </w:rPr>
        <w:t>采取临时防护和排水措施，以纤维布覆盖并在堆土两侧修筑临时排水沟，以防降雨侵蚀或</w:t>
      </w:r>
      <w:r>
        <w:rPr>
          <w:rFonts w:ascii="Times New Roman" w:hAnsi="Times New Roman" w:eastAsia="新宋体"/>
          <w:color w:val="000000"/>
          <w:spacing w:val="-96"/>
          <w:sz w:val="24"/>
        </w:rPr>
        <w:t xml:space="preserve"> </w:t>
      </w:r>
      <w:r>
        <w:rPr>
          <w:rFonts w:ascii="Times New Roman" w:hAnsi="Times New Roman" w:eastAsia="新宋体"/>
          <w:color w:val="000000"/>
          <w:sz w:val="24"/>
        </w:rPr>
        <w:t>风蚀的发生；对各项动土工程，在分项工程结束后，及时进入下一道工序或建立防护措施，减</w:t>
      </w:r>
      <w:r>
        <w:rPr>
          <w:rFonts w:ascii="Times New Roman" w:hAnsi="Times New Roman" w:eastAsia="新宋体"/>
          <w:color w:val="000000"/>
          <w:spacing w:val="-5"/>
          <w:sz w:val="24"/>
        </w:rPr>
        <w:t>少土壤侵蚀源暴露时间，有效控制水土流失。</w:t>
      </w:r>
    </w:p>
    <w:p>
      <w:pPr>
        <w:widowControl/>
        <w:adjustRightInd w:val="0"/>
        <w:snapToGrid w:val="0"/>
        <w:spacing w:line="360" w:lineRule="auto"/>
        <w:outlineLvl w:val="0"/>
        <w:rPr>
          <w:rFonts w:ascii="Times New Roman" w:hAnsi="Times New Roman"/>
          <w:b/>
          <w:sz w:val="24"/>
        </w:rPr>
      </w:pPr>
      <w:bookmarkStart w:id="748" w:name="_Toc3841"/>
      <w:bookmarkStart w:id="749" w:name="_Toc19920"/>
      <w:bookmarkStart w:id="750" w:name="_Toc13626"/>
      <w:r>
        <w:rPr>
          <w:rFonts w:ascii="Times New Roman" w:hAnsi="Times New Roman"/>
          <w:b/>
          <w:sz w:val="24"/>
        </w:rPr>
        <w:t>11.3.2营运期</w:t>
      </w:r>
      <w:bookmarkEnd w:id="748"/>
      <w:bookmarkEnd w:id="749"/>
      <w:bookmarkEnd w:id="750"/>
    </w:p>
    <w:p>
      <w:pPr>
        <w:spacing w:line="360" w:lineRule="auto"/>
        <w:ind w:firstLine="480" w:firstLineChars="200"/>
        <w:jc w:val="left"/>
        <w:rPr>
          <w:rFonts w:ascii="Times New Roman" w:hAnsi="Times New Roman"/>
          <w:bCs/>
          <w:sz w:val="24"/>
        </w:rPr>
      </w:pPr>
      <w:r>
        <w:rPr>
          <w:rFonts w:ascii="Times New Roman" w:hAnsi="Times New Roman"/>
          <w:bCs/>
          <w:sz w:val="24"/>
        </w:rPr>
        <w:t>1、废水</w:t>
      </w:r>
    </w:p>
    <w:p>
      <w:pPr>
        <w:spacing w:line="360" w:lineRule="auto"/>
        <w:ind w:firstLine="442"/>
        <w:jc w:val="left"/>
        <w:rPr>
          <w:rFonts w:ascii="Times New Roman" w:hAnsi="Times New Roman"/>
          <w:color w:val="000000"/>
          <w:sz w:val="24"/>
          <w:szCs w:val="24"/>
        </w:rPr>
      </w:pPr>
      <w:r>
        <w:rPr>
          <w:rFonts w:ascii="Times New Roman" w:hAnsi="Times New Roman"/>
          <w:color w:val="000000"/>
          <w:sz w:val="24"/>
          <w:szCs w:val="24"/>
        </w:rPr>
        <w:t>本项目生产废水主要为尾矿压滤废水以及尾矿库淋溶水。</w:t>
      </w:r>
    </w:p>
    <w:p>
      <w:pPr>
        <w:spacing w:line="360" w:lineRule="auto"/>
        <w:ind w:firstLine="442"/>
        <w:jc w:val="left"/>
        <w:rPr>
          <w:rFonts w:ascii="Times New Roman" w:hAnsi="Times New Roman"/>
          <w:color w:val="000000"/>
          <w:sz w:val="24"/>
          <w:szCs w:val="24"/>
        </w:rPr>
      </w:pPr>
      <w:r>
        <w:rPr>
          <w:rFonts w:ascii="Times New Roman" w:hAnsi="Times New Roman"/>
          <w:color w:val="000000"/>
          <w:sz w:val="24"/>
          <w:szCs w:val="24"/>
        </w:rPr>
        <w:t>选矿车间排出大量的尾矿浆。经分析，排放废水约为100t/d（30000t/a），尾矿压滤废水经拟建沉淀池沉淀（150m</w:t>
      </w:r>
      <w:r>
        <w:rPr>
          <w:rFonts w:ascii="Times New Roman" w:hAnsi="Times New Roman"/>
          <w:color w:val="000000"/>
          <w:sz w:val="24"/>
          <w:szCs w:val="24"/>
          <w:vertAlign w:val="superscript"/>
        </w:rPr>
        <w:t>3</w:t>
      </w:r>
      <w:r>
        <w:rPr>
          <w:rFonts w:ascii="Times New Roman" w:hAnsi="Times New Roman"/>
          <w:color w:val="000000"/>
          <w:sz w:val="24"/>
          <w:szCs w:val="24"/>
        </w:rPr>
        <w:t>）后全部通过水泵打入选矿车间内现有流入高位水池内，回用于选矿生 产，不外排</w:t>
      </w:r>
      <w:r>
        <w:rPr>
          <w:rFonts w:ascii="Times New Roman" w:hAnsi="Times New Roman"/>
          <w:bCs/>
          <w:color w:val="000000"/>
          <w:sz w:val="24"/>
          <w:szCs w:val="24"/>
        </w:rPr>
        <w:t>。</w:t>
      </w:r>
    </w:p>
    <w:p>
      <w:pPr>
        <w:spacing w:line="360" w:lineRule="auto"/>
        <w:ind w:firstLine="442"/>
        <w:jc w:val="left"/>
        <w:rPr>
          <w:rFonts w:ascii="Times New Roman" w:hAnsi="Times New Roman"/>
        </w:rPr>
      </w:pPr>
      <w:r>
        <w:rPr>
          <w:rFonts w:ascii="Times New Roman" w:hAnsi="Times New Roman"/>
          <w:color w:val="000000"/>
          <w:sz w:val="24"/>
          <w:szCs w:val="24"/>
        </w:rPr>
        <w:t>尾矿库干</w:t>
      </w:r>
      <w:r>
        <w:rPr>
          <w:rFonts w:ascii="Times New Roman" w:hAnsi="Times New Roman"/>
          <w:bCs/>
          <w:sz w:val="24"/>
        </w:rPr>
        <w:t>堆场淋溶水量约为0.38m³/d（27.46t/a）</w:t>
      </w:r>
      <w:r>
        <w:rPr>
          <w:rFonts w:ascii="Times New Roman" w:hAnsi="Times New Roman"/>
          <w:color w:val="000000"/>
          <w:sz w:val="24"/>
          <w:szCs w:val="24"/>
        </w:rPr>
        <w:t>。</w:t>
      </w:r>
      <w:r>
        <w:rPr>
          <w:rFonts w:ascii="Times New Roman" w:hAnsi="Times New Roman"/>
          <w:bCs/>
          <w:sz w:val="24"/>
        </w:rPr>
        <w:t>产生淋溶水通过新建的导流管流入尾矿库下游拟建沉淀池内（容积为50m</w:t>
      </w:r>
      <w:r>
        <w:rPr>
          <w:rFonts w:ascii="Times New Roman" w:hAnsi="Times New Roman"/>
          <w:bCs/>
          <w:sz w:val="24"/>
          <w:vertAlign w:val="superscript"/>
        </w:rPr>
        <w:t>3</w:t>
      </w:r>
      <w:r>
        <w:rPr>
          <w:rFonts w:ascii="Times New Roman" w:hAnsi="Times New Roman"/>
          <w:bCs/>
          <w:sz w:val="24"/>
        </w:rPr>
        <w:t>）沉淀后，通过水泵抽至压滤间沉淀池内回用于选矿工序，不外排</w:t>
      </w:r>
      <w:r>
        <w:rPr>
          <w:rFonts w:ascii="Times New Roman" w:hAnsi="Times New Roman"/>
          <w:color w:val="000000"/>
          <w:sz w:val="24"/>
          <w:szCs w:val="24"/>
        </w:rPr>
        <w:t>。</w:t>
      </w:r>
    </w:p>
    <w:p>
      <w:pPr>
        <w:spacing w:line="360" w:lineRule="auto"/>
        <w:ind w:firstLine="480" w:firstLineChars="200"/>
        <w:jc w:val="left"/>
        <w:rPr>
          <w:rFonts w:ascii="Times New Roman" w:hAnsi="Times New Roman"/>
          <w:bCs/>
          <w:sz w:val="24"/>
        </w:rPr>
      </w:pPr>
      <w:r>
        <w:rPr>
          <w:rFonts w:ascii="Times New Roman" w:hAnsi="Times New Roman"/>
          <w:bCs/>
          <w:sz w:val="24"/>
        </w:rPr>
        <w:t>2、废气</w:t>
      </w:r>
    </w:p>
    <w:p>
      <w:pPr>
        <w:spacing w:line="360" w:lineRule="auto"/>
        <w:ind w:firstLine="480" w:firstLineChars="200"/>
        <w:jc w:val="left"/>
        <w:rPr>
          <w:rFonts w:ascii="Times New Roman" w:hAnsi="Times New Roman"/>
          <w:sz w:val="24"/>
          <w:szCs w:val="24"/>
        </w:rPr>
      </w:pPr>
      <w:r>
        <w:rPr>
          <w:rFonts w:ascii="Times New Roman" w:hAnsi="Times New Roman"/>
          <w:bCs/>
          <w:sz w:val="24"/>
          <w:szCs w:val="24"/>
        </w:rPr>
        <w:t>从本项目整个生产工艺分析，其大气污染物主要包括：尾矿库扬尘、胶带运输尾渣扬尘以及汽车运</w:t>
      </w:r>
      <w:r>
        <w:rPr>
          <w:rFonts w:ascii="Times New Roman" w:hAnsi="Times New Roman"/>
          <w:sz w:val="24"/>
          <w:szCs w:val="24"/>
        </w:rPr>
        <w:t>输扬尘。</w:t>
      </w:r>
    </w:p>
    <w:p>
      <w:pPr>
        <w:spacing w:line="360" w:lineRule="auto"/>
        <w:ind w:firstLine="480" w:firstLineChars="200"/>
        <w:jc w:val="left"/>
        <w:rPr>
          <w:rFonts w:ascii="Times New Roman" w:hAnsi="Times New Roman"/>
          <w:color w:val="000000"/>
          <w:sz w:val="24"/>
          <w:szCs w:val="24"/>
        </w:rPr>
      </w:pPr>
      <w:r>
        <w:rPr>
          <w:rFonts w:ascii="Times New Roman" w:hAnsi="Times New Roman"/>
          <w:color w:val="000000"/>
          <w:sz w:val="24"/>
          <w:szCs w:val="24"/>
        </w:rPr>
        <w:t>（1）尾矿库扬尘</w:t>
      </w:r>
    </w:p>
    <w:p>
      <w:pPr>
        <w:spacing w:line="360" w:lineRule="auto"/>
        <w:ind w:firstLine="480" w:firstLineChars="200"/>
        <w:jc w:val="left"/>
        <w:rPr>
          <w:rFonts w:ascii="Times New Roman" w:hAnsi="Times New Roman"/>
          <w:color w:val="000000"/>
        </w:rPr>
      </w:pPr>
      <w:r>
        <w:rPr>
          <w:rFonts w:ascii="Times New Roman" w:hAnsi="Times New Roman"/>
          <w:sz w:val="24"/>
          <w:szCs w:val="24"/>
        </w:rPr>
        <w:t>运营期在尾矿库倾倒后矿渣经碾压压实，定期对库内洒水降尘、加盖苫布，可降低90%粉尘量。使其排放浓度基本</w:t>
      </w:r>
      <w:r>
        <w:rPr>
          <w:rFonts w:ascii="Times New Roman" w:hAnsi="Times New Roman"/>
          <w:sz w:val="24"/>
        </w:rPr>
        <w:t>排放浓度为0.14-0.76mg/m</w:t>
      </w:r>
      <w:r>
        <w:rPr>
          <w:rFonts w:ascii="Times New Roman" w:hAnsi="Times New Roman"/>
          <w:sz w:val="24"/>
          <w:vertAlign w:val="superscript"/>
        </w:rPr>
        <w:t>3</w:t>
      </w:r>
      <w:r>
        <w:rPr>
          <w:rFonts w:ascii="Times New Roman" w:hAnsi="Times New Roman"/>
          <w:sz w:val="24"/>
        </w:rPr>
        <w:t>，排放量为0.315</w:t>
      </w:r>
      <w:r>
        <w:rPr>
          <w:rFonts w:ascii="Times New Roman" w:hAnsi="Times New Roman"/>
          <w:sz w:val="24"/>
          <w:szCs w:val="24"/>
        </w:rPr>
        <w:t>t/a。</w:t>
      </w:r>
      <w:r>
        <w:rPr>
          <w:rFonts w:ascii="Times New Roman" w:hAnsi="Times New Roman"/>
          <w:sz w:val="24"/>
        </w:rPr>
        <w:t>满足《铁矿采选工业污染物排放标准》（GB28661-2012）中无组织排放标准浓度限值（1.0mg/m</w:t>
      </w:r>
      <w:r>
        <w:rPr>
          <w:rFonts w:ascii="Times New Roman" w:hAnsi="Times New Roman"/>
          <w:sz w:val="24"/>
          <w:vertAlign w:val="superscript"/>
        </w:rPr>
        <w:t>3</w:t>
      </w:r>
      <w:r>
        <w:rPr>
          <w:rFonts w:ascii="Times New Roman" w:hAnsi="Times New Roman"/>
          <w:sz w:val="24"/>
        </w:rPr>
        <w:t>）要求</w:t>
      </w:r>
      <w:r>
        <w:rPr>
          <w:rFonts w:ascii="Times New Roman" w:hAnsi="Times New Roman"/>
          <w:color w:val="000000"/>
          <w:sz w:val="24"/>
          <w:szCs w:val="24"/>
        </w:rPr>
        <w:t>。</w:t>
      </w:r>
    </w:p>
    <w:p>
      <w:pPr>
        <w:pStyle w:val="2"/>
        <w:spacing w:after="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bCs/>
          <w:color w:val="000000"/>
          <w:sz w:val="24"/>
          <w:szCs w:val="24"/>
        </w:rPr>
        <w:t>胶带运输尾矿渣粉尘</w:t>
      </w:r>
    </w:p>
    <w:p>
      <w:pPr>
        <w:spacing w:line="360" w:lineRule="auto"/>
        <w:ind w:firstLine="480" w:firstLineChars="200"/>
        <w:rPr>
          <w:rFonts w:ascii="Times New Roman" w:hAnsi="Times New Roman"/>
          <w:color w:val="000000"/>
        </w:rPr>
      </w:pPr>
      <w:r>
        <w:rPr>
          <w:rFonts w:ascii="Times New Roman" w:hAnsi="Times New Roman"/>
          <w:sz w:val="24"/>
        </w:rPr>
        <w:t>压滤间压滤出来的尾矿渣在传送带输送至尾矿库过程中有少量无组织粉尘，建议企业在传送带设备上封闭。则粉尘排放量为0.02t/a，浓度为0.07mg/m</w:t>
      </w:r>
      <w:r>
        <w:rPr>
          <w:rFonts w:ascii="Times New Roman" w:hAnsi="Times New Roman"/>
          <w:sz w:val="24"/>
          <w:vertAlign w:val="superscript"/>
        </w:rPr>
        <w:t>3</w:t>
      </w:r>
      <w:r>
        <w:rPr>
          <w:rFonts w:ascii="Times New Roman" w:hAnsi="Times New Roman"/>
          <w:sz w:val="24"/>
        </w:rPr>
        <w:t>，大大减少了粉尘无组织排放，能够满足《铁矿采选工业污染物排放标准》（GB28661-2012）中无组织排放标准浓度限值（1.0mg/m</w:t>
      </w:r>
      <w:r>
        <w:rPr>
          <w:rFonts w:ascii="Times New Roman" w:hAnsi="Times New Roman"/>
          <w:sz w:val="24"/>
          <w:vertAlign w:val="superscript"/>
        </w:rPr>
        <w:t>3</w:t>
      </w:r>
      <w:r>
        <w:rPr>
          <w:rFonts w:ascii="Times New Roman" w:hAnsi="Times New Roman"/>
          <w:sz w:val="24"/>
        </w:rPr>
        <w:t>）要求</w:t>
      </w:r>
      <w:r>
        <w:rPr>
          <w:rFonts w:ascii="Times New Roman" w:hAnsi="Times New Roman"/>
          <w:color w:val="000000"/>
          <w:sz w:val="24"/>
          <w:szCs w:val="24"/>
        </w:rPr>
        <w:t>。</w:t>
      </w:r>
    </w:p>
    <w:p>
      <w:pPr>
        <w:pStyle w:val="2"/>
        <w:spacing w:after="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（4）汽车运输扬尘</w:t>
      </w:r>
    </w:p>
    <w:p>
      <w:pPr>
        <w:pStyle w:val="2"/>
        <w:spacing w:after="0"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在尾渣运输、装卸会产生一定量的无组织扬尘，在此阶段路面扬尘排放不连续，建议对运输车辆采取苫布覆盖，定期对起尘路面洒水降尘。</w:t>
      </w:r>
    </w:p>
    <w:p>
      <w:pPr>
        <w:spacing w:line="360" w:lineRule="auto"/>
        <w:ind w:firstLine="480" w:firstLineChars="200"/>
        <w:rPr>
          <w:rFonts w:ascii="Times New Roman" w:hAnsi="Times New Roman"/>
          <w:sz w:val="24"/>
        </w:rPr>
      </w:pPr>
      <w:r>
        <w:rPr>
          <w:rFonts w:ascii="Times New Roman" w:hAnsi="Times New Roman"/>
          <w:color w:val="000000"/>
          <w:sz w:val="24"/>
          <w:szCs w:val="24"/>
        </w:rPr>
        <w:t>3、</w:t>
      </w:r>
      <w:r>
        <w:rPr>
          <w:rFonts w:ascii="Times New Roman" w:hAnsi="Times New Roman"/>
          <w:sz w:val="24"/>
        </w:rPr>
        <w:t>噪声</w:t>
      </w:r>
    </w:p>
    <w:p>
      <w:pPr>
        <w:spacing w:line="360" w:lineRule="auto"/>
        <w:ind w:firstLine="480" w:firstLineChars="200"/>
        <w:rPr>
          <w:rFonts w:ascii="Times New Roman" w:hAnsi="Times New Roman"/>
          <w:bCs/>
          <w:color w:val="000000"/>
          <w:sz w:val="24"/>
          <w:szCs w:val="24"/>
        </w:rPr>
      </w:pPr>
      <w:r>
        <w:rPr>
          <w:rFonts w:ascii="Times New Roman" w:hAnsi="Times New Roman"/>
          <w:bCs/>
          <w:color w:val="000000"/>
          <w:sz w:val="24"/>
          <w:szCs w:val="24"/>
        </w:rPr>
        <w:t>本项目噪声来源主要来压滤间内压滤机、渣浆泵、空压机、泥浆泵、起重机等，建议选用低噪声设备，对主要噪声源设备采取安装消声器、隔声罩和基础减振等，设备放置于封闭厂房内，加强设备维修与养护，经过树林隔声衰减后对外环境影响较小。</w:t>
      </w:r>
    </w:p>
    <w:p>
      <w:pPr>
        <w:pStyle w:val="13"/>
        <w:adjustRightInd w:val="0"/>
        <w:snapToGrid w:val="0"/>
        <w:spacing w:after="0" w:line="360" w:lineRule="auto"/>
        <w:ind w:left="0" w:firstLine="480" w:firstLineChars="200"/>
        <w:rPr>
          <w:rFonts w:ascii="Times New Roman" w:hAnsi="Times New Roman"/>
          <w:color w:val="000000"/>
          <w:sz w:val="24"/>
        </w:rPr>
      </w:pPr>
      <w:r>
        <w:rPr>
          <w:rFonts w:ascii="Times New Roman" w:hAnsi="Times New Roman"/>
          <w:color w:val="000000"/>
          <w:sz w:val="24"/>
        </w:rPr>
        <w:t>由于本项目尾矿渣需要外运，采用避开居民休息时间实施运输等方法，运输车辆夜间经过村屯时，限制行车速递，严禁鸣笛等，减少夜间行车速度等，降低运输过程对周围声环境的影响。</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4、固体废物</w:t>
      </w:r>
    </w:p>
    <w:p>
      <w:pPr>
        <w:spacing w:line="360" w:lineRule="auto"/>
        <w:ind w:firstLine="480" w:firstLineChars="200"/>
        <w:jc w:val="left"/>
        <w:rPr>
          <w:rFonts w:ascii="Times New Roman" w:hAnsi="Times New Roman"/>
          <w:bCs/>
          <w:color w:val="000000"/>
          <w:sz w:val="24"/>
          <w:szCs w:val="24"/>
        </w:rPr>
      </w:pPr>
      <w:r>
        <w:rPr>
          <w:rFonts w:ascii="Times New Roman" w:hAnsi="Times New Roman"/>
          <w:bCs/>
          <w:color w:val="000000"/>
          <w:sz w:val="24"/>
          <w:szCs w:val="24"/>
        </w:rPr>
        <w:t>本项目固体废物主要为尾渣、压滤间沉淀池污泥、尾矿库沉淀池污泥、废机油。</w:t>
      </w:r>
    </w:p>
    <w:p>
      <w:pPr>
        <w:spacing w:line="360" w:lineRule="auto"/>
        <w:ind w:firstLine="480" w:firstLineChars="200"/>
        <w:jc w:val="left"/>
        <w:rPr>
          <w:rFonts w:ascii="Times New Roman" w:hAnsi="Times New Roman"/>
          <w:bCs/>
          <w:color w:val="000000"/>
          <w:sz w:val="24"/>
          <w:szCs w:val="24"/>
        </w:rPr>
      </w:pPr>
      <w:r>
        <w:rPr>
          <w:rFonts w:ascii="Times New Roman" w:hAnsi="Times New Roman"/>
          <w:bCs/>
          <w:color w:val="000000"/>
          <w:sz w:val="24"/>
          <w:szCs w:val="24"/>
        </w:rPr>
        <w:t>（1）尾矿泥饼</w:t>
      </w:r>
    </w:p>
    <w:p>
      <w:pPr>
        <w:spacing w:line="360" w:lineRule="auto"/>
        <w:ind w:firstLine="480" w:firstLineChars="200"/>
        <w:jc w:val="left"/>
        <w:rPr>
          <w:rFonts w:ascii="Times New Roman" w:hAnsi="Times New Roman"/>
          <w:bCs/>
          <w:color w:val="000000"/>
          <w:sz w:val="24"/>
          <w:szCs w:val="24"/>
        </w:rPr>
      </w:pPr>
      <w:r>
        <w:rPr>
          <w:rFonts w:ascii="Times New Roman" w:hAnsi="Times New Roman"/>
          <w:bCs/>
          <w:color w:val="000000"/>
          <w:sz w:val="24"/>
          <w:szCs w:val="24"/>
        </w:rPr>
        <w:t>本项目选矿产生的尾矿渣经压滤后为细沙状，为一般固废。</w:t>
      </w:r>
      <w:r>
        <w:rPr>
          <w:rFonts w:ascii="Times New Roman" w:hAnsi="Times New Roman"/>
          <w:sz w:val="24"/>
          <w:szCs w:val="24"/>
        </w:rPr>
        <w:t>根据尾渣浸出毒性检测报告得出，此废石属于第Ⅰ类一般工业固体废物，其中一部分存入尾矿库，其余外卖吉林市智德利商贸有限公司（每日清运两次，由两量汽车汽车定时外运）。</w:t>
      </w:r>
    </w:p>
    <w:p>
      <w:pPr>
        <w:spacing w:line="360" w:lineRule="auto"/>
        <w:ind w:firstLine="480" w:firstLineChars="200"/>
        <w:jc w:val="left"/>
        <w:rPr>
          <w:rFonts w:ascii="Times New Roman" w:hAnsi="Times New Roman"/>
          <w:bCs/>
          <w:color w:val="000000"/>
          <w:sz w:val="24"/>
          <w:szCs w:val="24"/>
        </w:rPr>
      </w:pPr>
      <w:r>
        <w:rPr>
          <w:rFonts w:ascii="Times New Roman" w:hAnsi="Times New Roman"/>
          <w:bCs/>
          <w:color w:val="000000"/>
          <w:sz w:val="24"/>
          <w:szCs w:val="24"/>
        </w:rPr>
        <w:t>（2）</w:t>
      </w:r>
      <w:r>
        <w:rPr>
          <w:rFonts w:ascii="Times New Roman" w:hAnsi="Times New Roman"/>
          <w:sz w:val="24"/>
          <w:szCs w:val="24"/>
        </w:rPr>
        <w:t>压滤间污泥</w:t>
      </w:r>
    </w:p>
    <w:p>
      <w:pPr>
        <w:spacing w:line="360" w:lineRule="auto"/>
        <w:ind w:firstLine="480" w:firstLineChars="200"/>
        <w:jc w:val="left"/>
        <w:rPr>
          <w:rFonts w:ascii="Times New Roman" w:hAnsi="Times New Roman"/>
          <w:bCs/>
          <w:color w:val="000000"/>
          <w:sz w:val="24"/>
          <w:szCs w:val="24"/>
        </w:rPr>
      </w:pPr>
      <w:r>
        <w:rPr>
          <w:rFonts w:ascii="Times New Roman" w:hAnsi="Times New Roman"/>
          <w:sz w:val="24"/>
          <w:szCs w:val="24"/>
        </w:rPr>
        <w:t>压滤间产生污泥，为一般固废，与尾渣泥饼一同堆放至尾矿库内</w:t>
      </w:r>
      <w:r>
        <w:rPr>
          <w:rFonts w:ascii="Times New Roman" w:hAnsi="Times New Roman"/>
          <w:bCs/>
          <w:color w:val="000000"/>
          <w:sz w:val="24"/>
          <w:szCs w:val="24"/>
        </w:rPr>
        <w:t>。</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（3）尾矿库沉淀池污泥</w:t>
      </w:r>
    </w:p>
    <w:p>
      <w:pPr>
        <w:spacing w:line="360" w:lineRule="auto"/>
        <w:ind w:firstLine="480" w:firstLineChars="200"/>
        <w:jc w:val="left"/>
        <w:rPr>
          <w:rFonts w:ascii="Times New Roman" w:hAnsi="Times New Roman"/>
          <w:color w:val="000000"/>
          <w:sz w:val="24"/>
        </w:rPr>
      </w:pPr>
      <w:r>
        <w:rPr>
          <w:rFonts w:ascii="Times New Roman" w:hAnsi="Times New Roman"/>
          <w:sz w:val="24"/>
          <w:szCs w:val="24"/>
        </w:rPr>
        <w:t>尾矿库沉淀池污泥主要为汛期尾矿库干堆场淋溶水沉淀后污泥，为一般固废，与尾渣泥饼一同堆放至尾矿库内</w:t>
      </w:r>
      <w:r>
        <w:rPr>
          <w:rFonts w:ascii="Times New Roman" w:hAnsi="Times New Roman"/>
          <w:color w:val="000000"/>
          <w:sz w:val="24"/>
        </w:rPr>
        <w:t>。</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（4）废机油</w:t>
      </w:r>
    </w:p>
    <w:p>
      <w:pPr>
        <w:pStyle w:val="23"/>
        <w:spacing w:after="0" w:line="360" w:lineRule="auto"/>
        <w:ind w:firstLine="480" w:firstLineChars="200"/>
        <w:rPr>
          <w:rFonts w:ascii="Times New Roman" w:hAnsi="Times New Roman"/>
          <w:sz w:val="24"/>
          <w:szCs w:val="21"/>
        </w:rPr>
      </w:pPr>
      <w:r>
        <w:rPr>
          <w:rFonts w:ascii="Times New Roman" w:hAnsi="Times New Roman"/>
          <w:color w:val="000000"/>
          <w:sz w:val="24"/>
        </w:rPr>
        <w:t>企业的机械设备定期检修与保养，由正规维修站到现场进行维修及保养，废机油统一收集在塑料桶中，储存至厂区内现有危废暂存间内，定期委托有资质单位处理</w:t>
      </w:r>
      <w:r>
        <w:rPr>
          <w:rFonts w:ascii="Times New Roman" w:hAnsi="Times New Roman"/>
          <w:sz w:val="24"/>
          <w:szCs w:val="21"/>
        </w:rPr>
        <w:t>。</w:t>
      </w:r>
    </w:p>
    <w:p>
      <w:pPr>
        <w:pStyle w:val="23"/>
        <w:spacing w:after="0" w:line="360" w:lineRule="auto"/>
        <w:ind w:firstLine="480" w:firstLineChars="200"/>
        <w:rPr>
          <w:rFonts w:ascii="Times New Roman" w:hAnsi="Times New Roman"/>
          <w:sz w:val="24"/>
          <w:szCs w:val="21"/>
        </w:rPr>
      </w:pPr>
      <w:r>
        <w:rPr>
          <w:rFonts w:ascii="Times New Roman" w:hAnsi="Times New Roman"/>
          <w:sz w:val="24"/>
          <w:szCs w:val="21"/>
        </w:rPr>
        <w:t>综上所述，各项固体废物经过合理的处理/处置，不会对周围环境产生二次污染。</w:t>
      </w:r>
    </w:p>
    <w:p>
      <w:pPr>
        <w:spacing w:line="360" w:lineRule="auto"/>
        <w:ind w:firstLine="480" w:firstLineChars="200"/>
        <w:jc w:val="left"/>
        <w:rPr>
          <w:rFonts w:ascii="Times New Roman" w:hAnsi="Times New Roman"/>
          <w:bCs/>
          <w:color w:val="000000"/>
          <w:sz w:val="24"/>
        </w:rPr>
      </w:pPr>
      <w:r>
        <w:rPr>
          <w:rFonts w:ascii="Times New Roman" w:hAnsi="Times New Roman"/>
          <w:bCs/>
          <w:color w:val="000000"/>
          <w:sz w:val="24"/>
        </w:rPr>
        <w:t>5、生态保护措施</w:t>
      </w:r>
    </w:p>
    <w:p>
      <w:pPr>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（1）为了减轻对周围森林植被的影响，建议对于尾矿库适当地采取洒水降尘，覆盖苫布，及时外运出售。</w:t>
      </w:r>
    </w:p>
    <w:p>
      <w:pPr>
        <w:spacing w:line="360" w:lineRule="auto"/>
        <w:ind w:firstLine="480" w:firstLineChars="200"/>
        <w:rPr>
          <w:rFonts w:ascii="Times New Roman" w:hAnsi="Times New Roman"/>
          <w:bCs/>
          <w:sz w:val="24"/>
        </w:rPr>
      </w:pPr>
      <w:r>
        <w:rPr>
          <w:rFonts w:ascii="Times New Roman" w:hAnsi="Times New Roman"/>
          <w:bCs/>
          <w:sz w:val="24"/>
        </w:rPr>
        <w:t>（2）企业在项目建设过程中严格控制矿区用地，采矿生产过程中，尽量将高噪声设备放置在单独的隔声间内，避免和减少机械设备噪声对野生动物的影响。</w:t>
      </w:r>
    </w:p>
    <w:p>
      <w:pPr>
        <w:spacing w:line="360" w:lineRule="auto"/>
        <w:ind w:firstLine="480" w:firstLineChars="200"/>
        <w:rPr>
          <w:rFonts w:ascii="Times New Roman" w:hAnsi="Times New Roman"/>
        </w:rPr>
      </w:pPr>
      <w:r>
        <w:rPr>
          <w:rFonts w:ascii="Times New Roman" w:hAnsi="Times New Roman"/>
          <w:bCs/>
          <w:sz w:val="24"/>
        </w:rPr>
        <w:t>（3）企业对区道路进行定期洒水降尘，降低扬尘产生量，减少本项目运营过程中对野生动物及其生境的影响。</w:t>
      </w:r>
    </w:p>
    <w:p>
      <w:pPr>
        <w:spacing w:line="360" w:lineRule="auto"/>
        <w:ind w:firstLine="480" w:firstLineChars="200"/>
        <w:rPr>
          <w:rFonts w:ascii="Times New Roman" w:hAnsi="Times New Roman"/>
          <w:bCs/>
          <w:sz w:val="24"/>
        </w:rPr>
      </w:pPr>
    </w:p>
    <w:p>
      <w:pPr>
        <w:adjustRightInd w:val="0"/>
        <w:snapToGrid w:val="0"/>
        <w:spacing w:line="360" w:lineRule="auto"/>
        <w:ind w:firstLine="480" w:firstLineChars="200"/>
        <w:rPr>
          <w:rFonts w:ascii="Times New Roman" w:hAnsi="Times New Roman"/>
          <w:snapToGrid w:val="0"/>
          <w:sz w:val="24"/>
        </w:rPr>
      </w:pPr>
      <w:r>
        <w:rPr>
          <w:rFonts w:ascii="Times New Roman" w:hAnsi="Times New Roman"/>
          <w:bCs/>
          <w:sz w:val="24"/>
        </w:rPr>
        <w:t>本项目运营期间尾矿库产生扬尘，对周围森林植物造成一定的影响，但是没有直接砍伐林木，因此不会破坏森林生态系统的完整性。同时本项目区域动物分布较少，对其生存环境造成影响较小且对项目南侧10m处西南岔河影响较小。</w:t>
      </w:r>
    </w:p>
    <w:p>
      <w:pPr>
        <w:pStyle w:val="4"/>
        <w:rPr>
          <w:rFonts w:ascii="Times New Roman" w:hAnsi="Times New Roman" w:eastAsia="宋体"/>
          <w:sz w:val="24"/>
          <w:szCs w:val="24"/>
        </w:rPr>
      </w:pPr>
      <w:bookmarkStart w:id="751" w:name="_Toc708"/>
      <w:bookmarkStart w:id="752" w:name="_Toc1112"/>
      <w:bookmarkStart w:id="753" w:name="_Toc20918"/>
      <w:bookmarkStart w:id="754" w:name="_Toc28853"/>
      <w:r>
        <w:rPr>
          <w:rFonts w:ascii="Times New Roman" w:hAnsi="Times New Roman" w:eastAsia="宋体"/>
          <w:sz w:val="24"/>
          <w:szCs w:val="24"/>
        </w:rPr>
        <w:t>11.4公众意见采纳情况</w:t>
      </w:r>
      <w:bookmarkEnd w:id="751"/>
      <w:bookmarkEnd w:id="752"/>
      <w:bookmarkEnd w:id="753"/>
      <w:bookmarkEnd w:id="754"/>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次公众参与通过发放公众参与调查表（发放30份，回收30份）、附近村镇公告、网络公示、报纸公示等手段，征询白山市有关部门及项目所在地的个人意见，表明调查的有关部门均赞同本项目的建设，调查的大数100%赞同本项目的建设，无反对者，说明本项目的建设得到区内公众的普遍支持。</w:t>
      </w:r>
    </w:p>
    <w:p>
      <w:pPr>
        <w:pStyle w:val="4"/>
        <w:rPr>
          <w:rFonts w:ascii="Times New Roman" w:hAnsi="Times New Roman" w:eastAsia="宋体"/>
          <w:sz w:val="24"/>
          <w:szCs w:val="24"/>
        </w:rPr>
      </w:pPr>
      <w:bookmarkStart w:id="755" w:name="_Toc486350047"/>
      <w:bookmarkStart w:id="756" w:name="_Toc20448"/>
      <w:bookmarkStart w:id="757" w:name="_Toc484616343"/>
      <w:bookmarkStart w:id="758" w:name="_Toc14008"/>
      <w:bookmarkStart w:id="759" w:name="_Toc8659"/>
      <w:bookmarkStart w:id="760" w:name="_Toc19763"/>
      <w:r>
        <w:rPr>
          <w:rFonts w:ascii="Times New Roman" w:hAnsi="Times New Roman" w:eastAsia="宋体"/>
          <w:sz w:val="24"/>
          <w:szCs w:val="24"/>
        </w:rPr>
        <w:t>11.5环境风险</w:t>
      </w:r>
      <w:bookmarkEnd w:id="755"/>
      <w:bookmarkEnd w:id="756"/>
      <w:bookmarkEnd w:id="757"/>
      <w:bookmarkEnd w:id="758"/>
      <w:bookmarkEnd w:id="759"/>
      <w:bookmarkEnd w:id="760"/>
    </w:p>
    <w:p>
      <w:pPr>
        <w:spacing w:line="360" w:lineRule="auto"/>
        <w:ind w:firstLine="480" w:firstLineChars="200"/>
        <w:rPr>
          <w:rFonts w:ascii="Times New Roman" w:hAnsi="Times New Roman"/>
          <w:sz w:val="24"/>
        </w:rPr>
      </w:pPr>
      <w:r>
        <w:rPr>
          <w:rFonts w:ascii="Times New Roman" w:hAnsi="Times New Roman"/>
          <w:sz w:val="24"/>
        </w:rPr>
        <w:t>任何一个系统，都存在各种潜在事故风险，环境风险评价不可能对每一个事故进行风险计算与评价，因为既不经济也不必要。</w:t>
      </w:r>
    </w:p>
    <w:p>
      <w:pPr>
        <w:spacing w:line="360" w:lineRule="auto"/>
        <w:ind w:firstLine="480" w:firstLineChars="200"/>
        <w:rPr>
          <w:rFonts w:ascii="Times New Roman" w:hAnsi="Times New Roman"/>
          <w:sz w:val="24"/>
        </w:rPr>
      </w:pPr>
      <w:r>
        <w:rPr>
          <w:rFonts w:ascii="Times New Roman" w:hAnsi="Times New Roman"/>
          <w:sz w:val="24"/>
        </w:rPr>
        <w:t>根据前面的风险事故调查、工艺系统危险性分析，本项目风险为尾矿库风险事故等地质灾害风险。针对可能发生的事故，企业应成立安全负责小组，并制订风险应急预案，并严格控制安全管理，企业如果认真贯彻并层层落实预案中提出的应急措施，可将最大可信事故的风险值降低至可接受水平内，本项目的环境风险是可以接受的。</w:t>
      </w:r>
    </w:p>
    <w:p>
      <w:pPr>
        <w:pStyle w:val="4"/>
        <w:rPr>
          <w:rFonts w:ascii="Times New Roman" w:hAnsi="Times New Roman" w:eastAsia="宋体"/>
          <w:sz w:val="24"/>
          <w:szCs w:val="24"/>
        </w:rPr>
      </w:pPr>
      <w:bookmarkStart w:id="761" w:name="_Toc486350048"/>
      <w:bookmarkStart w:id="762" w:name="_Toc484616344"/>
      <w:bookmarkStart w:id="763" w:name="_Toc19473"/>
      <w:bookmarkStart w:id="764" w:name="_Toc12121"/>
      <w:bookmarkStart w:id="765" w:name="_Toc10132"/>
      <w:bookmarkStart w:id="766" w:name="_Toc28510"/>
      <w:r>
        <w:rPr>
          <w:rFonts w:ascii="Times New Roman" w:hAnsi="Times New Roman" w:eastAsia="宋体"/>
          <w:sz w:val="24"/>
          <w:szCs w:val="24"/>
        </w:rPr>
        <w:t>11.6环境影响经济损益分析</w:t>
      </w:r>
      <w:bookmarkEnd w:id="761"/>
      <w:bookmarkEnd w:id="762"/>
      <w:bookmarkEnd w:id="763"/>
      <w:bookmarkEnd w:id="764"/>
      <w:bookmarkEnd w:id="765"/>
      <w:bookmarkEnd w:id="766"/>
    </w:p>
    <w:p>
      <w:pPr>
        <w:spacing w:line="360" w:lineRule="auto"/>
        <w:ind w:firstLine="480" w:firstLineChars="200"/>
        <w:rPr>
          <w:rFonts w:ascii="Times New Roman" w:hAnsi="Times New Roman"/>
          <w:sz w:val="24"/>
        </w:rPr>
      </w:pPr>
      <w:r>
        <w:rPr>
          <w:rFonts w:ascii="Times New Roman" w:hAnsi="Times New Roman"/>
          <w:sz w:val="24"/>
        </w:rPr>
        <w:t>本项目建设具有良好的经济效益和社会效益，其环境效益经过矿山恢复治理和土地复垦措施后也较为明显，因此，项目建设综合效益显著。</w:t>
      </w:r>
    </w:p>
    <w:p>
      <w:pPr>
        <w:pStyle w:val="4"/>
        <w:rPr>
          <w:rFonts w:ascii="Times New Roman" w:hAnsi="Times New Roman" w:eastAsia="宋体"/>
          <w:sz w:val="24"/>
          <w:szCs w:val="24"/>
        </w:rPr>
      </w:pPr>
      <w:bookmarkStart w:id="767" w:name="_Toc476760004"/>
      <w:bookmarkStart w:id="768" w:name="_Toc484616345"/>
      <w:bookmarkStart w:id="769" w:name="_Toc486350049"/>
      <w:bookmarkStart w:id="770" w:name="_Toc16987"/>
      <w:bookmarkStart w:id="771" w:name="_Toc355"/>
      <w:bookmarkStart w:id="772" w:name="_Toc21177"/>
      <w:bookmarkStart w:id="773" w:name="_Toc29854"/>
      <w:r>
        <w:rPr>
          <w:rFonts w:ascii="Times New Roman" w:hAnsi="Times New Roman" w:eastAsia="宋体"/>
          <w:sz w:val="24"/>
          <w:szCs w:val="24"/>
        </w:rPr>
        <w:t>11.7环境管理与监测计划</w:t>
      </w:r>
      <w:bookmarkEnd w:id="767"/>
      <w:bookmarkEnd w:id="768"/>
      <w:bookmarkEnd w:id="769"/>
      <w:bookmarkEnd w:id="770"/>
      <w:bookmarkEnd w:id="771"/>
      <w:bookmarkEnd w:id="772"/>
      <w:bookmarkEnd w:id="773"/>
    </w:p>
    <w:p>
      <w:pPr>
        <w:spacing w:line="360" w:lineRule="auto"/>
        <w:ind w:firstLine="480" w:firstLineChars="200"/>
        <w:rPr>
          <w:rFonts w:ascii="Times New Roman" w:hAnsi="Times New Roman"/>
          <w:sz w:val="24"/>
        </w:rPr>
      </w:pPr>
      <w:r>
        <w:rPr>
          <w:rFonts w:ascii="Times New Roman" w:hAnsi="Times New Roman"/>
          <w:sz w:val="24"/>
        </w:rPr>
        <w:t>根据工程建设的实际情况，项目施工期间应设专人负责环境保护事宜。项目建设完成后，企业应设立专职的环境保护机构，专职负责公司的环境保护事宜。环保机构肩负企业环境管理和环境监控两部分职能，受柳河县环境保护局的指导和监督。施工期在建设工程指挥部设1名环境管理人员，运营期设1～2名专职环境管理人员，负责环境管理和环境监测计划制定和实施。</w:t>
      </w:r>
    </w:p>
    <w:p>
      <w:pPr>
        <w:pStyle w:val="4"/>
        <w:rPr>
          <w:rFonts w:ascii="Times New Roman" w:hAnsi="Times New Roman" w:eastAsia="宋体"/>
          <w:sz w:val="24"/>
          <w:szCs w:val="24"/>
        </w:rPr>
      </w:pPr>
      <w:bookmarkStart w:id="774" w:name="_Toc1"/>
      <w:bookmarkStart w:id="775" w:name="_Toc10634"/>
      <w:bookmarkStart w:id="776" w:name="_Toc486350052"/>
      <w:bookmarkStart w:id="777" w:name="_Toc484616348"/>
      <w:bookmarkStart w:id="778" w:name="_Toc3452"/>
      <w:bookmarkStart w:id="779" w:name="_Toc21999"/>
      <w:r>
        <w:rPr>
          <w:rFonts w:ascii="Times New Roman" w:hAnsi="Times New Roman" w:eastAsia="宋体"/>
          <w:sz w:val="24"/>
          <w:szCs w:val="24"/>
        </w:rPr>
        <w:t>11.8清洁生产分析结论</w:t>
      </w:r>
      <w:bookmarkEnd w:id="774"/>
      <w:bookmarkEnd w:id="775"/>
    </w:p>
    <w:p>
      <w:pPr>
        <w:spacing w:line="360" w:lineRule="auto"/>
        <w:ind w:firstLine="480" w:firstLineChars="200"/>
        <w:jc w:val="left"/>
        <w:rPr>
          <w:rFonts w:ascii="Times New Roman" w:hAnsi="Times New Roman"/>
          <w:sz w:val="24"/>
        </w:rPr>
      </w:pPr>
      <w:r>
        <w:rPr>
          <w:rFonts w:ascii="Times New Roman" w:hAnsi="Times New Roman"/>
          <w:sz w:val="24"/>
        </w:rPr>
        <w:t>本项目采用国内外成熟的生产工艺技术和设备进行生产，对原料资源的开发利用较为充分，各项环保措施也基本到位，通过加强管理，降低污染物产生量，再通过增加相应的环保处理设施等方式，控制末端污染物排放量，废水、废气、噪声、固废的排放对环境的影响可以控制在允许的范围与程度内，对环境不造成严重影响。本项目符合清洁生产的原则。</w:t>
      </w:r>
    </w:p>
    <w:p>
      <w:pPr>
        <w:pStyle w:val="4"/>
        <w:rPr>
          <w:rFonts w:ascii="Times New Roman" w:hAnsi="Times New Roman" w:eastAsia="宋体"/>
          <w:sz w:val="24"/>
          <w:szCs w:val="24"/>
        </w:rPr>
      </w:pPr>
      <w:bookmarkStart w:id="780" w:name="_Toc49"/>
      <w:bookmarkStart w:id="781" w:name="_Toc25839"/>
      <w:r>
        <w:rPr>
          <w:rFonts w:ascii="Times New Roman" w:hAnsi="Times New Roman" w:eastAsia="宋体"/>
          <w:sz w:val="24"/>
          <w:szCs w:val="24"/>
        </w:rPr>
        <w:t>11.9环境可行性分析</w:t>
      </w:r>
      <w:bookmarkEnd w:id="776"/>
      <w:bookmarkEnd w:id="777"/>
      <w:bookmarkEnd w:id="778"/>
      <w:bookmarkEnd w:id="779"/>
      <w:bookmarkEnd w:id="780"/>
      <w:bookmarkEnd w:id="781"/>
    </w:p>
    <w:p>
      <w:pPr>
        <w:spacing w:line="360" w:lineRule="auto"/>
        <w:ind w:firstLine="480" w:firstLineChars="200"/>
        <w:rPr>
          <w:rFonts w:ascii="Times New Roman" w:hAnsi="Times New Roman"/>
          <w:sz w:val="24"/>
        </w:rPr>
      </w:pPr>
      <w:r>
        <w:rPr>
          <w:rFonts w:ascii="Times New Roman" w:hAnsi="Times New Roman"/>
          <w:sz w:val="24"/>
        </w:rPr>
        <w:t>根据《产业结构调整指导目录》（2011年本）（2013年修正），本项目不属于限制类及淘汰类建设项目，因此本项目符合国家相关产业政策要求。项目符合当地发展规划及矿产资源规划，选址合理，在采取有效治理措施后，环境影响在可接受范围内，项目对外环境影响基本可以控制。在采取严格的环境保护和生态恢复措施后，本项目建设基本可行。</w:t>
      </w:r>
    </w:p>
    <w:p>
      <w:pPr>
        <w:pStyle w:val="4"/>
        <w:spacing w:line="348" w:lineRule="auto"/>
        <w:rPr>
          <w:rFonts w:ascii="Times New Roman" w:hAnsi="Times New Roman" w:eastAsia="宋体"/>
          <w:sz w:val="24"/>
          <w:szCs w:val="24"/>
        </w:rPr>
      </w:pPr>
      <w:bookmarkStart w:id="782" w:name="_Toc13100"/>
      <w:bookmarkStart w:id="783" w:name="_Toc486350053"/>
      <w:bookmarkStart w:id="784" w:name="_Toc484616349"/>
      <w:bookmarkStart w:id="785" w:name="_Toc15616"/>
      <w:bookmarkStart w:id="786" w:name="_Toc27380"/>
      <w:bookmarkStart w:id="787" w:name="_Toc27569"/>
      <w:r>
        <w:rPr>
          <w:rFonts w:ascii="Times New Roman" w:hAnsi="Times New Roman" w:eastAsia="宋体"/>
          <w:sz w:val="24"/>
          <w:szCs w:val="24"/>
        </w:rPr>
        <w:t>11.10综合评价结论</w:t>
      </w:r>
      <w:bookmarkEnd w:id="782"/>
      <w:bookmarkEnd w:id="783"/>
      <w:bookmarkEnd w:id="784"/>
      <w:bookmarkEnd w:id="785"/>
      <w:bookmarkEnd w:id="786"/>
      <w:bookmarkEnd w:id="787"/>
    </w:p>
    <w:p>
      <w:pPr>
        <w:spacing w:line="360" w:lineRule="auto"/>
        <w:ind w:firstLine="480" w:firstLineChars="200"/>
        <w:rPr>
          <w:rFonts w:ascii="Times New Roman" w:hAnsi="Times New Roman"/>
          <w:sz w:val="24"/>
        </w:rPr>
      </w:pPr>
      <w:r>
        <w:rPr>
          <w:rFonts w:ascii="Times New Roman" w:hAnsi="Times New Roman"/>
          <w:sz w:val="24"/>
        </w:rPr>
        <w:t>本项目环境保护措施技术经济可行，同时满足达标排放和总量控制的要求；评价区域内环境影响可接受；公众认为项目建设可行。因此，只要严格按照“三同时”原则，同时设计、施工和投产运行，在落实报告书中各项污染防治措施，确保污染治理设备能够正常稳定运行，工程建成投产后达到本报告要求的排污水平的前提下，则从环保角度而言，该项目建设可行。</w:t>
      </w:r>
    </w:p>
    <w:p>
      <w:pPr>
        <w:pStyle w:val="2"/>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TimesNewRomanPSMT">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-123825</wp:posOffset>
              </wp:positionV>
              <wp:extent cx="5248275" cy="635"/>
              <wp:effectExtent l="0" t="0" r="0" b="0"/>
              <wp:wrapNone/>
              <wp:docPr id="279" name="直线 2050"/>
              <wp:cNvGraphicFramePr/>
              <a:graphic xmlns:a="http://schemas.openxmlformats.org/drawingml/2006/main">
                <a:graphicData uri="http://schemas.microsoft.com/office/word/2010/wordprocessingShape">
                  <wps:wsp>
                    <wps:cNvSpPr/>
                    <wps:spPr>
                      <a:xfrm>
                        <a:off x="0" y="0"/>
                        <a:ext cx="52482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50" o:spid="_x0000_s1026" o:spt="20" style="position:absolute;left:0pt;margin-left:0.85pt;margin-top:-9.75pt;height:0.05pt;width:413.25pt;z-index:251659264;mso-width-relative:page;mso-height-relative:page;" filled="f" stroked="t" coordsize="21600,21600" o:gfxdata="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yni&#10;CNYAAAAJAQAADwAAAAAAAAABACAAAAAiAAAAZHJzL2Rvd25yZXYueG1sUEsBAhQAFAAAAAgAh07i&#10;QAeYNXXrAQAA4gMAAA4AAAAAAAAAAQAgAAAAJQ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wps:txbx>
                    <wps:bodyPr wrap="none" lIns="0" tIns="0" rIns="0" bIns="0" upright="1">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STCM0BAACeAwAADgAAAAAAAAABACAAAAAeAQAAZHJzL2Uy&#10;b0RvYy54bWxQSwUGAAAAAAYABgBZAQAAXQU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v:textbox>
            </v:shape>
          </w:pict>
        </mc:Fallback>
      </mc:AlternateContent>
    </w:r>
    <w:r>
      <w:rPr>
        <w:rFonts w:hint="eastAsia"/>
      </w:rPr>
      <w:t>吉林昊融技术开发有限公司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7216" behindDoc="0" locked="0" layoutInCell="1" allowOverlap="1">
              <wp:simplePos x="0" y="0"/>
              <wp:positionH relativeFrom="column">
                <wp:posOffset>10795</wp:posOffset>
              </wp:positionH>
              <wp:positionV relativeFrom="paragraph">
                <wp:posOffset>-123825</wp:posOffset>
              </wp:positionV>
              <wp:extent cx="5248275" cy="635"/>
              <wp:effectExtent l="0" t="0" r="0" b="0"/>
              <wp:wrapNone/>
              <wp:docPr id="277" name="直线 2057"/>
              <wp:cNvGraphicFramePr/>
              <a:graphic xmlns:a="http://schemas.openxmlformats.org/drawingml/2006/main">
                <a:graphicData uri="http://schemas.microsoft.com/office/word/2010/wordprocessingShape">
                  <wps:wsp>
                    <wps:cNvSpPr/>
                    <wps:spPr>
                      <a:xfrm>
                        <a:off x="0" y="0"/>
                        <a:ext cx="52482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57" o:spid="_x0000_s1026" o:spt="20" style="position:absolute;left:0pt;margin-left:0.85pt;margin-top:-9.75pt;height:0.05pt;width:413.25pt;z-index:251657216;mso-width-relative:page;mso-height-relative:page;" filled="f" stroked="t" coordsize="21600,21600" o:gfxdata="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8p&#10;4gjWAAAACQEAAA8AAAAAAAAAAQAgAAAAIgAAAGRycy9kb3ducmV2LnhtbFBLAQIUABQAAAAIAIdO&#10;4kCCsMAZ7AEAAOIDAAAOAAAAAAAAAAEAIAAAACUBAABkcnMvZTJvRG9jLnhtbFBLBQYAAAAABgAG&#10;AFkBAACD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302260" cy="1828800"/>
              <wp:effectExtent l="0" t="0" r="0" b="0"/>
              <wp:wrapNone/>
              <wp:docPr id="276" name="文本框 1026"/>
              <wp:cNvGraphicFramePr/>
              <a:graphic xmlns:a="http://schemas.openxmlformats.org/drawingml/2006/main">
                <a:graphicData uri="http://schemas.microsoft.com/office/word/2010/wordprocessingShape">
                  <wps:wsp>
                    <wps:cNvSpPr txBox="1"/>
                    <wps:spPr>
                      <a:xfrm>
                        <a:off x="0" y="0"/>
                        <a:ext cx="302260" cy="1828800"/>
                      </a:xfrm>
                      <a:prstGeom prst="rect">
                        <a:avLst/>
                      </a:prstGeom>
                      <a:noFill/>
                      <a:ln>
                        <a:noFill/>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186</w:t>
                          </w:r>
                          <w:r>
                            <w:rPr>
                              <w:rFonts w:hint="eastAsia"/>
                            </w:rPr>
                            <w:fldChar w:fldCharType="end"/>
                          </w:r>
                        </w:p>
                      </w:txbxContent>
                    </wps:txbx>
                    <wps:bodyPr lIns="0" tIns="0" rIns="0" bIns="0" upright="1">
                      <a:spAutoFit/>
                    </wps:bodyPr>
                  </wps:wsp>
                </a:graphicData>
              </a:graphic>
            </wp:anchor>
          </w:drawing>
        </mc:Choice>
        <mc:Fallback>
          <w:pict>
            <v:shape id="文本框 1026" o:spid="_x0000_s1026" o:spt="202" type="#_x0000_t202" style="position:absolute;left:0pt;margin-top:0pt;height:144pt;width:23.8pt;mso-position-horizontal:center;mso-position-horizontal-relative:margin;z-index:251656192;mso-width-relative:page;mso-height-relative:page;" filled="f" stroked="f" coordsize="21600,21600" o:gfxdata="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2bm2etMAAAAEAQAADwAAAAAAAAABACAAAAAiAAAAZHJzL2Rvd25y&#10;ZXYueG1sUEsBAhQAFAAAAAgAh07iQNA70/PKAQAAkQMAAA4AAAAAAAAAAQAgAAAAIgEAAGRycy9l&#10;Mm9Eb2MueG1sUEsFBgAAAAAGAAYAWQEAAF4FA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186</w:t>
                    </w:r>
                    <w:r>
                      <w:rPr>
                        <w:rFonts w:hint="eastAsia"/>
                      </w:rPr>
                      <w:fldChar w:fldCharType="end"/>
                    </w:r>
                  </w:p>
                </w:txbxContent>
              </v:textbox>
            </v:shape>
          </w:pict>
        </mc:Fallback>
      </mc:AlternateContent>
    </w:r>
    <w:r>
      <w:rPr>
        <w:rFonts w:hint="eastAsia"/>
      </w:rPr>
      <w:t>吉林昊融技术开发有限公司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p>
    <w:pPr>
      <w:pStyle w:val="16"/>
      <w:rPr>
        <w:u w:val="single"/>
      </w:rPr>
    </w:pPr>
    <w:r>
      <w:rPr>
        <w:rFonts w:hint="eastAsia"/>
        <w:u w:val="single"/>
      </w:rPr>
      <w:t xml:space="preserve">                  白山市江源区五道羊岔铁矿有限责任公司五道羊岔铁矿尾矿库扩建项目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01E6F7"/>
    <w:multiLevelType w:val="singleLevel"/>
    <w:tmpl w:val="9E01E6F7"/>
    <w:lvl w:ilvl="0" w:tentative="0">
      <w:start w:val="2"/>
      <w:numFmt w:val="decimal"/>
      <w:suff w:val="nothing"/>
      <w:lvlText w:val="（%1）"/>
      <w:lvlJc w:val="left"/>
    </w:lvl>
  </w:abstractNum>
  <w:abstractNum w:abstractNumId="1">
    <w:nsid w:val="9FF06071"/>
    <w:multiLevelType w:val="singleLevel"/>
    <w:tmpl w:val="9FF06071"/>
    <w:lvl w:ilvl="0" w:tentative="0">
      <w:start w:val="1"/>
      <w:numFmt w:val="decimal"/>
      <w:suff w:val="nothing"/>
      <w:lvlText w:val="%1、"/>
      <w:lvlJc w:val="left"/>
    </w:lvl>
  </w:abstractNum>
  <w:abstractNum w:abstractNumId="2">
    <w:nsid w:val="B52AE39C"/>
    <w:multiLevelType w:val="singleLevel"/>
    <w:tmpl w:val="B52AE39C"/>
    <w:lvl w:ilvl="0" w:tentative="0">
      <w:start w:val="6"/>
      <w:numFmt w:val="decimal"/>
      <w:suff w:val="nothing"/>
      <w:lvlText w:val="（%1）"/>
      <w:lvlJc w:val="left"/>
    </w:lvl>
  </w:abstractNum>
  <w:abstractNum w:abstractNumId="3">
    <w:nsid w:val="FDACCF55"/>
    <w:multiLevelType w:val="singleLevel"/>
    <w:tmpl w:val="FDACCF55"/>
    <w:lvl w:ilvl="0" w:tentative="0">
      <w:start w:val="4"/>
      <w:numFmt w:val="decimal"/>
      <w:suff w:val="nothing"/>
      <w:lvlText w:val="%1、"/>
      <w:lvlJc w:val="left"/>
      <w:pPr>
        <w:ind w:left="528" w:firstLine="0"/>
      </w:pPr>
    </w:lvl>
  </w:abstractNum>
  <w:abstractNum w:abstractNumId="4">
    <w:nsid w:val="FE628F7A"/>
    <w:multiLevelType w:val="singleLevel"/>
    <w:tmpl w:val="FE628F7A"/>
    <w:lvl w:ilvl="0" w:tentative="0">
      <w:start w:val="7"/>
      <w:numFmt w:val="decimal"/>
      <w:suff w:val="nothing"/>
      <w:lvlText w:val="（%1）"/>
      <w:lvlJc w:val="left"/>
    </w:lvl>
  </w:abstractNum>
  <w:abstractNum w:abstractNumId="5">
    <w:nsid w:val="00074725"/>
    <w:multiLevelType w:val="singleLevel"/>
    <w:tmpl w:val="00074725"/>
    <w:lvl w:ilvl="0" w:tentative="0">
      <w:start w:val="1"/>
      <w:numFmt w:val="decimal"/>
      <w:suff w:val="nothing"/>
      <w:lvlText w:val="%1、"/>
      <w:lvlJc w:val="left"/>
    </w:lvl>
  </w:abstractNum>
  <w:abstractNum w:abstractNumId="6">
    <w:nsid w:val="0C042852"/>
    <w:multiLevelType w:val="singleLevel"/>
    <w:tmpl w:val="0C042852"/>
    <w:lvl w:ilvl="0" w:tentative="0">
      <w:start w:val="1"/>
      <w:numFmt w:val="decimal"/>
      <w:suff w:val="nothing"/>
      <w:lvlText w:val="%1、"/>
      <w:lvlJc w:val="left"/>
    </w:lvl>
  </w:abstractNum>
  <w:abstractNum w:abstractNumId="7">
    <w:nsid w:val="18ED65F2"/>
    <w:multiLevelType w:val="multilevel"/>
    <w:tmpl w:val="18ED65F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0E77633"/>
    <w:multiLevelType w:val="singleLevel"/>
    <w:tmpl w:val="50E77633"/>
    <w:lvl w:ilvl="0" w:tentative="0">
      <w:start w:val="5"/>
      <w:numFmt w:val="decimal"/>
      <w:suff w:val="nothing"/>
      <w:lvlText w:val="（%1）"/>
      <w:lvlJc w:val="left"/>
    </w:lvl>
  </w:abstractNum>
  <w:abstractNum w:abstractNumId="9">
    <w:nsid w:val="602AE5DC"/>
    <w:multiLevelType w:val="singleLevel"/>
    <w:tmpl w:val="602AE5DC"/>
    <w:lvl w:ilvl="0" w:tentative="0">
      <w:start w:val="1"/>
      <w:numFmt w:val="decimal"/>
      <w:suff w:val="nothing"/>
      <w:lvlText w:val="（%1）"/>
      <w:lvlJc w:val="left"/>
    </w:lvl>
  </w:abstractNum>
  <w:num w:numId="1">
    <w:abstractNumId w:val="7"/>
  </w:num>
  <w:num w:numId="2">
    <w:abstractNumId w:val="3"/>
  </w:num>
  <w:num w:numId="3">
    <w:abstractNumId w:val="1"/>
  </w:num>
  <w:num w:numId="4">
    <w:abstractNumId w:val="5"/>
  </w:num>
  <w:num w:numId="5">
    <w:abstractNumId w:val="0"/>
  </w:num>
  <w:num w:numId="6">
    <w:abstractNumId w:val="2"/>
  </w:num>
  <w:num w:numId="7">
    <w:abstractNumId w:val="6"/>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B2699"/>
    <w:rsid w:val="001358EA"/>
    <w:rsid w:val="00171DBC"/>
    <w:rsid w:val="00172A27"/>
    <w:rsid w:val="00275390"/>
    <w:rsid w:val="00280E1B"/>
    <w:rsid w:val="0041393D"/>
    <w:rsid w:val="00545EF6"/>
    <w:rsid w:val="005C7441"/>
    <w:rsid w:val="005D536C"/>
    <w:rsid w:val="006239F0"/>
    <w:rsid w:val="00824951"/>
    <w:rsid w:val="008E1D08"/>
    <w:rsid w:val="00927918"/>
    <w:rsid w:val="00940F41"/>
    <w:rsid w:val="00A0686C"/>
    <w:rsid w:val="00A57D37"/>
    <w:rsid w:val="00AD1917"/>
    <w:rsid w:val="00B73B8B"/>
    <w:rsid w:val="00D00968"/>
    <w:rsid w:val="00D320AD"/>
    <w:rsid w:val="00D409DF"/>
    <w:rsid w:val="00D860E6"/>
    <w:rsid w:val="00E113ED"/>
    <w:rsid w:val="00E66BF6"/>
    <w:rsid w:val="00F766C1"/>
    <w:rsid w:val="00FA47F9"/>
    <w:rsid w:val="01225389"/>
    <w:rsid w:val="012C4EB6"/>
    <w:rsid w:val="01362EAE"/>
    <w:rsid w:val="0138111B"/>
    <w:rsid w:val="013C4F91"/>
    <w:rsid w:val="013D0C64"/>
    <w:rsid w:val="013E127B"/>
    <w:rsid w:val="014B179E"/>
    <w:rsid w:val="014C6128"/>
    <w:rsid w:val="014C66A3"/>
    <w:rsid w:val="01765B90"/>
    <w:rsid w:val="01A83C4E"/>
    <w:rsid w:val="01A83F89"/>
    <w:rsid w:val="01BF5372"/>
    <w:rsid w:val="01D27E10"/>
    <w:rsid w:val="021729EF"/>
    <w:rsid w:val="02277C4D"/>
    <w:rsid w:val="02D42E6D"/>
    <w:rsid w:val="02D74371"/>
    <w:rsid w:val="02D7751F"/>
    <w:rsid w:val="02ED2E44"/>
    <w:rsid w:val="02FB718E"/>
    <w:rsid w:val="03135FB5"/>
    <w:rsid w:val="03315D2E"/>
    <w:rsid w:val="034E2E5C"/>
    <w:rsid w:val="03561193"/>
    <w:rsid w:val="03AC5E29"/>
    <w:rsid w:val="03B272B5"/>
    <w:rsid w:val="03EB7412"/>
    <w:rsid w:val="04101C81"/>
    <w:rsid w:val="041F69F0"/>
    <w:rsid w:val="04250D6C"/>
    <w:rsid w:val="04425A76"/>
    <w:rsid w:val="04440B0E"/>
    <w:rsid w:val="04827BCF"/>
    <w:rsid w:val="04E269A8"/>
    <w:rsid w:val="05285E0C"/>
    <w:rsid w:val="052A5A47"/>
    <w:rsid w:val="052F6260"/>
    <w:rsid w:val="056B458B"/>
    <w:rsid w:val="05854C29"/>
    <w:rsid w:val="059403DF"/>
    <w:rsid w:val="05961E0C"/>
    <w:rsid w:val="059F4A15"/>
    <w:rsid w:val="05A23C77"/>
    <w:rsid w:val="05B95348"/>
    <w:rsid w:val="05C256CE"/>
    <w:rsid w:val="05FD7570"/>
    <w:rsid w:val="062A79BA"/>
    <w:rsid w:val="068B57D7"/>
    <w:rsid w:val="068F7B98"/>
    <w:rsid w:val="069B5EFE"/>
    <w:rsid w:val="06C641FF"/>
    <w:rsid w:val="06FD402B"/>
    <w:rsid w:val="07093AF9"/>
    <w:rsid w:val="071C3735"/>
    <w:rsid w:val="07211E17"/>
    <w:rsid w:val="072A7F26"/>
    <w:rsid w:val="07456B09"/>
    <w:rsid w:val="074D5F8C"/>
    <w:rsid w:val="07515C84"/>
    <w:rsid w:val="07544E70"/>
    <w:rsid w:val="077536BF"/>
    <w:rsid w:val="07A17665"/>
    <w:rsid w:val="07A373A0"/>
    <w:rsid w:val="07C17135"/>
    <w:rsid w:val="07CD6628"/>
    <w:rsid w:val="08057F55"/>
    <w:rsid w:val="083E569C"/>
    <w:rsid w:val="08541DC3"/>
    <w:rsid w:val="0859099B"/>
    <w:rsid w:val="087A509D"/>
    <w:rsid w:val="08BC334F"/>
    <w:rsid w:val="08DE243F"/>
    <w:rsid w:val="08F11615"/>
    <w:rsid w:val="08F73299"/>
    <w:rsid w:val="08F85DE7"/>
    <w:rsid w:val="09106016"/>
    <w:rsid w:val="091229E0"/>
    <w:rsid w:val="094D26CC"/>
    <w:rsid w:val="09706C12"/>
    <w:rsid w:val="09A51698"/>
    <w:rsid w:val="09A97382"/>
    <w:rsid w:val="09B237F8"/>
    <w:rsid w:val="09B42CAF"/>
    <w:rsid w:val="09BA6BD8"/>
    <w:rsid w:val="09BD4AD1"/>
    <w:rsid w:val="09C27281"/>
    <w:rsid w:val="09DC4816"/>
    <w:rsid w:val="09F1736A"/>
    <w:rsid w:val="0A301764"/>
    <w:rsid w:val="0A6715D1"/>
    <w:rsid w:val="0A700DC2"/>
    <w:rsid w:val="0ADC4C40"/>
    <w:rsid w:val="0AF80468"/>
    <w:rsid w:val="0AF87842"/>
    <w:rsid w:val="0B1329EA"/>
    <w:rsid w:val="0B324EBA"/>
    <w:rsid w:val="0B4C330B"/>
    <w:rsid w:val="0B537E59"/>
    <w:rsid w:val="0B5A5729"/>
    <w:rsid w:val="0B6C2D46"/>
    <w:rsid w:val="0B81405D"/>
    <w:rsid w:val="0B85384F"/>
    <w:rsid w:val="0B9923D6"/>
    <w:rsid w:val="0BBD2C1D"/>
    <w:rsid w:val="0BF74A43"/>
    <w:rsid w:val="0C1075F3"/>
    <w:rsid w:val="0C147C9B"/>
    <w:rsid w:val="0C2B7A43"/>
    <w:rsid w:val="0C3225CE"/>
    <w:rsid w:val="0C575A2B"/>
    <w:rsid w:val="0C7913D4"/>
    <w:rsid w:val="0C7F5751"/>
    <w:rsid w:val="0C983A13"/>
    <w:rsid w:val="0CCC49CD"/>
    <w:rsid w:val="0CD72852"/>
    <w:rsid w:val="0CEB48C6"/>
    <w:rsid w:val="0CF45FEB"/>
    <w:rsid w:val="0CF55212"/>
    <w:rsid w:val="0D132607"/>
    <w:rsid w:val="0D1C2710"/>
    <w:rsid w:val="0D2C5861"/>
    <w:rsid w:val="0D2E23AE"/>
    <w:rsid w:val="0D454C85"/>
    <w:rsid w:val="0D6A1D33"/>
    <w:rsid w:val="0D6C1C75"/>
    <w:rsid w:val="0D815DA0"/>
    <w:rsid w:val="0DA57C46"/>
    <w:rsid w:val="0DB078BC"/>
    <w:rsid w:val="0DE7046B"/>
    <w:rsid w:val="0E2678CE"/>
    <w:rsid w:val="0E3A421F"/>
    <w:rsid w:val="0E3E0C17"/>
    <w:rsid w:val="0E445165"/>
    <w:rsid w:val="0E4C77BA"/>
    <w:rsid w:val="0E7017E5"/>
    <w:rsid w:val="0E86149B"/>
    <w:rsid w:val="0E88076F"/>
    <w:rsid w:val="0EB77EA6"/>
    <w:rsid w:val="0EB92B14"/>
    <w:rsid w:val="0F0A7425"/>
    <w:rsid w:val="0F1C1D47"/>
    <w:rsid w:val="0F2303C8"/>
    <w:rsid w:val="0F746F57"/>
    <w:rsid w:val="0F8600D8"/>
    <w:rsid w:val="101B2C90"/>
    <w:rsid w:val="101D4311"/>
    <w:rsid w:val="10212061"/>
    <w:rsid w:val="10764652"/>
    <w:rsid w:val="107C1B5C"/>
    <w:rsid w:val="10AE4DD4"/>
    <w:rsid w:val="10BA65C5"/>
    <w:rsid w:val="10F43240"/>
    <w:rsid w:val="111453A4"/>
    <w:rsid w:val="111C2969"/>
    <w:rsid w:val="11341788"/>
    <w:rsid w:val="113C6EC0"/>
    <w:rsid w:val="114567A8"/>
    <w:rsid w:val="116D39BC"/>
    <w:rsid w:val="117270CC"/>
    <w:rsid w:val="11F519AB"/>
    <w:rsid w:val="125D0AC8"/>
    <w:rsid w:val="126F369B"/>
    <w:rsid w:val="12843161"/>
    <w:rsid w:val="12BC4752"/>
    <w:rsid w:val="12BD5880"/>
    <w:rsid w:val="12E828EE"/>
    <w:rsid w:val="12E84535"/>
    <w:rsid w:val="12F22DD0"/>
    <w:rsid w:val="1308332A"/>
    <w:rsid w:val="13277D85"/>
    <w:rsid w:val="136C4D2F"/>
    <w:rsid w:val="13A45E7F"/>
    <w:rsid w:val="13DD50F1"/>
    <w:rsid w:val="14006378"/>
    <w:rsid w:val="140077F7"/>
    <w:rsid w:val="14096D54"/>
    <w:rsid w:val="14211A58"/>
    <w:rsid w:val="143B7C6B"/>
    <w:rsid w:val="14754E1D"/>
    <w:rsid w:val="14A360C7"/>
    <w:rsid w:val="14C261D0"/>
    <w:rsid w:val="14D21C64"/>
    <w:rsid w:val="14D56272"/>
    <w:rsid w:val="14F71E01"/>
    <w:rsid w:val="14F9595C"/>
    <w:rsid w:val="150B24FB"/>
    <w:rsid w:val="153F4CB6"/>
    <w:rsid w:val="157F2BFB"/>
    <w:rsid w:val="15883DC5"/>
    <w:rsid w:val="158F70CA"/>
    <w:rsid w:val="15AA7F11"/>
    <w:rsid w:val="15C73C77"/>
    <w:rsid w:val="15CF7FBC"/>
    <w:rsid w:val="15DA749F"/>
    <w:rsid w:val="15E06857"/>
    <w:rsid w:val="15E41F2D"/>
    <w:rsid w:val="160E413B"/>
    <w:rsid w:val="165B3418"/>
    <w:rsid w:val="165B7952"/>
    <w:rsid w:val="167C1D16"/>
    <w:rsid w:val="16930CA0"/>
    <w:rsid w:val="16A70F65"/>
    <w:rsid w:val="16BD10D5"/>
    <w:rsid w:val="16C23BE5"/>
    <w:rsid w:val="16C337C5"/>
    <w:rsid w:val="16E81796"/>
    <w:rsid w:val="17083A28"/>
    <w:rsid w:val="170D5088"/>
    <w:rsid w:val="17203F53"/>
    <w:rsid w:val="17242EF9"/>
    <w:rsid w:val="17293597"/>
    <w:rsid w:val="172C7455"/>
    <w:rsid w:val="1741679D"/>
    <w:rsid w:val="17433DB0"/>
    <w:rsid w:val="17567FB8"/>
    <w:rsid w:val="176664C2"/>
    <w:rsid w:val="178F6C87"/>
    <w:rsid w:val="17B62490"/>
    <w:rsid w:val="17C94DE5"/>
    <w:rsid w:val="180820B7"/>
    <w:rsid w:val="18087426"/>
    <w:rsid w:val="18212797"/>
    <w:rsid w:val="182B64F9"/>
    <w:rsid w:val="18336FDC"/>
    <w:rsid w:val="184330CB"/>
    <w:rsid w:val="18520F91"/>
    <w:rsid w:val="18A80E63"/>
    <w:rsid w:val="18B91260"/>
    <w:rsid w:val="18BD4737"/>
    <w:rsid w:val="190B4068"/>
    <w:rsid w:val="19265247"/>
    <w:rsid w:val="195B493E"/>
    <w:rsid w:val="19730E71"/>
    <w:rsid w:val="1974129E"/>
    <w:rsid w:val="198A5B72"/>
    <w:rsid w:val="19A317CF"/>
    <w:rsid w:val="19A45BF7"/>
    <w:rsid w:val="19A814DD"/>
    <w:rsid w:val="19EF7609"/>
    <w:rsid w:val="19F40E13"/>
    <w:rsid w:val="1A0F4A4C"/>
    <w:rsid w:val="1A3839BD"/>
    <w:rsid w:val="1A446E12"/>
    <w:rsid w:val="1A644F8D"/>
    <w:rsid w:val="1A722567"/>
    <w:rsid w:val="1A92688F"/>
    <w:rsid w:val="1AAD3340"/>
    <w:rsid w:val="1AAE0207"/>
    <w:rsid w:val="1B3941FF"/>
    <w:rsid w:val="1B433F5C"/>
    <w:rsid w:val="1B62224F"/>
    <w:rsid w:val="1B7F7954"/>
    <w:rsid w:val="1B894FC2"/>
    <w:rsid w:val="1B902559"/>
    <w:rsid w:val="1B9214DF"/>
    <w:rsid w:val="1B9D1CD5"/>
    <w:rsid w:val="1BB100E0"/>
    <w:rsid w:val="1BC0575A"/>
    <w:rsid w:val="1BE866EF"/>
    <w:rsid w:val="1BFF2B45"/>
    <w:rsid w:val="1C131803"/>
    <w:rsid w:val="1C251A1A"/>
    <w:rsid w:val="1C413F9F"/>
    <w:rsid w:val="1C5554AE"/>
    <w:rsid w:val="1C6B7162"/>
    <w:rsid w:val="1C962037"/>
    <w:rsid w:val="1CAC1C78"/>
    <w:rsid w:val="1CB9065C"/>
    <w:rsid w:val="1CD9678D"/>
    <w:rsid w:val="1CFA1AA4"/>
    <w:rsid w:val="1D0B5986"/>
    <w:rsid w:val="1D123EE6"/>
    <w:rsid w:val="1D1D1252"/>
    <w:rsid w:val="1D202354"/>
    <w:rsid w:val="1D8C0C22"/>
    <w:rsid w:val="1D921D91"/>
    <w:rsid w:val="1DB06621"/>
    <w:rsid w:val="1DB95FC9"/>
    <w:rsid w:val="1DC24BBC"/>
    <w:rsid w:val="1DD17CDB"/>
    <w:rsid w:val="1DDE4D47"/>
    <w:rsid w:val="1DFB7B80"/>
    <w:rsid w:val="1E0B6158"/>
    <w:rsid w:val="1E503C5F"/>
    <w:rsid w:val="1E77457E"/>
    <w:rsid w:val="1E802E59"/>
    <w:rsid w:val="1E8E0E94"/>
    <w:rsid w:val="1E9345BF"/>
    <w:rsid w:val="1EA07155"/>
    <w:rsid w:val="1EA8211A"/>
    <w:rsid w:val="1EBD4EDA"/>
    <w:rsid w:val="1ED04ED3"/>
    <w:rsid w:val="1F170236"/>
    <w:rsid w:val="1F3C1D2A"/>
    <w:rsid w:val="1F517545"/>
    <w:rsid w:val="1F5C1E49"/>
    <w:rsid w:val="1F6033CF"/>
    <w:rsid w:val="1F7052B1"/>
    <w:rsid w:val="1F9C3814"/>
    <w:rsid w:val="1FA238DF"/>
    <w:rsid w:val="1FF04B3F"/>
    <w:rsid w:val="1FF057CA"/>
    <w:rsid w:val="20433A82"/>
    <w:rsid w:val="20A60F46"/>
    <w:rsid w:val="20A815F1"/>
    <w:rsid w:val="20A81D5C"/>
    <w:rsid w:val="20AB53D1"/>
    <w:rsid w:val="20CB3469"/>
    <w:rsid w:val="20E42610"/>
    <w:rsid w:val="21294490"/>
    <w:rsid w:val="21374BB6"/>
    <w:rsid w:val="21437012"/>
    <w:rsid w:val="214954E7"/>
    <w:rsid w:val="21AA35FA"/>
    <w:rsid w:val="21AE36A5"/>
    <w:rsid w:val="21BC548E"/>
    <w:rsid w:val="21D86947"/>
    <w:rsid w:val="21FA69A5"/>
    <w:rsid w:val="21FF7039"/>
    <w:rsid w:val="22231284"/>
    <w:rsid w:val="22266BA4"/>
    <w:rsid w:val="2299170B"/>
    <w:rsid w:val="229D2111"/>
    <w:rsid w:val="22D025F0"/>
    <w:rsid w:val="22D86721"/>
    <w:rsid w:val="22DD1D7A"/>
    <w:rsid w:val="23092C58"/>
    <w:rsid w:val="231B0731"/>
    <w:rsid w:val="231C43E2"/>
    <w:rsid w:val="232258BF"/>
    <w:rsid w:val="232924D6"/>
    <w:rsid w:val="233C6A12"/>
    <w:rsid w:val="234027C6"/>
    <w:rsid w:val="234557D2"/>
    <w:rsid w:val="237A0071"/>
    <w:rsid w:val="23863727"/>
    <w:rsid w:val="238762F0"/>
    <w:rsid w:val="23BB69CB"/>
    <w:rsid w:val="23EC411B"/>
    <w:rsid w:val="23EE34C2"/>
    <w:rsid w:val="244D3B5E"/>
    <w:rsid w:val="24511AFA"/>
    <w:rsid w:val="246D411F"/>
    <w:rsid w:val="24706766"/>
    <w:rsid w:val="2491083A"/>
    <w:rsid w:val="24AA4B91"/>
    <w:rsid w:val="24D0064E"/>
    <w:rsid w:val="24D303E4"/>
    <w:rsid w:val="24D93430"/>
    <w:rsid w:val="250A576D"/>
    <w:rsid w:val="251D65FD"/>
    <w:rsid w:val="25370C68"/>
    <w:rsid w:val="253C5C6D"/>
    <w:rsid w:val="253F464D"/>
    <w:rsid w:val="25525615"/>
    <w:rsid w:val="256B74AB"/>
    <w:rsid w:val="256F2C91"/>
    <w:rsid w:val="258C0D52"/>
    <w:rsid w:val="259C5A3E"/>
    <w:rsid w:val="259E7CBF"/>
    <w:rsid w:val="25A95CC8"/>
    <w:rsid w:val="25D562EF"/>
    <w:rsid w:val="25EB3D14"/>
    <w:rsid w:val="260F1982"/>
    <w:rsid w:val="26227A66"/>
    <w:rsid w:val="26441AA1"/>
    <w:rsid w:val="26736C3C"/>
    <w:rsid w:val="26796CEC"/>
    <w:rsid w:val="267E23F4"/>
    <w:rsid w:val="268C3DF8"/>
    <w:rsid w:val="26BF0BF4"/>
    <w:rsid w:val="26C74C0B"/>
    <w:rsid w:val="26F06449"/>
    <w:rsid w:val="26FE297E"/>
    <w:rsid w:val="27103074"/>
    <w:rsid w:val="2720296F"/>
    <w:rsid w:val="273E504B"/>
    <w:rsid w:val="274225FA"/>
    <w:rsid w:val="2762281F"/>
    <w:rsid w:val="278943E2"/>
    <w:rsid w:val="2799177E"/>
    <w:rsid w:val="27BB1EE9"/>
    <w:rsid w:val="27C13D0F"/>
    <w:rsid w:val="27F14466"/>
    <w:rsid w:val="28025904"/>
    <w:rsid w:val="280F6FB3"/>
    <w:rsid w:val="281A663B"/>
    <w:rsid w:val="2836286D"/>
    <w:rsid w:val="28364705"/>
    <w:rsid w:val="284441AD"/>
    <w:rsid w:val="284941C1"/>
    <w:rsid w:val="285909E4"/>
    <w:rsid w:val="285E466E"/>
    <w:rsid w:val="286538ED"/>
    <w:rsid w:val="28740708"/>
    <w:rsid w:val="289152BA"/>
    <w:rsid w:val="28A70F50"/>
    <w:rsid w:val="28E54EF9"/>
    <w:rsid w:val="28F8270D"/>
    <w:rsid w:val="294A3D8F"/>
    <w:rsid w:val="29654C46"/>
    <w:rsid w:val="2974318B"/>
    <w:rsid w:val="29747011"/>
    <w:rsid w:val="297D4A86"/>
    <w:rsid w:val="299801AF"/>
    <w:rsid w:val="299B4C8C"/>
    <w:rsid w:val="29B40136"/>
    <w:rsid w:val="29C72C13"/>
    <w:rsid w:val="29D912DB"/>
    <w:rsid w:val="2A3B46F6"/>
    <w:rsid w:val="2A717854"/>
    <w:rsid w:val="2A7D597F"/>
    <w:rsid w:val="2A8E1343"/>
    <w:rsid w:val="2AA72E26"/>
    <w:rsid w:val="2ACA179D"/>
    <w:rsid w:val="2AF47A71"/>
    <w:rsid w:val="2AF6738C"/>
    <w:rsid w:val="2AFA617B"/>
    <w:rsid w:val="2B075481"/>
    <w:rsid w:val="2B391110"/>
    <w:rsid w:val="2B7A6745"/>
    <w:rsid w:val="2BA2790D"/>
    <w:rsid w:val="2BA55D17"/>
    <w:rsid w:val="2BAB7F4A"/>
    <w:rsid w:val="2BBE0A8C"/>
    <w:rsid w:val="2BBE1065"/>
    <w:rsid w:val="2BC62895"/>
    <w:rsid w:val="2BD36B1B"/>
    <w:rsid w:val="2C1315B3"/>
    <w:rsid w:val="2C2309D5"/>
    <w:rsid w:val="2C7300A4"/>
    <w:rsid w:val="2C806DB5"/>
    <w:rsid w:val="2CAD10CD"/>
    <w:rsid w:val="2CB07237"/>
    <w:rsid w:val="2CB97C93"/>
    <w:rsid w:val="2CC54A3D"/>
    <w:rsid w:val="2CDC4245"/>
    <w:rsid w:val="2CE11357"/>
    <w:rsid w:val="2D006D21"/>
    <w:rsid w:val="2D0B44AF"/>
    <w:rsid w:val="2D5F70FE"/>
    <w:rsid w:val="2D6A2154"/>
    <w:rsid w:val="2D751AA8"/>
    <w:rsid w:val="2D965AAF"/>
    <w:rsid w:val="2E0A2326"/>
    <w:rsid w:val="2E2C2312"/>
    <w:rsid w:val="2E39277E"/>
    <w:rsid w:val="2E8071C4"/>
    <w:rsid w:val="2E9965A5"/>
    <w:rsid w:val="2EC64D93"/>
    <w:rsid w:val="2EC8210B"/>
    <w:rsid w:val="2ED111AD"/>
    <w:rsid w:val="2ED14C14"/>
    <w:rsid w:val="2ED5627D"/>
    <w:rsid w:val="2EDF158B"/>
    <w:rsid w:val="2EE71E88"/>
    <w:rsid w:val="2F1C7328"/>
    <w:rsid w:val="2F2C10DE"/>
    <w:rsid w:val="2F3B1205"/>
    <w:rsid w:val="2F3C3327"/>
    <w:rsid w:val="2F55279C"/>
    <w:rsid w:val="2F5A6305"/>
    <w:rsid w:val="2F7D66A7"/>
    <w:rsid w:val="2F815651"/>
    <w:rsid w:val="2F9731CD"/>
    <w:rsid w:val="2FAE7642"/>
    <w:rsid w:val="2FAF1DBA"/>
    <w:rsid w:val="2FCA20A9"/>
    <w:rsid w:val="2FE47AB9"/>
    <w:rsid w:val="2FEE4F1B"/>
    <w:rsid w:val="2FF74246"/>
    <w:rsid w:val="2FF81E1C"/>
    <w:rsid w:val="3010726F"/>
    <w:rsid w:val="30172CC5"/>
    <w:rsid w:val="301764F6"/>
    <w:rsid w:val="3044361D"/>
    <w:rsid w:val="307444D8"/>
    <w:rsid w:val="30972D5D"/>
    <w:rsid w:val="30B5646C"/>
    <w:rsid w:val="30B9227C"/>
    <w:rsid w:val="30DC28E8"/>
    <w:rsid w:val="30F42374"/>
    <w:rsid w:val="30F66B85"/>
    <w:rsid w:val="30FB5DB4"/>
    <w:rsid w:val="314A45AB"/>
    <w:rsid w:val="31576816"/>
    <w:rsid w:val="316270C5"/>
    <w:rsid w:val="316B5E61"/>
    <w:rsid w:val="317C637A"/>
    <w:rsid w:val="31A139A2"/>
    <w:rsid w:val="31B23B03"/>
    <w:rsid w:val="31DB0F05"/>
    <w:rsid w:val="31EF7C5E"/>
    <w:rsid w:val="32190259"/>
    <w:rsid w:val="324D6306"/>
    <w:rsid w:val="327F72D2"/>
    <w:rsid w:val="328D70DA"/>
    <w:rsid w:val="32A53550"/>
    <w:rsid w:val="32A55D4B"/>
    <w:rsid w:val="32B23CBF"/>
    <w:rsid w:val="32EC1765"/>
    <w:rsid w:val="32F343DE"/>
    <w:rsid w:val="33036367"/>
    <w:rsid w:val="333A0B2A"/>
    <w:rsid w:val="333B632D"/>
    <w:rsid w:val="335C6297"/>
    <w:rsid w:val="335E5E64"/>
    <w:rsid w:val="33D868D2"/>
    <w:rsid w:val="33EB1FD8"/>
    <w:rsid w:val="3491276D"/>
    <w:rsid w:val="34933CC5"/>
    <w:rsid w:val="34A1034F"/>
    <w:rsid w:val="34A9575D"/>
    <w:rsid w:val="34C0598A"/>
    <w:rsid w:val="34D47344"/>
    <w:rsid w:val="34DB5D2F"/>
    <w:rsid w:val="34DC7B5B"/>
    <w:rsid w:val="34EA6BAC"/>
    <w:rsid w:val="34F125D9"/>
    <w:rsid w:val="35183010"/>
    <w:rsid w:val="35230488"/>
    <w:rsid w:val="353A1731"/>
    <w:rsid w:val="35492837"/>
    <w:rsid w:val="355C796F"/>
    <w:rsid w:val="356D6A1B"/>
    <w:rsid w:val="358771C0"/>
    <w:rsid w:val="35B76D70"/>
    <w:rsid w:val="35F675CE"/>
    <w:rsid w:val="35FE00E6"/>
    <w:rsid w:val="35FE4FEA"/>
    <w:rsid w:val="362A560D"/>
    <w:rsid w:val="36372699"/>
    <w:rsid w:val="36630F0B"/>
    <w:rsid w:val="36A30F50"/>
    <w:rsid w:val="36CB2C48"/>
    <w:rsid w:val="371F258C"/>
    <w:rsid w:val="372A792B"/>
    <w:rsid w:val="373B7FFB"/>
    <w:rsid w:val="376126F6"/>
    <w:rsid w:val="377163F5"/>
    <w:rsid w:val="37883C61"/>
    <w:rsid w:val="378D7AA8"/>
    <w:rsid w:val="379B7D59"/>
    <w:rsid w:val="37B026EC"/>
    <w:rsid w:val="37B8585C"/>
    <w:rsid w:val="37CA694C"/>
    <w:rsid w:val="38004816"/>
    <w:rsid w:val="38145864"/>
    <w:rsid w:val="382621E8"/>
    <w:rsid w:val="383C324A"/>
    <w:rsid w:val="384509EC"/>
    <w:rsid w:val="3868060C"/>
    <w:rsid w:val="386B56F7"/>
    <w:rsid w:val="388E13F3"/>
    <w:rsid w:val="38BF609C"/>
    <w:rsid w:val="38DD1B42"/>
    <w:rsid w:val="39177270"/>
    <w:rsid w:val="39455DFF"/>
    <w:rsid w:val="395227F9"/>
    <w:rsid w:val="39603226"/>
    <w:rsid w:val="396A1C45"/>
    <w:rsid w:val="39E52033"/>
    <w:rsid w:val="39EC6CD3"/>
    <w:rsid w:val="39FA44D2"/>
    <w:rsid w:val="3A654970"/>
    <w:rsid w:val="3A655877"/>
    <w:rsid w:val="3AC23405"/>
    <w:rsid w:val="3AC37D09"/>
    <w:rsid w:val="3B1C0FD1"/>
    <w:rsid w:val="3B21695B"/>
    <w:rsid w:val="3B2E23FE"/>
    <w:rsid w:val="3B37083A"/>
    <w:rsid w:val="3B376574"/>
    <w:rsid w:val="3B3E30F4"/>
    <w:rsid w:val="3B4503F6"/>
    <w:rsid w:val="3B4D61E4"/>
    <w:rsid w:val="3B5C7359"/>
    <w:rsid w:val="3B9467E1"/>
    <w:rsid w:val="3B9650B3"/>
    <w:rsid w:val="3BA44259"/>
    <w:rsid w:val="3BA7425A"/>
    <w:rsid w:val="3BA93E80"/>
    <w:rsid w:val="3C017F2C"/>
    <w:rsid w:val="3C304E70"/>
    <w:rsid w:val="3CBC1F15"/>
    <w:rsid w:val="3CC94E10"/>
    <w:rsid w:val="3CFD2692"/>
    <w:rsid w:val="3D07004F"/>
    <w:rsid w:val="3D6E756F"/>
    <w:rsid w:val="3D7078CF"/>
    <w:rsid w:val="3D7E3154"/>
    <w:rsid w:val="3D9D1E8B"/>
    <w:rsid w:val="3DB74A9B"/>
    <w:rsid w:val="3DBF6495"/>
    <w:rsid w:val="3DC1017E"/>
    <w:rsid w:val="3DD10835"/>
    <w:rsid w:val="3DFC4317"/>
    <w:rsid w:val="3DFD5365"/>
    <w:rsid w:val="3E0F6794"/>
    <w:rsid w:val="3E2714D1"/>
    <w:rsid w:val="3E44151E"/>
    <w:rsid w:val="3E8E6B06"/>
    <w:rsid w:val="3EF1579B"/>
    <w:rsid w:val="3F3F6EA0"/>
    <w:rsid w:val="3F7D2590"/>
    <w:rsid w:val="3F99087D"/>
    <w:rsid w:val="3FA84F41"/>
    <w:rsid w:val="3FAA34D0"/>
    <w:rsid w:val="3FD130E6"/>
    <w:rsid w:val="3FE20754"/>
    <w:rsid w:val="3FFB605D"/>
    <w:rsid w:val="4004311B"/>
    <w:rsid w:val="40082976"/>
    <w:rsid w:val="401D29B0"/>
    <w:rsid w:val="4031689D"/>
    <w:rsid w:val="403F00BF"/>
    <w:rsid w:val="404D5BC2"/>
    <w:rsid w:val="405313B9"/>
    <w:rsid w:val="408100B9"/>
    <w:rsid w:val="4093553B"/>
    <w:rsid w:val="40970001"/>
    <w:rsid w:val="40970F68"/>
    <w:rsid w:val="40A70DA4"/>
    <w:rsid w:val="40EC1A3D"/>
    <w:rsid w:val="41012F93"/>
    <w:rsid w:val="412829EF"/>
    <w:rsid w:val="41400EBF"/>
    <w:rsid w:val="4179597E"/>
    <w:rsid w:val="419B6EB0"/>
    <w:rsid w:val="41C53ED3"/>
    <w:rsid w:val="41F81C7B"/>
    <w:rsid w:val="41FF3C2E"/>
    <w:rsid w:val="421D7032"/>
    <w:rsid w:val="42297CE3"/>
    <w:rsid w:val="424C136F"/>
    <w:rsid w:val="42A663E9"/>
    <w:rsid w:val="42B17C66"/>
    <w:rsid w:val="42B26917"/>
    <w:rsid w:val="42D240C3"/>
    <w:rsid w:val="42E85BFA"/>
    <w:rsid w:val="42EE5327"/>
    <w:rsid w:val="431A0168"/>
    <w:rsid w:val="432B5FA8"/>
    <w:rsid w:val="433301A2"/>
    <w:rsid w:val="433B3ADC"/>
    <w:rsid w:val="433F4118"/>
    <w:rsid w:val="43931480"/>
    <w:rsid w:val="43E2325F"/>
    <w:rsid w:val="44123A66"/>
    <w:rsid w:val="44143774"/>
    <w:rsid w:val="441C5A01"/>
    <w:rsid w:val="441E6F0D"/>
    <w:rsid w:val="443471B2"/>
    <w:rsid w:val="443657C8"/>
    <w:rsid w:val="44853EC6"/>
    <w:rsid w:val="449C3F9E"/>
    <w:rsid w:val="44C43DB4"/>
    <w:rsid w:val="44DC1F38"/>
    <w:rsid w:val="44DE3CE4"/>
    <w:rsid w:val="450E4D7D"/>
    <w:rsid w:val="45587D11"/>
    <w:rsid w:val="457B5104"/>
    <w:rsid w:val="45815730"/>
    <w:rsid w:val="459A271A"/>
    <w:rsid w:val="45D90E26"/>
    <w:rsid w:val="45DA1B9F"/>
    <w:rsid w:val="45DD47A9"/>
    <w:rsid w:val="45F01A6F"/>
    <w:rsid w:val="45F66EB4"/>
    <w:rsid w:val="46022A3B"/>
    <w:rsid w:val="463E4D86"/>
    <w:rsid w:val="4682052E"/>
    <w:rsid w:val="46A7100C"/>
    <w:rsid w:val="46CB7F03"/>
    <w:rsid w:val="46CE1665"/>
    <w:rsid w:val="46DF745D"/>
    <w:rsid w:val="46EB21E2"/>
    <w:rsid w:val="46EE6A21"/>
    <w:rsid w:val="46F15C32"/>
    <w:rsid w:val="46F63FBF"/>
    <w:rsid w:val="4712549E"/>
    <w:rsid w:val="471D5ABC"/>
    <w:rsid w:val="478B205D"/>
    <w:rsid w:val="47961E43"/>
    <w:rsid w:val="479C53C2"/>
    <w:rsid w:val="47B00F9E"/>
    <w:rsid w:val="47B44167"/>
    <w:rsid w:val="47B523D3"/>
    <w:rsid w:val="47C22D65"/>
    <w:rsid w:val="47D56297"/>
    <w:rsid w:val="47DA18EB"/>
    <w:rsid w:val="47DB44BD"/>
    <w:rsid w:val="48073C62"/>
    <w:rsid w:val="482209F6"/>
    <w:rsid w:val="4833621D"/>
    <w:rsid w:val="48457D12"/>
    <w:rsid w:val="484B0341"/>
    <w:rsid w:val="489A6481"/>
    <w:rsid w:val="48A5745A"/>
    <w:rsid w:val="48BB3308"/>
    <w:rsid w:val="48C73B18"/>
    <w:rsid w:val="48DC0C3E"/>
    <w:rsid w:val="48DE6A8F"/>
    <w:rsid w:val="48E017F2"/>
    <w:rsid w:val="48FC241D"/>
    <w:rsid w:val="499D6421"/>
    <w:rsid w:val="49A11E25"/>
    <w:rsid w:val="49B33E03"/>
    <w:rsid w:val="49BB7C58"/>
    <w:rsid w:val="49C35869"/>
    <w:rsid w:val="49CA1DF3"/>
    <w:rsid w:val="49F46511"/>
    <w:rsid w:val="4A4565F3"/>
    <w:rsid w:val="4A4731F4"/>
    <w:rsid w:val="4A51725E"/>
    <w:rsid w:val="4A5C292B"/>
    <w:rsid w:val="4A5F63A7"/>
    <w:rsid w:val="4A657D8F"/>
    <w:rsid w:val="4A7845F7"/>
    <w:rsid w:val="4AB147C0"/>
    <w:rsid w:val="4AB42233"/>
    <w:rsid w:val="4ABD335F"/>
    <w:rsid w:val="4AC4541E"/>
    <w:rsid w:val="4AD87C5B"/>
    <w:rsid w:val="4AF13092"/>
    <w:rsid w:val="4AFB61C5"/>
    <w:rsid w:val="4B2529B0"/>
    <w:rsid w:val="4B376B8D"/>
    <w:rsid w:val="4B471678"/>
    <w:rsid w:val="4B4D46C1"/>
    <w:rsid w:val="4B511371"/>
    <w:rsid w:val="4B58096A"/>
    <w:rsid w:val="4B5F0DFF"/>
    <w:rsid w:val="4B6B6FFC"/>
    <w:rsid w:val="4B9A1019"/>
    <w:rsid w:val="4B9F7266"/>
    <w:rsid w:val="4BAE290A"/>
    <w:rsid w:val="4BC86344"/>
    <w:rsid w:val="4BEC077C"/>
    <w:rsid w:val="4C2C686A"/>
    <w:rsid w:val="4C3D2D37"/>
    <w:rsid w:val="4C6C78FA"/>
    <w:rsid w:val="4CC05A76"/>
    <w:rsid w:val="4CF01C4D"/>
    <w:rsid w:val="4D0D6756"/>
    <w:rsid w:val="4D1E00F5"/>
    <w:rsid w:val="4D236103"/>
    <w:rsid w:val="4D462E02"/>
    <w:rsid w:val="4D651B91"/>
    <w:rsid w:val="4D706DF5"/>
    <w:rsid w:val="4D8C6782"/>
    <w:rsid w:val="4DA0140E"/>
    <w:rsid w:val="4DA07ECF"/>
    <w:rsid w:val="4E0D123B"/>
    <w:rsid w:val="4E4636CE"/>
    <w:rsid w:val="4E4C1606"/>
    <w:rsid w:val="4E6B7B84"/>
    <w:rsid w:val="4E70690D"/>
    <w:rsid w:val="4E7213D7"/>
    <w:rsid w:val="4E8D3C82"/>
    <w:rsid w:val="4E9E5558"/>
    <w:rsid w:val="4EEB6C28"/>
    <w:rsid w:val="4EF121A2"/>
    <w:rsid w:val="4EF531A7"/>
    <w:rsid w:val="4F115C61"/>
    <w:rsid w:val="4F333A54"/>
    <w:rsid w:val="4F335987"/>
    <w:rsid w:val="4F4148DF"/>
    <w:rsid w:val="4F4767DC"/>
    <w:rsid w:val="4F600C7B"/>
    <w:rsid w:val="4F661645"/>
    <w:rsid w:val="4FBF5225"/>
    <w:rsid w:val="4FC20A67"/>
    <w:rsid w:val="4FCC2D90"/>
    <w:rsid w:val="503E13FB"/>
    <w:rsid w:val="505E1CA9"/>
    <w:rsid w:val="506C18AC"/>
    <w:rsid w:val="50852993"/>
    <w:rsid w:val="51211062"/>
    <w:rsid w:val="512F647A"/>
    <w:rsid w:val="514B1D1E"/>
    <w:rsid w:val="51727848"/>
    <w:rsid w:val="519424D3"/>
    <w:rsid w:val="519E4CAE"/>
    <w:rsid w:val="51AF2837"/>
    <w:rsid w:val="51B20203"/>
    <w:rsid w:val="51BD0923"/>
    <w:rsid w:val="51D4221F"/>
    <w:rsid w:val="51D640F7"/>
    <w:rsid w:val="51F06CE6"/>
    <w:rsid w:val="51FC7EDE"/>
    <w:rsid w:val="520C7760"/>
    <w:rsid w:val="522B2EC9"/>
    <w:rsid w:val="522B5D2B"/>
    <w:rsid w:val="524C328D"/>
    <w:rsid w:val="52503F7F"/>
    <w:rsid w:val="52650588"/>
    <w:rsid w:val="52A46212"/>
    <w:rsid w:val="52BB7C42"/>
    <w:rsid w:val="52D5587C"/>
    <w:rsid w:val="52ED6CA1"/>
    <w:rsid w:val="53427A20"/>
    <w:rsid w:val="537926E8"/>
    <w:rsid w:val="53970962"/>
    <w:rsid w:val="53980081"/>
    <w:rsid w:val="53AB51F7"/>
    <w:rsid w:val="53C9553E"/>
    <w:rsid w:val="53D107FC"/>
    <w:rsid w:val="53EA07AC"/>
    <w:rsid w:val="540D6FC1"/>
    <w:rsid w:val="54114A24"/>
    <w:rsid w:val="5414619C"/>
    <w:rsid w:val="54194A23"/>
    <w:rsid w:val="542217E5"/>
    <w:rsid w:val="543056D6"/>
    <w:rsid w:val="544B472A"/>
    <w:rsid w:val="544B70F9"/>
    <w:rsid w:val="545C6B41"/>
    <w:rsid w:val="54660862"/>
    <w:rsid w:val="548B56D2"/>
    <w:rsid w:val="549C16B5"/>
    <w:rsid w:val="54BC6FF8"/>
    <w:rsid w:val="54BD3531"/>
    <w:rsid w:val="54D35AC2"/>
    <w:rsid w:val="54E91930"/>
    <w:rsid w:val="54F262BE"/>
    <w:rsid w:val="54F77775"/>
    <w:rsid w:val="54FF1DC4"/>
    <w:rsid w:val="55546052"/>
    <w:rsid w:val="556C2145"/>
    <w:rsid w:val="556D7302"/>
    <w:rsid w:val="55C30105"/>
    <w:rsid w:val="55CC5620"/>
    <w:rsid w:val="55F5549B"/>
    <w:rsid w:val="560D75C4"/>
    <w:rsid w:val="562927C7"/>
    <w:rsid w:val="562E76D4"/>
    <w:rsid w:val="563D1026"/>
    <w:rsid w:val="564B490D"/>
    <w:rsid w:val="565D6B25"/>
    <w:rsid w:val="56743E3A"/>
    <w:rsid w:val="568F252E"/>
    <w:rsid w:val="56C27A50"/>
    <w:rsid w:val="57152DD6"/>
    <w:rsid w:val="571C573E"/>
    <w:rsid w:val="571E5C3F"/>
    <w:rsid w:val="574018ED"/>
    <w:rsid w:val="574750BF"/>
    <w:rsid w:val="574C7950"/>
    <w:rsid w:val="57736DDF"/>
    <w:rsid w:val="577E2ACA"/>
    <w:rsid w:val="57A31462"/>
    <w:rsid w:val="57B03381"/>
    <w:rsid w:val="57C87F03"/>
    <w:rsid w:val="57DB4AE5"/>
    <w:rsid w:val="5804447B"/>
    <w:rsid w:val="581D6E5D"/>
    <w:rsid w:val="58266172"/>
    <w:rsid w:val="58305330"/>
    <w:rsid w:val="58386FC3"/>
    <w:rsid w:val="583E10FE"/>
    <w:rsid w:val="584F0F0E"/>
    <w:rsid w:val="58684646"/>
    <w:rsid w:val="58710EA6"/>
    <w:rsid w:val="588D220F"/>
    <w:rsid w:val="58F6457E"/>
    <w:rsid w:val="58F87351"/>
    <w:rsid w:val="59104AE2"/>
    <w:rsid w:val="59121D3E"/>
    <w:rsid w:val="592262CE"/>
    <w:rsid w:val="592974D9"/>
    <w:rsid w:val="59505517"/>
    <w:rsid w:val="59AB56CA"/>
    <w:rsid w:val="59B51030"/>
    <w:rsid w:val="59CE08B2"/>
    <w:rsid w:val="5A074B8B"/>
    <w:rsid w:val="5A4E2C25"/>
    <w:rsid w:val="5A6445BA"/>
    <w:rsid w:val="5A7A50E9"/>
    <w:rsid w:val="5A941324"/>
    <w:rsid w:val="5AD2052D"/>
    <w:rsid w:val="5B072161"/>
    <w:rsid w:val="5B2026B9"/>
    <w:rsid w:val="5B236B73"/>
    <w:rsid w:val="5B2C2257"/>
    <w:rsid w:val="5B580AFA"/>
    <w:rsid w:val="5B5D6E7B"/>
    <w:rsid w:val="5B6C07C8"/>
    <w:rsid w:val="5B6E2169"/>
    <w:rsid w:val="5BAA5C75"/>
    <w:rsid w:val="5BED1A91"/>
    <w:rsid w:val="5C093E54"/>
    <w:rsid w:val="5C42470C"/>
    <w:rsid w:val="5C5F606D"/>
    <w:rsid w:val="5C7638F0"/>
    <w:rsid w:val="5C834E93"/>
    <w:rsid w:val="5C874B09"/>
    <w:rsid w:val="5CC979A1"/>
    <w:rsid w:val="5D251566"/>
    <w:rsid w:val="5D363B45"/>
    <w:rsid w:val="5D3B5277"/>
    <w:rsid w:val="5D42669B"/>
    <w:rsid w:val="5D461A6A"/>
    <w:rsid w:val="5DFC4CD8"/>
    <w:rsid w:val="5E081762"/>
    <w:rsid w:val="5E0D79F0"/>
    <w:rsid w:val="5E2A3824"/>
    <w:rsid w:val="5E4D029F"/>
    <w:rsid w:val="5E522E78"/>
    <w:rsid w:val="5E574165"/>
    <w:rsid w:val="5E5E5CFC"/>
    <w:rsid w:val="5E6667A7"/>
    <w:rsid w:val="5E6C62FC"/>
    <w:rsid w:val="5E8E035E"/>
    <w:rsid w:val="5E9267D3"/>
    <w:rsid w:val="5E95589F"/>
    <w:rsid w:val="5E9A4095"/>
    <w:rsid w:val="5EE16518"/>
    <w:rsid w:val="5EEB265D"/>
    <w:rsid w:val="5EED7591"/>
    <w:rsid w:val="5F0D6380"/>
    <w:rsid w:val="5F796CD3"/>
    <w:rsid w:val="5F86062F"/>
    <w:rsid w:val="5FBE61F3"/>
    <w:rsid w:val="5FF32610"/>
    <w:rsid w:val="601D5995"/>
    <w:rsid w:val="605B6B30"/>
    <w:rsid w:val="60661324"/>
    <w:rsid w:val="6070732B"/>
    <w:rsid w:val="607245F5"/>
    <w:rsid w:val="609E7568"/>
    <w:rsid w:val="60A858EE"/>
    <w:rsid w:val="60A95D97"/>
    <w:rsid w:val="60C00B0C"/>
    <w:rsid w:val="611B049F"/>
    <w:rsid w:val="612F0D25"/>
    <w:rsid w:val="615B4074"/>
    <w:rsid w:val="619F326D"/>
    <w:rsid w:val="61B12DBF"/>
    <w:rsid w:val="61C05B4C"/>
    <w:rsid w:val="6257222C"/>
    <w:rsid w:val="62857EAA"/>
    <w:rsid w:val="62906164"/>
    <w:rsid w:val="62BA0377"/>
    <w:rsid w:val="62D605B3"/>
    <w:rsid w:val="630F2C5F"/>
    <w:rsid w:val="63167B04"/>
    <w:rsid w:val="63572C89"/>
    <w:rsid w:val="635A7F16"/>
    <w:rsid w:val="637B246D"/>
    <w:rsid w:val="63911B43"/>
    <w:rsid w:val="63A36F4A"/>
    <w:rsid w:val="63B62565"/>
    <w:rsid w:val="63BF0F29"/>
    <w:rsid w:val="63D16B45"/>
    <w:rsid w:val="63E4583B"/>
    <w:rsid w:val="642B1C43"/>
    <w:rsid w:val="642E3A36"/>
    <w:rsid w:val="643F3EE6"/>
    <w:rsid w:val="648A0E87"/>
    <w:rsid w:val="649832FF"/>
    <w:rsid w:val="64AD13C0"/>
    <w:rsid w:val="64B16E99"/>
    <w:rsid w:val="64E9410D"/>
    <w:rsid w:val="64EA6720"/>
    <w:rsid w:val="64EC59AE"/>
    <w:rsid w:val="651C7286"/>
    <w:rsid w:val="651D2D7A"/>
    <w:rsid w:val="6544035F"/>
    <w:rsid w:val="655C389A"/>
    <w:rsid w:val="65757D3E"/>
    <w:rsid w:val="657E07E0"/>
    <w:rsid w:val="65830C4A"/>
    <w:rsid w:val="659F1720"/>
    <w:rsid w:val="659F1ABA"/>
    <w:rsid w:val="65A04B91"/>
    <w:rsid w:val="65A76E6F"/>
    <w:rsid w:val="65BF2829"/>
    <w:rsid w:val="65CC2B52"/>
    <w:rsid w:val="65CF21FF"/>
    <w:rsid w:val="65D8518B"/>
    <w:rsid w:val="65E10188"/>
    <w:rsid w:val="65E86D47"/>
    <w:rsid w:val="65F823B3"/>
    <w:rsid w:val="66382BF0"/>
    <w:rsid w:val="666C0A93"/>
    <w:rsid w:val="66891C7C"/>
    <w:rsid w:val="66D7112A"/>
    <w:rsid w:val="66ED0C7D"/>
    <w:rsid w:val="66F52245"/>
    <w:rsid w:val="67066B0F"/>
    <w:rsid w:val="67344B84"/>
    <w:rsid w:val="67462490"/>
    <w:rsid w:val="674C3E71"/>
    <w:rsid w:val="674E5198"/>
    <w:rsid w:val="676D6F8E"/>
    <w:rsid w:val="677D1A07"/>
    <w:rsid w:val="67852638"/>
    <w:rsid w:val="67933D67"/>
    <w:rsid w:val="67C22056"/>
    <w:rsid w:val="680067D2"/>
    <w:rsid w:val="681B0C81"/>
    <w:rsid w:val="68492A29"/>
    <w:rsid w:val="685170AF"/>
    <w:rsid w:val="685955AD"/>
    <w:rsid w:val="685D6C1E"/>
    <w:rsid w:val="68601F9D"/>
    <w:rsid w:val="686834C0"/>
    <w:rsid w:val="68747770"/>
    <w:rsid w:val="68750C46"/>
    <w:rsid w:val="6886405A"/>
    <w:rsid w:val="68890FB5"/>
    <w:rsid w:val="68B16275"/>
    <w:rsid w:val="68C13568"/>
    <w:rsid w:val="68F031C6"/>
    <w:rsid w:val="691B5EBF"/>
    <w:rsid w:val="694318B2"/>
    <w:rsid w:val="69440A2A"/>
    <w:rsid w:val="69453971"/>
    <w:rsid w:val="6993499A"/>
    <w:rsid w:val="699723F0"/>
    <w:rsid w:val="69A64742"/>
    <w:rsid w:val="69AF5BD5"/>
    <w:rsid w:val="69DF0874"/>
    <w:rsid w:val="69F04C0C"/>
    <w:rsid w:val="6A1C5E4F"/>
    <w:rsid w:val="6A4C700D"/>
    <w:rsid w:val="6A512A4D"/>
    <w:rsid w:val="6A646C4C"/>
    <w:rsid w:val="6A6F2214"/>
    <w:rsid w:val="6A8B05D0"/>
    <w:rsid w:val="6A9B59E0"/>
    <w:rsid w:val="6AB50B81"/>
    <w:rsid w:val="6AB874AC"/>
    <w:rsid w:val="6AC765A6"/>
    <w:rsid w:val="6AFD313E"/>
    <w:rsid w:val="6B1E0666"/>
    <w:rsid w:val="6B1F2C20"/>
    <w:rsid w:val="6B71399E"/>
    <w:rsid w:val="6B736A31"/>
    <w:rsid w:val="6B7A3399"/>
    <w:rsid w:val="6B8D07D9"/>
    <w:rsid w:val="6BC30BA9"/>
    <w:rsid w:val="6BCE6F13"/>
    <w:rsid w:val="6BD5370D"/>
    <w:rsid w:val="6BDA7BC1"/>
    <w:rsid w:val="6BE40612"/>
    <w:rsid w:val="6BEF2B19"/>
    <w:rsid w:val="6C05069A"/>
    <w:rsid w:val="6C0E61ED"/>
    <w:rsid w:val="6C18581F"/>
    <w:rsid w:val="6C1B6643"/>
    <w:rsid w:val="6C306342"/>
    <w:rsid w:val="6C49467F"/>
    <w:rsid w:val="6C4F7ED4"/>
    <w:rsid w:val="6C5E6790"/>
    <w:rsid w:val="6C635942"/>
    <w:rsid w:val="6C8F1F5F"/>
    <w:rsid w:val="6C902CB5"/>
    <w:rsid w:val="6CA67038"/>
    <w:rsid w:val="6CDA0CF8"/>
    <w:rsid w:val="6CDC476F"/>
    <w:rsid w:val="6CFE5DB1"/>
    <w:rsid w:val="6D2E594A"/>
    <w:rsid w:val="6D38069A"/>
    <w:rsid w:val="6D616E90"/>
    <w:rsid w:val="6D740C02"/>
    <w:rsid w:val="6DC56E13"/>
    <w:rsid w:val="6E310F47"/>
    <w:rsid w:val="6E37724C"/>
    <w:rsid w:val="6E3A2957"/>
    <w:rsid w:val="6E465389"/>
    <w:rsid w:val="6E7733D4"/>
    <w:rsid w:val="6E947612"/>
    <w:rsid w:val="6E9D3EA2"/>
    <w:rsid w:val="6EA90E47"/>
    <w:rsid w:val="6EB43CEC"/>
    <w:rsid w:val="6EDE521B"/>
    <w:rsid w:val="6F0E1ED8"/>
    <w:rsid w:val="6F6C5DDF"/>
    <w:rsid w:val="6F7522F0"/>
    <w:rsid w:val="6F8B73A8"/>
    <w:rsid w:val="6F9A6ABA"/>
    <w:rsid w:val="6FA05CE1"/>
    <w:rsid w:val="6FA27B3C"/>
    <w:rsid w:val="6FA94D63"/>
    <w:rsid w:val="6FBB4A0E"/>
    <w:rsid w:val="6FE30BAE"/>
    <w:rsid w:val="70171E3E"/>
    <w:rsid w:val="701C001C"/>
    <w:rsid w:val="70206F10"/>
    <w:rsid w:val="7048371A"/>
    <w:rsid w:val="707004CA"/>
    <w:rsid w:val="70772B20"/>
    <w:rsid w:val="7082789B"/>
    <w:rsid w:val="708753E9"/>
    <w:rsid w:val="70930D29"/>
    <w:rsid w:val="70A25F42"/>
    <w:rsid w:val="70ED2290"/>
    <w:rsid w:val="70EE721F"/>
    <w:rsid w:val="70F0615E"/>
    <w:rsid w:val="71110283"/>
    <w:rsid w:val="712B5689"/>
    <w:rsid w:val="71602645"/>
    <w:rsid w:val="71976F62"/>
    <w:rsid w:val="71DE2E87"/>
    <w:rsid w:val="71F84FC6"/>
    <w:rsid w:val="723B6138"/>
    <w:rsid w:val="724E10FA"/>
    <w:rsid w:val="727A7426"/>
    <w:rsid w:val="72880DE0"/>
    <w:rsid w:val="729263B6"/>
    <w:rsid w:val="7299391A"/>
    <w:rsid w:val="72B12F91"/>
    <w:rsid w:val="72E86B17"/>
    <w:rsid w:val="72FE5A82"/>
    <w:rsid w:val="730154FA"/>
    <w:rsid w:val="7302642B"/>
    <w:rsid w:val="7304205F"/>
    <w:rsid w:val="73196DA6"/>
    <w:rsid w:val="73422D14"/>
    <w:rsid w:val="736E0B41"/>
    <w:rsid w:val="737E5F8C"/>
    <w:rsid w:val="738E5E34"/>
    <w:rsid w:val="73B93751"/>
    <w:rsid w:val="73E03285"/>
    <w:rsid w:val="73EB0208"/>
    <w:rsid w:val="740573C2"/>
    <w:rsid w:val="741A2C4F"/>
    <w:rsid w:val="744D673F"/>
    <w:rsid w:val="744F7BC3"/>
    <w:rsid w:val="745C1AE8"/>
    <w:rsid w:val="746C78D8"/>
    <w:rsid w:val="7470437D"/>
    <w:rsid w:val="74997CE5"/>
    <w:rsid w:val="749F0DB9"/>
    <w:rsid w:val="74E9617F"/>
    <w:rsid w:val="758B2BD9"/>
    <w:rsid w:val="759715DA"/>
    <w:rsid w:val="75C94A62"/>
    <w:rsid w:val="762F51D1"/>
    <w:rsid w:val="76385EC8"/>
    <w:rsid w:val="763E4A51"/>
    <w:rsid w:val="764903FB"/>
    <w:rsid w:val="764E4820"/>
    <w:rsid w:val="765016F0"/>
    <w:rsid w:val="765A42BD"/>
    <w:rsid w:val="76677F5F"/>
    <w:rsid w:val="767E2AA2"/>
    <w:rsid w:val="76903C3E"/>
    <w:rsid w:val="76A53264"/>
    <w:rsid w:val="76B82DD4"/>
    <w:rsid w:val="76BE3C38"/>
    <w:rsid w:val="771924BF"/>
    <w:rsid w:val="777D0A87"/>
    <w:rsid w:val="77863116"/>
    <w:rsid w:val="7788322E"/>
    <w:rsid w:val="778B004D"/>
    <w:rsid w:val="779A73EA"/>
    <w:rsid w:val="77C73E5A"/>
    <w:rsid w:val="77D027E3"/>
    <w:rsid w:val="77E84E2B"/>
    <w:rsid w:val="77F57EF8"/>
    <w:rsid w:val="77F840B3"/>
    <w:rsid w:val="77F87833"/>
    <w:rsid w:val="7814058B"/>
    <w:rsid w:val="781B119B"/>
    <w:rsid w:val="784D3E88"/>
    <w:rsid w:val="78545F69"/>
    <w:rsid w:val="785F2B17"/>
    <w:rsid w:val="78674ABD"/>
    <w:rsid w:val="788418F1"/>
    <w:rsid w:val="78975701"/>
    <w:rsid w:val="78B071EB"/>
    <w:rsid w:val="78DC3CC7"/>
    <w:rsid w:val="78DF2745"/>
    <w:rsid w:val="78F94D4A"/>
    <w:rsid w:val="790C59CF"/>
    <w:rsid w:val="7936570B"/>
    <w:rsid w:val="79470E9F"/>
    <w:rsid w:val="79485D74"/>
    <w:rsid w:val="794A1E00"/>
    <w:rsid w:val="79512729"/>
    <w:rsid w:val="79582234"/>
    <w:rsid w:val="79720F59"/>
    <w:rsid w:val="798156E3"/>
    <w:rsid w:val="798A56D4"/>
    <w:rsid w:val="798F1503"/>
    <w:rsid w:val="79A70913"/>
    <w:rsid w:val="79DA7614"/>
    <w:rsid w:val="79E42602"/>
    <w:rsid w:val="79EB5833"/>
    <w:rsid w:val="7A003848"/>
    <w:rsid w:val="7A1E7C48"/>
    <w:rsid w:val="7A2127CA"/>
    <w:rsid w:val="7A277539"/>
    <w:rsid w:val="7A355C67"/>
    <w:rsid w:val="7A7B7E67"/>
    <w:rsid w:val="7A9973BF"/>
    <w:rsid w:val="7ABD51F2"/>
    <w:rsid w:val="7AD979C2"/>
    <w:rsid w:val="7AE10884"/>
    <w:rsid w:val="7AEF07B7"/>
    <w:rsid w:val="7B093745"/>
    <w:rsid w:val="7B4E2FD5"/>
    <w:rsid w:val="7B632644"/>
    <w:rsid w:val="7B7F784B"/>
    <w:rsid w:val="7B812B9D"/>
    <w:rsid w:val="7B8A0C18"/>
    <w:rsid w:val="7BEA1896"/>
    <w:rsid w:val="7C197255"/>
    <w:rsid w:val="7C1B5356"/>
    <w:rsid w:val="7C24767A"/>
    <w:rsid w:val="7C2606B8"/>
    <w:rsid w:val="7C341F5D"/>
    <w:rsid w:val="7C3F7465"/>
    <w:rsid w:val="7C4A314F"/>
    <w:rsid w:val="7C6C0496"/>
    <w:rsid w:val="7C9E3769"/>
    <w:rsid w:val="7CA30803"/>
    <w:rsid w:val="7CB26B00"/>
    <w:rsid w:val="7CCB0EB2"/>
    <w:rsid w:val="7CCC0DB6"/>
    <w:rsid w:val="7CCF0065"/>
    <w:rsid w:val="7D551A57"/>
    <w:rsid w:val="7D703C12"/>
    <w:rsid w:val="7D7F0A69"/>
    <w:rsid w:val="7D89374C"/>
    <w:rsid w:val="7D9F44CF"/>
    <w:rsid w:val="7DB0285B"/>
    <w:rsid w:val="7DB73E45"/>
    <w:rsid w:val="7DBD427A"/>
    <w:rsid w:val="7DBD605A"/>
    <w:rsid w:val="7DC531A0"/>
    <w:rsid w:val="7DE66426"/>
    <w:rsid w:val="7DF5444F"/>
    <w:rsid w:val="7E007170"/>
    <w:rsid w:val="7E051D65"/>
    <w:rsid w:val="7E346AA9"/>
    <w:rsid w:val="7E4C5B67"/>
    <w:rsid w:val="7E4E42E9"/>
    <w:rsid w:val="7E5C5EE6"/>
    <w:rsid w:val="7E6337E7"/>
    <w:rsid w:val="7E7B482A"/>
    <w:rsid w:val="7EA31F1F"/>
    <w:rsid w:val="7EBF205D"/>
    <w:rsid w:val="7EE8426A"/>
    <w:rsid w:val="7EEA6103"/>
    <w:rsid w:val="7EEB5B2D"/>
    <w:rsid w:val="7EEE625A"/>
    <w:rsid w:val="7EF72C43"/>
    <w:rsid w:val="7F045841"/>
    <w:rsid w:val="7F0E2C9C"/>
    <w:rsid w:val="7F101D79"/>
    <w:rsid w:val="7F430930"/>
    <w:rsid w:val="7F80452F"/>
    <w:rsid w:val="7F8773E6"/>
    <w:rsid w:val="7FCB1DF1"/>
    <w:rsid w:val="7FEB42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spacing w:before="100" w:beforeAutospacing="1" w:after="100" w:afterAutospacing="1"/>
      <w:jc w:val="center"/>
      <w:outlineLvl w:val="0"/>
    </w:pPr>
    <w:rPr>
      <w:rFonts w:ascii="宋体" w:hAnsi="Times New Roman"/>
      <w:b/>
      <w:iCs/>
      <w:spacing w:val="8"/>
      <w:sz w:val="36"/>
      <w:szCs w:val="24"/>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40"/>
    <w:qFormat/>
    <w:uiPriority w:val="0"/>
    <w:pPr>
      <w:keepNext/>
      <w:keepLines/>
      <w:spacing w:before="260" w:after="260" w:line="413" w:lineRule="auto"/>
      <w:outlineLvl w:val="2"/>
    </w:pPr>
    <w:rPr>
      <w:rFonts w:ascii="Times New Roman" w:hAnsi="Times New Roman"/>
      <w:b/>
      <w:kern w:val="0"/>
      <w:sz w:val="32"/>
      <w:szCs w:val="20"/>
    </w:rPr>
  </w:style>
  <w:style w:type="paragraph" w:styleId="6">
    <w:name w:val="heading 6"/>
    <w:basedOn w:val="1"/>
    <w:next w:val="1"/>
    <w:qFormat/>
    <w:uiPriority w:val="1"/>
    <w:pPr>
      <w:spacing w:before="26"/>
      <w:ind w:left="238"/>
      <w:outlineLvl w:val="5"/>
    </w:pPr>
    <w:rPr>
      <w:rFonts w:hint="eastAsia" w:ascii="宋体" w:hAnsi="宋体"/>
      <w:b/>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7">
    <w:name w:val="Normal Indent"/>
    <w:basedOn w:val="1"/>
    <w:qFormat/>
    <w:uiPriority w:val="0"/>
    <w:pPr>
      <w:ind w:firstLine="420"/>
    </w:pPr>
    <w:rPr>
      <w:rFonts w:ascii="Times New Roman" w:hAnsi="Times New Roman"/>
      <w:szCs w:val="20"/>
    </w:rPr>
  </w:style>
  <w:style w:type="paragraph" w:styleId="8">
    <w:name w:val="Document Map"/>
    <w:basedOn w:val="1"/>
    <w:link w:val="34"/>
    <w:qFormat/>
    <w:uiPriority w:val="0"/>
    <w:rPr>
      <w:rFonts w:ascii="宋体"/>
      <w:sz w:val="18"/>
      <w:szCs w:val="18"/>
    </w:rPr>
  </w:style>
  <w:style w:type="paragraph" w:styleId="9">
    <w:name w:val="annotation text"/>
    <w:basedOn w:val="1"/>
    <w:link w:val="29"/>
    <w:semiHidden/>
    <w:qFormat/>
    <w:uiPriority w:val="0"/>
    <w:pPr>
      <w:adjustRightInd w:val="0"/>
      <w:spacing w:line="360" w:lineRule="auto"/>
      <w:ind w:firstLine="567"/>
      <w:textAlignment w:val="baseline"/>
    </w:pPr>
    <w:rPr>
      <w:rFonts w:ascii="Times New Roman" w:hAnsi="Times New Roman"/>
      <w:kern w:val="28"/>
      <w:sz w:val="28"/>
      <w:szCs w:val="20"/>
    </w:rPr>
  </w:style>
  <w:style w:type="paragraph" w:styleId="10">
    <w:name w:val="Body Text Indent"/>
    <w:basedOn w:val="1"/>
    <w:qFormat/>
    <w:uiPriority w:val="0"/>
    <w:pPr>
      <w:adjustRightInd w:val="0"/>
      <w:snapToGrid w:val="0"/>
      <w:spacing w:line="360" w:lineRule="auto"/>
      <w:ind w:firstLine="480" w:firstLineChars="200"/>
    </w:pPr>
    <w:rPr>
      <w:sz w:val="24"/>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cs="Courier New"/>
      <w:szCs w:val="21"/>
    </w:rPr>
  </w:style>
  <w:style w:type="paragraph" w:styleId="13">
    <w:name w:val="Body Text Indent 2"/>
    <w:basedOn w:val="1"/>
    <w:qFormat/>
    <w:uiPriority w:val="0"/>
    <w:pPr>
      <w:spacing w:after="120" w:line="480" w:lineRule="auto"/>
      <w:ind w:left="420"/>
    </w:pPr>
    <w:rPr>
      <w:szCs w:val="20"/>
    </w:rPr>
  </w:style>
  <w:style w:type="paragraph" w:styleId="14">
    <w:name w:val="Balloon Text"/>
    <w:basedOn w:val="1"/>
    <w:link w:val="39"/>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0"/>
  </w:style>
  <w:style w:type="paragraph" w:styleId="18">
    <w:name w:val="List"/>
    <w:basedOn w:val="1"/>
    <w:unhideWhenUsed/>
    <w:qFormat/>
    <w:uiPriority w:val="99"/>
    <w:pPr>
      <w:ind w:left="200" w:hanging="200" w:hangingChars="200"/>
      <w:contextualSpacing/>
    </w:pPr>
  </w:style>
  <w:style w:type="paragraph" w:styleId="19">
    <w:name w:val="toc 2"/>
    <w:basedOn w:val="1"/>
    <w:next w:val="1"/>
    <w:qFormat/>
    <w:uiPriority w:val="0"/>
    <w:pPr>
      <w:ind w:left="420" w:leftChars="200"/>
    </w:pPr>
  </w:style>
  <w:style w:type="paragraph" w:styleId="20">
    <w:name w:val="Body Text 2"/>
    <w:basedOn w:val="1"/>
    <w:qFormat/>
    <w:uiPriority w:val="99"/>
    <w:pPr>
      <w:spacing w:line="360" w:lineRule="auto"/>
    </w:pPr>
    <w:rPr>
      <w:color w:val="000000"/>
      <w:sz w:val="24"/>
    </w:rPr>
  </w:style>
  <w:style w:type="paragraph" w:styleId="21">
    <w:name w:val="Normal (Web)"/>
    <w:basedOn w:val="1"/>
    <w:qFormat/>
    <w:uiPriority w:val="0"/>
    <w:pPr>
      <w:spacing w:before="100" w:beforeAutospacing="1" w:after="100" w:afterAutospacing="1"/>
      <w:jc w:val="left"/>
    </w:pPr>
    <w:rPr>
      <w:kern w:val="0"/>
      <w:sz w:val="24"/>
    </w:rPr>
  </w:style>
  <w:style w:type="paragraph" w:styleId="22">
    <w:name w:val="annotation subject"/>
    <w:basedOn w:val="9"/>
    <w:next w:val="9"/>
    <w:link w:val="31"/>
    <w:qFormat/>
    <w:uiPriority w:val="0"/>
    <w:pPr>
      <w:adjustRightInd/>
      <w:spacing w:line="240" w:lineRule="auto"/>
      <w:ind w:firstLine="0"/>
      <w:jc w:val="left"/>
      <w:textAlignment w:val="auto"/>
    </w:pPr>
    <w:rPr>
      <w:rFonts w:ascii="Calibri" w:hAnsi="Calibri"/>
      <w:b/>
      <w:bCs/>
      <w:kern w:val="2"/>
      <w:sz w:val="21"/>
      <w:szCs w:val="22"/>
    </w:rPr>
  </w:style>
  <w:style w:type="paragraph" w:styleId="23">
    <w:name w:val="Body Text First Indent"/>
    <w:basedOn w:val="2"/>
    <w:qFormat/>
    <w:uiPriority w:val="99"/>
    <w:pPr>
      <w:ind w:firstLine="420" w:firstLineChars="100"/>
    </w:pPr>
  </w:style>
  <w:style w:type="table" w:styleId="25">
    <w:name w:val="Table Grid"/>
    <w:basedOn w:val="2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annotation reference"/>
    <w:basedOn w:val="26"/>
    <w:uiPriority w:val="0"/>
    <w:rPr>
      <w:sz w:val="21"/>
      <w:szCs w:val="21"/>
    </w:rPr>
  </w:style>
  <w:style w:type="character" w:customStyle="1" w:styleId="28">
    <w:name w:val="font01"/>
    <w:basedOn w:val="26"/>
    <w:uiPriority w:val="0"/>
    <w:rPr>
      <w:rFonts w:hint="eastAsia" w:ascii="宋体" w:hAnsi="宋体" w:eastAsia="宋体" w:cs="宋体"/>
      <w:color w:val="000000"/>
      <w:sz w:val="22"/>
      <w:szCs w:val="22"/>
      <w:u w:val="none"/>
    </w:rPr>
  </w:style>
  <w:style w:type="character" w:customStyle="1" w:styleId="29">
    <w:name w:val="批注文字 Char"/>
    <w:basedOn w:val="26"/>
    <w:link w:val="9"/>
    <w:semiHidden/>
    <w:uiPriority w:val="0"/>
    <w:rPr>
      <w:kern w:val="28"/>
      <w:sz w:val="28"/>
    </w:rPr>
  </w:style>
  <w:style w:type="character" w:customStyle="1" w:styleId="30">
    <w:name w:val="样式 宋体 四号"/>
    <w:basedOn w:val="26"/>
    <w:qFormat/>
    <w:uiPriority w:val="0"/>
    <w:rPr>
      <w:rFonts w:ascii="Times New Roman" w:hAnsi="Times New Roman" w:eastAsia="宋体"/>
      <w:sz w:val="28"/>
      <w:szCs w:val="28"/>
    </w:rPr>
  </w:style>
  <w:style w:type="character" w:customStyle="1" w:styleId="31">
    <w:name w:val="批注主题 Char"/>
    <w:basedOn w:val="29"/>
    <w:link w:val="22"/>
    <w:uiPriority w:val="0"/>
  </w:style>
  <w:style w:type="character" w:customStyle="1" w:styleId="32">
    <w:name w:val="正文小四首缩1.3行距 Char"/>
    <w:link w:val="33"/>
    <w:qFormat/>
    <w:uiPriority w:val="0"/>
    <w:rPr>
      <w:rFonts w:ascii="Calibri" w:hAnsi="Calibri" w:eastAsia="Times New Roman"/>
      <w:sz w:val="24"/>
    </w:rPr>
  </w:style>
  <w:style w:type="paragraph" w:customStyle="1" w:styleId="33">
    <w:name w:val="正文小四首缩1.3行距"/>
    <w:basedOn w:val="1"/>
    <w:link w:val="32"/>
    <w:qFormat/>
    <w:uiPriority w:val="0"/>
    <w:pPr>
      <w:spacing w:line="360" w:lineRule="auto"/>
      <w:ind w:firstLine="480" w:firstLineChars="200"/>
    </w:pPr>
    <w:rPr>
      <w:rFonts w:eastAsia="Times New Roman"/>
      <w:kern w:val="0"/>
      <w:sz w:val="24"/>
      <w:szCs w:val="20"/>
    </w:rPr>
  </w:style>
  <w:style w:type="character" w:customStyle="1" w:styleId="34">
    <w:name w:val="文档结构图 Char"/>
    <w:basedOn w:val="26"/>
    <w:link w:val="8"/>
    <w:qFormat/>
    <w:uiPriority w:val="0"/>
    <w:rPr>
      <w:rFonts w:ascii="宋体" w:hAnsi="Calibri"/>
      <w:kern w:val="2"/>
      <w:sz w:val="18"/>
      <w:szCs w:val="18"/>
    </w:rPr>
  </w:style>
  <w:style w:type="character" w:customStyle="1" w:styleId="35">
    <w:name w:val="font41"/>
    <w:basedOn w:val="26"/>
    <w:qFormat/>
    <w:uiPriority w:val="0"/>
    <w:rPr>
      <w:rFonts w:hint="default" w:ascii="Times New Roman" w:hAnsi="Times New Roman" w:cs="Times New Roman"/>
      <w:color w:val="000000"/>
      <w:sz w:val="22"/>
      <w:szCs w:val="22"/>
      <w:u w:val="none"/>
    </w:rPr>
  </w:style>
  <w:style w:type="character" w:customStyle="1" w:styleId="36">
    <w:name w:val="标题 3 Char Char Char Char"/>
    <w:qFormat/>
    <w:uiPriority w:val="0"/>
    <w:rPr>
      <w:rFonts w:eastAsia="宋体"/>
      <w:b/>
      <w:bCs/>
      <w:kern w:val="2"/>
      <w:sz w:val="32"/>
      <w:szCs w:val="32"/>
      <w:lang w:val="en-US" w:eastAsia="zh-CN" w:bidi="ar-SA"/>
    </w:rPr>
  </w:style>
  <w:style w:type="character" w:customStyle="1" w:styleId="37">
    <w:name w:val="font11"/>
    <w:basedOn w:val="26"/>
    <w:qFormat/>
    <w:uiPriority w:val="0"/>
    <w:rPr>
      <w:rFonts w:hint="default" w:ascii="Times New Roman" w:hAnsi="Times New Roman" w:cs="Times New Roman"/>
      <w:color w:val="000000"/>
      <w:sz w:val="22"/>
      <w:szCs w:val="22"/>
      <w:u w:val="none"/>
      <w:vertAlign w:val="superscript"/>
    </w:rPr>
  </w:style>
  <w:style w:type="character" w:customStyle="1" w:styleId="38">
    <w:name w:val="font21"/>
    <w:basedOn w:val="26"/>
    <w:qFormat/>
    <w:uiPriority w:val="0"/>
    <w:rPr>
      <w:rFonts w:hint="default" w:ascii="Times New Roman" w:hAnsi="Times New Roman" w:cs="Times New Roman"/>
      <w:color w:val="000000"/>
      <w:sz w:val="22"/>
      <w:szCs w:val="22"/>
      <w:u w:val="none"/>
    </w:rPr>
  </w:style>
  <w:style w:type="character" w:customStyle="1" w:styleId="39">
    <w:name w:val="批注框文本 Char"/>
    <w:basedOn w:val="26"/>
    <w:link w:val="14"/>
    <w:qFormat/>
    <w:uiPriority w:val="0"/>
    <w:rPr>
      <w:rFonts w:ascii="Calibri" w:hAnsi="Calibri"/>
      <w:kern w:val="2"/>
      <w:sz w:val="18"/>
      <w:szCs w:val="18"/>
    </w:rPr>
  </w:style>
  <w:style w:type="character" w:customStyle="1" w:styleId="40">
    <w:name w:val="标题 3 Char"/>
    <w:link w:val="5"/>
    <w:qFormat/>
    <w:uiPriority w:val="0"/>
    <w:rPr>
      <w:b/>
      <w:sz w:val="32"/>
    </w:rPr>
  </w:style>
  <w:style w:type="character" w:customStyle="1" w:styleId="41">
    <w:name w:val="中文报告书样式 Char1"/>
    <w:link w:val="42"/>
    <w:qFormat/>
    <w:uiPriority w:val="0"/>
    <w:rPr>
      <w:rFonts w:ascii="Calibri" w:hAnsi="Calibri"/>
      <w:kern w:val="24"/>
      <w:sz w:val="24"/>
    </w:rPr>
  </w:style>
  <w:style w:type="paragraph" w:customStyle="1" w:styleId="42">
    <w:name w:val="中文报告书样式"/>
    <w:basedOn w:val="1"/>
    <w:link w:val="41"/>
    <w:qFormat/>
    <w:uiPriority w:val="0"/>
    <w:pPr>
      <w:adjustRightInd w:val="0"/>
      <w:spacing w:line="480" w:lineRule="atLeast"/>
      <w:ind w:firstLine="482"/>
      <w:textAlignment w:val="baseline"/>
    </w:pPr>
    <w:rPr>
      <w:kern w:val="24"/>
      <w:sz w:val="24"/>
      <w:szCs w:val="20"/>
    </w:rPr>
  </w:style>
  <w:style w:type="character" w:customStyle="1" w:styleId="43">
    <w:name w:val="font31"/>
    <w:basedOn w:val="26"/>
    <w:qFormat/>
    <w:uiPriority w:val="0"/>
    <w:rPr>
      <w:rFonts w:hint="default" w:ascii="Times New Roman" w:hAnsi="Times New Roman" w:cs="Times New Roman"/>
      <w:color w:val="000000"/>
      <w:sz w:val="22"/>
      <w:szCs w:val="22"/>
      <w:u w:val="none"/>
    </w:rPr>
  </w:style>
  <w:style w:type="paragraph" w:customStyle="1" w:styleId="44">
    <w:name w:val="韩笑正文"/>
    <w:basedOn w:val="1"/>
    <w:qFormat/>
    <w:uiPriority w:val="0"/>
    <w:pPr>
      <w:spacing w:line="360" w:lineRule="auto"/>
      <w:ind w:firstLine="480" w:firstLineChars="200"/>
    </w:pPr>
    <w:rPr>
      <w:sz w:val="24"/>
      <w:szCs w:val="24"/>
    </w:rPr>
  </w:style>
  <w:style w:type="paragraph" w:customStyle="1" w:styleId="45">
    <w:name w:val="表文字"/>
    <w:basedOn w:val="1"/>
    <w:qFormat/>
    <w:uiPriority w:val="99"/>
    <w:pPr>
      <w:overflowPunct w:val="0"/>
      <w:autoSpaceDE w:val="0"/>
      <w:autoSpaceDN w:val="0"/>
      <w:adjustRightInd w:val="0"/>
      <w:spacing w:line="240" w:lineRule="atLeast"/>
      <w:jc w:val="center"/>
      <w:textAlignment w:val="baseline"/>
    </w:pPr>
    <w:rPr>
      <w:kern w:val="0"/>
      <w:sz w:val="24"/>
      <w:szCs w:val="20"/>
    </w:rPr>
  </w:style>
  <w:style w:type="paragraph" w:customStyle="1" w:styleId="46">
    <w:name w:val="框图（五号）"/>
    <w:basedOn w:val="1"/>
    <w:qFormat/>
    <w:uiPriority w:val="0"/>
    <w:pPr>
      <w:spacing w:line="240" w:lineRule="exact"/>
      <w:jc w:val="center"/>
    </w:pPr>
    <w:rPr>
      <w:szCs w:val="24"/>
    </w:rPr>
  </w:style>
  <w:style w:type="paragraph" w:styleId="47">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表格】"/>
    <w:next w:val="1"/>
    <w:qFormat/>
    <w:uiPriority w:val="0"/>
    <w:pPr>
      <w:spacing w:line="0" w:lineRule="atLeast"/>
      <w:jc w:val="center"/>
    </w:pPr>
    <w:rPr>
      <w:rFonts w:ascii="Calibri" w:hAnsi="Calibri" w:eastAsia="宋体" w:cs="Times New Roman"/>
      <w:sz w:val="21"/>
      <w:szCs w:val="24"/>
      <w:lang w:val="en-US" w:eastAsia="zh-CN" w:bidi="ar-SA"/>
    </w:rPr>
  </w:style>
  <w:style w:type="paragraph" w:customStyle="1" w:styleId="49">
    <w:name w:val="德胜正文"/>
    <w:basedOn w:val="1"/>
    <w:qFormat/>
    <w:uiPriority w:val="0"/>
    <w:pPr>
      <w:snapToGrid w:val="0"/>
      <w:spacing w:line="360" w:lineRule="auto"/>
      <w:ind w:firstLine="200" w:firstLineChars="200"/>
    </w:pPr>
    <w:rPr>
      <w:rFonts w:cs="宋体"/>
      <w:snapToGrid w:val="0"/>
      <w:color w:val="0000FF"/>
      <w:sz w:val="24"/>
      <w:szCs w:val="24"/>
    </w:rPr>
  </w:style>
  <w:style w:type="paragraph" w:customStyle="1" w:styleId="50">
    <w:name w:val="27-正文"/>
    <w:basedOn w:val="1"/>
    <w:qFormat/>
    <w:uiPriority w:val="0"/>
    <w:pPr>
      <w:spacing w:line="540" w:lineRule="exact"/>
      <w:ind w:firstLine="560" w:firstLineChars="200"/>
    </w:pPr>
    <w:rPr>
      <w:sz w:val="28"/>
      <w:szCs w:val="28"/>
    </w:rPr>
  </w:style>
  <w:style w:type="paragraph" w:customStyle="1" w:styleId="51">
    <w:name w:val="kt1"/>
    <w:basedOn w:val="1"/>
    <w:qFormat/>
    <w:uiPriority w:val="0"/>
    <w:pPr>
      <w:adjustRightInd w:val="0"/>
      <w:snapToGrid w:val="0"/>
      <w:jc w:val="center"/>
    </w:pPr>
    <w:rPr>
      <w:rFonts w:ascii="宋体" w:hAnsi="宋体"/>
      <w:szCs w:val="21"/>
    </w:rPr>
  </w:style>
  <w:style w:type="paragraph" w:customStyle="1" w:styleId="52">
    <w:name w:val="样式 黑色 行距: 1.5 倍行距"/>
    <w:basedOn w:val="1"/>
    <w:qFormat/>
    <w:uiPriority w:val="0"/>
    <w:pPr>
      <w:ind w:firstLine="200" w:firstLineChars="200"/>
    </w:pPr>
    <w:rPr>
      <w:rFonts w:cs="宋体"/>
      <w:color w:val="000000"/>
    </w:rPr>
  </w:style>
  <w:style w:type="paragraph" w:customStyle="1" w:styleId="53">
    <w:name w:val="zw1"/>
    <w:basedOn w:val="1"/>
    <w:qFormat/>
    <w:uiPriority w:val="0"/>
    <w:pPr>
      <w:spacing w:line="360" w:lineRule="auto"/>
      <w:ind w:firstLine="482" w:firstLineChars="200"/>
    </w:pPr>
    <w:rPr>
      <w:rFonts w:ascii="宋体" w:hAnsi="仿宋_GB2312"/>
      <w:b/>
      <w:bCs/>
      <w:sz w:val="24"/>
      <w:szCs w:val="30"/>
    </w:rPr>
  </w:style>
  <w:style w:type="paragraph" w:customStyle="1" w:styleId="54">
    <w:name w:val="三道垃圾场封场正文"/>
    <w:basedOn w:val="1"/>
    <w:qFormat/>
    <w:uiPriority w:val="0"/>
    <w:pPr>
      <w:adjustRightInd w:val="0"/>
      <w:snapToGrid w:val="0"/>
      <w:spacing w:line="360" w:lineRule="auto"/>
      <w:ind w:firstLine="640" w:firstLineChars="200"/>
    </w:pPr>
    <w:rPr>
      <w:kern w:val="0"/>
      <w:sz w:val="24"/>
      <w:szCs w:val="24"/>
    </w:rPr>
  </w:style>
  <w:style w:type="paragraph" w:customStyle="1" w:styleId="55">
    <w:name w:val="T正文"/>
    <w:qFormat/>
    <w:uiPriority w:val="99"/>
    <w:pPr>
      <w:widowControl w:val="0"/>
      <w:adjustRightInd w:val="0"/>
      <w:snapToGrid w:val="0"/>
      <w:spacing w:line="360" w:lineRule="auto"/>
      <w:ind w:firstLine="200" w:firstLineChars="200"/>
      <w:jc w:val="both"/>
    </w:pPr>
    <w:rPr>
      <w:rFonts w:ascii="Calibri" w:hAnsi="Calibri" w:eastAsia="仿宋_GB2312" w:cs="Times New Roman"/>
      <w:sz w:val="28"/>
      <w:lang w:val="en-US" w:eastAsia="zh-CN" w:bidi="ar-SA"/>
    </w:rPr>
  </w:style>
  <w:style w:type="paragraph" w:customStyle="1" w:styleId="56">
    <w:name w:val="表格（窄）"/>
    <w:basedOn w:val="1"/>
    <w:qFormat/>
    <w:uiPriority w:val="0"/>
    <w:pPr>
      <w:jc w:val="center"/>
    </w:pPr>
    <w:rPr>
      <w:rFonts w:ascii="Times New Roman" w:hAnsi="Times New Roman"/>
      <w:kern w:val="0"/>
      <w:szCs w:val="24"/>
    </w:rPr>
  </w:style>
  <w:style w:type="paragraph" w:customStyle="1" w:styleId="57">
    <w:name w:val="表格式"/>
    <w:basedOn w:val="18"/>
    <w:qFormat/>
    <w:uiPriority w:val="0"/>
    <w:pPr>
      <w:ind w:left="0" w:firstLine="0" w:firstLineChars="0"/>
      <w:jc w:val="center"/>
    </w:pPr>
    <w:rPr>
      <w:rFonts w:ascii="Times New Roman" w:hAnsi="Times New Roman"/>
      <w:color w:val="000000"/>
      <w:szCs w:val="24"/>
    </w:rPr>
  </w:style>
  <w:style w:type="paragraph" w:customStyle="1" w:styleId="58">
    <w:name w:val="晓丹"/>
    <w:basedOn w:val="23"/>
    <w:qFormat/>
    <w:uiPriority w:val="99"/>
    <w:pPr>
      <w:adjustRightInd w:val="0"/>
      <w:snapToGrid w:val="0"/>
      <w:spacing w:after="0" w:line="360" w:lineRule="auto"/>
      <w:ind w:firstLine="200" w:firstLineChars="200"/>
      <w:textAlignment w:val="baseline"/>
    </w:pPr>
    <w:rPr>
      <w:rFonts w:ascii="宋体" w:hAnsi="宋体"/>
      <w:color w:val="000000"/>
      <w:spacing w:val="6"/>
      <w:kern w:val="0"/>
      <w:sz w:val="24"/>
    </w:rPr>
  </w:style>
  <w:style w:type="paragraph" w:customStyle="1" w:styleId="59">
    <w:name w:val="样式 博士论文标题3 + 段前: 0.2 行 段后: 0.2 行"/>
    <w:basedOn w:val="1"/>
    <w:qFormat/>
    <w:uiPriority w:val="0"/>
    <w:pPr>
      <w:widowControl/>
      <w:spacing w:beforeLines="20" w:afterLines="20" w:line="360" w:lineRule="auto"/>
      <w:jc w:val="left"/>
    </w:pPr>
    <w:rPr>
      <w:rFonts w:ascii="宋体" w:hAnsi="宋体" w:cs="宋体"/>
      <w:kern w:val="0"/>
      <w:sz w:val="28"/>
      <w:szCs w:val="20"/>
    </w:rPr>
  </w:style>
  <w:style w:type="paragraph" w:customStyle="1" w:styleId="60">
    <w:name w:val="编号"/>
    <w:basedOn w:val="1"/>
    <w:qFormat/>
    <w:uiPriority w:val="0"/>
    <w:pPr>
      <w:tabs>
        <w:tab w:val="left" w:pos="620"/>
      </w:tabs>
      <w:spacing w:line="360" w:lineRule="auto"/>
      <w:ind w:firstLine="200" w:firstLineChars="200"/>
    </w:pPr>
    <w:rPr>
      <w:sz w:val="24"/>
    </w:rPr>
  </w:style>
  <w:style w:type="paragraph" w:customStyle="1" w:styleId="61">
    <w:name w:val="样式 正文11 + 首行缩进:  2 字符"/>
    <w:basedOn w:val="1"/>
    <w:unhideWhenUsed/>
    <w:qFormat/>
    <w:uiPriority w:val="0"/>
    <w:pPr>
      <w:spacing w:line="500" w:lineRule="exact"/>
      <w:ind w:firstLine="560" w:firstLineChars="200"/>
    </w:pPr>
    <w:rPr>
      <w:rFonts w:hint="eastAsia" w:ascii="宋体" w:hAnsi="宋体"/>
      <w:color w:val="FF0000"/>
      <w:sz w:val="28"/>
    </w:rPr>
  </w:style>
  <w:style w:type="paragraph" w:customStyle="1" w:styleId="62">
    <w:name w:val="环评正文"/>
    <w:basedOn w:val="1"/>
    <w:qFormat/>
    <w:uiPriority w:val="0"/>
    <w:pPr>
      <w:spacing w:line="360" w:lineRule="auto"/>
      <w:ind w:firstLine="425" w:firstLineChars="177"/>
    </w:pPr>
    <w:rPr>
      <w:rFonts w:ascii="宋体" w:hAnsi="宋体"/>
      <w:sz w:val="24"/>
      <w:szCs w:val="24"/>
    </w:rPr>
  </w:style>
  <w:style w:type="paragraph" w:customStyle="1" w:styleId="6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4">
    <w:name w:val="表内文"/>
    <w:basedOn w:val="1"/>
    <w:qFormat/>
    <w:uiPriority w:val="99"/>
    <w:pPr>
      <w:spacing w:line="320" w:lineRule="atLeast"/>
      <w:jc w:val="center"/>
    </w:pPr>
    <w:rPr>
      <w:szCs w:val="20"/>
    </w:rPr>
  </w:style>
  <w:style w:type="paragraph" w:customStyle="1" w:styleId="6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
    <w:name w:val="WPSOffice手动目录 1"/>
    <w:qFormat/>
    <w:uiPriority w:val="0"/>
    <w:rPr>
      <w:rFonts w:ascii="Times New Roman" w:hAnsi="Times New Roman" w:eastAsia="宋体" w:cs="Times New Roman"/>
      <w:lang w:val="en-US" w:eastAsia="zh-CN" w:bidi="ar-SA"/>
    </w:rPr>
  </w:style>
  <w:style w:type="paragraph" w:customStyle="1" w:styleId="67">
    <w:name w:val="样式1"/>
    <w:basedOn w:val="1"/>
    <w:qFormat/>
    <w:uiPriority w:val="0"/>
    <w:pPr>
      <w:jc w:val="center"/>
    </w:pPr>
    <w:rPr>
      <w:rFonts w:ascii="Times New Roman" w:hAnsi="Times New Roman"/>
    </w:rPr>
  </w:style>
  <w:style w:type="paragraph" w:customStyle="1" w:styleId="68">
    <w:name w:val="韩笑表头"/>
    <w:basedOn w:val="1"/>
    <w:qFormat/>
    <w:uiPriority w:val="0"/>
    <w:pPr>
      <w:jc w:val="center"/>
    </w:pPr>
    <w:rPr>
      <w:b/>
      <w:sz w:val="24"/>
      <w:szCs w:val="24"/>
    </w:rPr>
  </w:style>
  <w:style w:type="paragraph" w:customStyle="1" w:styleId="69">
    <w:name w:val="Table Paragraph"/>
    <w:basedOn w:val="1"/>
    <w:unhideWhenUsed/>
    <w:qFormat/>
    <w:uiPriority w:val="1"/>
    <w:rPr>
      <w:sz w:val="24"/>
    </w:rPr>
  </w:style>
  <w:style w:type="paragraph" w:customStyle="1" w:styleId="70">
    <w:name w:val="WPSOffice手动目录 3"/>
    <w:uiPriority w:val="0"/>
    <w:pPr>
      <w:ind w:left="400" w:leftChars="400"/>
    </w:pPr>
    <w:rPr>
      <w:rFonts w:ascii="Times New Roman" w:hAnsi="Times New Roman" w:eastAsia="宋体" w:cs="Times New Roman"/>
      <w:lang w:val="en-US" w:eastAsia="zh-CN" w:bidi="ar-SA"/>
    </w:rPr>
  </w:style>
  <w:style w:type="paragraph" w:customStyle="1" w:styleId="71">
    <w:name w:val="样式 标题 2H2H21b2第*章标题2标题 11 + 黑色"/>
    <w:basedOn w:val="4"/>
    <w:qFormat/>
    <w:uiPriority w:val="0"/>
    <w:pPr>
      <w:spacing w:line="520" w:lineRule="exact"/>
    </w:pPr>
    <w:rPr>
      <w:color w:val="000000"/>
    </w:rPr>
  </w:style>
  <w:style w:type="paragraph" w:customStyle="1" w:styleId="72">
    <w:name w:val="表格内容"/>
    <w:basedOn w:val="2"/>
    <w:qFormat/>
    <w:uiPriority w:val="0"/>
    <w:pPr>
      <w:tabs>
        <w:tab w:val="left" w:pos="2880"/>
      </w:tabs>
      <w:spacing w:after="0"/>
      <w:jc w:val="center"/>
    </w:pPr>
    <w:rPr>
      <w:b/>
      <w:i/>
      <w:szCs w:val="21"/>
      <w:u w:val="single"/>
    </w:rPr>
  </w:style>
  <w:style w:type="paragraph" w:customStyle="1" w:styleId="73">
    <w:name w:val="文本文本文本"/>
    <w:basedOn w:val="1"/>
    <w:qFormat/>
    <w:uiPriority w:val="0"/>
    <w:pPr>
      <w:spacing w:line="360" w:lineRule="auto"/>
      <w:ind w:firstLine="480" w:firstLineChars="200"/>
    </w:pPr>
    <w:rPr>
      <w:rFonts w:ascii="宋体" w:hAnsi="宋体" w:cs="宋体"/>
      <w:sz w:val="24"/>
    </w:rPr>
  </w:style>
  <w:style w:type="paragraph" w:customStyle="1" w:styleId="74">
    <w:name w:val="样式 宋体 四号2"/>
    <w:basedOn w:val="1"/>
    <w:qFormat/>
    <w:uiPriority w:val="0"/>
    <w:pPr>
      <w:spacing w:line="520" w:lineRule="exact"/>
      <w:ind w:firstLine="200" w:firstLineChars="200"/>
    </w:pPr>
    <w:rPr>
      <w:rFonts w:ascii="宋体" w:hAnsi="宋体" w:cs="宋体"/>
      <w:sz w:val="28"/>
      <w:szCs w:val="20"/>
    </w:rPr>
  </w:style>
  <w:style w:type="paragraph" w:customStyle="1" w:styleId="75">
    <w:name w:val="表居中（中文）"/>
    <w:basedOn w:val="1"/>
    <w:qFormat/>
    <w:uiPriority w:val="99"/>
    <w:pPr>
      <w:adjustRightInd w:val="0"/>
      <w:spacing w:line="380" w:lineRule="atLeast"/>
      <w:jc w:val="center"/>
      <w:textAlignment w:val="baseline"/>
    </w:pPr>
    <w:rPr>
      <w:rFonts w:eastAsia="楷体_GB2312"/>
      <w:kern w:val="0"/>
      <w:szCs w:val="20"/>
    </w:rPr>
  </w:style>
  <w:style w:type="paragraph" w:customStyle="1" w:styleId="76">
    <w:name w:val="表头"/>
    <w:basedOn w:val="7"/>
    <w:qFormat/>
    <w:uiPriority w:val="0"/>
    <w:rPr>
      <w:szCs w:val="24"/>
    </w:rPr>
  </w:style>
  <w:style w:type="paragraph" w:customStyle="1" w:styleId="77">
    <w:name w:val="报告正文"/>
    <w:basedOn w:val="1"/>
    <w:qFormat/>
    <w:uiPriority w:val="0"/>
    <w:pPr>
      <w:tabs>
        <w:tab w:val="left" w:pos="0"/>
      </w:tabs>
    </w:pPr>
    <w:rPr>
      <w:rFonts w:ascii="Times New Roman" w:hAnsi="Times New Roman"/>
      <w:color w:val="000000"/>
      <w:szCs w:val="24"/>
    </w:rPr>
  </w:style>
  <w:style w:type="paragraph" w:customStyle="1" w:styleId="78">
    <w:name w:val="韩笑表内容"/>
    <w:basedOn w:val="1"/>
    <w:qFormat/>
    <w:uiPriority w:val="0"/>
    <w:pPr>
      <w:jc w:val="center"/>
    </w:pPr>
    <w:rPr>
      <w:rFonts w:ascii="Times New Roman" w:hAnsi="Times New Roman"/>
      <w:szCs w:val="24"/>
    </w:rPr>
  </w:style>
  <w:style w:type="paragraph" w:customStyle="1" w:styleId="79">
    <w:name w:val="样式 正文文字 2 + 首行缩进:  2 字符"/>
    <w:basedOn w:val="20"/>
    <w:qFormat/>
    <w:uiPriority w:val="0"/>
    <w:pPr>
      <w:spacing w:line="440" w:lineRule="exact"/>
      <w:ind w:firstLine="200" w:firstLineChars="200"/>
    </w:pPr>
    <w:rPr>
      <w:rFonts w:ascii="Arial Narrow" w:hAnsi="Arial Narrow" w:eastAsia="仿宋_GB2312"/>
      <w:szCs w:val="20"/>
    </w:rPr>
  </w:style>
  <w:style w:type="paragraph" w:customStyle="1" w:styleId="80">
    <w:name w:val="2兴业表格（验收）"/>
    <w:basedOn w:val="1"/>
    <w:qFormat/>
    <w:uiPriority w:val="0"/>
    <w:pPr>
      <w:jc w:val="center"/>
    </w:pPr>
    <w:rPr>
      <w:szCs w:val="24"/>
    </w:rPr>
  </w:style>
  <w:style w:type="paragraph" w:customStyle="1" w:styleId="81">
    <w:name w:val="正文内容"/>
    <w:basedOn w:val="1"/>
    <w:qFormat/>
    <w:uiPriority w:val="0"/>
    <w:pPr>
      <w:spacing w:line="360" w:lineRule="auto"/>
      <w:ind w:firstLine="200" w:firstLineChars="200"/>
    </w:pPr>
    <w:rPr>
      <w:rFonts w:cs="宋体"/>
      <w:sz w:val="24"/>
      <w:szCs w:val="20"/>
    </w:rPr>
  </w:style>
  <w:style w:type="paragraph" w:customStyle="1" w:styleId="82">
    <w:name w:val="正文1"/>
    <w:basedOn w:val="1"/>
    <w:qFormat/>
    <w:uiPriority w:val="0"/>
    <w:pPr>
      <w:spacing w:line="500" w:lineRule="exact"/>
      <w:ind w:firstLine="560"/>
    </w:pPr>
    <w:rPr>
      <w:sz w:val="28"/>
    </w:rPr>
  </w:style>
  <w:style w:type="paragraph" w:customStyle="1" w:styleId="83">
    <w:name w:val="表格文字"/>
    <w:basedOn w:val="1"/>
    <w:qFormat/>
    <w:uiPriority w:val="0"/>
    <w:pPr>
      <w:widowControl/>
    </w:pPr>
    <w:rPr>
      <w:rFonts w:cs="Arial"/>
      <w:kern w:val="0"/>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wmf"/><Relationship Id="rId26" Type="http://schemas.openxmlformats.org/officeDocument/2006/relationships/oleObject" Target="embeddings/oleObject7.bin"/><Relationship Id="rId25" Type="http://schemas.openxmlformats.org/officeDocument/2006/relationships/image" Target="media/image13.png"/><Relationship Id="rId24" Type="http://schemas.openxmlformats.org/officeDocument/2006/relationships/image" Target="media/image12.wmf"/><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oleObject" Target="embeddings/oleObject5.bin"/><Relationship Id="rId17" Type="http://schemas.openxmlformats.org/officeDocument/2006/relationships/image" Target="media/image7.wmf"/><Relationship Id="rId16" Type="http://schemas.openxmlformats.org/officeDocument/2006/relationships/oleObject" Target="embeddings/oleObject4.bin"/><Relationship Id="rId15" Type="http://schemas.openxmlformats.org/officeDocument/2006/relationships/image" Target="media/image6.wmf"/><Relationship Id="rId14" Type="http://schemas.openxmlformats.org/officeDocument/2006/relationships/oleObject" Target="embeddings/oleObject3.bin"/><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3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186</Pages>
  <Words>21190</Words>
  <Characters>120786</Characters>
  <Lines>1006</Lines>
  <Paragraphs>283</Paragraphs>
  <TotalTime>1</TotalTime>
  <ScaleCrop>false</ScaleCrop>
  <LinksUpToDate>false</LinksUpToDate>
  <CharactersWithSpaces>141693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2021-02-02T05:56:00Z</dcterms:created>
  <dc:creator>Administrator.USER-20150216LD</dc:creator>
  <cp:lastModifiedBy>不会用</cp:lastModifiedBy>
  <dcterms:modified xsi:type="dcterms:W3CDTF">2021-08-12T07:48:12Z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