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44" w:rsidRDefault="005B0744" w:rsidP="005B0744"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</w:p>
    <w:p w:rsidR="005B0744" w:rsidRDefault="005B0744" w:rsidP="005B0744"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</w:p>
    <w:p w:rsidR="005B0744" w:rsidRDefault="005B0744" w:rsidP="005B0744"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</w:p>
    <w:p w:rsidR="005B0744" w:rsidRDefault="00A73E58" w:rsidP="005B0744"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DA54FC">
        <w:rPr>
          <w:rFonts w:ascii="仿宋_GB2312" w:eastAsia="仿宋_GB2312" w:hint="eastAsia"/>
          <w:sz w:val="32"/>
          <w:szCs w:val="32"/>
        </w:rPr>
        <w:t xml:space="preserve"> </w:t>
      </w:r>
      <w:r w:rsidR="00262E1B">
        <w:rPr>
          <w:rFonts w:ascii="仿宋_GB2312" w:eastAsia="仿宋_GB2312" w:hint="eastAsia"/>
          <w:sz w:val="32"/>
          <w:szCs w:val="32"/>
        </w:rPr>
        <w:t xml:space="preserve">          </w:t>
      </w:r>
      <w:proofErr w:type="gramStart"/>
      <w:r>
        <w:rPr>
          <w:rFonts w:ascii="仿宋_GB2312" w:eastAsia="仿宋_GB2312" w:hint="eastAsia"/>
          <w:sz w:val="32"/>
          <w:szCs w:val="32"/>
        </w:rPr>
        <w:t>白山环审字</w:t>
      </w:r>
      <w:proofErr w:type="gramEnd"/>
      <w:r>
        <w:rPr>
          <w:rFonts w:ascii="仿宋_GB2312" w:eastAsia="仿宋_GB2312" w:hint="eastAsia"/>
          <w:sz w:val="32"/>
          <w:szCs w:val="32"/>
        </w:rPr>
        <w:t>(表)[2020] 18号</w:t>
      </w:r>
    </w:p>
    <w:p w:rsidR="005B0744" w:rsidRDefault="00975D17" w:rsidP="005B0744"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  <w:r w:rsidRPr="005B0744">
        <w:rPr>
          <w:rFonts w:asciiTheme="minorEastAsia" w:hAnsiTheme="minorEastAsia" w:hint="eastAsia"/>
          <w:color w:val="000000" w:themeColor="text1"/>
          <w:sz w:val="44"/>
          <w:szCs w:val="44"/>
        </w:rPr>
        <w:t>关于国道嘉荫至临江公路（G222）</w:t>
      </w:r>
    </w:p>
    <w:p w:rsidR="005B0744" w:rsidRDefault="00975D17" w:rsidP="005B0744"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  <w:r w:rsidRPr="005B0744">
        <w:rPr>
          <w:rFonts w:asciiTheme="minorEastAsia" w:hAnsiTheme="minorEastAsia" w:hint="eastAsia"/>
          <w:color w:val="000000" w:themeColor="text1"/>
          <w:sz w:val="44"/>
          <w:szCs w:val="44"/>
        </w:rPr>
        <w:t>靖宇至江源段建设项目（靖宇段）</w:t>
      </w:r>
    </w:p>
    <w:p w:rsidR="00F95EDF" w:rsidRPr="005B0744" w:rsidRDefault="00975D17" w:rsidP="005B0744"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  <w:r w:rsidRPr="005B0744">
        <w:rPr>
          <w:rFonts w:asciiTheme="minorEastAsia" w:hAnsiTheme="minorEastAsia" w:hint="eastAsia"/>
          <w:color w:val="000000" w:themeColor="text1"/>
          <w:sz w:val="44"/>
          <w:szCs w:val="44"/>
        </w:rPr>
        <w:t>环境影响报告表的批复</w:t>
      </w:r>
    </w:p>
    <w:p w:rsidR="00975D17" w:rsidRPr="00DA54FC" w:rsidRDefault="00975D17" w:rsidP="00F33519">
      <w:pPr>
        <w:spacing w:line="360" w:lineRule="auto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靖宇县恒</w:t>
      </w:r>
      <w:proofErr w:type="gramStart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源交通</w:t>
      </w:r>
      <w:proofErr w:type="gramEnd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建设投资有限公司：</w:t>
      </w:r>
    </w:p>
    <w:p w:rsidR="00975D17" w:rsidRPr="00DA54FC" w:rsidRDefault="00DA54FC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你公司</w:t>
      </w:r>
      <w:r w:rsidR="001A5D7B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《</w:t>
      </w:r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关于国道嘉荫至临江公路（G222）靖宇至江源段建设项目（靖宇段）环境影响报告表审批请示》和委托吉林省艺格环境科技有限公司编制的环境影响报告表</w:t>
      </w:r>
      <w:r w:rsidR="001A5D7B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（报批版）</w:t>
      </w:r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收悉。根据环境影响报告表的评价结论及专家审查意见，经研究，符合审批要求，现批复如下：</w:t>
      </w:r>
    </w:p>
    <w:p w:rsidR="00975D17" w:rsidRPr="00DA54FC" w:rsidRDefault="00975D17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一、建设项目基本情况和审批意见</w:t>
      </w:r>
    </w:p>
    <w:p w:rsidR="00975D17" w:rsidRPr="00DA54FC" w:rsidRDefault="00CD5E55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该项目为</w:t>
      </w:r>
      <w:r w:rsidR="001A5D7B"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改扩建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项目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</w:t>
      </w:r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路线起点</w:t>
      </w:r>
      <w:r w:rsidR="001A5D7B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为</w:t>
      </w:r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靖宇县城西侧</w:t>
      </w:r>
      <w:proofErr w:type="gramStart"/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国道嘉临线</w:t>
      </w:r>
      <w:proofErr w:type="gramEnd"/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与国道抚公线（G504，</w:t>
      </w:r>
      <w:proofErr w:type="gramStart"/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老朝长线</w:t>
      </w:r>
      <w:proofErr w:type="gramEnd"/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K73km处）交叉口处；路线终点</w:t>
      </w:r>
      <w:r w:rsidR="001A5D7B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为</w:t>
      </w:r>
      <w:proofErr w:type="gramStart"/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国道嘉临线</w:t>
      </w:r>
      <w:proofErr w:type="gramEnd"/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靖宇县与江源区交界处。</w:t>
      </w:r>
      <w:r w:rsidR="00035DE1"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路线总长28.052km</w:t>
      </w:r>
      <w:r w:rsidR="00056C1B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（K382+790-K410+842）</w:t>
      </w:r>
      <w:r w:rsidR="00035DE1"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，其中</w:t>
      </w:r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靖宇国家级自然保护区</w:t>
      </w:r>
      <w:r w:rsidR="00035DE1"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外路线长度15.175km，自然保护区内路线长度12.877km</w:t>
      </w:r>
      <w:r w:rsidR="00C37F7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056C1B" w:rsidRPr="00DA54FC" w:rsidRDefault="00056C1B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整体建设内容包括：新建起点段、局部拓宽路基和利用现有路基、路面修复、新建或改造桥涵。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K382+790- -K386+000段为新建改线（3.21km），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自然保护区内实验区4.227km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（K390+065-K394+29</w:t>
      </w:r>
      <w:r w:rsidR="005B3A9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）双侧加宽；缓冲区1.988km（K394+292-K394+460、K401+122- K402+942）、核心区6.662km（</w:t>
      </w:r>
      <w:r w:rsidR="005B3A9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K394+</w:t>
      </w:r>
      <w:r w:rsidR="00C37F7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460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- K401+1</w:t>
      </w:r>
      <w:r w:rsidR="005B3A9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C37F7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仅对现有病害路面进行补强，路基沿用现有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工程实际建设里程为11.502km</w:t>
      </w:r>
      <w:r w:rsidR="00BB3CE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,</w:t>
      </w:r>
      <w:proofErr w:type="gramStart"/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利旧</w:t>
      </w:r>
      <w:proofErr w:type="gramEnd"/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24.842km，</w:t>
      </w:r>
      <w:proofErr w:type="gramStart"/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利旧率</w:t>
      </w:r>
      <w:proofErr w:type="gramEnd"/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86.08%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改扩建后路基宽度分别采用16.00m（行车道2×3.50m，慢车道2×3.50m，中间带宽度0.50m，土路肩2×0.75m）及8.50m（行车道2×3.50m，硬路肩2×0.25m，土路肩2×0.50m），设计速度采用60km/h的二级公路标准。</w:t>
      </w:r>
    </w:p>
    <w:p w:rsidR="00035DE1" w:rsidRPr="00DA54FC" w:rsidRDefault="00035DE1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项目永久新增占地面积为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17.566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hm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  <w:vertAlign w:val="superscript"/>
        </w:rPr>
        <w:t>2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，</w:t>
      </w:r>
      <w:r w:rsidR="00975D17"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主要占地类型为林地、荒地、园地、旱田等，不涉及基本农田及公益林</w:t>
      </w:r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；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临时占地为取土场占地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5.43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hm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  <w:vertAlign w:val="superscript"/>
        </w:rPr>
        <w:t>2</w:t>
      </w:r>
      <w:r w:rsidR="00975D17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，占地性质为林地；</w:t>
      </w:r>
      <w:r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>共计砍伐树木63309</w:t>
      </w:r>
      <w:r w:rsidR="00C37F7F">
        <w:rPr>
          <w:rFonts w:ascii="仿宋" w:eastAsia="仿宋" w:hAnsi="仿宋" w:cs="Times New Roman"/>
          <w:color w:val="000000" w:themeColor="text1"/>
          <w:sz w:val="32"/>
          <w:szCs w:val="32"/>
        </w:rPr>
        <w:t>株</w:t>
      </w:r>
      <w:r w:rsidR="00C37F7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="00C37F7F" w:rsidRPr="00DA54FC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DA54FC" w:rsidRPr="00765BB0" w:rsidRDefault="00C9282F" w:rsidP="00765BB0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765BB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吉林省林业和草原局组织相关专家对《靖宇国家级自然保护区生物多样性影响评价报告》进行了论证，并</w:t>
      </w:r>
      <w:r w:rsidR="00765BB0" w:rsidRPr="00765BB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出具了专家论证意见</w:t>
      </w:r>
      <w:r w:rsidRPr="00765BB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；</w:t>
      </w:r>
      <w:r w:rsidR="00270C58" w:rsidRPr="00765BB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吉林靖宇国家自然保护区管理局出具了《关于同意国道嘉荫至临江公路（G222）靖宇至江源段建设项目（靖宇段）在吉林吉林靖宇国家级自然保护区内实施的意见》（</w:t>
      </w:r>
      <w:proofErr w:type="gramStart"/>
      <w:r w:rsidR="00270C58" w:rsidRPr="00765BB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吉靖保</w:t>
      </w:r>
      <w:proofErr w:type="gramEnd"/>
      <w:r w:rsidR="00270C58" w:rsidRPr="00765BB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发【2020】5号）。</w:t>
      </w:r>
    </w:p>
    <w:p w:rsidR="00CD5E55" w:rsidRPr="00DA54FC" w:rsidRDefault="00DA54FC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项目</w:t>
      </w:r>
      <w:r w:rsidR="00CD5E55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在全面落实环境影响报告表提出的各项生态保护、污染防治以及环境风险防范措施后，建设项目对环境的不利影响能够得到缓解和控制。因此，从环境保护角度分析，我</w:t>
      </w:r>
      <w:r w:rsidR="00CD5E55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局原则同意环境影响报告表中所列</w:t>
      </w:r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建设项目的性质、规模、地点和</w:t>
      </w:r>
      <w:proofErr w:type="gramStart"/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拟采取</w:t>
      </w:r>
      <w:proofErr w:type="gramEnd"/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的环境保护措施。</w:t>
      </w:r>
    </w:p>
    <w:p w:rsidR="001F340C" w:rsidRPr="00DA54FC" w:rsidRDefault="001F340C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</w:t>
      </w:r>
      <w:r w:rsidR="009B0298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项目施工期和运行期应重点做好以下环保工作。</w:t>
      </w:r>
    </w:p>
    <w:p w:rsidR="00273EA1" w:rsidRPr="00DA54FC" w:rsidRDefault="001F340C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9B0298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一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</w:t>
      </w:r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鉴于该项目</w:t>
      </w:r>
      <w:r w:rsidR="005C3324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部分路段处于</w:t>
      </w:r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吉林靖宇国家级自然保护区，生态环境较敏感，建设单位</w:t>
      </w:r>
      <w:r w:rsidR="005C3324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应严格按照工程设计方案施工，实验区拓宽路段占地范围不得随意更改，</w:t>
      </w:r>
      <w:r w:rsidR="006C6A2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严格控制路基宽度16m，</w:t>
      </w:r>
      <w:r w:rsidR="005C3324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缓冲区及核心区不得拓宽路基，仅进行病害路面补强维修</w:t>
      </w:r>
      <w:r w:rsidR="006C6A2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。建设单位</w:t>
      </w:r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须加强施工期和运行期环境管理，严格落实各项生态保护和污染防治措施，避免对保护区产生不利影响。</w:t>
      </w:r>
    </w:p>
    <w:p w:rsidR="00F33519" w:rsidRPr="00DA54FC" w:rsidRDefault="00273EA1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（二）</w:t>
      </w:r>
      <w:r w:rsidR="001F340C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加强施工期环境管理</w:t>
      </w:r>
      <w:r w:rsidR="006C6A2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="001F340C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认真落实生态保护措施，防止生态破坏；采取有效措施，确保施工场界噪声满足《建筑施工场界环境噪声排放标准》 (GB12523-2011) 限值要求；有效控制施工扬尘，妥善处置施工弃土，弃渣和固体废物，加强对生活污水及施工废水的管理</w:t>
      </w:r>
      <w:r w:rsidR="00F659E3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以及桥梁综合施工场地管理，</w:t>
      </w:r>
      <w:r w:rsidR="001F340C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避免对</w:t>
      </w:r>
      <w:r w:rsidR="006C6A2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沿线</w:t>
      </w:r>
      <w:r w:rsidR="001F340C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受纳水体的影响</w:t>
      </w:r>
      <w:r w:rsidR="009B0298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F33519" w:rsidRPr="00DA54FC" w:rsidRDefault="00F33519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三</w:t>
      </w:r>
      <w:r w:rsidR="00F659E3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）加强环境保护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，边施工边进行环境保护。严格控制施工占地，施工后及时进行场地平整，取土</w:t>
      </w:r>
      <w:proofErr w:type="gramStart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场施工</w:t>
      </w:r>
      <w:proofErr w:type="gramEnd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后及时恢复植被；如占用农田、林地等需取得相关行政主管部门同意，并做好生态恢复或补偿</w:t>
      </w:r>
      <w:r w:rsidR="006C6A2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="00396983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靖宇国家级自然保护区内禁止设置施工场地</w:t>
      </w:r>
      <w:r w:rsidR="006C6A2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和取（弃）土场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F33519" w:rsidRPr="00DA54FC" w:rsidRDefault="00F33519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273EA1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四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）跨河桥</w:t>
      </w:r>
      <w:proofErr w:type="gramStart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梁基础</w:t>
      </w:r>
      <w:proofErr w:type="gramEnd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施工应在枯水期进行，并应采取钢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护筒围堰、钻孔桩等施工工艺，桥墩施工产生的泥浆须经沉淀池沉淀处理、干化后弃置于取土场，不得随意倾倒；青龙河桥面设置径流水收集系统，桥下</w:t>
      </w:r>
      <w:proofErr w:type="gramStart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须设置</w:t>
      </w:r>
      <w:proofErr w:type="gramEnd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事故池；桥梁两侧加装加固型防撞护栏，防止因交通事故引发水体环境污染，事故</w:t>
      </w:r>
      <w:proofErr w:type="gramStart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池不得</w:t>
      </w:r>
      <w:proofErr w:type="gramEnd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低于河流最高洪水位，其位置须获得河道管理部门的批复后方可实施。</w:t>
      </w:r>
    </w:p>
    <w:p w:rsidR="00F33519" w:rsidRPr="00DA54FC" w:rsidRDefault="00F33519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9B0298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四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）加强营运</w:t>
      </w:r>
      <w:proofErr w:type="gramStart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期车辆</w:t>
      </w:r>
      <w:proofErr w:type="gramEnd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交通噪声环境管理，应采取绿化等噪声治理措施，保护</w:t>
      </w:r>
      <w:r w:rsidR="00F659E3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沿线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村镇居民住宅等敏感点噪声符合《声环境质量标准》GB3096-2008中相应标准要求，预留资金，加强敏感点噪声跟踪监测，根据监测结果及时增补、完善降噪措施；配合规划部门做好公路沿线的土地利用规划，严格控制公路两侧噪声防护距离内新建学校、医院和住宅等敏感建筑。</w:t>
      </w:r>
    </w:p>
    <w:p w:rsidR="00F33519" w:rsidRPr="00DA54FC" w:rsidRDefault="00F33519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9B0298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五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）沥青混凝土应采用商品</w:t>
      </w:r>
      <w:proofErr w:type="gramStart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砼</w:t>
      </w:r>
      <w:proofErr w:type="gramEnd"/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，减少有害气体的排放量，减轻对环境的影响。</w:t>
      </w:r>
    </w:p>
    <w:p w:rsidR="00F33519" w:rsidRPr="00DA54FC" w:rsidRDefault="00F33519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9B0298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六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）在工程施工和运营过程中，加强与沿线公众的沟通，及时解决公众担忧的环境问题，满足公众合理的环境诉求。</w:t>
      </w:r>
    </w:p>
    <w:p w:rsidR="00F33519" w:rsidRPr="00DA54FC" w:rsidRDefault="00F33519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三、项目建设必须严格执行环境保护设施与主体工程同时设计、同时施工、同时投产使用的环境保护“三同时”制度。项目竣工后，你公司必须按照规定程序申请竣工环境保护验收。</w:t>
      </w:r>
    </w:p>
    <w:p w:rsidR="00F33519" w:rsidRPr="00DA54FC" w:rsidRDefault="00F33519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四、环境影响报告表经批准后，项目的性质、规模、地点或者防治污染、防止生态破坏的措施发生重大变动</w:t>
      </w:r>
      <w:r w:rsidR="00F659E3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，建设单位应当重新报批该项目的环境影响报告表。自环境</w:t>
      </w:r>
      <w:r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影响报告表批准之日起满5年，建设项目方开工建设的，其环境影响报告表应当报我局重新审核。</w:t>
      </w:r>
    </w:p>
    <w:p w:rsidR="00F33519" w:rsidRDefault="000E3CB8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五、你公司</w:t>
      </w:r>
      <w:r w:rsidR="00F3351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须在施工期开展环境监理工作，重点监督施工过程中</w:t>
      </w:r>
      <w:r w:rsidR="00F659E3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尤其是保护区路段</w:t>
      </w:r>
      <w:r w:rsidR="00F3351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各项污染防治措施和环境风险防范设施落实情况。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你公司</w:t>
      </w:r>
      <w:r w:rsidR="00F3351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应定期向负责“三同时”监督管理的</w:t>
      </w:r>
      <w:r w:rsidR="00BB3CE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生态</w:t>
      </w:r>
      <w:r w:rsidR="00F33519" w:rsidRPr="00DA54F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环境行政主管部门报送建设项目环境监理报告，建设项目环境监理报告作为竣工环保验收的重要依据之一。</w:t>
      </w:r>
    </w:p>
    <w:p w:rsidR="005526C1" w:rsidRDefault="005526C1" w:rsidP="005526C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六、请白山市生态环境局</w:t>
      </w:r>
      <w:r w:rsidR="00BB3CE9">
        <w:rPr>
          <w:rFonts w:ascii="仿宋_GB2312" w:eastAsia="仿宋_GB2312" w:hAnsi="仿宋_GB2312" w:cs="仿宋_GB2312" w:hint="eastAsia"/>
          <w:sz w:val="32"/>
          <w:szCs w:val="32"/>
        </w:rPr>
        <w:t>靖宇</w:t>
      </w:r>
      <w:proofErr w:type="gramStart"/>
      <w:r w:rsidR="00BB3CE9"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</w:rPr>
        <w:t>分局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负责该项目“三同时”监督检查和管理工作。</w:t>
      </w:r>
    </w:p>
    <w:p w:rsidR="005526C1" w:rsidRDefault="005526C1" w:rsidP="005526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七、你公司应按规定接受各级环境保护行政主管部门的日常监督检查。</w:t>
      </w:r>
    </w:p>
    <w:p w:rsidR="005526C1" w:rsidRDefault="005526C1" w:rsidP="005526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526C1" w:rsidRDefault="005526C1" w:rsidP="005526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1D07" w:rsidRDefault="00681D07" w:rsidP="00B44E6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526C1" w:rsidRDefault="005526C1" w:rsidP="00B44E60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 w:rsidR="006A70E1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BB3CE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4E60"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526C1" w:rsidRDefault="005526C1" w:rsidP="005526C1">
      <w:pPr>
        <w:ind w:firstLineChars="1150" w:firstLine="3680"/>
        <w:rPr>
          <w:rFonts w:ascii="仿宋_GB2312" w:eastAsia="仿宋_GB2312" w:hAnsi="仿宋_GB2312" w:cs="仿宋_GB2312"/>
          <w:sz w:val="32"/>
          <w:szCs w:val="32"/>
        </w:rPr>
      </w:pPr>
    </w:p>
    <w:p w:rsidR="00BB3CE9" w:rsidRDefault="00BB3CE9" w:rsidP="005526C1">
      <w:pPr>
        <w:rPr>
          <w:rFonts w:ascii="仿宋_GB2312" w:eastAsia="仿宋_GB2312" w:hAnsi="仿宋_GB2312" w:cs="仿宋_GB2312"/>
          <w:sz w:val="32"/>
          <w:szCs w:val="32"/>
        </w:rPr>
      </w:pPr>
    </w:p>
    <w:p w:rsidR="00681D07" w:rsidRDefault="00681D07" w:rsidP="005526C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5526C1" w:rsidRDefault="005526C1" w:rsidP="005526C1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抄送：白山市生态环境局靖宇县分局</w:t>
      </w:r>
    </w:p>
    <w:p w:rsidR="005526C1" w:rsidRPr="005526C1" w:rsidRDefault="005526C1" w:rsidP="00DA54FC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035DE1" w:rsidRPr="00DA54FC" w:rsidRDefault="00035DE1" w:rsidP="00035DE1">
      <w:pPr>
        <w:rPr>
          <w:rFonts w:ascii="仿宋" w:eastAsia="仿宋" w:hAnsi="仿宋"/>
          <w:color w:val="000000" w:themeColor="text1"/>
          <w:sz w:val="32"/>
          <w:szCs w:val="32"/>
        </w:rPr>
      </w:pPr>
    </w:p>
    <w:sectPr w:rsidR="00035DE1" w:rsidRPr="00DA54FC" w:rsidSect="0054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37" w:rsidRDefault="00184F37" w:rsidP="00CD5E55">
      <w:r>
        <w:separator/>
      </w:r>
    </w:p>
  </w:endnote>
  <w:endnote w:type="continuationSeparator" w:id="0">
    <w:p w:rsidR="00184F37" w:rsidRDefault="00184F37" w:rsidP="00CD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37" w:rsidRDefault="00184F37" w:rsidP="00CD5E55">
      <w:r>
        <w:separator/>
      </w:r>
    </w:p>
  </w:footnote>
  <w:footnote w:type="continuationSeparator" w:id="0">
    <w:p w:rsidR="00184F37" w:rsidRDefault="00184F37" w:rsidP="00CD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971"/>
    <w:rsid w:val="00035DE1"/>
    <w:rsid w:val="00056C1B"/>
    <w:rsid w:val="000E3CB8"/>
    <w:rsid w:val="00174E3F"/>
    <w:rsid w:val="00184F37"/>
    <w:rsid w:val="001975EE"/>
    <w:rsid w:val="001A5D7B"/>
    <w:rsid w:val="001F340C"/>
    <w:rsid w:val="00262E1B"/>
    <w:rsid w:val="00270C58"/>
    <w:rsid w:val="00273EA1"/>
    <w:rsid w:val="002D330B"/>
    <w:rsid w:val="00377355"/>
    <w:rsid w:val="00396983"/>
    <w:rsid w:val="004006BE"/>
    <w:rsid w:val="00544F6B"/>
    <w:rsid w:val="005526C1"/>
    <w:rsid w:val="005B0744"/>
    <w:rsid w:val="005B3A95"/>
    <w:rsid w:val="005C3324"/>
    <w:rsid w:val="006055D6"/>
    <w:rsid w:val="00665A2B"/>
    <w:rsid w:val="00681D07"/>
    <w:rsid w:val="006A70E1"/>
    <w:rsid w:val="006C3F37"/>
    <w:rsid w:val="006C6A29"/>
    <w:rsid w:val="00716836"/>
    <w:rsid w:val="00765BB0"/>
    <w:rsid w:val="008E34AF"/>
    <w:rsid w:val="00906280"/>
    <w:rsid w:val="00921971"/>
    <w:rsid w:val="00937169"/>
    <w:rsid w:val="00975D17"/>
    <w:rsid w:val="009B0298"/>
    <w:rsid w:val="00A73E58"/>
    <w:rsid w:val="00B23185"/>
    <w:rsid w:val="00B44E60"/>
    <w:rsid w:val="00BB3CE9"/>
    <w:rsid w:val="00BC1BE1"/>
    <w:rsid w:val="00BC6B31"/>
    <w:rsid w:val="00C37F7F"/>
    <w:rsid w:val="00C9282F"/>
    <w:rsid w:val="00CD5E55"/>
    <w:rsid w:val="00D47AD4"/>
    <w:rsid w:val="00DA54FC"/>
    <w:rsid w:val="00E00F27"/>
    <w:rsid w:val="00EA7426"/>
    <w:rsid w:val="00F33519"/>
    <w:rsid w:val="00F659E3"/>
    <w:rsid w:val="00FD5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E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363</Words>
  <Characters>2072</Characters>
  <Application>Microsoft Office Word</Application>
  <DocSecurity>0</DocSecurity>
  <Lines>17</Lines>
  <Paragraphs>4</Paragraphs>
  <ScaleCrop>false</ScaleCrop>
  <Company>P R C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45</cp:revision>
  <dcterms:created xsi:type="dcterms:W3CDTF">2020-05-02T12:16:00Z</dcterms:created>
  <dcterms:modified xsi:type="dcterms:W3CDTF">2020-07-13T06:22:00Z</dcterms:modified>
</cp:coreProperties>
</file>