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cs="Times New Roman"/>
        </w:rPr>
      </w:pPr>
    </w:p>
    <w:p>
      <w:pPr>
        <w:ind w:firstLine="560"/>
        <w:rPr>
          <w:rFonts w:cs="Times New Roman"/>
        </w:rPr>
      </w:pPr>
    </w:p>
    <w:p>
      <w:pPr>
        <w:ind w:firstLine="560"/>
        <w:rPr>
          <w:rFonts w:cs="Times New Roman"/>
        </w:rPr>
      </w:pPr>
    </w:p>
    <w:p>
      <w:pPr>
        <w:adjustRightInd w:val="0"/>
        <w:snapToGrid w:val="0"/>
        <w:spacing w:before="0" w:after="0" w:line="360" w:lineRule="auto"/>
        <w:ind w:firstLine="0" w:firstLineChars="0"/>
        <w:jc w:val="center"/>
        <w:rPr>
          <w:rFonts w:hint="eastAsia" w:ascii="仿宋_GB2312" w:hAnsi="华文仿宋" w:eastAsia="仿宋_GB2312"/>
          <w:bCs w:val="0"/>
          <w:color w:val="000000" w:themeColor="text1"/>
          <w:kern w:val="2"/>
          <w:sz w:val="32"/>
          <w:szCs w:val="32"/>
          <w14:textFill>
            <w14:solidFill>
              <w14:schemeClr w14:val="tx1"/>
            </w14:solidFill>
          </w14:textFill>
        </w:rPr>
      </w:pPr>
      <w:r>
        <w:rPr>
          <w:rFonts w:hint="eastAsia" w:ascii="宋体" w:hAnsi="宋体" w:eastAsia="宋体" w:cs="宋体"/>
          <w:b/>
          <w:bCs/>
          <w:color w:val="000000" w:themeColor="text1"/>
          <w:kern w:val="2"/>
          <w:sz w:val="44"/>
          <w:szCs w:val="44"/>
          <w:lang w:eastAsia="zh-CN"/>
          <w14:textFill>
            <w14:solidFill>
              <w14:schemeClr w14:val="tx1"/>
            </w14:solidFill>
          </w14:textFill>
        </w:rPr>
        <w:t>白山市</w:t>
      </w:r>
      <w:r>
        <w:rPr>
          <w:rFonts w:hint="eastAsia" w:ascii="宋体" w:hAnsi="宋体" w:eastAsia="宋体" w:cs="宋体"/>
          <w:b/>
          <w:bCs/>
          <w:color w:val="000000" w:themeColor="text1"/>
          <w:kern w:val="2"/>
          <w:sz w:val="44"/>
          <w:szCs w:val="44"/>
          <w14:textFill>
            <w14:solidFill>
              <w14:schemeClr w14:val="tx1"/>
            </w14:solidFill>
          </w14:textFill>
        </w:rPr>
        <w:t>重点流域水生态环境保护规划</w:t>
      </w:r>
    </w:p>
    <w:p>
      <w:pPr>
        <w:adjustRightInd w:val="0"/>
        <w:snapToGrid w:val="0"/>
        <w:spacing w:before="0" w:after="0" w:line="360" w:lineRule="auto"/>
        <w:ind w:firstLine="0" w:firstLineChars="0"/>
        <w:jc w:val="center"/>
        <w:rPr>
          <w:rFonts w:eastAsia="楷体_GB2312" w:cs="Times New Roman"/>
          <w:bCs/>
          <w:spacing w:val="50"/>
          <w:sz w:val="36"/>
          <w:szCs w:val="36"/>
        </w:rPr>
      </w:pPr>
      <w:r>
        <w:rPr>
          <w:rFonts w:eastAsia="楷体_GB2312" w:cs="Times New Roman"/>
          <w:bCs/>
          <w:spacing w:val="50"/>
          <w:sz w:val="36"/>
          <w:szCs w:val="36"/>
        </w:rPr>
        <w:t>（2021-2025年）</w:t>
      </w:r>
      <w:bookmarkStart w:id="82" w:name="_GoBack"/>
      <w:bookmarkEnd w:id="82"/>
    </w:p>
    <w:p>
      <w:pPr>
        <w:adjustRightInd w:val="0"/>
        <w:snapToGrid w:val="0"/>
        <w:spacing w:before="0" w:after="0" w:line="360" w:lineRule="auto"/>
        <w:ind w:firstLine="0" w:firstLineChars="0"/>
        <w:jc w:val="center"/>
        <w:rPr>
          <w:rFonts w:eastAsia="楷体_GB2312" w:cs="Times New Roman"/>
          <w:bCs/>
          <w:spacing w:val="50"/>
          <w:sz w:val="36"/>
          <w:szCs w:val="36"/>
        </w:rPr>
      </w:pPr>
      <w:r>
        <w:rPr>
          <w:rFonts w:eastAsia="楷体_GB2312" w:cs="Times New Roman"/>
          <w:bCs/>
          <w:spacing w:val="50"/>
          <w:sz w:val="36"/>
          <w:szCs w:val="36"/>
        </w:rPr>
        <w:t>（征求意见稿）</w:t>
      </w:r>
    </w:p>
    <w:p>
      <w:pPr>
        <w:ind w:firstLine="0" w:firstLineChars="0"/>
        <w:rPr>
          <w:rFonts w:cs="Times New Roman"/>
        </w:rPr>
      </w:pPr>
    </w:p>
    <w:p>
      <w:pPr>
        <w:spacing w:line="240" w:lineRule="auto"/>
        <w:ind w:firstLine="0" w:firstLineChars="0"/>
        <w:jc w:val="center"/>
        <w:rPr>
          <w:rFonts w:cs="Times New Roman"/>
        </w:rPr>
      </w:pPr>
      <w:r>
        <w:rPr>
          <w:rFonts w:cs="Times New Roman"/>
        </w:rPr>
        <w:drawing>
          <wp:inline distT="0" distB="0" distL="0" distR="0">
            <wp:extent cx="5274310" cy="26562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656205"/>
                    </a:xfrm>
                    <a:prstGeom prst="rect">
                      <a:avLst/>
                    </a:prstGeom>
                    <a:noFill/>
                    <a:ln>
                      <a:noFill/>
                    </a:ln>
                  </pic:spPr>
                </pic:pic>
              </a:graphicData>
            </a:graphic>
          </wp:inline>
        </w:drawing>
      </w: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0" w:firstLineChars="0"/>
        <w:rPr>
          <w:rFonts w:cs="Times New Roman"/>
        </w:rPr>
      </w:pPr>
    </w:p>
    <w:p>
      <w:pPr>
        <w:ind w:firstLine="560"/>
        <w:rPr>
          <w:rFonts w:cs="Times New Roman"/>
        </w:rPr>
      </w:pPr>
    </w:p>
    <w:p>
      <w:pPr>
        <w:ind w:firstLine="56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602"/>
        <w:jc w:val="center"/>
        <w:rPr>
          <w:rFonts w:eastAsia="黑体" w:cs="Times New Roman"/>
          <w:b/>
          <w:bCs/>
          <w:sz w:val="30"/>
          <w:szCs w:val="30"/>
        </w:rPr>
      </w:pPr>
      <w:r>
        <w:rPr>
          <w:rFonts w:eastAsia="黑体" w:cs="Times New Roman"/>
          <w:b/>
          <w:bCs/>
          <w:sz w:val="30"/>
          <w:szCs w:val="30"/>
        </w:rPr>
        <w:t>前 言</w:t>
      </w:r>
    </w:p>
    <w:p>
      <w:pPr>
        <w:ind w:firstLine="560"/>
        <w:rPr>
          <w:rFonts w:cs="Times New Roman"/>
        </w:rPr>
      </w:pPr>
      <w:r>
        <w:rPr>
          <w:rFonts w:cs="Times New Roman"/>
        </w:rPr>
        <w:t>“十四五”处于“两个一百年”奋斗目标的历史交汇期，是在2020年全面建成小康社会、打好打胜污染防治攻坚战基础上，向美丽中国目标迈进的第一个五年，具有不同以往的形势与要求。一方面，国务院机构改革将水功能区划、排污口等职能划归生态环境部，将在水生态环境领域打通岸上和水里、陆地和海洋、城市和农村、地上和地下；另一方面，群众对优美生态环境和要求日益提高，环境质量改善的指标内涵、工作任务需不断拓展，逐步涵盖水资源、水生态、水环境等。“十四五”重点流域水生态环境保护规划是《中华人民共和国水污染防治法》的法定任务，是落实习近平生态文明思想的重要举措，更是建设美丽中国的具体实践。作为吉林省重点水源源头区，白山市水环境质量对松花江、YLJ、浑江流域具有重要影响。</w:t>
      </w:r>
    </w:p>
    <w:p>
      <w:pPr>
        <w:ind w:firstLine="560"/>
        <w:rPr>
          <w:rFonts w:cs="Times New Roman"/>
        </w:rPr>
      </w:pPr>
      <w:r>
        <w:rPr>
          <w:rFonts w:cs="Times New Roman"/>
        </w:rPr>
        <w:t>本规划以习近平生态文明思想为指导，以《白山市重点流域水生态环境保护“十四五”规划要点》为依据，准确把握白山市“十四五”期间面临的机遇与挑战，主要阐明“十四五”时期白山市水生态环境保护工作的总体目标、主要任务和重点工程，是政府履行水环境保护职责的重要依据，是今后五年全市水环境保护和生态建设工作的行动纲领。为白山进一步打造“一方好水”的靓丽名片，践行“绿水青山就是金山银山”两山发展理念提供重要保障。</w:t>
      </w:r>
    </w:p>
    <w:p>
      <w:pPr>
        <w:ind w:firstLine="560"/>
        <w:rPr>
          <w:rFonts w:cs="Times New Roman"/>
        </w:rPr>
      </w:pPr>
    </w:p>
    <w:p>
      <w:pPr>
        <w:widowControl/>
        <w:spacing w:before="0" w:after="0" w:line="240" w:lineRule="auto"/>
        <w:ind w:firstLine="0" w:firstLineChars="0"/>
        <w:jc w:val="left"/>
        <w:rPr>
          <w:rFonts w:eastAsia="黑体" w:cs="Times New Roman"/>
          <w:b/>
          <w:bCs/>
          <w:sz w:val="30"/>
          <w:szCs w:val="30"/>
        </w:rPr>
      </w:pPr>
      <w:r>
        <w:rPr>
          <w:rFonts w:eastAsia="黑体" w:cs="Times New Roman"/>
          <w:b/>
          <w:bCs/>
          <w:sz w:val="30"/>
          <w:szCs w:val="30"/>
        </w:rPr>
        <w:br w:type="page"/>
      </w:r>
    </w:p>
    <w:p>
      <w:pPr>
        <w:ind w:firstLine="602"/>
        <w:jc w:val="center"/>
        <w:rPr>
          <w:rFonts w:eastAsia="黑体" w:cs="Times New Roman"/>
          <w:b/>
          <w:bCs/>
          <w:sz w:val="30"/>
          <w:szCs w:val="30"/>
        </w:rPr>
      </w:pPr>
      <w:r>
        <w:rPr>
          <w:rFonts w:eastAsia="黑体" w:cs="Times New Roman"/>
          <w:b/>
          <w:bCs/>
          <w:sz w:val="30"/>
          <w:szCs w:val="30"/>
        </w:rPr>
        <w:t>目  录</w:t>
      </w:r>
    </w:p>
    <w:p>
      <w:pPr>
        <w:pStyle w:val="24"/>
        <w:tabs>
          <w:tab w:val="right" w:leader="dot" w:pos="8296"/>
        </w:tabs>
        <w:ind w:firstLine="481" w:firstLineChars="171"/>
        <w:rPr>
          <w:rFonts w:ascii="Times New Roman" w:hAnsi="Times New Roman" w:cs="Times New Roman"/>
          <w:b w:val="0"/>
          <w:bCs w:val="0"/>
          <w:caps w:val="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"1-2" \h \z \u </w:instrText>
      </w:r>
      <w:r>
        <w:rPr>
          <w:rFonts w:ascii="Times New Roman" w:hAnsi="Times New Roman" w:cs="Times New Roman"/>
          <w:sz w:val="28"/>
          <w:szCs w:val="28"/>
        </w:rPr>
        <w:fldChar w:fldCharType="separate"/>
      </w:r>
      <w:r>
        <w:fldChar w:fldCharType="begin"/>
      </w:r>
      <w:r>
        <w:instrText xml:space="preserve"> HYPERLINK \l "_Toc86417724" </w:instrText>
      </w:r>
      <w:r>
        <w:fldChar w:fldCharType="separate"/>
      </w:r>
      <w:r>
        <w:rPr>
          <w:rStyle w:val="41"/>
          <w:rFonts w:ascii="Times New Roman" w:hAnsi="Times New Roman" w:cs="Times New Roman"/>
          <w:sz w:val="28"/>
          <w:szCs w:val="28"/>
        </w:rPr>
        <w:t>第一章 开启水生态环境保护新征程</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_Toc86417724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- 1 -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"_Toc86417725" </w:instrText>
      </w:r>
      <w:r>
        <w:fldChar w:fldCharType="separate"/>
      </w:r>
      <w:r>
        <w:rPr>
          <w:rStyle w:val="41"/>
          <w:rFonts w:ascii="Times New Roman" w:hAnsi="Times New Roman" w:cs="Times New Roman"/>
          <w:sz w:val="28"/>
          <w:szCs w:val="28"/>
        </w:rPr>
        <w:t>一、十三五时期水生态环境保护的成绩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_Toc86417725 \h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"_Toc86417726" </w:instrText>
      </w:r>
      <w:r>
        <w:fldChar w:fldCharType="separate"/>
      </w:r>
      <w:r>
        <w:rPr>
          <w:rStyle w:val="41"/>
          <w:rFonts w:ascii="Times New Roman" w:hAnsi="Times New Roman" w:cs="Times New Roman"/>
          <w:sz w:val="28"/>
          <w:szCs w:val="28"/>
        </w:rPr>
        <w:t>二、水生态环境保护存在的问题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_Toc86417726 \h </w:instrText>
      </w:r>
      <w:r>
        <w:rPr>
          <w:rFonts w:ascii="Times New Roman" w:hAnsi="Times New Roman" w:cs="Times New Roman"/>
          <w:sz w:val="28"/>
          <w:szCs w:val="28"/>
        </w:rPr>
        <w:fldChar w:fldCharType="separate"/>
      </w:r>
      <w:r>
        <w:rPr>
          <w:rFonts w:ascii="Times New Roman" w:hAnsi="Times New Roman" w:cs="Times New Roman"/>
          <w:sz w:val="28"/>
          <w:szCs w:val="28"/>
        </w:rPr>
        <w:t>- 4 -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"_Toc86417727" </w:instrText>
      </w:r>
      <w:r>
        <w:fldChar w:fldCharType="separate"/>
      </w:r>
      <w:r>
        <w:rPr>
          <w:rStyle w:val="41"/>
          <w:rFonts w:ascii="Times New Roman" w:hAnsi="Times New Roman" w:cs="Times New Roman"/>
          <w:sz w:val="28"/>
          <w:szCs w:val="28"/>
        </w:rPr>
        <w:t>第二章 指导思想、基本原则与主要目标</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_Toc86417727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- 16 -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"_Toc86417728" </w:instrText>
      </w:r>
      <w:r>
        <w:fldChar w:fldCharType="separate"/>
      </w:r>
      <w:r>
        <w:rPr>
          <w:rStyle w:val="41"/>
          <w:rFonts w:ascii="Times New Roman" w:hAnsi="Times New Roman" w:cs="Times New Roman"/>
          <w:sz w:val="28"/>
          <w:szCs w:val="28"/>
        </w:rPr>
        <w:t>一、指导思想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_Toc86417728 \h </w:instrText>
      </w:r>
      <w:r>
        <w:rPr>
          <w:rFonts w:ascii="Times New Roman" w:hAnsi="Times New Roman" w:cs="Times New Roman"/>
          <w:sz w:val="28"/>
          <w:szCs w:val="28"/>
        </w:rPr>
        <w:fldChar w:fldCharType="separate"/>
      </w:r>
      <w:r>
        <w:rPr>
          <w:rFonts w:ascii="Times New Roman" w:hAnsi="Times New Roman" w:cs="Times New Roman"/>
          <w:sz w:val="28"/>
          <w:szCs w:val="28"/>
        </w:rPr>
        <w:t>- 16 -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"_Toc86417729" </w:instrText>
      </w:r>
      <w:r>
        <w:fldChar w:fldCharType="separate"/>
      </w:r>
      <w:r>
        <w:rPr>
          <w:rStyle w:val="41"/>
          <w:rFonts w:ascii="Times New Roman" w:hAnsi="Times New Roman" w:cs="Times New Roman"/>
          <w:sz w:val="28"/>
          <w:szCs w:val="28"/>
        </w:rPr>
        <w:t>二、基本原则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_Toc86417729 \h </w:instrText>
      </w:r>
      <w:r>
        <w:rPr>
          <w:rFonts w:ascii="Times New Roman" w:hAnsi="Times New Roman" w:cs="Times New Roman"/>
          <w:sz w:val="28"/>
          <w:szCs w:val="28"/>
        </w:rPr>
        <w:fldChar w:fldCharType="separate"/>
      </w:r>
      <w:r>
        <w:rPr>
          <w:rFonts w:ascii="Times New Roman" w:hAnsi="Times New Roman" w:cs="Times New Roman"/>
          <w:sz w:val="28"/>
          <w:szCs w:val="28"/>
        </w:rPr>
        <w:t>- 16 -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"_Toc86417730" </w:instrText>
      </w:r>
      <w:r>
        <w:fldChar w:fldCharType="separate"/>
      </w:r>
      <w:r>
        <w:rPr>
          <w:rStyle w:val="41"/>
          <w:rFonts w:ascii="Times New Roman" w:hAnsi="Times New Roman" w:cs="Times New Roman"/>
          <w:sz w:val="28"/>
          <w:szCs w:val="28"/>
        </w:rPr>
        <w:t>三、主要目标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_Toc86417730 \h </w:instrText>
      </w:r>
      <w:r>
        <w:rPr>
          <w:rFonts w:ascii="Times New Roman" w:hAnsi="Times New Roman" w:cs="Times New Roman"/>
          <w:sz w:val="28"/>
          <w:szCs w:val="28"/>
        </w:rPr>
        <w:fldChar w:fldCharType="separate"/>
      </w:r>
      <w:r>
        <w:rPr>
          <w:rFonts w:ascii="Times New Roman" w:hAnsi="Times New Roman" w:cs="Times New Roman"/>
          <w:sz w:val="28"/>
          <w:szCs w:val="28"/>
        </w:rPr>
        <w:t>- 17 -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"_Toc86417731" </w:instrText>
      </w:r>
      <w:r>
        <w:fldChar w:fldCharType="separate"/>
      </w:r>
      <w:r>
        <w:rPr>
          <w:rStyle w:val="41"/>
          <w:rFonts w:ascii="Times New Roman" w:hAnsi="Times New Roman" w:cs="Times New Roman"/>
          <w:sz w:val="28"/>
          <w:szCs w:val="28"/>
        </w:rPr>
        <w:t>第三章 白山市“十四五”水生态环境保护规划任务</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_Toc86417731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- 19 -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"_Toc86417732" </w:instrText>
      </w:r>
      <w:r>
        <w:fldChar w:fldCharType="separate"/>
      </w:r>
      <w:r>
        <w:rPr>
          <w:rStyle w:val="41"/>
          <w:rFonts w:ascii="Times New Roman" w:hAnsi="Times New Roman" w:cs="Times New Roman"/>
          <w:sz w:val="28"/>
          <w:szCs w:val="28"/>
        </w:rPr>
        <w:t>一、坚持绿色低碳发展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_Toc86417732 \h </w:instrText>
      </w:r>
      <w:r>
        <w:rPr>
          <w:rFonts w:ascii="Times New Roman" w:hAnsi="Times New Roman" w:cs="Times New Roman"/>
          <w:sz w:val="28"/>
          <w:szCs w:val="28"/>
        </w:rPr>
        <w:fldChar w:fldCharType="separate"/>
      </w:r>
      <w:r>
        <w:rPr>
          <w:rFonts w:ascii="Times New Roman" w:hAnsi="Times New Roman" w:cs="Times New Roman"/>
          <w:sz w:val="28"/>
          <w:szCs w:val="28"/>
        </w:rPr>
        <w:t>- 19 -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"_Toc86417733" </w:instrText>
      </w:r>
      <w:r>
        <w:fldChar w:fldCharType="separate"/>
      </w:r>
      <w:r>
        <w:rPr>
          <w:rStyle w:val="41"/>
          <w:rFonts w:ascii="Times New Roman" w:hAnsi="Times New Roman" w:cs="Times New Roman"/>
          <w:sz w:val="28"/>
          <w:szCs w:val="28"/>
        </w:rPr>
        <w:t>二、推进实现人水和谐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_Toc86417733 \h </w:instrText>
      </w:r>
      <w:r>
        <w:rPr>
          <w:rFonts w:ascii="Times New Roman" w:hAnsi="Times New Roman" w:cs="Times New Roman"/>
          <w:sz w:val="28"/>
          <w:szCs w:val="28"/>
        </w:rPr>
        <w:fldChar w:fldCharType="separate"/>
      </w:r>
      <w:r>
        <w:rPr>
          <w:rFonts w:ascii="Times New Roman" w:hAnsi="Times New Roman" w:cs="Times New Roman"/>
          <w:sz w:val="28"/>
          <w:szCs w:val="28"/>
        </w:rPr>
        <w:t>- 20 -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"_Toc86417734" </w:instrText>
      </w:r>
      <w:r>
        <w:fldChar w:fldCharType="separate"/>
      </w:r>
      <w:r>
        <w:rPr>
          <w:rStyle w:val="41"/>
          <w:rFonts w:ascii="Times New Roman" w:hAnsi="Times New Roman" w:cs="Times New Roman"/>
          <w:sz w:val="28"/>
          <w:szCs w:val="28"/>
        </w:rPr>
        <w:t>三、深化水环境综合治理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_Toc86417734 \h </w:instrText>
      </w:r>
      <w:r>
        <w:rPr>
          <w:rFonts w:ascii="Times New Roman" w:hAnsi="Times New Roman" w:cs="Times New Roman"/>
          <w:sz w:val="28"/>
          <w:szCs w:val="28"/>
        </w:rPr>
        <w:fldChar w:fldCharType="separate"/>
      </w:r>
      <w:r>
        <w:rPr>
          <w:rFonts w:ascii="Times New Roman" w:hAnsi="Times New Roman" w:cs="Times New Roman"/>
          <w:sz w:val="28"/>
          <w:szCs w:val="28"/>
        </w:rPr>
        <w:t>- 21 -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"_Toc86417735" </w:instrText>
      </w:r>
      <w:r>
        <w:fldChar w:fldCharType="separate"/>
      </w:r>
      <w:r>
        <w:rPr>
          <w:rStyle w:val="41"/>
          <w:rFonts w:ascii="Times New Roman" w:hAnsi="Times New Roman" w:cs="Times New Roman"/>
          <w:sz w:val="28"/>
          <w:szCs w:val="28"/>
        </w:rPr>
        <w:t>四、提升水资源保障能力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_Toc86417735 \h </w:instrText>
      </w:r>
      <w:r>
        <w:rPr>
          <w:rFonts w:ascii="Times New Roman" w:hAnsi="Times New Roman" w:cs="Times New Roman"/>
          <w:sz w:val="28"/>
          <w:szCs w:val="28"/>
        </w:rPr>
        <w:fldChar w:fldCharType="separate"/>
      </w:r>
      <w:r>
        <w:rPr>
          <w:rFonts w:ascii="Times New Roman" w:hAnsi="Times New Roman" w:cs="Times New Roman"/>
          <w:sz w:val="28"/>
          <w:szCs w:val="28"/>
        </w:rPr>
        <w:t>- 24 -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"_Toc86417736" </w:instrText>
      </w:r>
      <w:r>
        <w:fldChar w:fldCharType="separate"/>
      </w:r>
      <w:r>
        <w:rPr>
          <w:rStyle w:val="41"/>
          <w:rFonts w:ascii="Times New Roman" w:hAnsi="Times New Roman" w:cs="Times New Roman"/>
          <w:sz w:val="28"/>
          <w:szCs w:val="28"/>
        </w:rPr>
        <w:t>五、推动水生态保护修复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_Toc86417736 \h </w:instrText>
      </w:r>
      <w:r>
        <w:rPr>
          <w:rFonts w:ascii="Times New Roman" w:hAnsi="Times New Roman" w:cs="Times New Roman"/>
          <w:sz w:val="28"/>
          <w:szCs w:val="28"/>
        </w:rPr>
        <w:fldChar w:fldCharType="separate"/>
      </w:r>
      <w:r>
        <w:rPr>
          <w:rFonts w:ascii="Times New Roman" w:hAnsi="Times New Roman" w:cs="Times New Roman"/>
          <w:sz w:val="28"/>
          <w:szCs w:val="28"/>
        </w:rPr>
        <w:t>- 25 -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"_Toc86417737" </w:instrText>
      </w:r>
      <w:r>
        <w:fldChar w:fldCharType="separate"/>
      </w:r>
      <w:r>
        <w:rPr>
          <w:rStyle w:val="41"/>
          <w:rFonts w:ascii="Times New Roman" w:hAnsi="Times New Roman" w:cs="Times New Roman"/>
          <w:sz w:val="28"/>
          <w:szCs w:val="28"/>
        </w:rPr>
        <w:t>六、强化水环境风险防控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_Toc86417737 \h </w:instrText>
      </w:r>
      <w:r>
        <w:rPr>
          <w:rFonts w:ascii="Times New Roman" w:hAnsi="Times New Roman" w:cs="Times New Roman"/>
          <w:sz w:val="28"/>
          <w:szCs w:val="28"/>
        </w:rPr>
        <w:fldChar w:fldCharType="separate"/>
      </w:r>
      <w:r>
        <w:rPr>
          <w:rFonts w:ascii="Times New Roman" w:hAnsi="Times New Roman" w:cs="Times New Roman"/>
          <w:sz w:val="28"/>
          <w:szCs w:val="28"/>
        </w:rPr>
        <w:t>- 27 -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"_Toc86417738" </w:instrText>
      </w:r>
      <w:r>
        <w:fldChar w:fldCharType="separate"/>
      </w:r>
      <w:r>
        <w:rPr>
          <w:rStyle w:val="41"/>
          <w:rFonts w:ascii="Times New Roman" w:hAnsi="Times New Roman" w:cs="Times New Roman"/>
          <w:sz w:val="28"/>
          <w:szCs w:val="28"/>
        </w:rPr>
        <w:t>第四章 白山市“十四五”水生态环境保护规划项目</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_Toc86417738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- 29 -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"_Toc86417739" </w:instrText>
      </w:r>
      <w:r>
        <w:fldChar w:fldCharType="separate"/>
      </w:r>
      <w:r>
        <w:rPr>
          <w:rStyle w:val="41"/>
          <w:rFonts w:ascii="Times New Roman" w:hAnsi="Times New Roman" w:cs="Times New Roman"/>
          <w:sz w:val="28"/>
          <w:szCs w:val="28"/>
        </w:rPr>
        <w:t>一、实施松江河水生态环境保护工程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_Toc86417739 \h </w:instrText>
      </w:r>
      <w:r>
        <w:rPr>
          <w:rFonts w:ascii="Times New Roman" w:hAnsi="Times New Roman" w:cs="Times New Roman"/>
          <w:sz w:val="28"/>
          <w:szCs w:val="28"/>
        </w:rPr>
        <w:fldChar w:fldCharType="separate"/>
      </w:r>
      <w:r>
        <w:rPr>
          <w:rFonts w:ascii="Times New Roman" w:hAnsi="Times New Roman" w:cs="Times New Roman"/>
          <w:sz w:val="28"/>
          <w:szCs w:val="28"/>
        </w:rPr>
        <w:t>- 29 -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"_Toc86417740" </w:instrText>
      </w:r>
      <w:r>
        <w:fldChar w:fldCharType="separate"/>
      </w:r>
      <w:r>
        <w:rPr>
          <w:rStyle w:val="41"/>
          <w:rFonts w:ascii="Times New Roman" w:hAnsi="Times New Roman" w:cs="Times New Roman"/>
          <w:sz w:val="28"/>
          <w:szCs w:val="28"/>
        </w:rPr>
        <w:t>二、实施头道松花江水资源保障工程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_Toc86417740 \h </w:instrText>
      </w:r>
      <w:r>
        <w:rPr>
          <w:rFonts w:ascii="Times New Roman" w:hAnsi="Times New Roman" w:cs="Times New Roman"/>
          <w:sz w:val="28"/>
          <w:szCs w:val="28"/>
        </w:rPr>
        <w:fldChar w:fldCharType="separate"/>
      </w:r>
      <w:r>
        <w:rPr>
          <w:rFonts w:ascii="Times New Roman" w:hAnsi="Times New Roman" w:cs="Times New Roman"/>
          <w:sz w:val="28"/>
          <w:szCs w:val="28"/>
        </w:rPr>
        <w:t>- 31 -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"_Toc86417741" </w:instrText>
      </w:r>
      <w:r>
        <w:fldChar w:fldCharType="separate"/>
      </w:r>
      <w:r>
        <w:rPr>
          <w:rStyle w:val="41"/>
          <w:rFonts w:ascii="Times New Roman" w:hAnsi="Times New Roman" w:cs="Times New Roman"/>
          <w:sz w:val="28"/>
          <w:szCs w:val="28"/>
        </w:rPr>
        <w:t>三、实施二道松花江水环境保护工程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_Toc86417741 \h </w:instrText>
      </w:r>
      <w:r>
        <w:rPr>
          <w:rFonts w:ascii="Times New Roman" w:hAnsi="Times New Roman" w:cs="Times New Roman"/>
          <w:sz w:val="28"/>
          <w:szCs w:val="28"/>
        </w:rPr>
        <w:fldChar w:fldCharType="separate"/>
      </w:r>
      <w:r>
        <w:rPr>
          <w:rFonts w:ascii="Times New Roman" w:hAnsi="Times New Roman" w:cs="Times New Roman"/>
          <w:sz w:val="28"/>
          <w:szCs w:val="28"/>
        </w:rPr>
        <w:t>- 34 -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"_Toc86417742" </w:instrText>
      </w:r>
      <w:r>
        <w:fldChar w:fldCharType="separate"/>
      </w:r>
      <w:r>
        <w:rPr>
          <w:rStyle w:val="41"/>
          <w:rFonts w:ascii="Times New Roman" w:hAnsi="Times New Roman" w:cs="Times New Roman"/>
          <w:sz w:val="28"/>
          <w:szCs w:val="28"/>
        </w:rPr>
        <w:t>四、实施松花江水环境改善工程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_Toc86417742 \h </w:instrText>
      </w:r>
      <w:r>
        <w:rPr>
          <w:rFonts w:ascii="Times New Roman" w:hAnsi="Times New Roman" w:cs="Times New Roman"/>
          <w:sz w:val="28"/>
          <w:szCs w:val="28"/>
        </w:rPr>
        <w:fldChar w:fldCharType="separate"/>
      </w:r>
      <w:r>
        <w:rPr>
          <w:rFonts w:ascii="Times New Roman" w:hAnsi="Times New Roman" w:cs="Times New Roman"/>
          <w:sz w:val="28"/>
          <w:szCs w:val="28"/>
        </w:rPr>
        <w:t>- 35 -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"_Toc86417743" </w:instrText>
      </w:r>
      <w:r>
        <w:fldChar w:fldCharType="separate"/>
      </w:r>
      <w:r>
        <w:rPr>
          <w:rStyle w:val="41"/>
          <w:rFonts w:ascii="Times New Roman" w:hAnsi="Times New Roman" w:cs="Times New Roman"/>
          <w:sz w:val="28"/>
          <w:szCs w:val="28"/>
        </w:rPr>
        <w:t>五、实施珠子河生态护岸建设工程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_Toc86417743 \h </w:instrText>
      </w:r>
      <w:r>
        <w:rPr>
          <w:rFonts w:ascii="Times New Roman" w:hAnsi="Times New Roman" w:cs="Times New Roman"/>
          <w:sz w:val="28"/>
          <w:szCs w:val="28"/>
        </w:rPr>
        <w:fldChar w:fldCharType="separate"/>
      </w:r>
      <w:r>
        <w:rPr>
          <w:rFonts w:ascii="Times New Roman" w:hAnsi="Times New Roman" w:cs="Times New Roman"/>
          <w:sz w:val="28"/>
          <w:szCs w:val="28"/>
        </w:rPr>
        <w:t>- 36 -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"_Toc86417744" </w:instrText>
      </w:r>
      <w:r>
        <w:fldChar w:fldCharType="separate"/>
      </w:r>
      <w:r>
        <w:rPr>
          <w:rStyle w:val="41"/>
          <w:rFonts w:ascii="Times New Roman" w:hAnsi="Times New Roman" w:cs="Times New Roman"/>
          <w:sz w:val="28"/>
          <w:szCs w:val="28"/>
        </w:rPr>
        <w:t>六、实施浑江水环境综合整治工程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_Toc86417744 \h </w:instrText>
      </w:r>
      <w:r>
        <w:rPr>
          <w:rFonts w:ascii="Times New Roman" w:hAnsi="Times New Roman" w:cs="Times New Roman"/>
          <w:sz w:val="28"/>
          <w:szCs w:val="28"/>
        </w:rPr>
        <w:fldChar w:fldCharType="separate"/>
      </w:r>
      <w:r>
        <w:rPr>
          <w:rFonts w:ascii="Times New Roman" w:hAnsi="Times New Roman" w:cs="Times New Roman"/>
          <w:sz w:val="28"/>
          <w:szCs w:val="28"/>
        </w:rPr>
        <w:t>- 38 -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"_Toc86417745" </w:instrText>
      </w:r>
      <w:r>
        <w:fldChar w:fldCharType="separate"/>
      </w:r>
      <w:r>
        <w:rPr>
          <w:rStyle w:val="41"/>
          <w:rFonts w:ascii="Times New Roman" w:hAnsi="Times New Roman" w:cs="Times New Roman"/>
          <w:sz w:val="28"/>
          <w:szCs w:val="28"/>
        </w:rPr>
        <w:t>七、实施YLJ水生物种恢复工程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_Toc86417745 \h </w:instrText>
      </w:r>
      <w:r>
        <w:rPr>
          <w:rFonts w:ascii="Times New Roman" w:hAnsi="Times New Roman" w:cs="Times New Roman"/>
          <w:sz w:val="28"/>
          <w:szCs w:val="28"/>
        </w:rPr>
        <w:fldChar w:fldCharType="separate"/>
      </w:r>
      <w:r>
        <w:rPr>
          <w:rFonts w:ascii="Times New Roman" w:hAnsi="Times New Roman" w:cs="Times New Roman"/>
          <w:sz w:val="28"/>
          <w:szCs w:val="28"/>
        </w:rPr>
        <w:t>- 41 -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"_Toc86417746" </w:instrText>
      </w:r>
      <w:r>
        <w:fldChar w:fldCharType="separate"/>
      </w:r>
      <w:r>
        <w:rPr>
          <w:rStyle w:val="41"/>
          <w:rFonts w:ascii="Times New Roman" w:hAnsi="Times New Roman" w:cs="Times New Roman"/>
          <w:sz w:val="28"/>
          <w:szCs w:val="28"/>
        </w:rPr>
        <w:t>第五章 保障措施</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_Toc86417746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- 44 -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"_Toc86417747" </w:instrText>
      </w:r>
      <w:r>
        <w:fldChar w:fldCharType="separate"/>
      </w:r>
      <w:r>
        <w:rPr>
          <w:rStyle w:val="41"/>
          <w:rFonts w:ascii="Times New Roman" w:hAnsi="Times New Roman" w:cs="Times New Roman"/>
          <w:sz w:val="28"/>
          <w:szCs w:val="28"/>
        </w:rPr>
        <w:t>一、组织领导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_Toc86417747 \h </w:instrText>
      </w:r>
      <w:r>
        <w:rPr>
          <w:rFonts w:ascii="Times New Roman" w:hAnsi="Times New Roman" w:cs="Times New Roman"/>
          <w:sz w:val="28"/>
          <w:szCs w:val="28"/>
        </w:rPr>
        <w:fldChar w:fldCharType="separate"/>
      </w:r>
      <w:r>
        <w:rPr>
          <w:rFonts w:ascii="Times New Roman" w:hAnsi="Times New Roman" w:cs="Times New Roman"/>
          <w:sz w:val="28"/>
          <w:szCs w:val="28"/>
        </w:rPr>
        <w:t>- 44 -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"_Toc86417748" </w:instrText>
      </w:r>
      <w:r>
        <w:fldChar w:fldCharType="separate"/>
      </w:r>
      <w:r>
        <w:rPr>
          <w:rStyle w:val="41"/>
          <w:rFonts w:ascii="Times New Roman" w:hAnsi="Times New Roman" w:cs="Times New Roman"/>
          <w:sz w:val="28"/>
          <w:szCs w:val="28"/>
        </w:rPr>
        <w:t>二、机制保障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_Toc86417748 \h </w:instrText>
      </w:r>
      <w:r>
        <w:rPr>
          <w:rFonts w:ascii="Times New Roman" w:hAnsi="Times New Roman" w:cs="Times New Roman"/>
          <w:sz w:val="28"/>
          <w:szCs w:val="28"/>
        </w:rPr>
        <w:fldChar w:fldCharType="separate"/>
      </w:r>
      <w:r>
        <w:rPr>
          <w:rFonts w:ascii="Times New Roman" w:hAnsi="Times New Roman" w:cs="Times New Roman"/>
          <w:sz w:val="28"/>
          <w:szCs w:val="28"/>
        </w:rPr>
        <w:t>- 44 -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"_Toc86417749" </w:instrText>
      </w:r>
      <w:r>
        <w:fldChar w:fldCharType="separate"/>
      </w:r>
      <w:r>
        <w:rPr>
          <w:rStyle w:val="41"/>
          <w:rFonts w:ascii="Times New Roman" w:hAnsi="Times New Roman" w:cs="Times New Roman"/>
          <w:sz w:val="28"/>
          <w:szCs w:val="28"/>
        </w:rPr>
        <w:t>三、资金保障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_Toc86417749 \h </w:instrText>
      </w:r>
      <w:r>
        <w:rPr>
          <w:rFonts w:ascii="Times New Roman" w:hAnsi="Times New Roman" w:cs="Times New Roman"/>
          <w:sz w:val="28"/>
          <w:szCs w:val="28"/>
        </w:rPr>
        <w:fldChar w:fldCharType="separate"/>
      </w:r>
      <w:r>
        <w:rPr>
          <w:rFonts w:ascii="Times New Roman" w:hAnsi="Times New Roman" w:cs="Times New Roman"/>
          <w:sz w:val="28"/>
          <w:szCs w:val="28"/>
        </w:rPr>
        <w:t>- 44 -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"_Toc86417750" </w:instrText>
      </w:r>
      <w:r>
        <w:fldChar w:fldCharType="separate"/>
      </w:r>
      <w:r>
        <w:rPr>
          <w:rStyle w:val="41"/>
          <w:rFonts w:ascii="Times New Roman" w:hAnsi="Times New Roman" w:cs="Times New Roman"/>
          <w:sz w:val="28"/>
          <w:szCs w:val="28"/>
        </w:rPr>
        <w:t>四、技术支撑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_Toc86417750 \h </w:instrText>
      </w:r>
      <w:r>
        <w:rPr>
          <w:rFonts w:ascii="Times New Roman" w:hAnsi="Times New Roman" w:cs="Times New Roman"/>
          <w:sz w:val="28"/>
          <w:szCs w:val="28"/>
        </w:rPr>
        <w:fldChar w:fldCharType="separate"/>
      </w:r>
      <w:r>
        <w:rPr>
          <w:rFonts w:ascii="Times New Roman" w:hAnsi="Times New Roman" w:cs="Times New Roman"/>
          <w:sz w:val="28"/>
          <w:szCs w:val="28"/>
        </w:rPr>
        <w:t>- 45 -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"_Toc86417751" </w:instrText>
      </w:r>
      <w:r>
        <w:fldChar w:fldCharType="separate"/>
      </w:r>
      <w:r>
        <w:rPr>
          <w:rStyle w:val="41"/>
          <w:rFonts w:ascii="Times New Roman" w:hAnsi="Times New Roman" w:cs="Times New Roman"/>
          <w:sz w:val="28"/>
          <w:szCs w:val="28"/>
        </w:rPr>
        <w:t>五、监督管理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_Toc86417751 \h </w:instrText>
      </w:r>
      <w:r>
        <w:rPr>
          <w:rFonts w:ascii="Times New Roman" w:hAnsi="Times New Roman" w:cs="Times New Roman"/>
          <w:sz w:val="28"/>
          <w:szCs w:val="28"/>
        </w:rPr>
        <w:fldChar w:fldCharType="separate"/>
      </w:r>
      <w:r>
        <w:rPr>
          <w:rFonts w:ascii="Times New Roman" w:hAnsi="Times New Roman" w:cs="Times New Roman"/>
          <w:sz w:val="28"/>
          <w:szCs w:val="28"/>
        </w:rPr>
        <w:t>- 45 -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"_Toc86417752" </w:instrText>
      </w:r>
      <w:r>
        <w:fldChar w:fldCharType="separate"/>
      </w:r>
      <w:r>
        <w:rPr>
          <w:rStyle w:val="41"/>
          <w:rFonts w:ascii="Times New Roman" w:hAnsi="Times New Roman" w:cs="Times New Roman"/>
          <w:sz w:val="28"/>
          <w:szCs w:val="28"/>
        </w:rPr>
        <w:t>六、宣传保障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_Toc86417752 \h </w:instrText>
      </w:r>
      <w:r>
        <w:rPr>
          <w:rFonts w:ascii="Times New Roman" w:hAnsi="Times New Roman" w:cs="Times New Roman"/>
          <w:sz w:val="28"/>
          <w:szCs w:val="28"/>
        </w:rPr>
        <w:fldChar w:fldCharType="separate"/>
      </w:r>
      <w:r>
        <w:rPr>
          <w:rFonts w:ascii="Times New Roman" w:hAnsi="Times New Roman" w:cs="Times New Roman"/>
          <w:sz w:val="28"/>
          <w:szCs w:val="28"/>
        </w:rPr>
        <w:t>- 45 -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4"/>
        <w:tabs>
          <w:tab w:val="right" w:leader="dot" w:pos="8296"/>
        </w:tabs>
        <w:ind w:firstLine="402"/>
        <w:rPr>
          <w:rFonts w:ascii="Times New Roman" w:hAnsi="Times New Roman" w:cs="Times New Roman"/>
          <w:b w:val="0"/>
          <w:bCs w:val="0"/>
          <w:caps w:val="0"/>
          <w:sz w:val="28"/>
          <w:szCs w:val="28"/>
        </w:rPr>
      </w:pPr>
      <w:r>
        <w:fldChar w:fldCharType="begin"/>
      </w:r>
      <w:r>
        <w:instrText xml:space="preserve"> HYPERLINK \l "_Toc86417753" </w:instrText>
      </w:r>
      <w:r>
        <w:fldChar w:fldCharType="separate"/>
      </w:r>
      <w:r>
        <w:rPr>
          <w:rStyle w:val="41"/>
          <w:rFonts w:ascii="Times New Roman" w:hAnsi="Times New Roman" w:cs="Times New Roman"/>
          <w:sz w:val="28"/>
          <w:szCs w:val="28"/>
        </w:rPr>
        <w:t>附表</w:t>
      </w:r>
      <w:r>
        <w:rPr>
          <w:rFonts w:ascii="Times New Roman" w:hAnsi="Times New Roman" w:cs="Times New Roman"/>
          <w:b w:val="0"/>
          <w:bCs w:val="0"/>
          <w:sz w:val="28"/>
          <w:szCs w:val="28"/>
        </w:rPr>
        <w:tab/>
      </w: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PAGEREF _Toc86417753 \h </w:instrText>
      </w:r>
      <w:r>
        <w:rPr>
          <w:rFonts w:ascii="Times New Roman" w:hAnsi="Times New Roman" w:cs="Times New Roman"/>
          <w:b w:val="0"/>
          <w:bCs w:val="0"/>
          <w:sz w:val="28"/>
          <w:szCs w:val="28"/>
        </w:rPr>
        <w:fldChar w:fldCharType="separate"/>
      </w:r>
      <w:r>
        <w:rPr>
          <w:rFonts w:ascii="Times New Roman" w:hAnsi="Times New Roman" w:cs="Times New Roman"/>
          <w:b w:val="0"/>
          <w:bCs w:val="0"/>
          <w:sz w:val="28"/>
          <w:szCs w:val="28"/>
        </w:rPr>
        <w:t>- 46 -</w:t>
      </w:r>
      <w:r>
        <w:rPr>
          <w:rFonts w:ascii="Times New Roman" w:hAnsi="Times New Roman" w:cs="Times New Roman"/>
          <w:b w:val="0"/>
          <w:bCs w:val="0"/>
          <w:sz w:val="28"/>
          <w:szCs w:val="28"/>
        </w:rPr>
        <w:fldChar w:fldCharType="end"/>
      </w:r>
      <w:r>
        <w:rPr>
          <w:rFonts w:ascii="Times New Roman" w:hAnsi="Times New Roman" w:cs="Times New Roman"/>
          <w:b w:val="0"/>
          <w:bCs w:val="0"/>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"_Toc86417754" </w:instrText>
      </w:r>
      <w:r>
        <w:fldChar w:fldCharType="separate"/>
      </w:r>
      <w:r>
        <w:rPr>
          <w:rStyle w:val="41"/>
          <w:rFonts w:ascii="Times New Roman" w:hAnsi="Times New Roman" w:cs="Times New Roman"/>
          <w:sz w:val="28"/>
          <w:szCs w:val="28"/>
        </w:rPr>
        <w:t>附表1 规划范围表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_Toc86417754 \h </w:instrText>
      </w:r>
      <w:r>
        <w:rPr>
          <w:rFonts w:ascii="Times New Roman" w:hAnsi="Times New Roman" w:cs="Times New Roman"/>
          <w:sz w:val="28"/>
          <w:szCs w:val="28"/>
        </w:rPr>
        <w:fldChar w:fldCharType="separate"/>
      </w:r>
      <w:r>
        <w:rPr>
          <w:rFonts w:ascii="Times New Roman" w:hAnsi="Times New Roman" w:cs="Times New Roman"/>
          <w:sz w:val="28"/>
          <w:szCs w:val="28"/>
        </w:rPr>
        <w:t>- 46 -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"_Toc86417755" </w:instrText>
      </w:r>
      <w:r>
        <w:fldChar w:fldCharType="separate"/>
      </w:r>
      <w:r>
        <w:rPr>
          <w:rStyle w:val="41"/>
          <w:rFonts w:ascii="Times New Roman" w:hAnsi="Times New Roman" w:cs="Times New Roman"/>
          <w:sz w:val="28"/>
          <w:szCs w:val="28"/>
        </w:rPr>
        <w:t>附表2 “十四五”国控断面水质目标清单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_Toc86417755 \h </w:instrText>
      </w:r>
      <w:r>
        <w:rPr>
          <w:rFonts w:ascii="Times New Roman" w:hAnsi="Times New Roman" w:cs="Times New Roman"/>
          <w:sz w:val="28"/>
          <w:szCs w:val="28"/>
        </w:rPr>
        <w:fldChar w:fldCharType="separate"/>
      </w:r>
      <w:r>
        <w:rPr>
          <w:rFonts w:ascii="Times New Roman" w:hAnsi="Times New Roman" w:cs="Times New Roman"/>
          <w:sz w:val="28"/>
          <w:szCs w:val="28"/>
        </w:rPr>
        <w:t>- 46 -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"_Toc86417756" </w:instrText>
      </w:r>
      <w:r>
        <w:fldChar w:fldCharType="separate"/>
      </w:r>
      <w:r>
        <w:rPr>
          <w:rStyle w:val="41"/>
          <w:rFonts w:ascii="Times New Roman" w:hAnsi="Times New Roman" w:cs="Times New Roman"/>
          <w:sz w:val="28"/>
          <w:szCs w:val="28"/>
        </w:rPr>
        <w:t>附表3 城市集中式饮用水水源目标清单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_Toc86417756 \h </w:instrText>
      </w:r>
      <w:r>
        <w:rPr>
          <w:rFonts w:ascii="Times New Roman" w:hAnsi="Times New Roman" w:cs="Times New Roman"/>
          <w:sz w:val="28"/>
          <w:szCs w:val="28"/>
        </w:rPr>
        <w:fldChar w:fldCharType="separate"/>
      </w:r>
      <w:r>
        <w:rPr>
          <w:rFonts w:ascii="Times New Roman" w:hAnsi="Times New Roman" w:cs="Times New Roman"/>
          <w:sz w:val="28"/>
          <w:szCs w:val="28"/>
        </w:rPr>
        <w:t>- 48 -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"_Toc86417757" </w:instrText>
      </w:r>
      <w:r>
        <w:fldChar w:fldCharType="separate"/>
      </w:r>
      <w:r>
        <w:rPr>
          <w:rStyle w:val="41"/>
          <w:rFonts w:ascii="Times New Roman" w:hAnsi="Times New Roman" w:cs="Times New Roman"/>
          <w:sz w:val="28"/>
          <w:szCs w:val="28"/>
        </w:rPr>
        <w:t>附表4 河湖生态缓冲带修复的水体清单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_Toc86417757 \h </w:instrText>
      </w:r>
      <w:r>
        <w:rPr>
          <w:rFonts w:ascii="Times New Roman" w:hAnsi="Times New Roman" w:cs="Times New Roman"/>
          <w:sz w:val="28"/>
          <w:szCs w:val="28"/>
        </w:rPr>
        <w:fldChar w:fldCharType="separate"/>
      </w:r>
      <w:r>
        <w:rPr>
          <w:rFonts w:ascii="Times New Roman" w:hAnsi="Times New Roman" w:cs="Times New Roman"/>
          <w:sz w:val="28"/>
          <w:szCs w:val="28"/>
        </w:rPr>
        <w:t>- 48 -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"_Toc86417758" </w:instrText>
      </w:r>
      <w:r>
        <w:fldChar w:fldCharType="separate"/>
      </w:r>
      <w:r>
        <w:rPr>
          <w:rStyle w:val="41"/>
          <w:rFonts w:ascii="Times New Roman" w:hAnsi="Times New Roman" w:cs="Times New Roman"/>
          <w:sz w:val="28"/>
          <w:szCs w:val="28"/>
        </w:rPr>
        <w:t>附表5 人工湿地建设清单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_Toc86417758 \h </w:instrText>
      </w:r>
      <w:r>
        <w:rPr>
          <w:rFonts w:ascii="Times New Roman" w:hAnsi="Times New Roman" w:cs="Times New Roman"/>
          <w:sz w:val="28"/>
          <w:szCs w:val="28"/>
        </w:rPr>
        <w:fldChar w:fldCharType="separate"/>
      </w:r>
      <w:r>
        <w:rPr>
          <w:rFonts w:ascii="Times New Roman" w:hAnsi="Times New Roman" w:cs="Times New Roman"/>
          <w:sz w:val="28"/>
          <w:szCs w:val="28"/>
        </w:rPr>
        <w:t>- 50 -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"_Toc86417759" </w:instrText>
      </w:r>
      <w:r>
        <w:fldChar w:fldCharType="separate"/>
      </w:r>
      <w:r>
        <w:rPr>
          <w:rStyle w:val="41"/>
          <w:rFonts w:ascii="Times New Roman" w:hAnsi="Times New Roman" w:cs="Times New Roman"/>
          <w:sz w:val="28"/>
          <w:szCs w:val="28"/>
        </w:rPr>
        <w:t>附表6 恢复“有水”的河流清单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_Toc86417759 \h </w:instrText>
      </w:r>
      <w:r>
        <w:rPr>
          <w:rFonts w:ascii="Times New Roman" w:hAnsi="Times New Roman" w:cs="Times New Roman"/>
          <w:sz w:val="28"/>
          <w:szCs w:val="28"/>
        </w:rPr>
        <w:fldChar w:fldCharType="separate"/>
      </w:r>
      <w:r>
        <w:rPr>
          <w:rFonts w:ascii="Times New Roman" w:hAnsi="Times New Roman" w:cs="Times New Roman"/>
          <w:sz w:val="28"/>
          <w:szCs w:val="28"/>
        </w:rPr>
        <w:t>- 51 -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"_Toc86417760" </w:instrText>
      </w:r>
      <w:r>
        <w:fldChar w:fldCharType="separate"/>
      </w:r>
      <w:r>
        <w:rPr>
          <w:rStyle w:val="41"/>
          <w:rFonts w:ascii="Times New Roman" w:hAnsi="Times New Roman" w:cs="Times New Roman"/>
          <w:sz w:val="28"/>
          <w:szCs w:val="28"/>
        </w:rPr>
        <w:t>附表7 以重现土著鱼类为目标的水体清单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_Toc86417760 \h </w:instrText>
      </w:r>
      <w:r>
        <w:rPr>
          <w:rFonts w:ascii="Times New Roman" w:hAnsi="Times New Roman" w:cs="Times New Roman"/>
          <w:sz w:val="28"/>
          <w:szCs w:val="28"/>
        </w:rPr>
        <w:fldChar w:fldCharType="separate"/>
      </w:r>
      <w:r>
        <w:rPr>
          <w:rFonts w:ascii="Times New Roman" w:hAnsi="Times New Roman" w:cs="Times New Roman"/>
          <w:sz w:val="28"/>
          <w:szCs w:val="28"/>
        </w:rPr>
        <w:t>- 51 -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9"/>
        <w:tabs>
          <w:tab w:val="right" w:leader="dot" w:pos="8296"/>
        </w:tabs>
        <w:ind w:firstLine="400"/>
        <w:rPr>
          <w:rFonts w:ascii="Times New Roman" w:hAnsi="Times New Roman" w:cs="Times New Roman"/>
          <w:smallCaps w:val="0"/>
          <w:sz w:val="28"/>
          <w:szCs w:val="28"/>
        </w:rPr>
      </w:pPr>
      <w:r>
        <w:fldChar w:fldCharType="begin"/>
      </w:r>
      <w:r>
        <w:instrText xml:space="preserve"> HYPERLINK \l "_Toc86417761" </w:instrText>
      </w:r>
      <w:r>
        <w:fldChar w:fldCharType="separate"/>
      </w:r>
      <w:r>
        <w:rPr>
          <w:rStyle w:val="41"/>
          <w:rFonts w:ascii="Times New Roman" w:hAnsi="Times New Roman" w:cs="Times New Roman"/>
          <w:sz w:val="28"/>
          <w:szCs w:val="28"/>
        </w:rPr>
        <w:t>附表8 工程项目表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_Toc86417761 \h </w:instrText>
      </w:r>
      <w:r>
        <w:rPr>
          <w:rFonts w:ascii="Times New Roman" w:hAnsi="Times New Roman" w:cs="Times New Roman"/>
          <w:sz w:val="28"/>
          <w:szCs w:val="28"/>
        </w:rPr>
        <w:fldChar w:fldCharType="separate"/>
      </w:r>
      <w:r>
        <w:rPr>
          <w:rFonts w:ascii="Times New Roman" w:hAnsi="Times New Roman" w:cs="Times New Roman"/>
          <w:sz w:val="28"/>
          <w:szCs w:val="28"/>
        </w:rPr>
        <w:t>- 52 -</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ind w:firstLine="0" w:firstLineChars="0"/>
        <w:rPr>
          <w:rFonts w:cs="Times New Roman"/>
          <w:szCs w:val="28"/>
        </w:rPr>
      </w:pPr>
      <w:r>
        <w:rPr>
          <w:rFonts w:cs="Times New Roman"/>
          <w:szCs w:val="28"/>
        </w:rPr>
        <w:fldChar w:fldCharType="end"/>
      </w:r>
    </w:p>
    <w:p>
      <w:pPr>
        <w:widowControl/>
        <w:ind w:firstLine="560"/>
        <w:jc w:val="left"/>
        <w:rPr>
          <w:rFonts w:cs="Times New Roman"/>
        </w:rPr>
        <w:sectPr>
          <w:footerReference r:id="rId11" w:type="default"/>
          <w:pgSz w:w="11906" w:h="16838"/>
          <w:pgMar w:top="1440" w:right="1800" w:bottom="1440" w:left="1800" w:header="851" w:footer="992" w:gutter="0"/>
          <w:pgNumType w:fmt="lowerRoman" w:start="1"/>
          <w:cols w:space="425" w:num="1"/>
          <w:docGrid w:type="lines" w:linePitch="381" w:charSpace="0"/>
        </w:sectPr>
      </w:pPr>
      <w:r>
        <w:rPr>
          <w:rFonts w:cs="Times New Roman"/>
        </w:rPr>
        <w:br w:type="page"/>
      </w:r>
    </w:p>
    <w:p>
      <w:pPr>
        <w:pStyle w:val="2"/>
      </w:pPr>
      <w:bookmarkStart w:id="0" w:name="_Toc86417724"/>
      <w:bookmarkStart w:id="1" w:name="_Toc65855428"/>
      <w:bookmarkStart w:id="2" w:name="_Toc65855397"/>
      <w:r>
        <w:t>第一章 开启水生态环境保护新征程</w:t>
      </w:r>
      <w:bookmarkEnd w:id="0"/>
    </w:p>
    <w:p>
      <w:pPr>
        <w:ind w:firstLine="560"/>
        <w:rPr>
          <w:rFonts w:cs="Times New Roman"/>
        </w:rPr>
      </w:pPr>
      <w:r>
        <w:rPr>
          <w:rFonts w:cs="Times New Roman"/>
        </w:rPr>
        <w:t>“十四五”时期是开启全面建设社会主义现代化国家新征程、向第二个百年奋斗目标进军的五年，是向着“鱼翔浅底、清水绿岸”美好水生态环境愿景奋进的五年，是深入打好水污染防治攻坚战、全面启动水生态保护修复、持续改善水生态环境的五年。</w:t>
      </w:r>
    </w:p>
    <w:p>
      <w:pPr>
        <w:pStyle w:val="3"/>
      </w:pPr>
      <w:bookmarkStart w:id="3" w:name="_Toc86417725"/>
      <w:r>
        <w:t>一、十三五时期水生态环境保护的成绩</w:t>
      </w:r>
      <w:bookmarkEnd w:id="3"/>
    </w:p>
    <w:p>
      <w:pPr>
        <w:overflowPunct w:val="0"/>
        <w:ind w:firstLine="560"/>
        <w:rPr>
          <w:rFonts w:cs="Times New Roman"/>
        </w:rPr>
      </w:pPr>
      <w:r>
        <w:rPr>
          <w:rFonts w:cs="Times New Roman"/>
        </w:rPr>
        <w:t>“十三五”期间，白山市市委市政府坚决贯彻落实党中央、国务院和省委、省政府的决策部署，务实重行、开拓进取。着力稳增长、调结构，发展质量效益持续提升；坚定不移推动新旧动能转换，致力于优化产业，绿色转型振兴白山；改革创新开放不断深化，坚持以改革促发展、以创新激活力、以开放增动力，强化改革攻坚；牢固树立底线思维，努力补齐高质量发展突出短板，精准脱贫成效显著；坚持以均衡协调为方向，加强城市建设，打造美丽乡村，促进互联互通；牢固树立以人民为中心的发展思想，践行绿色发展理念，生态文明建设和环境保护成效明显。</w:t>
      </w:r>
    </w:p>
    <w:p>
      <w:pPr>
        <w:overflowPunct w:val="0"/>
        <w:ind w:firstLine="560"/>
        <w:rPr>
          <w:rFonts w:cs="Times New Roman"/>
        </w:rPr>
      </w:pPr>
      <w:r>
        <w:rPr>
          <w:rFonts w:cs="Times New Roman"/>
        </w:rPr>
        <w:t>按时保质完成《吉林省落实水污染防治行动计划工作方案》、《吉林省重点流域水污染防治规划（2016-2020年）》、《吉林省清洁水体行动计划（2016-2020年）》、《吉林省重点流域劣五类专项治理和水质提升方案（2019-2020年）》、《吉林省辽河流域水污染治理与生态修复综合规划（2018-2035年）》等年度重点任务，制定出台《白山市落实水污染防治行动计划实施方案》，按月调度全市水污染防治行动计划工作进展，上报省水十条调度平台，按年度完成白山市落实水污染防治行动计划实施情况的自查报告上报工作。</w:t>
      </w:r>
    </w:p>
    <w:p>
      <w:pPr>
        <w:ind w:firstLine="560" w:firstLineChars="0"/>
        <w:rPr>
          <w:rFonts w:cs="Times New Roman"/>
        </w:rPr>
      </w:pPr>
      <w:r>
        <w:rPr>
          <w:rFonts w:cs="Times New Roman"/>
          <w:w w:val="95"/>
        </w:rPr>
        <w:t>“十三五”以来，通过扎实推进碧水保卫战各项任务落地落细、取得实效。</w:t>
      </w:r>
      <w:r>
        <w:rPr>
          <w:rFonts w:cs="Times New Roman"/>
          <w:b/>
          <w:bCs/>
          <w:w w:val="95"/>
        </w:rPr>
        <w:t>一是在水质提升工程治理方面</w:t>
      </w:r>
      <w:r>
        <w:rPr>
          <w:rFonts w:cs="Times New Roman"/>
          <w:b/>
          <w:w w:val="95"/>
        </w:rPr>
        <w:t>。</w:t>
      </w:r>
      <w:r>
        <w:rPr>
          <w:rFonts w:cs="Times New Roman"/>
          <w:w w:val="95"/>
        </w:rPr>
        <w:t>全市13个水质提升工程项目全部完成建设。全市160个需要整治入河排污口，现已全部完成整治，达到了生活污水不直排入河的要求。</w:t>
      </w:r>
      <w:r>
        <w:rPr>
          <w:rFonts w:cs="Times New Roman"/>
          <w:b/>
          <w:bCs/>
          <w:w w:val="95"/>
        </w:rPr>
        <w:t>二是在水源地保护方面</w:t>
      </w:r>
      <w:r>
        <w:rPr>
          <w:rFonts w:cs="Times New Roman"/>
          <w:b/>
          <w:w w:val="95"/>
        </w:rPr>
        <w:t>。</w:t>
      </w:r>
      <w:r>
        <w:rPr>
          <w:rFonts w:cs="Times New Roman"/>
          <w:w w:val="95"/>
        </w:rPr>
        <w:t>全市县级及以上8处城镇集中式饮用水水源地，8处已完成保护区划调整工作，饮用水源水质达标率为</w:t>
      </w:r>
      <w:r>
        <w:rPr>
          <w:rFonts w:cs="Times New Roman"/>
        </w:rPr>
        <w:t>100%</w:t>
      </w:r>
      <w:r>
        <w:rPr>
          <w:rFonts w:cs="Times New Roman"/>
          <w:w w:val="95"/>
        </w:rPr>
        <w:t>。全市12处“千吨万人”水源地全部完成区划工作。</w:t>
      </w:r>
      <w:r>
        <w:rPr>
          <w:rFonts w:cs="Times New Roman"/>
          <w:b/>
          <w:w w:val="95"/>
        </w:rPr>
        <w:t>三</w:t>
      </w:r>
      <w:r>
        <w:rPr>
          <w:rFonts w:cs="Times New Roman"/>
          <w:b/>
        </w:rPr>
        <w:t>是开展河湖清理方面。</w:t>
      </w:r>
      <w:r>
        <w:rPr>
          <w:rFonts w:cs="Times New Roman"/>
          <w:bCs/>
        </w:rPr>
        <w:t>市河长制办公室印发《白山市河道“清四乱”专项行动方案》，全市共摸排出流域面积1000平方公里以上河流的河道“四乱”问题76个，已全部整改销号。组织开展了春季河道清洁整治专项行动和秋冬百日会战清河行动，在春季冰雪消融、秋末冬初尚未冰冻的有利时机，出动车辆515台次、人员3390余人次，清理河道近900多公里，清理垃圾等废弃物6058吨。</w:t>
      </w:r>
      <w:r>
        <w:rPr>
          <w:rFonts w:cs="Times New Roman"/>
          <w:b/>
        </w:rPr>
        <w:t>四是强化城镇污水收集和处理能力。</w:t>
      </w:r>
      <w:r>
        <w:rPr>
          <w:rFonts w:cs="Times New Roman"/>
          <w:bCs/>
        </w:rPr>
        <w:t>市中心区2019年度新建管网5.71公里（污水管网3.2公里，雨水管网2.5公里）；改造分流制老旧管网8.39公里（污水管网4.29公里，雨水管网4.1公里）；改造雨污合流管网2.95公里（污水管网0.85公里，雨水管网2.1公里），逐步取消现有合流制管网。同时，实施市区老旧小区管网改造计划，完成雨水管线4994米、雨水检查井148座，污水管线4113米、污水井344座。白山市虹桥污水厂扩容提标改造工程、长白山大街排水改造工程均已完成，大大提高了污水率和处理效果。</w:t>
      </w:r>
      <w:r>
        <w:rPr>
          <w:rFonts w:cs="Times New Roman"/>
          <w:b/>
        </w:rPr>
        <w:t>五是加快城市黑臭水体治理方面。</w:t>
      </w:r>
      <w:r>
        <w:rPr>
          <w:rFonts w:cs="Times New Roman"/>
          <w:bCs/>
        </w:rPr>
        <w:t>制定城市水系图和黑臭水体河流作战图，开展确权划界、排污口排查、堤防建设、河道清淤、打击非法采砂、河道保洁等工作，规范用河行为；开展河道清理整治行动，对越冬垃圾开展集中清理整治专项行动，共清理垃圾1.36万吨；加强巡查整改，及时发现黑臭水体存在的污水直排、侵占河道、违建、淤泥垃圾等突出问题。谋划月牙河湿地、黑卧子河、碱厂沟河引水工程，确保河道基本生态用水，重点保障枯水期生态基流。2019年，</w:t>
      </w:r>
      <w:r>
        <w:rPr>
          <w:rFonts w:cs="Times New Roman"/>
        </w:rPr>
        <w:t>中心区</w:t>
      </w:r>
      <w:r>
        <w:rPr>
          <w:rFonts w:cs="Times New Roman"/>
          <w:w w:val="95"/>
        </w:rPr>
        <w:t>4条黑臭水体整治工程全部完工，满足消除黑臭要求，已实现河道内无垃圾、无大面积漂浮物，无违法排污口，水质得到明显改善。</w:t>
      </w:r>
      <w:r>
        <w:rPr>
          <w:rFonts w:cs="Times New Roman"/>
          <w:b/>
        </w:rPr>
        <w:t>六是</w:t>
      </w:r>
      <w:r>
        <w:rPr>
          <w:rFonts w:cs="Times New Roman"/>
          <w:b/>
          <w:bCs/>
          <w:w w:val="95"/>
        </w:rPr>
        <w:t>在农村水污染治理方面</w:t>
      </w:r>
      <w:r>
        <w:rPr>
          <w:rFonts w:cs="Times New Roman"/>
          <w:b/>
        </w:rPr>
        <w:t>。</w:t>
      </w:r>
      <w:r>
        <w:rPr>
          <w:rFonts w:cs="Times New Roman"/>
        </w:rPr>
        <w:t>5个重点建制镇和2个常住人口1万人以上重点流域建制镇全部建成污水处理厂并投入运行。</w:t>
      </w:r>
      <w:r>
        <w:rPr>
          <w:rFonts w:cs="Times New Roman"/>
          <w:w w:val="95"/>
        </w:rPr>
        <w:t>全市503个行政村全部建立了生活垃圾收运处置体系，完成率100%。</w:t>
      </w:r>
      <w:r>
        <w:rPr>
          <w:rFonts w:cs="Times New Roman"/>
        </w:rPr>
        <w:t>深入开展农业农村面源污染防治。围绕贯彻落实市委市政府提出的“生态立市、产业强市、特色兴市”发展战略，全力打造生态农业新格局，围绕推进农药、化肥“双减半”，组织实施了“退粮进特”、“退耕还林”、休耕轮作、有机肥替代行动等攻坚任务，</w:t>
      </w:r>
      <w:r>
        <w:rPr>
          <w:rFonts w:cs="Times New Roman"/>
          <w:bCs/>
        </w:rPr>
        <w:t>2019年农药、化肥实际使用量分别下降54.7%和59.3%。</w:t>
      </w:r>
      <w:r>
        <w:rPr>
          <w:rFonts w:cs="Times New Roman"/>
          <w:b/>
          <w:bCs/>
          <w:w w:val="95"/>
        </w:rPr>
        <w:t>七</w:t>
      </w:r>
      <w:r>
        <w:rPr>
          <w:rFonts w:cs="Times New Roman"/>
          <w:b/>
        </w:rPr>
        <w:t>是加快规模化养殖场废弃物处理配套设施建设。</w:t>
      </w:r>
      <w:r>
        <w:rPr>
          <w:rFonts w:cs="Times New Roman"/>
          <w:bCs/>
        </w:rPr>
        <w:t>全市参与考核的规模化养殖场145户，已完成粪污资源化利用设施建设，并通过农业农村和生态环境部门现场验收的128户，设施配套率88.28%，粪污资源化利用率74.06%。大型规模养殖场26户，已全部完成粪污资源化利用设施建设，设施配套率100%，超额完成年度目标。</w:t>
      </w:r>
      <w:r>
        <w:rPr>
          <w:rFonts w:cs="Times New Roman"/>
        </w:rPr>
        <w:t>到2018年7月全市禁养区内74户养殖场，已完成关闭搬迁任务。</w:t>
      </w:r>
      <w:r>
        <w:rPr>
          <w:rFonts w:cs="Times New Roman"/>
          <w:b/>
        </w:rPr>
        <w:t>八</w:t>
      </w:r>
      <w:r>
        <w:rPr>
          <w:rFonts w:cs="Times New Roman"/>
          <w:b/>
          <w:w w:val="95"/>
        </w:rPr>
        <w:t>是在工业集聚区污水处理设施方面</w:t>
      </w:r>
      <w:r>
        <w:rPr>
          <w:rFonts w:cs="Times New Roman"/>
          <w:b/>
        </w:rPr>
        <w:t>。</w:t>
      </w:r>
      <w:r>
        <w:rPr>
          <w:rFonts w:cs="Times New Roman"/>
          <w:w w:val="95"/>
        </w:rPr>
        <w:t>全市6个省级以上工业园区全部完成污水处理设施建设和在线装置安装任务。全市4个省级以下工业集聚区中除靖宇健康产业园已完成外，其它3个（江源工业集中区、临江硅藻土工业集中区和浑江经济开发区）正在建设推进中，力争年底前完成建设任务。</w:t>
      </w:r>
      <w:r>
        <w:rPr>
          <w:rFonts w:cs="Times New Roman"/>
          <w:b/>
          <w:bCs/>
          <w:w w:val="95"/>
        </w:rPr>
        <w:t>九是地下水污染防治</w:t>
      </w:r>
      <w:r>
        <w:rPr>
          <w:rFonts w:cs="Times New Roman"/>
          <w:b/>
        </w:rPr>
        <w:t>。</w:t>
      </w:r>
      <w:r>
        <w:rPr>
          <w:rFonts w:cs="Times New Roman"/>
        </w:rPr>
        <w:t>加油站地下油罐更新改造方面，全市共有</w:t>
      </w:r>
      <w:r>
        <w:rPr>
          <w:rFonts w:cs="Times New Roman"/>
          <w:lang w:val="zh-CN"/>
        </w:rPr>
        <w:t>80座加油站，全面完成更新双层罐或设置防渗池的改造任务。</w:t>
      </w:r>
    </w:p>
    <w:p>
      <w:pPr>
        <w:pStyle w:val="3"/>
      </w:pPr>
      <w:bookmarkStart w:id="4" w:name="_Toc86417726"/>
      <w:r>
        <w:t>二、水生态环境保护存在的问题</w:t>
      </w:r>
      <w:bookmarkEnd w:id="4"/>
    </w:p>
    <w:p>
      <w:pPr>
        <w:pStyle w:val="4"/>
        <w:ind w:firstLine="602"/>
        <w:rPr>
          <w:rFonts w:cs="Times New Roman"/>
        </w:rPr>
      </w:pPr>
      <w:bookmarkStart w:id="5" w:name="_Toc65855409"/>
      <w:bookmarkStart w:id="6" w:name="_Toc65855440"/>
      <w:r>
        <w:rPr>
          <w:rFonts w:cs="Times New Roman"/>
        </w:rPr>
        <w:t>1．水环境存在威胁</w:t>
      </w:r>
      <w:bookmarkEnd w:id="5"/>
      <w:bookmarkEnd w:id="6"/>
    </w:p>
    <w:p>
      <w:pPr>
        <w:pStyle w:val="5"/>
        <w:ind w:firstLine="562"/>
        <w:rPr>
          <w:rFonts w:cs="Times New Roman"/>
        </w:rPr>
      </w:pPr>
      <w:r>
        <w:rPr>
          <w:rFonts w:cs="Times New Roman"/>
        </w:rPr>
        <w:t>（1）城镇污水处理设施不足</w:t>
      </w:r>
    </w:p>
    <w:p>
      <w:pPr>
        <w:ind w:firstLine="560"/>
        <w:rPr>
          <w:rFonts w:cs="Times New Roman"/>
        </w:rPr>
      </w:pPr>
      <w:r>
        <w:rPr>
          <w:rFonts w:cs="Times New Roman"/>
        </w:rPr>
        <w:t>抚松县14个乡镇中目前有抚松镇、松江河镇、露水河镇、泉阳镇等4个乡镇镇区进行了污水处理厂建设和污水管线铺设，现已基本竣工完成，陆续投入使用，剩余10个乡镇尚未建设污水处理。仙人桥镇、万良镇镇区内现有排水体制为雨污合流制，且管网淤堵严重，排水能力不足，使得在雨季，大量水体无法快速及时的排出，严重影响居民的生产生活，合流制管线渗漏情况较为严重，已不宜作为污水管线继续使用。东岗镇、仙人桥镇、漫江镇、北岗镇、万良镇、新屯子镇、兴隆乡、抽水乡等乡镇镇区内无污水处理设施，污水随处乱泼，使得大量污水无法得到有效的处理而排入水体造成水体污染，夏季蚊蝇滋生，气味难闻，冬季结冰影响环境卫生及交通，危害居民健康，居民生活环境质量不高。</w:t>
      </w:r>
    </w:p>
    <w:p>
      <w:pPr>
        <w:keepNext/>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表1-1  抚松县建制村污水处理设施现状</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49"/>
        <w:gridCol w:w="1135"/>
        <w:gridCol w:w="1133"/>
        <w:gridCol w:w="1128"/>
        <w:gridCol w:w="1943"/>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7" w:type="pct"/>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498" w:type="pct"/>
            <w:vAlign w:val="center"/>
          </w:tcPr>
          <w:p>
            <w:pPr>
              <w:spacing w:line="240" w:lineRule="auto"/>
              <w:ind w:firstLine="0" w:firstLineChars="0"/>
              <w:jc w:val="center"/>
              <w:rPr>
                <w:rFonts w:cs="Times New Roman"/>
                <w:b/>
                <w:bCs/>
                <w:sz w:val="21"/>
                <w:szCs w:val="21"/>
              </w:rPr>
            </w:pPr>
            <w:r>
              <w:rPr>
                <w:rFonts w:cs="Times New Roman"/>
                <w:b/>
                <w:bCs/>
                <w:sz w:val="21"/>
                <w:szCs w:val="21"/>
              </w:rPr>
              <w:t>乡镇</w:t>
            </w:r>
          </w:p>
        </w:tc>
        <w:tc>
          <w:tcPr>
            <w:tcW w:w="666" w:type="pct"/>
            <w:vAlign w:val="center"/>
          </w:tcPr>
          <w:p>
            <w:pPr>
              <w:spacing w:line="240" w:lineRule="auto"/>
              <w:ind w:firstLine="0" w:firstLineChars="0"/>
              <w:jc w:val="center"/>
              <w:rPr>
                <w:rFonts w:cs="Times New Roman"/>
                <w:b/>
                <w:bCs/>
                <w:sz w:val="21"/>
                <w:szCs w:val="21"/>
              </w:rPr>
            </w:pPr>
            <w:r>
              <w:rPr>
                <w:rFonts w:cs="Times New Roman"/>
                <w:b/>
                <w:bCs/>
                <w:sz w:val="21"/>
                <w:szCs w:val="21"/>
              </w:rPr>
              <w:t>村庄</w:t>
            </w:r>
          </w:p>
        </w:tc>
        <w:tc>
          <w:tcPr>
            <w:tcW w:w="665" w:type="pct"/>
            <w:vAlign w:val="center"/>
          </w:tcPr>
          <w:p>
            <w:pPr>
              <w:spacing w:line="240" w:lineRule="auto"/>
              <w:ind w:firstLine="0" w:firstLineChars="0"/>
              <w:jc w:val="center"/>
              <w:rPr>
                <w:rFonts w:cs="Times New Roman"/>
                <w:b/>
                <w:bCs/>
                <w:sz w:val="21"/>
                <w:szCs w:val="21"/>
              </w:rPr>
            </w:pPr>
            <w:r>
              <w:rPr>
                <w:rFonts w:cs="Times New Roman"/>
                <w:b/>
                <w:bCs/>
                <w:sz w:val="21"/>
                <w:szCs w:val="21"/>
              </w:rPr>
              <w:t>处理设施</w:t>
            </w:r>
          </w:p>
        </w:tc>
        <w:tc>
          <w:tcPr>
            <w:tcW w:w="662" w:type="pct"/>
            <w:vAlign w:val="center"/>
          </w:tcPr>
          <w:p>
            <w:pPr>
              <w:spacing w:line="240" w:lineRule="auto"/>
              <w:ind w:firstLine="0" w:firstLineChars="0"/>
              <w:jc w:val="center"/>
              <w:rPr>
                <w:rFonts w:cs="Times New Roman"/>
                <w:b/>
                <w:bCs/>
                <w:sz w:val="21"/>
                <w:szCs w:val="21"/>
              </w:rPr>
            </w:pPr>
            <w:r>
              <w:rPr>
                <w:rFonts w:cs="Times New Roman"/>
                <w:b/>
                <w:bCs/>
                <w:sz w:val="21"/>
                <w:szCs w:val="21"/>
              </w:rPr>
              <w:t>处理规模</w:t>
            </w:r>
          </w:p>
        </w:tc>
        <w:tc>
          <w:tcPr>
            <w:tcW w:w="1140" w:type="pct"/>
            <w:vAlign w:val="center"/>
          </w:tcPr>
          <w:p>
            <w:pPr>
              <w:spacing w:line="240" w:lineRule="auto"/>
              <w:ind w:firstLine="0" w:firstLineChars="0"/>
              <w:jc w:val="center"/>
              <w:rPr>
                <w:rFonts w:cs="Times New Roman"/>
                <w:b/>
                <w:bCs/>
                <w:sz w:val="21"/>
                <w:szCs w:val="21"/>
              </w:rPr>
            </w:pPr>
            <w:r>
              <w:rPr>
                <w:rFonts w:cs="Times New Roman"/>
                <w:b/>
                <w:bCs/>
                <w:sz w:val="21"/>
                <w:szCs w:val="21"/>
              </w:rPr>
              <w:t>排放标准</w:t>
            </w:r>
          </w:p>
        </w:tc>
        <w:tc>
          <w:tcPr>
            <w:tcW w:w="972" w:type="pct"/>
            <w:vAlign w:val="center"/>
          </w:tcPr>
          <w:p>
            <w:pPr>
              <w:spacing w:line="240" w:lineRule="auto"/>
              <w:ind w:firstLine="0" w:firstLineChars="0"/>
              <w:jc w:val="center"/>
              <w:rPr>
                <w:rFonts w:cs="Times New Roman"/>
                <w:b/>
                <w:bCs/>
                <w:sz w:val="21"/>
                <w:szCs w:val="21"/>
              </w:rPr>
            </w:pPr>
            <w:r>
              <w:rPr>
                <w:rFonts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顺江村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2</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西关村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3</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山东会村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南关村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5</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西川村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6</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夹信子村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久财村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8</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太安村</w:t>
            </w:r>
          </w:p>
        </w:tc>
        <w:tc>
          <w:tcPr>
            <w:tcW w:w="665" w:type="pct"/>
            <w:vMerge w:val="continue"/>
            <w:tcBorders>
              <w:tl2br w:val="nil"/>
              <w:tr2bl w:val="nil"/>
            </w:tcBorders>
            <w:vAlign w:val="center"/>
          </w:tcPr>
          <w:p>
            <w:pPr>
              <w:spacing w:line="240" w:lineRule="auto"/>
              <w:ind w:firstLine="42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9</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抚松镇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马鹿村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r>
              <w:rPr>
                <w:rFonts w:cs="Times New Roman"/>
                <w:sz w:val="21"/>
                <w:szCs w:val="21"/>
              </w:rPr>
              <w:t>污水处理厂部分覆盖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10</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站前村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11</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北站村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12</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东站村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13</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松江河镇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长青村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14</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河口村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10000t/d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15</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泉阳岛村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16</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红旗村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17</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参场村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18</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东方红村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19</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泉阳镇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影壁山村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万兴村</w:t>
            </w:r>
          </w:p>
        </w:tc>
        <w:tc>
          <w:tcPr>
            <w:tcW w:w="665"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万良镇污水处理厂</w:t>
            </w:r>
          </w:p>
        </w:tc>
        <w:tc>
          <w:tcPr>
            <w:tcW w:w="662" w:type="pct"/>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5000t/d</w:t>
            </w:r>
          </w:p>
        </w:tc>
        <w:tc>
          <w:tcPr>
            <w:tcW w:w="1140" w:type="pct"/>
            <w:vMerge w:val="restart"/>
            <w:vAlign w:val="center"/>
          </w:tcPr>
          <w:p>
            <w:pPr>
              <w:spacing w:line="240" w:lineRule="auto"/>
              <w:ind w:firstLine="0" w:firstLineChars="0"/>
              <w:jc w:val="center"/>
              <w:rPr>
                <w:rFonts w:cs="Times New Roman"/>
                <w:sz w:val="21"/>
                <w:szCs w:val="21"/>
              </w:rPr>
            </w:pPr>
            <w:r>
              <w:rPr>
                <w:rFonts w:cs="Times New Roman"/>
                <w:sz w:val="21"/>
                <w:szCs w:val="21"/>
              </w:rPr>
              <w:t>《城镇污水处理厂污染物排放标准》（GB18918-2002）一级A标准</w:t>
            </w: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21</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22</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万才村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23</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万民村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24</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万福村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25</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河东村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26</w:t>
            </w:r>
          </w:p>
        </w:tc>
        <w:tc>
          <w:tcPr>
            <w:tcW w:w="498"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万良镇</w:t>
            </w:r>
          </w:p>
        </w:tc>
        <w:tc>
          <w:tcPr>
            <w:tcW w:w="666"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仁义村</w:t>
            </w:r>
          </w:p>
        </w:tc>
        <w:tc>
          <w:tcPr>
            <w:tcW w:w="665"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662" w:type="pct"/>
            <w:vMerge w:val="continue"/>
            <w:tcBorders>
              <w:tl2br w:val="nil"/>
              <w:tr2bl w:val="nil"/>
            </w:tcBorders>
            <w:vAlign w:val="center"/>
          </w:tcPr>
          <w:p>
            <w:pPr>
              <w:spacing w:line="240" w:lineRule="auto"/>
              <w:ind w:firstLine="0" w:firstLineChars="0"/>
              <w:jc w:val="center"/>
              <w:rPr>
                <w:rFonts w:cs="Times New Roman"/>
                <w:sz w:val="21"/>
                <w:szCs w:val="21"/>
              </w:rPr>
            </w:pPr>
          </w:p>
        </w:tc>
        <w:tc>
          <w:tcPr>
            <w:tcW w:w="1140" w:type="pct"/>
            <w:vMerge w:val="continue"/>
            <w:vAlign w:val="center"/>
          </w:tcPr>
          <w:p>
            <w:pPr>
              <w:spacing w:line="240" w:lineRule="auto"/>
              <w:ind w:firstLine="0" w:firstLineChars="0"/>
              <w:jc w:val="center"/>
              <w:rPr>
                <w:rFonts w:cs="Times New Roman"/>
                <w:sz w:val="21"/>
                <w:szCs w:val="21"/>
              </w:rPr>
            </w:pPr>
          </w:p>
        </w:tc>
        <w:tc>
          <w:tcPr>
            <w:tcW w:w="972" w:type="pct"/>
            <w:vAlign w:val="center"/>
          </w:tcPr>
          <w:p>
            <w:pPr>
              <w:spacing w:line="240" w:lineRule="auto"/>
              <w:ind w:firstLine="0" w:firstLineChars="0"/>
              <w:jc w:val="center"/>
              <w:rPr>
                <w:rFonts w:cs="Times New Roman"/>
                <w:sz w:val="21"/>
                <w:szCs w:val="21"/>
              </w:rPr>
            </w:pPr>
          </w:p>
        </w:tc>
      </w:tr>
    </w:tbl>
    <w:p>
      <w:pPr>
        <w:ind w:firstLine="560"/>
        <w:rPr>
          <w:rFonts w:cs="Times New Roman"/>
        </w:rPr>
      </w:pPr>
      <w:r>
        <w:rPr>
          <w:rFonts w:cs="Times New Roman"/>
        </w:rPr>
        <w:t>靖宇县全县域仅有一座污水处理厂，其排水管道密度为5.06公里/平方公里，无法满足靖宇县内13.3823万人的生活污水排放处理需求。</w:t>
      </w:r>
    </w:p>
    <w:p>
      <w:pPr>
        <w:pStyle w:val="5"/>
        <w:ind w:firstLine="562"/>
        <w:rPr>
          <w:rFonts w:cs="Times New Roman"/>
        </w:rPr>
      </w:pPr>
      <w:r>
        <w:rPr>
          <w:rFonts w:cs="Times New Roman"/>
        </w:rPr>
        <w:t>（2）雨污分流管网、污水收集管网建设存在缺口</w:t>
      </w:r>
    </w:p>
    <w:p>
      <w:pPr>
        <w:ind w:firstLine="560"/>
        <w:rPr>
          <w:rFonts w:cs="Times New Roman"/>
        </w:rPr>
      </w:pPr>
      <w:r>
        <w:rPr>
          <w:rFonts w:hint="eastAsia" w:ascii="宋体" w:hAnsi="宋体" w:eastAsia="宋体" w:cs="宋体"/>
        </w:rPr>
        <w:t>①</w:t>
      </w:r>
      <w:r>
        <w:rPr>
          <w:rFonts w:cs="Times New Roman"/>
        </w:rPr>
        <w:t>浑江区</w:t>
      </w:r>
    </w:p>
    <w:p>
      <w:pPr>
        <w:ind w:firstLine="560"/>
        <w:rPr>
          <w:rFonts w:cs="Times New Roman"/>
        </w:rPr>
      </w:pPr>
      <w:r>
        <w:rPr>
          <w:rFonts w:cs="Times New Roman"/>
        </w:rPr>
        <w:t>浑江区雨污分流管网建设不到位，老旧小区改造配套基础设施建设项目、雨污分流管网缺口2.7km，其中新建雨水管网2.5km、老旧小区改造污水管网0.2km。</w:t>
      </w:r>
    </w:p>
    <w:p>
      <w:pPr>
        <w:ind w:firstLine="560"/>
        <w:rPr>
          <w:rFonts w:cs="Times New Roman"/>
        </w:rPr>
      </w:pPr>
      <w:r>
        <w:rPr>
          <w:rFonts w:hint="eastAsia" w:ascii="宋体" w:hAnsi="宋体" w:eastAsia="宋体" w:cs="宋体"/>
        </w:rPr>
        <w:t>②</w:t>
      </w:r>
      <w:r>
        <w:rPr>
          <w:rFonts w:cs="Times New Roman"/>
        </w:rPr>
        <w:t>江源区</w:t>
      </w:r>
    </w:p>
    <w:p>
      <w:pPr>
        <w:ind w:firstLine="560"/>
        <w:rPr>
          <w:rFonts w:cs="Times New Roman"/>
        </w:rPr>
      </w:pPr>
      <w:r>
        <w:rPr>
          <w:rFonts w:cs="Times New Roman"/>
        </w:rPr>
        <w:t>根据江源区对城区主干排水管网排查结果，115处雨污井需维修更换，雨污管网缺口2.3km，68.225km老旧小区管网需改造/建设（其中给水管线8.095km，污水管线10.032km，雨水管线6.704km，燃气28.88km，供热管线14.514km）。</w:t>
      </w:r>
    </w:p>
    <w:p>
      <w:pPr>
        <w:ind w:firstLine="560"/>
        <w:rPr>
          <w:rFonts w:cs="Times New Roman"/>
        </w:rPr>
      </w:pPr>
      <w:r>
        <w:rPr>
          <w:rFonts w:hint="eastAsia" w:ascii="宋体" w:hAnsi="宋体" w:eastAsia="宋体" w:cs="宋体"/>
        </w:rPr>
        <w:t>③</w:t>
      </w:r>
      <w:r>
        <w:rPr>
          <w:rFonts w:cs="Times New Roman"/>
        </w:rPr>
        <w:t>抚松县</w:t>
      </w:r>
    </w:p>
    <w:p>
      <w:pPr>
        <w:ind w:firstLine="560"/>
        <w:rPr>
          <w:rFonts w:cs="Times New Roman"/>
        </w:rPr>
      </w:pPr>
      <w:r>
        <w:rPr>
          <w:rFonts w:cs="Times New Roman"/>
        </w:rPr>
        <w:t>抚松县乡镇污水处理规划刚完成，其中还存在部分乡镇雨污分流管网建设尚未完成。抚松镇雨污分流管网缺口7km，11.89km老旧小区管网需改造/建设。</w:t>
      </w:r>
    </w:p>
    <w:p>
      <w:pPr>
        <w:ind w:firstLine="560"/>
        <w:rPr>
          <w:rFonts w:cs="Times New Roman"/>
        </w:rPr>
      </w:pPr>
      <w:r>
        <w:rPr>
          <w:rFonts w:hint="eastAsia" w:ascii="宋体" w:hAnsi="宋体" w:eastAsia="宋体" w:cs="宋体"/>
        </w:rPr>
        <w:t>④</w:t>
      </w:r>
      <w:r>
        <w:rPr>
          <w:rFonts w:cs="Times New Roman"/>
        </w:rPr>
        <w:t>长白县</w:t>
      </w:r>
    </w:p>
    <w:p>
      <w:pPr>
        <w:ind w:firstLine="560"/>
        <w:rPr>
          <w:rFonts w:cs="Times New Roman"/>
        </w:rPr>
      </w:pPr>
      <w:r>
        <w:rPr>
          <w:rFonts w:cs="Times New Roman"/>
        </w:rPr>
        <w:t>根据长白县住建局提供资料，长白镇中心城区污水管道47km，并已完成9.2km雨污分流管网改造，但其他乡镇暂未布设污水管道。</w:t>
      </w:r>
    </w:p>
    <w:p>
      <w:pPr>
        <w:ind w:firstLine="560"/>
        <w:rPr>
          <w:rFonts w:cs="Times New Roman"/>
        </w:rPr>
      </w:pPr>
      <w:r>
        <w:rPr>
          <w:rFonts w:hint="eastAsia" w:ascii="宋体" w:hAnsi="宋体" w:eastAsia="宋体" w:cs="宋体"/>
        </w:rPr>
        <w:t>⑤</w:t>
      </w:r>
      <w:r>
        <w:rPr>
          <w:rFonts w:cs="Times New Roman"/>
        </w:rPr>
        <w:t>靖宇县</w:t>
      </w:r>
    </w:p>
    <w:p>
      <w:pPr>
        <w:ind w:firstLine="560"/>
        <w:rPr>
          <w:rFonts w:cs="Times New Roman"/>
        </w:rPr>
      </w:pPr>
      <w:r>
        <w:rPr>
          <w:rFonts w:cs="Times New Roman"/>
        </w:rPr>
        <w:t>靖宇县2013年开始实施雨污分流管网建设工程，改造雨污合流管线2.34km。现有雨污分流管网缺口7.633km，7.5km老旧小区管网需改造。</w:t>
      </w:r>
    </w:p>
    <w:p>
      <w:pPr>
        <w:ind w:firstLine="560"/>
        <w:rPr>
          <w:rFonts w:cs="Times New Roman"/>
        </w:rPr>
      </w:pPr>
      <w:r>
        <w:rPr>
          <w:rFonts w:hint="eastAsia" w:ascii="宋体" w:hAnsi="宋体" w:eastAsia="宋体" w:cs="宋体"/>
        </w:rPr>
        <w:t>⑥</w:t>
      </w:r>
      <w:r>
        <w:rPr>
          <w:rFonts w:cs="Times New Roman"/>
        </w:rPr>
        <w:t>临江市</w:t>
      </w:r>
    </w:p>
    <w:p>
      <w:pPr>
        <w:ind w:firstLine="560"/>
        <w:rPr>
          <w:rFonts w:cs="Times New Roman"/>
        </w:rPr>
      </w:pPr>
      <w:r>
        <w:rPr>
          <w:rFonts w:cs="Times New Roman"/>
        </w:rPr>
        <w:t>随着临江市不断发展，老旧小区污水管网还需新建45.159km，存在污水处理能力不足的隐患。</w:t>
      </w:r>
    </w:p>
    <w:p>
      <w:pPr>
        <w:pStyle w:val="4"/>
        <w:ind w:firstLine="602"/>
        <w:rPr>
          <w:rFonts w:cs="Times New Roman"/>
        </w:rPr>
      </w:pPr>
      <w:bookmarkStart w:id="7" w:name="_Toc65855441"/>
      <w:bookmarkStart w:id="8" w:name="_Toc65855410"/>
      <w:r>
        <w:rPr>
          <w:rFonts w:cs="Times New Roman"/>
        </w:rPr>
        <w:t>2．水体浑浊</w:t>
      </w:r>
      <w:bookmarkEnd w:id="7"/>
      <w:bookmarkEnd w:id="8"/>
    </w:p>
    <w:p>
      <w:pPr>
        <w:ind w:firstLine="560"/>
        <w:rPr>
          <w:rFonts w:cs="Times New Roman"/>
        </w:rPr>
      </w:pPr>
      <w:r>
        <w:rPr>
          <w:rFonts w:cs="Times New Roman"/>
        </w:rPr>
        <w:t>部分水体浑浊。成因主要是由于土地利用变化，沿河农田较多，造成水土流失严重。浑江河道弯曲，河床平浅、多为砂砾石，水量小。河流浑浊，泥沙含量较高。浑江干流及支流沿岸分布较多农田，种植经济作物存在农药化肥施用情况，且浑江流域水土流失严重，雨水冲刷导致耕地土壤随雨水入河，存在农药化肥施用等农业面源污染风险。</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2" w:hRule="atLeast"/>
        </w:trPr>
        <w:tc>
          <w:tcPr>
            <w:tcW w:w="8522" w:type="dxa"/>
          </w:tcPr>
          <w:p>
            <w:pPr>
              <w:keepNext/>
              <w:ind w:firstLine="0" w:firstLineChars="0"/>
              <w:rPr>
                <w:rFonts w:cs="Times New Roman"/>
              </w:rPr>
            </w:pPr>
            <w:r>
              <w:rPr>
                <w:rFonts w:cs="Times New Roman"/>
              </w:rPr>
              <w:drawing>
                <wp:anchor distT="0" distB="0" distL="114300" distR="114300" simplePos="0" relativeHeight="251659264" behindDoc="1" locked="0" layoutInCell="1" allowOverlap="1">
                  <wp:simplePos x="0" y="0"/>
                  <wp:positionH relativeFrom="column">
                    <wp:posOffset>-6985</wp:posOffset>
                  </wp:positionH>
                  <wp:positionV relativeFrom="page">
                    <wp:posOffset>6985</wp:posOffset>
                  </wp:positionV>
                  <wp:extent cx="5307965" cy="2820670"/>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07965" cy="2820670"/>
                          </a:xfrm>
                          <a:prstGeom prst="rect">
                            <a:avLst/>
                          </a:prstGeom>
                          <a:noFill/>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2" w:hRule="atLeast"/>
        </w:trPr>
        <w:tc>
          <w:tcPr>
            <w:tcW w:w="8522" w:type="dxa"/>
          </w:tcPr>
          <w:p>
            <w:pPr>
              <w:keepNext/>
              <w:ind w:firstLine="0" w:firstLineChars="0"/>
              <w:rPr>
                <w:rFonts w:cs="Times New Roman"/>
              </w:rPr>
            </w:pPr>
            <w:r>
              <w:rPr>
                <w:rFonts w:cs="Times New Roman"/>
              </w:rPr>
              <w:drawing>
                <wp:anchor distT="0" distB="0" distL="114300" distR="114300" simplePos="0" relativeHeight="251660288" behindDoc="1" locked="0" layoutInCell="1" allowOverlap="1">
                  <wp:simplePos x="0" y="0"/>
                  <wp:positionH relativeFrom="column">
                    <wp:posOffset>-6985</wp:posOffset>
                  </wp:positionH>
                  <wp:positionV relativeFrom="paragraph">
                    <wp:posOffset>4445</wp:posOffset>
                  </wp:positionV>
                  <wp:extent cx="5264785" cy="2758440"/>
                  <wp:effectExtent l="0" t="0" r="0" b="381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64785" cy="2758440"/>
                          </a:xfrm>
                          <a:prstGeom prst="rect">
                            <a:avLst/>
                          </a:prstGeom>
                          <a:noFill/>
                        </pic:spPr>
                      </pic:pic>
                    </a:graphicData>
                  </a:graphic>
                </wp:anchor>
              </w:drawing>
            </w:r>
          </w:p>
        </w:tc>
      </w:tr>
    </w:tbl>
    <w:p>
      <w:pPr>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图1-1  浑江历史影像图</w:t>
      </w:r>
    </w:p>
    <w:p>
      <w:pPr>
        <w:ind w:firstLine="560"/>
        <w:rPr>
          <w:rFonts w:cs="Times New Roman"/>
        </w:rPr>
      </w:pPr>
      <w:r>
        <w:rPr>
          <w:rFonts w:cs="Times New Roman"/>
        </w:rPr>
        <w:t>珠子河泥沙含量高，水体浑浊，2018年白山市年平均含沙量大值出现在珠子河，为0.182千克/立方米，最大侵蚀值也出现在珠子河，为70.8吨/（平方公里∙年）。珠子河上游涵养水源林减少，河道两边多为耕地，耕地侵占生态空间，农业种植和坡耕地普遍存在，部分河段地区土层主要为沙土，河水冲击自然岸带土方，造成汛期水土流失严重。</w:t>
      </w:r>
    </w:p>
    <w:p>
      <w:pPr>
        <w:keepNext/>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表1-2  2018年白山市监测断面泥沙一览表</w:t>
      </w:r>
    </w:p>
    <w:tbl>
      <w:tblPr>
        <w:tblStyle w:val="34"/>
        <w:tblW w:w="5000" w:type="pct"/>
        <w:jc w:val="center"/>
        <w:tblLayout w:type="autofit"/>
        <w:tblCellMar>
          <w:top w:w="0" w:type="dxa"/>
          <w:left w:w="108" w:type="dxa"/>
          <w:bottom w:w="0" w:type="dxa"/>
          <w:right w:w="108" w:type="dxa"/>
        </w:tblCellMar>
      </w:tblPr>
      <w:tblGrid>
        <w:gridCol w:w="1479"/>
        <w:gridCol w:w="1660"/>
        <w:gridCol w:w="1941"/>
        <w:gridCol w:w="1721"/>
        <w:gridCol w:w="1721"/>
      </w:tblGrid>
      <w:tr>
        <w:tblPrEx>
          <w:tblCellMar>
            <w:top w:w="0" w:type="dxa"/>
            <w:left w:w="108" w:type="dxa"/>
            <w:bottom w:w="0" w:type="dxa"/>
            <w:right w:w="108" w:type="dxa"/>
          </w:tblCellMar>
        </w:tblPrEx>
        <w:trPr>
          <w:trHeight w:val="720" w:hRule="atLeast"/>
          <w:jc w:val="center"/>
        </w:trPr>
        <w:tc>
          <w:tcPr>
            <w:tcW w:w="86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河流名称</w:t>
            </w:r>
          </w:p>
        </w:tc>
        <w:tc>
          <w:tcPr>
            <w:tcW w:w="974"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监测断面名称</w:t>
            </w:r>
          </w:p>
        </w:tc>
        <w:tc>
          <w:tcPr>
            <w:tcW w:w="1139"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年平均含沙量</w:t>
            </w:r>
          </w:p>
          <w:p>
            <w:pPr>
              <w:widowControl/>
              <w:ind w:firstLine="0" w:firstLineChars="0"/>
              <w:jc w:val="center"/>
              <w:rPr>
                <w:rFonts w:cs="Times New Roman"/>
                <w:b/>
                <w:bCs/>
                <w:kern w:val="0"/>
                <w:sz w:val="18"/>
                <w:szCs w:val="18"/>
              </w:rPr>
            </w:pPr>
            <w:r>
              <w:rPr>
                <w:rFonts w:cs="Times New Roman"/>
                <w:b/>
                <w:bCs/>
                <w:kern w:val="0"/>
                <w:sz w:val="18"/>
                <w:szCs w:val="18"/>
              </w:rPr>
              <w:t>（千克/立方米）</w:t>
            </w:r>
          </w:p>
        </w:tc>
        <w:tc>
          <w:tcPr>
            <w:tcW w:w="1010"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年平均输沙率</w:t>
            </w:r>
          </w:p>
          <w:p>
            <w:pPr>
              <w:widowControl/>
              <w:ind w:firstLine="0" w:firstLineChars="0"/>
              <w:jc w:val="center"/>
              <w:rPr>
                <w:rFonts w:cs="Times New Roman"/>
                <w:b/>
                <w:bCs/>
                <w:kern w:val="0"/>
                <w:sz w:val="18"/>
                <w:szCs w:val="18"/>
              </w:rPr>
            </w:pPr>
            <w:r>
              <w:rPr>
                <w:rFonts w:cs="Times New Roman"/>
                <w:b/>
                <w:bCs/>
                <w:kern w:val="0"/>
                <w:sz w:val="18"/>
                <w:szCs w:val="18"/>
              </w:rPr>
              <w:t>（千克/秒）</w:t>
            </w:r>
          </w:p>
        </w:tc>
        <w:tc>
          <w:tcPr>
            <w:tcW w:w="1009"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b/>
                <w:bCs/>
                <w:kern w:val="0"/>
                <w:sz w:val="18"/>
                <w:szCs w:val="18"/>
              </w:rPr>
            </w:pPr>
            <w:r>
              <w:rPr>
                <w:rFonts w:cs="Times New Roman"/>
                <w:b/>
                <w:bCs/>
                <w:kern w:val="0"/>
                <w:sz w:val="18"/>
                <w:szCs w:val="18"/>
              </w:rPr>
              <w:t>年输沙量</w:t>
            </w:r>
          </w:p>
          <w:p>
            <w:pPr>
              <w:widowControl/>
              <w:ind w:firstLine="0" w:firstLineChars="0"/>
              <w:jc w:val="center"/>
              <w:rPr>
                <w:rFonts w:cs="Times New Roman"/>
                <w:b/>
                <w:bCs/>
                <w:kern w:val="0"/>
                <w:sz w:val="18"/>
                <w:szCs w:val="18"/>
              </w:rPr>
            </w:pPr>
            <w:r>
              <w:rPr>
                <w:rFonts w:cs="Times New Roman"/>
                <w:b/>
                <w:bCs/>
                <w:kern w:val="0"/>
                <w:sz w:val="18"/>
                <w:szCs w:val="18"/>
              </w:rPr>
              <w:t>（万吨）</w:t>
            </w:r>
          </w:p>
        </w:tc>
      </w:tr>
      <w:tr>
        <w:tblPrEx>
          <w:tblCellMar>
            <w:top w:w="0" w:type="dxa"/>
            <w:left w:w="108" w:type="dxa"/>
            <w:bottom w:w="0" w:type="dxa"/>
            <w:right w:w="108" w:type="dxa"/>
          </w:tblCellMar>
        </w:tblPrEx>
        <w:trPr>
          <w:trHeight w:val="315" w:hRule="atLeast"/>
          <w:jc w:val="center"/>
        </w:trPr>
        <w:tc>
          <w:tcPr>
            <w:tcW w:w="868" w:type="pct"/>
            <w:tcBorders>
              <w:top w:val="nil"/>
              <w:left w:val="single" w:color="auto" w:sz="4" w:space="0"/>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头道松花江</w:t>
            </w:r>
          </w:p>
        </w:tc>
        <w:tc>
          <w:tcPr>
            <w:tcW w:w="974" w:type="pct"/>
            <w:tcBorders>
              <w:top w:val="nil"/>
              <w:left w:val="nil"/>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高丽城子</w:t>
            </w:r>
          </w:p>
        </w:tc>
        <w:tc>
          <w:tcPr>
            <w:tcW w:w="113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0.023</w:t>
            </w:r>
          </w:p>
        </w:tc>
        <w:tc>
          <w:tcPr>
            <w:tcW w:w="1010"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2.060</w:t>
            </w:r>
          </w:p>
        </w:tc>
        <w:tc>
          <w:tcPr>
            <w:tcW w:w="100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6.49</w:t>
            </w:r>
          </w:p>
        </w:tc>
      </w:tr>
      <w:tr>
        <w:tblPrEx>
          <w:tblCellMar>
            <w:top w:w="0" w:type="dxa"/>
            <w:left w:w="108" w:type="dxa"/>
            <w:bottom w:w="0" w:type="dxa"/>
            <w:right w:w="108" w:type="dxa"/>
          </w:tblCellMar>
        </w:tblPrEx>
        <w:trPr>
          <w:trHeight w:val="315" w:hRule="atLeast"/>
          <w:jc w:val="center"/>
        </w:trPr>
        <w:tc>
          <w:tcPr>
            <w:tcW w:w="868" w:type="pct"/>
            <w:tcBorders>
              <w:top w:val="nil"/>
              <w:left w:val="single" w:color="auto" w:sz="4" w:space="0"/>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珠子河</w:t>
            </w:r>
          </w:p>
        </w:tc>
        <w:tc>
          <w:tcPr>
            <w:tcW w:w="974" w:type="pct"/>
            <w:tcBorders>
              <w:top w:val="nil"/>
              <w:left w:val="nil"/>
              <w:bottom w:val="single" w:color="auto" w:sz="4" w:space="0"/>
              <w:right w:val="single" w:color="auto" w:sz="4" w:space="0"/>
            </w:tcBorders>
            <w:vAlign w:val="center"/>
          </w:tcPr>
          <w:p>
            <w:pPr>
              <w:widowControl/>
              <w:ind w:firstLine="0" w:firstLineChars="0"/>
              <w:jc w:val="center"/>
              <w:rPr>
                <w:rFonts w:cs="Times New Roman"/>
                <w:kern w:val="0"/>
                <w:sz w:val="18"/>
                <w:szCs w:val="18"/>
              </w:rPr>
            </w:pPr>
            <w:r>
              <w:rPr>
                <w:rFonts w:cs="Times New Roman"/>
                <w:kern w:val="0"/>
                <w:sz w:val="18"/>
                <w:szCs w:val="18"/>
              </w:rPr>
              <w:t>靖宇</w:t>
            </w:r>
          </w:p>
        </w:tc>
        <w:tc>
          <w:tcPr>
            <w:tcW w:w="113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0.182</w:t>
            </w:r>
          </w:p>
        </w:tc>
        <w:tc>
          <w:tcPr>
            <w:tcW w:w="1010"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0.876</w:t>
            </w:r>
          </w:p>
        </w:tc>
        <w:tc>
          <w:tcPr>
            <w:tcW w:w="1009" w:type="pct"/>
            <w:tcBorders>
              <w:top w:val="nil"/>
              <w:left w:val="nil"/>
              <w:bottom w:val="single" w:color="auto" w:sz="4" w:space="0"/>
              <w:right w:val="single" w:color="auto" w:sz="4" w:space="0"/>
            </w:tcBorders>
          </w:tcPr>
          <w:p>
            <w:pPr>
              <w:ind w:firstLine="0" w:firstLineChars="0"/>
              <w:jc w:val="center"/>
              <w:rPr>
                <w:rFonts w:cs="Times New Roman"/>
                <w:sz w:val="18"/>
                <w:szCs w:val="18"/>
              </w:rPr>
            </w:pPr>
            <w:r>
              <w:rPr>
                <w:rFonts w:cs="Times New Roman"/>
                <w:sz w:val="18"/>
                <w:szCs w:val="18"/>
              </w:rPr>
              <w:t>2.76</w:t>
            </w:r>
          </w:p>
        </w:tc>
      </w:tr>
    </w:tbl>
    <w:p>
      <w:pPr>
        <w:ind w:firstLine="0" w:firstLineChars="0"/>
        <w:rPr>
          <w:rFonts w:cs="Times New Roman"/>
        </w:rPr>
      </w:pPr>
    </w:p>
    <w:tbl>
      <w:tblPr>
        <w:tblStyle w:val="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center"/>
          </w:tcPr>
          <w:p>
            <w:pPr>
              <w:spacing w:before="0" w:after="0" w:line="240" w:lineRule="auto"/>
              <w:ind w:firstLine="0" w:firstLineChars="0"/>
              <w:jc w:val="center"/>
              <w:rPr>
                <w:rFonts w:eastAsia="仿宋" w:cs="Times New Roman"/>
                <w:bCs/>
                <w:sz w:val="21"/>
                <w:szCs w:val="32"/>
              </w:rPr>
            </w:pPr>
            <w:r>
              <w:rPr>
                <w:rFonts w:eastAsia="仿宋" w:cs="Times New Roman"/>
                <w:bCs/>
                <w:sz w:val="21"/>
                <w:szCs w:val="32"/>
              </w:rPr>
              <w:drawing>
                <wp:inline distT="0" distB="0" distL="0" distR="0">
                  <wp:extent cx="5111750" cy="2483485"/>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cstate="print">
                            <a:extLst>
                              <a:ext uri="{28A0092B-C50C-407E-A947-70E740481C1C}">
                                <a14:useLocalDpi xmlns:a14="http://schemas.microsoft.com/office/drawing/2010/main" val="0"/>
                              </a:ext>
                            </a:extLst>
                          </a:blip>
                          <a:srcRect t="26916"/>
                          <a:stretch>
                            <a:fillRect/>
                          </a:stretch>
                        </pic:blipFill>
                        <pic:spPr>
                          <a:xfrm>
                            <a:off x="0" y="0"/>
                            <a:ext cx="5112000" cy="2484000"/>
                          </a:xfrm>
                          <a:prstGeom prst="rect">
                            <a:avLst/>
                          </a:prstGeom>
                        </pic:spPr>
                      </pic:pic>
                    </a:graphicData>
                  </a:graphic>
                </wp:inline>
              </w:drawing>
            </w:r>
          </w:p>
        </w:tc>
      </w:tr>
    </w:tbl>
    <w:p>
      <w:pPr>
        <w:keepNext/>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图1-2  珠子河沿岸分布大量农田</w:t>
      </w:r>
    </w:p>
    <w:p>
      <w:pPr>
        <w:pStyle w:val="4"/>
        <w:ind w:firstLine="602"/>
        <w:rPr>
          <w:rFonts w:cs="Times New Roman"/>
        </w:rPr>
      </w:pPr>
      <w:bookmarkStart w:id="9" w:name="_Toc65855411"/>
      <w:bookmarkStart w:id="10" w:name="_Toc65855442"/>
      <w:r>
        <w:rPr>
          <w:rFonts w:cs="Times New Roman"/>
        </w:rPr>
        <w:t>3．部分河流生态流量无法保障</w:t>
      </w:r>
      <w:bookmarkEnd w:id="9"/>
      <w:bookmarkEnd w:id="10"/>
    </w:p>
    <w:p>
      <w:pPr>
        <w:ind w:firstLine="560"/>
        <w:rPr>
          <w:rFonts w:cs="Times New Roman"/>
        </w:rPr>
      </w:pPr>
      <w:r>
        <w:rPr>
          <w:rFonts w:cs="Times New Roman"/>
        </w:rPr>
        <w:t>由于辖区内小电水数量多，分布密集，生态流量无法得到保障。</w:t>
      </w:r>
    </w:p>
    <w:p>
      <w:pPr>
        <w:ind w:firstLine="560"/>
        <w:rPr>
          <w:rFonts w:cs="Times New Roman"/>
        </w:rPr>
      </w:pPr>
      <w:r>
        <w:rPr>
          <w:rFonts w:cs="Times New Roman"/>
        </w:rPr>
        <w:t>头道松花江主源为漫江，流域内水库、水电站众多，上游有松山水电站蓄水发电，下游有小山水电站、双沟水电站、石龙水电站3座梯级电站，其他还有中小型水库、水电站几十座。目前头道松花江干流存在断流，导致漫江段至石头河段约30公里河道无生态流量，多年呈脱水状态。石头河段至抚松镇内呈半脱水状态。</w:t>
      </w:r>
    </w:p>
    <w:p>
      <w:pPr>
        <w:ind w:firstLine="560"/>
        <w:rPr>
          <w:rFonts w:cs="Times New Roman"/>
        </w:rPr>
      </w:pPr>
    </w:p>
    <w:p>
      <w:pPr>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表1-3  头道松花江水电站一览表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392"/>
        <w:gridCol w:w="1559"/>
        <w:gridCol w:w="1417"/>
        <w:gridCol w:w="1418"/>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30"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392"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河流</w:t>
            </w:r>
          </w:p>
        </w:tc>
        <w:tc>
          <w:tcPr>
            <w:tcW w:w="1559"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水电站名称</w:t>
            </w:r>
          </w:p>
        </w:tc>
        <w:tc>
          <w:tcPr>
            <w:tcW w:w="1417"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装机容量（kw）</w:t>
            </w:r>
          </w:p>
        </w:tc>
        <w:tc>
          <w:tcPr>
            <w:tcW w:w="1418"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年发电量</w:t>
            </w:r>
          </w:p>
          <w:p>
            <w:pPr>
              <w:spacing w:line="240" w:lineRule="auto"/>
              <w:ind w:firstLine="0" w:firstLineChars="0"/>
              <w:jc w:val="center"/>
              <w:rPr>
                <w:rFonts w:cs="Times New Roman"/>
                <w:b/>
                <w:bCs/>
                <w:sz w:val="21"/>
                <w:szCs w:val="21"/>
              </w:rPr>
            </w:pPr>
            <w:r>
              <w:rPr>
                <w:rFonts w:cs="Times New Roman"/>
                <w:b/>
                <w:bCs/>
                <w:sz w:val="21"/>
                <w:szCs w:val="21"/>
              </w:rPr>
              <w:t>(万千瓦时)</w:t>
            </w:r>
          </w:p>
        </w:tc>
        <w:tc>
          <w:tcPr>
            <w:tcW w:w="1264"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建设状态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w:t>
            </w:r>
          </w:p>
        </w:tc>
        <w:tc>
          <w:tcPr>
            <w:tcW w:w="139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漫江</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漫江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1550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590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长松</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640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182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枫林</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32000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10440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南天门</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320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5</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头道松花江</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青川一级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448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6</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福生</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4000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sz w:val="21"/>
                <w:szCs w:val="21"/>
              </w:rPr>
            </w:pPr>
            <w:r>
              <w:rPr>
                <w:rFonts w:cs="Times New Roman"/>
                <w:kern w:val="0"/>
                <w:sz w:val="21"/>
                <w:szCs w:val="21"/>
              </w:rPr>
              <w:t>1200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7</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青川二级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青川三级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1400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392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9</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老黑河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老黑河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367</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10</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老黑河一级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134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11</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黑沟河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胜利电站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25.3</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12</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杨树沟电站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280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78.4</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13</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驮道水库电站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83</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14</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锦江</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锦江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5260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1825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15</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秃尾巴河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秃尾巴河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129</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16</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黑河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黑河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134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17</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石头河子</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东岭</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218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双河</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19</w:t>
            </w:r>
          </w:p>
        </w:tc>
        <w:tc>
          <w:tcPr>
            <w:tcW w:w="1392" w:type="dxa"/>
            <w:vMerge w:val="continue"/>
            <w:tcBorders>
              <w:bottom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石头河口</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20</w:t>
            </w:r>
          </w:p>
        </w:tc>
        <w:tc>
          <w:tcPr>
            <w:tcW w:w="1392"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cs="Times New Roman"/>
                <w:sz w:val="21"/>
                <w:szCs w:val="21"/>
              </w:rPr>
            </w:pPr>
            <w:r>
              <w:rPr>
                <w:rFonts w:cs="Times New Roman"/>
                <w:sz w:val="21"/>
                <w:szCs w:val="21"/>
              </w:rPr>
              <w:t>塔河</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塔河</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21</w:t>
            </w:r>
          </w:p>
        </w:tc>
        <w:tc>
          <w:tcPr>
            <w:tcW w:w="1392" w:type="dxa"/>
            <w:vMerge w:val="restart"/>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r>
              <w:rPr>
                <w:rFonts w:cs="Times New Roman"/>
                <w:sz w:val="21"/>
                <w:szCs w:val="21"/>
              </w:rPr>
              <w:t>汤河</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汤河（四级）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960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22</w:t>
            </w:r>
          </w:p>
        </w:tc>
        <w:tc>
          <w:tcPr>
            <w:tcW w:w="1392" w:type="dxa"/>
            <w:vMerge w:val="continue"/>
            <w:tcBorders>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双河三级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1120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tcBorders>
              <w:right w:val="single" w:color="000000" w:sz="4" w:space="0"/>
            </w:tcBorders>
            <w:noWrap/>
            <w:vAlign w:val="center"/>
          </w:tcPr>
          <w:p>
            <w:pPr>
              <w:spacing w:line="240" w:lineRule="auto"/>
              <w:ind w:firstLine="0" w:firstLineChars="0"/>
              <w:jc w:val="center"/>
              <w:rPr>
                <w:rFonts w:cs="Times New Roman"/>
                <w:sz w:val="21"/>
                <w:szCs w:val="21"/>
              </w:rPr>
            </w:pPr>
            <w:r>
              <w:rPr>
                <w:rFonts w:cs="Times New Roman"/>
                <w:sz w:val="21"/>
                <w:szCs w:val="21"/>
              </w:rPr>
              <w:t>23</w:t>
            </w:r>
          </w:p>
        </w:tc>
        <w:tc>
          <w:tcPr>
            <w:tcW w:w="1392" w:type="dxa"/>
            <w:vMerge w:val="continue"/>
            <w:tcBorders>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single" w:color="000000" w:sz="4" w:space="0"/>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汤河三级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850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238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tcBorders>
              <w:right w:val="single" w:color="000000" w:sz="4" w:space="0"/>
            </w:tcBorders>
            <w:noWrap/>
            <w:vAlign w:val="center"/>
          </w:tcPr>
          <w:p>
            <w:pPr>
              <w:spacing w:line="240" w:lineRule="auto"/>
              <w:ind w:firstLine="0" w:firstLineChars="0"/>
              <w:jc w:val="center"/>
              <w:rPr>
                <w:rFonts w:cs="Times New Roman"/>
                <w:sz w:val="21"/>
                <w:szCs w:val="21"/>
              </w:rPr>
            </w:pPr>
            <w:r>
              <w:rPr>
                <w:rFonts w:cs="Times New Roman"/>
                <w:sz w:val="21"/>
                <w:szCs w:val="21"/>
              </w:rPr>
              <w:t>24</w:t>
            </w:r>
          </w:p>
        </w:tc>
        <w:tc>
          <w:tcPr>
            <w:tcW w:w="1392" w:type="dxa"/>
            <w:vMerge w:val="continue"/>
            <w:tcBorders>
              <w:left w:val="single" w:color="000000" w:sz="4" w:space="0"/>
              <w:right w:val="single" w:color="000000" w:sz="4" w:space="0"/>
            </w:tcBorders>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single" w:color="000000" w:sz="4" w:space="0"/>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汤河五级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480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134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25</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松江河</w:t>
            </w: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小山</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160000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29580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26</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北江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20800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9200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27</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 xml:space="preserve">老松江 </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20000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6045</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双沟</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280000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38680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29</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石龙</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70000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12570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30</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九公里一级</w:t>
            </w:r>
          </w:p>
        </w:tc>
        <w:tc>
          <w:tcPr>
            <w:tcW w:w="1417"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1200</w:t>
            </w:r>
          </w:p>
        </w:tc>
        <w:tc>
          <w:tcPr>
            <w:tcW w:w="1418" w:type="dxa"/>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336</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31</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九公里二级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1600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448</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32</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通白云峰河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通白云峰</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182</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33</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槽子河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槽子河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2600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728</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34</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槽子河一级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280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35</w:t>
            </w:r>
          </w:p>
        </w:tc>
        <w:tc>
          <w:tcPr>
            <w:tcW w:w="1392" w:type="dxa"/>
            <w:vAlign w:val="center"/>
          </w:tcPr>
          <w:p>
            <w:pPr>
              <w:spacing w:line="240" w:lineRule="auto"/>
              <w:ind w:firstLine="0" w:firstLineChars="0"/>
              <w:jc w:val="center"/>
              <w:rPr>
                <w:rFonts w:cs="Times New Roman"/>
                <w:sz w:val="21"/>
                <w:szCs w:val="21"/>
              </w:rPr>
            </w:pPr>
            <w:r>
              <w:rPr>
                <w:rFonts w:cs="Times New Roman"/>
                <w:sz w:val="21"/>
                <w:szCs w:val="21"/>
              </w:rPr>
              <w:t>黄泥河子</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黄泥河子</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210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36</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二道松江河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泉阳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2400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984</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37</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陡沟子</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3200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1100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38</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二道松江河一级</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73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39</w:t>
            </w:r>
          </w:p>
        </w:tc>
        <w:tc>
          <w:tcPr>
            <w:tcW w:w="1392" w:type="dxa"/>
            <w:tcBorders>
              <w:top w:val="nil"/>
              <w:left w:val="nil"/>
              <w:bottom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kern w:val="0"/>
                <w:sz w:val="21"/>
                <w:szCs w:val="21"/>
              </w:rPr>
              <w:t>泉阳河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泉阳湖</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320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10</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40</w:t>
            </w:r>
          </w:p>
        </w:tc>
        <w:tc>
          <w:tcPr>
            <w:tcW w:w="1392" w:type="dxa"/>
            <w:vMerge w:val="restart"/>
            <w:tcBorders>
              <w:top w:val="nil"/>
              <w:left w:val="single" w:color="auto" w:sz="4" w:space="0"/>
              <w:right w:val="single" w:color="auto" w:sz="4" w:space="0"/>
            </w:tcBorders>
            <w:vAlign w:val="center"/>
          </w:tcPr>
          <w:p>
            <w:pPr>
              <w:spacing w:line="240" w:lineRule="auto"/>
              <w:ind w:firstLine="0" w:firstLineChars="0"/>
              <w:jc w:val="center"/>
              <w:rPr>
                <w:rFonts w:cs="Times New Roman"/>
                <w:sz w:val="21"/>
                <w:szCs w:val="21"/>
              </w:rPr>
            </w:pPr>
            <w:r>
              <w:rPr>
                <w:rFonts w:cs="Times New Roman"/>
                <w:kern w:val="0"/>
                <w:sz w:val="21"/>
                <w:szCs w:val="21"/>
              </w:rPr>
              <w:t>大蒲春河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蒲春河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640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261</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41</w:t>
            </w:r>
          </w:p>
        </w:tc>
        <w:tc>
          <w:tcPr>
            <w:tcW w:w="1392"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万良</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640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215</w:t>
            </w:r>
          </w:p>
        </w:tc>
        <w:tc>
          <w:tcPr>
            <w:tcW w:w="1264" w:type="dxa"/>
            <w:noWrap/>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42</w:t>
            </w:r>
          </w:p>
        </w:tc>
        <w:tc>
          <w:tcPr>
            <w:tcW w:w="1392" w:type="dxa"/>
            <w:vMerge w:val="restart"/>
            <w:vAlign w:val="center"/>
          </w:tcPr>
          <w:p>
            <w:pPr>
              <w:spacing w:line="240" w:lineRule="auto"/>
              <w:ind w:firstLine="0" w:firstLineChars="0"/>
              <w:jc w:val="center"/>
              <w:rPr>
                <w:rFonts w:cs="Times New Roman"/>
                <w:sz w:val="21"/>
                <w:szCs w:val="21"/>
              </w:rPr>
            </w:pPr>
            <w:r>
              <w:rPr>
                <w:rFonts w:cs="Times New Roman"/>
                <w:sz w:val="21"/>
                <w:szCs w:val="21"/>
              </w:rPr>
              <w:t>三道松江河</w:t>
            </w: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千字号</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5000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1469</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43</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西林河</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650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182</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0" w:type="dxa"/>
            <w:noWrap/>
            <w:vAlign w:val="center"/>
          </w:tcPr>
          <w:p>
            <w:pPr>
              <w:spacing w:line="240" w:lineRule="auto"/>
              <w:ind w:firstLine="0" w:firstLineChars="0"/>
              <w:jc w:val="center"/>
              <w:rPr>
                <w:rFonts w:cs="Times New Roman"/>
                <w:sz w:val="21"/>
                <w:szCs w:val="21"/>
              </w:rPr>
            </w:pPr>
            <w:r>
              <w:rPr>
                <w:rFonts w:cs="Times New Roman"/>
                <w:sz w:val="21"/>
                <w:szCs w:val="21"/>
              </w:rPr>
              <w:t>44</w:t>
            </w:r>
          </w:p>
        </w:tc>
        <w:tc>
          <w:tcPr>
            <w:tcW w:w="1392" w:type="dxa"/>
            <w:vMerge w:val="continue"/>
            <w:vAlign w:val="center"/>
          </w:tcPr>
          <w:p>
            <w:pPr>
              <w:spacing w:line="240" w:lineRule="auto"/>
              <w:ind w:firstLine="0" w:firstLineChars="0"/>
              <w:jc w:val="center"/>
              <w:rPr>
                <w:rFonts w:cs="Times New Roman"/>
                <w:sz w:val="21"/>
                <w:szCs w:val="21"/>
              </w:rPr>
            </w:pPr>
          </w:p>
        </w:tc>
        <w:tc>
          <w:tcPr>
            <w:tcW w:w="1559"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大碱场</w:t>
            </w:r>
          </w:p>
        </w:tc>
        <w:tc>
          <w:tcPr>
            <w:tcW w:w="1417"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560</w:t>
            </w:r>
          </w:p>
        </w:tc>
        <w:tc>
          <w:tcPr>
            <w:tcW w:w="1418" w:type="dxa"/>
            <w:tcBorders>
              <w:top w:val="nil"/>
              <w:left w:val="nil"/>
              <w:bottom w:val="single" w:color="auto" w:sz="4" w:space="0"/>
              <w:right w:val="single" w:color="auto" w:sz="4" w:space="0"/>
            </w:tcBorders>
            <w:noWrap/>
            <w:vAlign w:val="center"/>
          </w:tcPr>
          <w:p>
            <w:pPr>
              <w:spacing w:line="240" w:lineRule="auto"/>
              <w:ind w:firstLine="0" w:firstLineChars="0"/>
              <w:jc w:val="center"/>
              <w:rPr>
                <w:rFonts w:cs="Times New Roman"/>
                <w:kern w:val="0"/>
                <w:sz w:val="21"/>
                <w:szCs w:val="21"/>
              </w:rPr>
            </w:pPr>
            <w:r>
              <w:rPr>
                <w:rFonts w:cs="Times New Roman"/>
                <w:kern w:val="0"/>
                <w:sz w:val="21"/>
                <w:szCs w:val="21"/>
              </w:rPr>
              <w:t>157</w:t>
            </w:r>
          </w:p>
        </w:tc>
        <w:tc>
          <w:tcPr>
            <w:tcW w:w="1264" w:type="dxa"/>
            <w:noWrap/>
          </w:tcPr>
          <w:p>
            <w:pPr>
              <w:spacing w:line="240" w:lineRule="auto"/>
              <w:ind w:firstLine="0" w:firstLineChars="0"/>
              <w:jc w:val="center"/>
              <w:rPr>
                <w:rFonts w:cs="Times New Roman"/>
                <w:sz w:val="21"/>
                <w:szCs w:val="21"/>
              </w:rPr>
            </w:pPr>
            <w:r>
              <w:rPr>
                <w:rFonts w:cs="Times New Roman"/>
                <w:sz w:val="21"/>
                <w:szCs w:val="21"/>
              </w:rPr>
              <w:t>拟建</w:t>
            </w:r>
          </w:p>
        </w:tc>
      </w:tr>
    </w:tbl>
    <w:p>
      <w:pPr>
        <w:ind w:firstLine="0" w:firstLineChars="0"/>
        <w:rPr>
          <w:rFonts w:cs="Times New Roman"/>
        </w:rPr>
      </w:pPr>
    </w:p>
    <w:p>
      <w:pPr>
        <w:ind w:firstLine="758" w:firstLineChars="271"/>
        <w:rPr>
          <w:rFonts w:cs="Times New Roman"/>
        </w:rPr>
      </w:pPr>
      <w:r>
        <w:rPr>
          <w:rFonts w:cs="Times New Roman"/>
        </w:rPr>
        <w:t>YLJ流域4条支流（七道沟、八道沟、十三道沟、十九道沟）存在河流断流干涸情况。YLJ支流七道沟流域内有4座已修建水电站，4座拟建水电站；八道沟流域内有8座已修建水电站，13座拟建水；十三道沟流域内有6座已修建水电站，4座拟建水电站；YLJ支流十九道沟流域内有9座已修建水电站，2座拟建水电站。由于水电站修建时间较早，审批过程无生态流量要求，导致下泄水资源量不足，七道沟、八道沟、十三道沟、十九道沟枯水期出现断流现象。</w:t>
      </w:r>
    </w:p>
    <w:p>
      <w:pPr>
        <w:keepLines/>
        <w:overflowPunct w:val="0"/>
        <w:spacing w:before="0" w:after="0"/>
        <w:ind w:firstLine="0" w:firstLineChars="0"/>
        <w:jc w:val="center"/>
        <w:outlineLvl w:val="5"/>
        <w:rPr>
          <w:rFonts w:eastAsia="仿宋" w:cs="Times New Roman"/>
          <w:b/>
          <w:sz w:val="24"/>
          <w:szCs w:val="24"/>
        </w:rPr>
      </w:pPr>
      <w:r>
        <w:rPr>
          <w:rFonts w:eastAsia="仿宋" w:cs="Times New Roman"/>
          <w:b/>
          <w:sz w:val="24"/>
          <w:szCs w:val="24"/>
        </w:rPr>
        <w:t>表1-4  YLJ出现断流河流水电站一览表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162"/>
        <w:gridCol w:w="1701"/>
        <w:gridCol w:w="1275"/>
        <w:gridCol w:w="1418"/>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960"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162"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河流</w:t>
            </w:r>
          </w:p>
        </w:tc>
        <w:tc>
          <w:tcPr>
            <w:tcW w:w="1701"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水电站名称</w:t>
            </w:r>
          </w:p>
        </w:tc>
        <w:tc>
          <w:tcPr>
            <w:tcW w:w="1275"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装机容量（kw）</w:t>
            </w:r>
          </w:p>
        </w:tc>
        <w:tc>
          <w:tcPr>
            <w:tcW w:w="1418"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年发电量</w:t>
            </w:r>
          </w:p>
          <w:p>
            <w:pPr>
              <w:spacing w:line="240" w:lineRule="auto"/>
              <w:ind w:firstLine="0" w:firstLineChars="0"/>
              <w:jc w:val="center"/>
              <w:rPr>
                <w:rFonts w:cs="Times New Roman"/>
                <w:b/>
                <w:bCs/>
                <w:sz w:val="21"/>
                <w:szCs w:val="21"/>
              </w:rPr>
            </w:pPr>
            <w:r>
              <w:rPr>
                <w:rFonts w:cs="Times New Roman"/>
                <w:b/>
                <w:bCs/>
                <w:sz w:val="21"/>
                <w:szCs w:val="21"/>
              </w:rPr>
              <w:t>(万千瓦时)</w:t>
            </w:r>
          </w:p>
        </w:tc>
        <w:tc>
          <w:tcPr>
            <w:tcW w:w="1264" w:type="dxa"/>
            <w:noWrap/>
            <w:vAlign w:val="center"/>
          </w:tcPr>
          <w:p>
            <w:pPr>
              <w:spacing w:line="240" w:lineRule="auto"/>
              <w:ind w:firstLine="0" w:firstLineChars="0"/>
              <w:jc w:val="center"/>
              <w:rPr>
                <w:rFonts w:cs="Times New Roman"/>
                <w:b/>
                <w:bCs/>
                <w:sz w:val="21"/>
                <w:szCs w:val="21"/>
              </w:rPr>
            </w:pPr>
            <w:r>
              <w:rPr>
                <w:rFonts w:cs="Times New Roman"/>
                <w:b/>
                <w:bCs/>
                <w:sz w:val="21"/>
                <w:szCs w:val="21"/>
              </w:rPr>
              <w:t>建设状态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七道沟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新利来</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275</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117</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大金厂</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1260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聚宝</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350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鑫泉</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七道沟四级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1100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310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880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246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500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140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七道沟一级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81</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9</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八道沟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永生</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600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184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10</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佳在</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75</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新河</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410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280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通达</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450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板石岔二级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280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78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银川</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520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160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富林</w:t>
            </w:r>
          </w:p>
        </w:tc>
        <w:tc>
          <w:tcPr>
            <w:tcW w:w="1275" w:type="dxa"/>
            <w:noWrap/>
            <w:vAlign w:val="center"/>
          </w:tcPr>
          <w:p>
            <w:pPr>
              <w:spacing w:line="240" w:lineRule="auto"/>
              <w:ind w:firstLine="0" w:firstLineChars="0"/>
              <w:jc w:val="center"/>
              <w:rPr>
                <w:rFonts w:cs="Times New Roman"/>
                <w:sz w:val="21"/>
                <w:szCs w:val="21"/>
              </w:rPr>
            </w:pPr>
          </w:p>
        </w:tc>
        <w:tc>
          <w:tcPr>
            <w:tcW w:w="1418" w:type="dxa"/>
            <w:noWrap/>
            <w:vAlign w:val="center"/>
          </w:tcPr>
          <w:p>
            <w:pPr>
              <w:spacing w:line="240" w:lineRule="auto"/>
              <w:ind w:firstLine="0" w:firstLineChars="0"/>
              <w:jc w:val="center"/>
              <w:rPr>
                <w:rFonts w:cs="Times New Roman"/>
                <w:sz w:val="21"/>
                <w:szCs w:val="21"/>
              </w:rPr>
            </w:pP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通源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286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于沟子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830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232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大阳岔二级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1050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324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19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大阳岔一级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126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20</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板石岔一级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84</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向阳</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河底三级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河底二级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河底一级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110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31</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宝泉二级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2520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800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宝泉一级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12000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北沟电站</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210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59</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白石砬子二级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790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221</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29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白石砬子一级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118</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30</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十三道沟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十三道沟六级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1500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410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富民</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十三道沟五级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370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117</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森泉</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296</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90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鑫海源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长龙三级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1750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365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长龙二级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1280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430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长龙一级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2500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中和</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56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39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下房子</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260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73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40</w:t>
            </w:r>
          </w:p>
        </w:tc>
        <w:tc>
          <w:tcPr>
            <w:tcW w:w="1162" w:type="dxa"/>
            <w:vMerge w:val="restart"/>
            <w:noWrap/>
            <w:vAlign w:val="center"/>
          </w:tcPr>
          <w:p>
            <w:pPr>
              <w:spacing w:line="240" w:lineRule="auto"/>
              <w:ind w:firstLine="0" w:firstLineChars="0"/>
              <w:jc w:val="center"/>
              <w:rPr>
                <w:rFonts w:cs="Times New Roman"/>
                <w:sz w:val="21"/>
                <w:szCs w:val="21"/>
              </w:rPr>
            </w:pPr>
            <w:r>
              <w:rPr>
                <w:rFonts w:cs="Times New Roman"/>
                <w:sz w:val="21"/>
                <w:szCs w:val="21"/>
              </w:rPr>
              <w:t>十九道沟</w:t>
            </w: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双山六级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5000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2593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41</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葡萄沟</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62</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42</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双山五级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2520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1185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43</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西沟</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44</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龙泉</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45</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双山四级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890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46</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双山三级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1805</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47</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4000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1723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48</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朴松沟二级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630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176</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49</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双山一级</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333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60" w:type="dxa"/>
            <w:noWrap/>
            <w:vAlign w:val="center"/>
          </w:tcPr>
          <w:p>
            <w:pPr>
              <w:spacing w:line="240" w:lineRule="auto"/>
              <w:ind w:firstLine="0" w:firstLineChars="0"/>
              <w:jc w:val="center"/>
              <w:rPr>
                <w:rFonts w:cs="Times New Roman"/>
                <w:sz w:val="21"/>
                <w:szCs w:val="21"/>
              </w:rPr>
            </w:pPr>
            <w:r>
              <w:rPr>
                <w:rFonts w:cs="Times New Roman"/>
                <w:sz w:val="21"/>
                <w:szCs w:val="21"/>
              </w:rPr>
              <w:t>50</w:t>
            </w:r>
          </w:p>
        </w:tc>
        <w:tc>
          <w:tcPr>
            <w:tcW w:w="1162" w:type="dxa"/>
            <w:vMerge w:val="continue"/>
            <w:vAlign w:val="center"/>
          </w:tcPr>
          <w:p>
            <w:pPr>
              <w:spacing w:line="240" w:lineRule="auto"/>
              <w:ind w:firstLine="0" w:firstLineChars="0"/>
              <w:jc w:val="center"/>
              <w:rPr>
                <w:rFonts w:cs="Times New Roman"/>
                <w:sz w:val="21"/>
                <w:szCs w:val="21"/>
              </w:rPr>
            </w:pPr>
          </w:p>
        </w:tc>
        <w:tc>
          <w:tcPr>
            <w:tcW w:w="1701" w:type="dxa"/>
            <w:noWrap/>
            <w:vAlign w:val="center"/>
          </w:tcPr>
          <w:p>
            <w:pPr>
              <w:spacing w:line="240" w:lineRule="auto"/>
              <w:ind w:firstLine="0" w:firstLineChars="0"/>
              <w:jc w:val="center"/>
              <w:rPr>
                <w:rFonts w:cs="Times New Roman"/>
                <w:sz w:val="21"/>
                <w:szCs w:val="21"/>
              </w:rPr>
            </w:pPr>
            <w:r>
              <w:rPr>
                <w:rFonts w:cs="Times New Roman"/>
                <w:sz w:val="21"/>
                <w:szCs w:val="21"/>
              </w:rPr>
              <w:t>横山电站</w:t>
            </w:r>
          </w:p>
        </w:tc>
        <w:tc>
          <w:tcPr>
            <w:tcW w:w="1275" w:type="dxa"/>
            <w:noWrap/>
            <w:vAlign w:val="center"/>
          </w:tcPr>
          <w:p>
            <w:pPr>
              <w:spacing w:line="240" w:lineRule="auto"/>
              <w:ind w:firstLine="0" w:firstLineChars="0"/>
              <w:jc w:val="center"/>
              <w:rPr>
                <w:rFonts w:cs="Times New Roman"/>
                <w:sz w:val="21"/>
                <w:szCs w:val="21"/>
              </w:rPr>
            </w:pPr>
            <w:r>
              <w:rPr>
                <w:rFonts w:cs="Times New Roman"/>
                <w:sz w:val="21"/>
                <w:szCs w:val="21"/>
              </w:rPr>
              <w:t>950</w:t>
            </w:r>
          </w:p>
        </w:tc>
        <w:tc>
          <w:tcPr>
            <w:tcW w:w="1418" w:type="dxa"/>
            <w:noWrap/>
            <w:vAlign w:val="center"/>
          </w:tcPr>
          <w:p>
            <w:pPr>
              <w:spacing w:line="240" w:lineRule="auto"/>
              <w:ind w:firstLine="0" w:firstLineChars="0"/>
              <w:jc w:val="center"/>
              <w:rPr>
                <w:rFonts w:cs="Times New Roman"/>
                <w:sz w:val="21"/>
                <w:szCs w:val="21"/>
              </w:rPr>
            </w:pPr>
            <w:r>
              <w:rPr>
                <w:rFonts w:cs="Times New Roman"/>
                <w:sz w:val="21"/>
                <w:szCs w:val="21"/>
              </w:rPr>
              <w:t>333</w:t>
            </w:r>
          </w:p>
        </w:tc>
        <w:tc>
          <w:tcPr>
            <w:tcW w:w="1264" w:type="dxa"/>
            <w:noWrap/>
            <w:vAlign w:val="center"/>
          </w:tcPr>
          <w:p>
            <w:pPr>
              <w:spacing w:line="240" w:lineRule="auto"/>
              <w:ind w:firstLine="0" w:firstLineChars="0"/>
              <w:jc w:val="center"/>
              <w:rPr>
                <w:rFonts w:cs="Times New Roman"/>
                <w:sz w:val="21"/>
                <w:szCs w:val="21"/>
              </w:rPr>
            </w:pPr>
            <w:r>
              <w:rPr>
                <w:rFonts w:cs="Times New Roman"/>
                <w:sz w:val="21"/>
                <w:szCs w:val="21"/>
              </w:rPr>
              <w:t>已建</w:t>
            </w:r>
          </w:p>
        </w:tc>
      </w:tr>
    </w:tbl>
    <w:p>
      <w:pPr>
        <w:ind w:firstLine="0" w:firstLineChars="0"/>
        <w:rPr>
          <w:rFonts w:cs="Times New Roman"/>
        </w:rPr>
      </w:pPr>
    </w:p>
    <w:p>
      <w:pPr>
        <w:pStyle w:val="4"/>
        <w:ind w:firstLine="602"/>
        <w:rPr>
          <w:rFonts w:cs="Times New Roman"/>
        </w:rPr>
      </w:pPr>
      <w:bookmarkStart w:id="11" w:name="_Toc65855412"/>
      <w:bookmarkStart w:id="12" w:name="_Toc65855443"/>
      <w:r>
        <w:rPr>
          <w:rFonts w:cs="Times New Roman"/>
        </w:rPr>
        <w:t>4．水生物种种群丰度降低</w:t>
      </w:r>
      <w:bookmarkEnd w:id="11"/>
      <w:bookmarkEnd w:id="12"/>
    </w:p>
    <w:p>
      <w:pPr>
        <w:ind w:firstLine="618" w:firstLineChars="221"/>
        <w:rPr>
          <w:rFonts w:cs="Times New Roman"/>
        </w:rPr>
      </w:pPr>
      <w:r>
        <w:rPr>
          <w:rFonts w:cs="Times New Roman"/>
        </w:rPr>
        <w:t>由于气候变化、水环境质量降低、河流水位降低、人为捕捞等多种原因，水生物种群丰度降低。</w:t>
      </w:r>
    </w:p>
    <w:p>
      <w:pPr>
        <w:ind w:firstLine="618" w:firstLineChars="221"/>
        <w:rPr>
          <w:rFonts w:cs="Times New Roman"/>
        </w:rPr>
      </w:pPr>
      <w:r>
        <w:rPr>
          <w:rFonts w:cs="Times New Roman"/>
        </w:rPr>
        <w:t>20世纪60年代，</w:t>
      </w:r>
      <w:r>
        <w:rPr>
          <w:rFonts w:eastAsia="微软雅黑" w:cs="Times New Roman"/>
        </w:rPr>
        <w:t>蝲</w:t>
      </w:r>
      <w:r>
        <w:rPr>
          <w:rFonts w:cs="Times New Roman"/>
        </w:rPr>
        <w:t>蛄在松花江、YLJ流域均有分布，尤其松花江流域最多，资源较为丰富。根据走访调查，近20多年来，</w:t>
      </w:r>
      <w:r>
        <w:rPr>
          <w:rFonts w:eastAsia="微软雅黑" w:cs="Times New Roman"/>
        </w:rPr>
        <w:t>蝲</w:t>
      </w:r>
      <w:r>
        <w:rPr>
          <w:rFonts w:cs="Times New Roman"/>
        </w:rPr>
        <w:t>蛄的自然种群数量日渐稀少，分布区域逐年缩减，甚至在许多流域已经消失。</w:t>
      </w:r>
    </w:p>
    <w:p>
      <w:pPr>
        <w:ind w:firstLine="618" w:firstLineChars="221"/>
        <w:rPr>
          <w:rFonts w:cs="Times New Roman"/>
        </w:rPr>
      </w:pPr>
      <w:r>
        <w:rPr>
          <w:rFonts w:cs="Times New Roman"/>
        </w:rPr>
        <w:t>YLJ流域为国家Ⅱ级保护动物细鳞鱼、易危鱼类花羔红点鲑、稀有鱼类YLJ茴鱼及其他冷水性鱼类自然栖息地的生境。目前，土著鱼类种群数量大幅减少。</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 xml:space="preserve">专栏 </w:t>
            </w:r>
            <w:r>
              <w:rPr>
                <w:rFonts w:eastAsia="黑体" w:cs="Times New Roman"/>
                <w:sz w:val="24"/>
                <w:szCs w:val="24"/>
              </w:rPr>
              <w:fldChar w:fldCharType="begin"/>
            </w:r>
            <w:r>
              <w:rPr>
                <w:rFonts w:eastAsia="黑体" w:cs="Times New Roman"/>
                <w:sz w:val="24"/>
                <w:szCs w:val="24"/>
              </w:rPr>
              <w:instrText xml:space="preserve">SEQ 专栏 \* ARABIC</w:instrText>
            </w:r>
            <w:r>
              <w:rPr>
                <w:rFonts w:eastAsia="黑体" w:cs="Times New Roman"/>
                <w:sz w:val="24"/>
                <w:szCs w:val="24"/>
              </w:rPr>
              <w:fldChar w:fldCharType="separate"/>
            </w:r>
            <w:r>
              <w:rPr>
                <w:rFonts w:eastAsia="黑体" w:cs="Times New Roman"/>
                <w:sz w:val="24"/>
                <w:szCs w:val="24"/>
              </w:rPr>
              <w:t>1</w:t>
            </w:r>
            <w:r>
              <w:rPr>
                <w:rFonts w:eastAsia="黑体" w:cs="Times New Roman"/>
                <w:sz w:val="24"/>
                <w:szCs w:val="24"/>
              </w:rPr>
              <w:fldChar w:fldCharType="end"/>
            </w:r>
            <w:r>
              <w:rPr>
                <w:rFonts w:eastAsia="黑体" w:cs="Times New Roman"/>
                <w:sz w:val="24"/>
                <w:szCs w:val="24"/>
              </w:rPr>
              <w:t>全市七大河流突出问题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0" w:firstLineChars="0"/>
              <w:rPr>
                <w:rFonts w:cs="Times New Roman"/>
                <w:sz w:val="24"/>
                <w:szCs w:val="24"/>
              </w:rPr>
            </w:pPr>
            <w:r>
              <w:rPr>
                <w:rFonts w:cs="Times New Roman"/>
                <w:b/>
                <w:bCs/>
                <w:sz w:val="24"/>
                <w:szCs w:val="24"/>
              </w:rPr>
              <w:t>松江河</w:t>
            </w:r>
            <w:r>
              <w:rPr>
                <w:rFonts w:cs="Times New Roman"/>
                <w:sz w:val="24"/>
                <w:szCs w:val="24"/>
              </w:rPr>
              <w:t>：长白山林区水质背景值超标，乡镇生活污水收集处理设施超负荷运行。</w:t>
            </w:r>
          </w:p>
          <w:p>
            <w:pPr>
              <w:overflowPunct w:val="0"/>
              <w:spacing w:before="0" w:after="0" w:line="360" w:lineRule="auto"/>
              <w:ind w:firstLine="0" w:firstLineChars="0"/>
              <w:rPr>
                <w:rFonts w:cs="Times New Roman"/>
                <w:sz w:val="24"/>
                <w:szCs w:val="24"/>
              </w:rPr>
            </w:pPr>
            <w:r>
              <w:rPr>
                <w:rFonts w:cs="Times New Roman"/>
                <w:b/>
                <w:bCs/>
                <w:sz w:val="24"/>
                <w:szCs w:val="24"/>
              </w:rPr>
              <w:t>头道松花江：</w:t>
            </w:r>
            <w:r>
              <w:rPr>
                <w:rFonts w:cs="Times New Roman"/>
                <w:sz w:val="24"/>
                <w:szCs w:val="24"/>
              </w:rPr>
              <w:t>干流存在断流情况，存在重金属尾矿风险。</w:t>
            </w:r>
          </w:p>
          <w:p>
            <w:pPr>
              <w:overflowPunct w:val="0"/>
              <w:spacing w:before="0" w:after="0" w:line="360" w:lineRule="auto"/>
              <w:ind w:firstLine="0" w:firstLineChars="0"/>
              <w:rPr>
                <w:rFonts w:cs="Times New Roman"/>
                <w:b/>
                <w:bCs/>
                <w:sz w:val="24"/>
                <w:szCs w:val="24"/>
              </w:rPr>
            </w:pPr>
            <w:r>
              <w:rPr>
                <w:rFonts w:cs="Times New Roman"/>
                <w:b/>
                <w:bCs/>
                <w:sz w:val="24"/>
                <w:szCs w:val="24"/>
              </w:rPr>
              <w:t>二道松花江：</w:t>
            </w:r>
            <w:r>
              <w:rPr>
                <w:rFonts w:cs="Times New Roman"/>
                <w:sz w:val="24"/>
                <w:szCs w:val="24"/>
              </w:rPr>
              <w:t>乡镇却大生活污水收集处理设施，跨界河流境外存在污染源。</w:t>
            </w:r>
          </w:p>
          <w:p>
            <w:pPr>
              <w:overflowPunct w:val="0"/>
              <w:spacing w:before="0" w:after="0" w:line="360" w:lineRule="auto"/>
              <w:ind w:firstLine="0" w:firstLineChars="0"/>
              <w:rPr>
                <w:rFonts w:cs="Times New Roman"/>
                <w:sz w:val="24"/>
                <w:szCs w:val="24"/>
              </w:rPr>
            </w:pPr>
            <w:r>
              <w:rPr>
                <w:rFonts w:cs="Times New Roman"/>
                <w:b/>
                <w:bCs/>
                <w:sz w:val="24"/>
                <w:szCs w:val="24"/>
              </w:rPr>
              <w:t>松花江：</w:t>
            </w:r>
            <w:r>
              <w:rPr>
                <w:rFonts w:cs="Times New Roman"/>
                <w:sz w:val="24"/>
                <w:szCs w:val="24"/>
              </w:rPr>
              <w:t>经济发展过程中存在污水处理能力不足隐，指示性水生物种</w:t>
            </w:r>
            <w:r>
              <w:rPr>
                <w:rFonts w:eastAsia="微软雅黑" w:cs="Times New Roman"/>
                <w:sz w:val="24"/>
                <w:szCs w:val="24"/>
              </w:rPr>
              <w:t>蝲</w:t>
            </w:r>
            <w:r>
              <w:rPr>
                <w:rFonts w:cs="Times New Roman"/>
                <w:sz w:val="24"/>
                <w:szCs w:val="24"/>
              </w:rPr>
              <w:t>蛄种群数量大幅减少。</w:t>
            </w:r>
          </w:p>
          <w:p>
            <w:pPr>
              <w:overflowPunct w:val="0"/>
              <w:spacing w:before="0" w:after="0" w:line="360" w:lineRule="auto"/>
              <w:ind w:firstLine="0" w:firstLineChars="0"/>
              <w:rPr>
                <w:rFonts w:cs="Times New Roman"/>
                <w:b/>
                <w:bCs/>
                <w:sz w:val="24"/>
                <w:szCs w:val="24"/>
              </w:rPr>
            </w:pPr>
            <w:r>
              <w:rPr>
                <w:rFonts w:cs="Times New Roman"/>
                <w:b/>
                <w:bCs/>
                <w:sz w:val="24"/>
                <w:szCs w:val="24"/>
              </w:rPr>
              <w:t>珠子河：</w:t>
            </w:r>
            <w:r>
              <w:rPr>
                <w:rFonts w:cs="Times New Roman"/>
                <w:sz w:val="24"/>
                <w:szCs w:val="24"/>
              </w:rPr>
              <w:t>泥沙含量较高，水体浑浊，存在农业面源污染风险。</w:t>
            </w:r>
          </w:p>
          <w:p>
            <w:pPr>
              <w:overflowPunct w:val="0"/>
              <w:spacing w:before="0" w:after="0" w:line="360" w:lineRule="auto"/>
              <w:ind w:firstLine="0" w:firstLineChars="0"/>
              <w:rPr>
                <w:rFonts w:cs="Times New Roman"/>
                <w:b/>
                <w:bCs/>
                <w:sz w:val="24"/>
                <w:szCs w:val="24"/>
              </w:rPr>
            </w:pPr>
            <w:r>
              <w:rPr>
                <w:rFonts w:cs="Times New Roman"/>
                <w:b/>
                <w:bCs/>
                <w:sz w:val="24"/>
                <w:szCs w:val="24"/>
              </w:rPr>
              <w:t>浑江：</w:t>
            </w:r>
            <w:r>
              <w:rPr>
                <w:rFonts w:cs="Times New Roman"/>
                <w:sz w:val="24"/>
                <w:szCs w:val="24"/>
              </w:rPr>
              <w:t>沿岸近水不亲水，缺乏“亲水”功能设计。可利用水资源总量偏少，水资源利用强度过高。河流浑浊，泥沙含量较高。存在饮用水水源地水质污染风险。存在重金属尾矿风险。</w:t>
            </w:r>
          </w:p>
          <w:p>
            <w:pPr>
              <w:overflowPunct w:val="0"/>
              <w:spacing w:before="0" w:after="0" w:line="360" w:lineRule="auto"/>
              <w:ind w:firstLine="0" w:firstLineChars="0"/>
              <w:rPr>
                <w:rFonts w:cs="Times New Roman"/>
                <w:sz w:val="24"/>
                <w:szCs w:val="24"/>
              </w:rPr>
            </w:pPr>
            <w:r>
              <w:rPr>
                <w:rFonts w:cs="Times New Roman"/>
                <w:b/>
                <w:bCs/>
                <w:sz w:val="24"/>
                <w:szCs w:val="24"/>
              </w:rPr>
              <w:t>YLJ：</w:t>
            </w:r>
            <w:r>
              <w:rPr>
                <w:rFonts w:cs="Times New Roman"/>
                <w:sz w:val="24"/>
                <w:szCs w:val="24"/>
              </w:rPr>
              <w:t>生态流量保障不足，土著鱼类（冷水鱼）种群数量大幅减少，跨界河流存在境外污染源。大华矿业金矿尾矿库现状风险防控机制存在重金属污染风险。</w:t>
            </w:r>
          </w:p>
        </w:tc>
      </w:tr>
    </w:tbl>
    <w:p>
      <w:pPr>
        <w:ind w:firstLine="560" w:firstLineChars="0"/>
        <w:rPr>
          <w:rFonts w:cs="Times New Roman"/>
        </w:rPr>
      </w:pPr>
    </w:p>
    <w:p>
      <w:pPr>
        <w:ind w:firstLine="560" w:firstLineChars="0"/>
        <w:rPr>
          <w:rFonts w:cs="Times New Roman"/>
        </w:rPr>
      </w:pPr>
    </w:p>
    <w:bookmarkEnd w:id="1"/>
    <w:bookmarkEnd w:id="2"/>
    <w:p>
      <w:pPr>
        <w:pStyle w:val="2"/>
      </w:pPr>
      <w:bookmarkStart w:id="13" w:name="_Toc86417727"/>
      <w:r>
        <w:t>第二章 指导思想、基本原则与主要目标</w:t>
      </w:r>
      <w:bookmarkEnd w:id="13"/>
    </w:p>
    <w:p>
      <w:pPr>
        <w:pStyle w:val="3"/>
      </w:pPr>
      <w:bookmarkStart w:id="14" w:name="_Toc65855429"/>
      <w:bookmarkStart w:id="15" w:name="_Toc65855398"/>
      <w:bookmarkStart w:id="16" w:name="_Toc86417728"/>
      <w:r>
        <w:t>一、指导思想</w:t>
      </w:r>
      <w:bookmarkEnd w:id="14"/>
      <w:bookmarkEnd w:id="15"/>
      <w:bookmarkEnd w:id="16"/>
    </w:p>
    <w:p>
      <w:pPr>
        <w:ind w:firstLine="560"/>
        <w:rPr>
          <w:rFonts w:cs="Times New Roman"/>
        </w:rPr>
      </w:pPr>
      <w:r>
        <w:rPr>
          <w:rFonts w:cs="Times New Roman"/>
        </w:rPr>
        <w:t>以习近平生态文明思想为指导，全面贯彻落实党中央和国务院的决策部署，深刻把握“山水林田湖草是一个生命共同体”的科学内涵，突出白山市水生态环境特色，坚持问题导向与目标导向，坚持继承发扬、求实创新、落地可行，以水生态环境质量为核心，污染减排和生态扩容两手发力，统筹水资源利用、水生态保护和水环境治理，创新机制体制，一河一策精准施治，着力解决群众身边的突出问题，持续改善水生态环境，确保“十四五”目标如期实现。</w:t>
      </w:r>
    </w:p>
    <w:p>
      <w:pPr>
        <w:pStyle w:val="3"/>
      </w:pPr>
      <w:bookmarkStart w:id="17" w:name="_Toc65855433"/>
      <w:bookmarkStart w:id="18" w:name="_Toc65855402"/>
      <w:bookmarkStart w:id="19" w:name="_Toc86417729"/>
      <w:r>
        <w:t>二、基本原则</w:t>
      </w:r>
      <w:bookmarkEnd w:id="17"/>
      <w:bookmarkEnd w:id="18"/>
      <w:bookmarkEnd w:id="19"/>
    </w:p>
    <w:p>
      <w:pPr>
        <w:pStyle w:val="4"/>
        <w:ind w:firstLine="602"/>
        <w:rPr>
          <w:rFonts w:cs="Times New Roman"/>
        </w:rPr>
      </w:pPr>
      <w:r>
        <w:rPr>
          <w:rFonts w:cs="Times New Roman"/>
        </w:rPr>
        <w:t xml:space="preserve">1. “三水”统筹，系统治理 </w:t>
      </w:r>
    </w:p>
    <w:p>
      <w:pPr>
        <w:ind w:firstLine="560"/>
        <w:rPr>
          <w:rFonts w:cs="Times New Roman"/>
        </w:rPr>
      </w:pPr>
      <w:r>
        <w:rPr>
          <w:rFonts w:cs="Times New Roman"/>
        </w:rPr>
        <w:t>坚持山水林田湖草是一个生命共同体的科学理念，统筹水资源、水生态、水环境，系统推进工业、农业、生活污染治理，河湖生态流量保障，生态系统保护修复和风险防控等任务。</w:t>
      </w:r>
    </w:p>
    <w:p>
      <w:pPr>
        <w:pStyle w:val="4"/>
        <w:ind w:firstLine="602"/>
        <w:rPr>
          <w:rFonts w:cs="Times New Roman"/>
        </w:rPr>
      </w:pPr>
      <w:r>
        <w:rPr>
          <w:rFonts w:cs="Times New Roman"/>
        </w:rPr>
        <w:t>2. 突出重点，有限目标</w:t>
      </w:r>
    </w:p>
    <w:p>
      <w:pPr>
        <w:ind w:firstLine="560"/>
        <w:rPr>
          <w:rFonts w:cs="Times New Roman"/>
        </w:rPr>
      </w:pPr>
      <w:r>
        <w:rPr>
          <w:rFonts w:cs="Times New Roman"/>
        </w:rPr>
        <w:t>以群众身边的水环境污染、水生态破坏、生态流量匮乏等突出生态环境问题为重点，衔接2035年美丽中国和本世纪中叶社会主义现代化强国目标，提出“十四五”期间切实可行的目标。</w:t>
      </w:r>
    </w:p>
    <w:p>
      <w:pPr>
        <w:pStyle w:val="4"/>
        <w:ind w:firstLine="602"/>
        <w:rPr>
          <w:rFonts w:cs="Times New Roman"/>
        </w:rPr>
      </w:pPr>
      <w:r>
        <w:rPr>
          <w:rFonts w:cs="Times New Roman"/>
        </w:rPr>
        <w:t>3. 实事求是，因地制宜</w:t>
      </w:r>
    </w:p>
    <w:p>
      <w:pPr>
        <w:ind w:firstLine="560"/>
        <w:rPr>
          <w:rFonts w:cs="Times New Roman"/>
        </w:rPr>
      </w:pPr>
      <w:r>
        <w:rPr>
          <w:rFonts w:cs="Times New Roman"/>
        </w:rPr>
        <w:t>客观分析白山市水生态环境质量状况、生态环境保护工作基础和经济社会发展现状，结合各流域资源禀赋等不同特点，系统设计针对性任务措施。</w:t>
      </w:r>
    </w:p>
    <w:p>
      <w:pPr>
        <w:pStyle w:val="4"/>
        <w:ind w:firstLine="602"/>
        <w:rPr>
          <w:rFonts w:cs="Times New Roman"/>
        </w:rPr>
      </w:pPr>
      <w:r>
        <w:rPr>
          <w:rFonts w:cs="Times New Roman"/>
        </w:rPr>
        <w:t>4. 上下联动，形成合力</w:t>
      </w:r>
    </w:p>
    <w:p>
      <w:pPr>
        <w:ind w:firstLine="560"/>
        <w:rPr>
          <w:rFonts w:cs="Times New Roman"/>
        </w:rPr>
      </w:pPr>
      <w:r>
        <w:rPr>
          <w:rFonts w:cs="Times New Roman"/>
        </w:rPr>
        <w:t>注重上至国家、吉林省，下至县（市、区）、乡镇联动，群策群力。明确国家和流域层面目标与总体部署，加强对下级县（市、区）实际存在的问题、成因、目标、任务、责任等清单的落实。</w:t>
      </w:r>
    </w:p>
    <w:p>
      <w:pPr>
        <w:pStyle w:val="3"/>
      </w:pPr>
      <w:bookmarkStart w:id="20" w:name="_Toc86417730"/>
      <w:r>
        <w:t>三、主要目标</w:t>
      </w:r>
      <w:bookmarkEnd w:id="20"/>
    </w:p>
    <w:p>
      <w:pPr>
        <w:overflowPunct w:val="0"/>
        <w:ind w:firstLine="562"/>
        <w:rPr>
          <w:rFonts w:cs="Times New Roman"/>
        </w:rPr>
      </w:pPr>
      <w:r>
        <w:rPr>
          <w:rFonts w:cs="Times New Roman"/>
          <w:b/>
          <w:bCs/>
        </w:rPr>
        <w:t>水环境方面</w:t>
      </w:r>
      <w:r>
        <w:rPr>
          <w:rFonts w:cs="Times New Roman"/>
        </w:rPr>
        <w:t>：“十四五”期间水质稳定达标，其中地表水优良比例达到100%、地表水劣</w:t>
      </w:r>
      <w:r>
        <w:rPr>
          <w:rFonts w:cs="Times New Roman"/>
        </w:rPr>
        <w:fldChar w:fldCharType="begin"/>
      </w:r>
      <w:r>
        <w:rPr>
          <w:rFonts w:cs="Times New Roman"/>
        </w:rPr>
        <w:instrText xml:space="preserve"> = 5 \* ROMAN </w:instrText>
      </w:r>
      <w:r>
        <w:rPr>
          <w:rFonts w:cs="Times New Roman"/>
        </w:rPr>
        <w:fldChar w:fldCharType="separate"/>
      </w:r>
      <w:r>
        <w:rPr>
          <w:rFonts w:cs="Times New Roman"/>
        </w:rPr>
        <w:t>V</w:t>
      </w:r>
      <w:r>
        <w:rPr>
          <w:rFonts w:cs="Times New Roman"/>
        </w:rPr>
        <w:fldChar w:fldCharType="end"/>
      </w:r>
      <w:r>
        <w:rPr>
          <w:rFonts w:cs="Times New Roman"/>
        </w:rPr>
        <w:t>类水体比例控制在0%、水功能区达标率达到100%、城市集中式饮用水水源达到或优于</w:t>
      </w:r>
      <w:r>
        <w:rPr>
          <w:rFonts w:cs="Times New Roman"/>
        </w:rPr>
        <w:fldChar w:fldCharType="begin"/>
      </w:r>
      <w:r>
        <w:rPr>
          <w:rFonts w:cs="Times New Roman"/>
        </w:rPr>
        <w:instrText xml:space="preserve"> = 3 \* ROMAN </w:instrText>
      </w:r>
      <w:r>
        <w:rPr>
          <w:rFonts w:cs="Times New Roman"/>
        </w:rPr>
        <w:fldChar w:fldCharType="separate"/>
      </w:r>
      <w:r>
        <w:rPr>
          <w:rFonts w:cs="Times New Roman"/>
        </w:rPr>
        <w:t>III</w:t>
      </w:r>
      <w:r>
        <w:rPr>
          <w:rFonts w:cs="Times New Roman"/>
        </w:rPr>
        <w:fldChar w:fldCharType="end"/>
      </w:r>
      <w:r>
        <w:rPr>
          <w:rFonts w:cs="Times New Roman"/>
        </w:rPr>
        <w:t>类比例达到100%。</w:t>
      </w:r>
    </w:p>
    <w:p>
      <w:pPr>
        <w:overflowPunct w:val="0"/>
        <w:ind w:firstLine="562"/>
        <w:rPr>
          <w:rFonts w:cs="Times New Roman"/>
        </w:rPr>
      </w:pPr>
      <w:r>
        <w:rPr>
          <w:rFonts w:cs="Times New Roman"/>
          <w:b/>
          <w:bCs/>
        </w:rPr>
        <w:t>水资源方面：</w:t>
      </w:r>
      <w:r>
        <w:rPr>
          <w:rFonts w:cs="Times New Roman"/>
        </w:rPr>
        <w:t>浑江干流、鸭绿江流域4条支流（七道沟、八道沟、十三道沟、十九道沟）、头道松花江干流共6条河流生态流量得到保障。</w:t>
      </w:r>
    </w:p>
    <w:p>
      <w:pPr>
        <w:overflowPunct w:val="0"/>
        <w:ind w:firstLine="562"/>
        <w:rPr>
          <w:rFonts w:cs="Times New Roman"/>
          <w:highlight w:val="red"/>
        </w:rPr>
      </w:pPr>
      <w:r>
        <w:rPr>
          <w:rFonts w:cs="Times New Roman"/>
          <w:b/>
          <w:bCs/>
        </w:rPr>
        <w:t>水生态方面：</w:t>
      </w:r>
      <w:r>
        <w:rPr>
          <w:rFonts w:cs="Times New Roman"/>
        </w:rPr>
        <w:t>提升鸭绿江流域中花羔红点鲑、细鳞鱼、鸭绿江茴鱼等冷水鱼种群密度；松花江流域重点河流恢复</w:t>
      </w:r>
      <w:r>
        <w:rPr>
          <w:rFonts w:eastAsia="仿宋" w:cs="Times New Roman"/>
        </w:rPr>
        <w:t>蝲</w:t>
      </w:r>
      <w:r>
        <w:rPr>
          <w:rFonts w:cs="Times New Roman"/>
        </w:rPr>
        <w:t>蛄种群丰度；河湖生态缓冲带修复长度152.84km。</w:t>
      </w:r>
    </w:p>
    <w:p>
      <w:pPr>
        <w:overflowPunct w:val="0"/>
        <w:ind w:firstLine="562"/>
        <w:rPr>
          <w:rFonts w:cs="Times New Roman"/>
        </w:rPr>
      </w:pPr>
      <w:r>
        <w:rPr>
          <w:rFonts w:cs="Times New Roman"/>
          <w:b/>
          <w:bCs/>
        </w:rPr>
        <w:t>水环境风险方面：</w:t>
      </w:r>
      <w:r>
        <w:rPr>
          <w:rFonts w:cs="Times New Roman"/>
        </w:rPr>
        <w:t>内源可控、外源预警。重金属尾矿风险、水土流失风险及农村分散式饮用水水源地风险得到有效管控；跨界河流风险监测预警体系得以建立完善；新建3处人工湿地进行污水厂尾水处理。</w:t>
      </w:r>
    </w:p>
    <w:p>
      <w:pPr>
        <w:overflowPunct w:val="0"/>
        <w:ind w:firstLine="482"/>
        <w:jc w:val="center"/>
        <w:outlineLvl w:val="4"/>
        <w:rPr>
          <w:rFonts w:cs="Times New Roman"/>
          <w:b/>
          <w:bCs/>
          <w:sz w:val="24"/>
          <w:szCs w:val="24"/>
        </w:rPr>
      </w:pPr>
      <w:r>
        <w:rPr>
          <w:rFonts w:cs="Times New Roman"/>
          <w:b/>
          <w:bCs/>
          <w:sz w:val="24"/>
          <w:szCs w:val="24"/>
        </w:rPr>
        <w:t>表2-1  “十四五”规划目标指标体系</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276"/>
        <w:gridCol w:w="2572"/>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b/>
                <w:sz w:val="21"/>
                <w:szCs w:val="21"/>
              </w:rPr>
            </w:pPr>
            <w:bookmarkStart w:id="21" w:name="_Hlk54856276"/>
            <w:r>
              <w:rPr>
                <w:rFonts w:cs="Times New Roman"/>
                <w:b/>
                <w:sz w:val="21"/>
                <w:szCs w:val="21"/>
              </w:rPr>
              <w:t>类别</w:t>
            </w:r>
          </w:p>
        </w:tc>
        <w:tc>
          <w:tcPr>
            <w:tcW w:w="1276"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序号</w:t>
            </w:r>
          </w:p>
        </w:tc>
        <w:tc>
          <w:tcPr>
            <w:tcW w:w="2572"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常规指标</w:t>
            </w:r>
          </w:p>
        </w:tc>
        <w:tc>
          <w:tcPr>
            <w:tcW w:w="1659"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2020年</w:t>
            </w:r>
          </w:p>
        </w:tc>
        <w:tc>
          <w:tcPr>
            <w:tcW w:w="1660"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overflowPunct w:val="0"/>
              <w:spacing w:line="320" w:lineRule="exact"/>
              <w:ind w:firstLine="0" w:firstLineChars="0"/>
              <w:jc w:val="center"/>
              <w:rPr>
                <w:rFonts w:cs="Times New Roman"/>
                <w:sz w:val="21"/>
                <w:szCs w:val="21"/>
              </w:rPr>
            </w:pPr>
            <w:r>
              <w:rPr>
                <w:rFonts w:cs="Times New Roman"/>
                <w:sz w:val="21"/>
                <w:szCs w:val="21"/>
              </w:rPr>
              <w:t>水环境</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1</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地表水优良（达到或优于</w:t>
            </w:r>
            <w:r>
              <w:rPr>
                <w:rFonts w:eastAsia="宋体" w:cs="Times New Roman"/>
                <w:sz w:val="21"/>
                <w:szCs w:val="21"/>
              </w:rPr>
              <w:t>Ⅲ</w:t>
            </w:r>
            <w:r>
              <w:rPr>
                <w:rFonts w:cs="Times New Roman"/>
                <w:sz w:val="21"/>
                <w:szCs w:val="21"/>
              </w:rPr>
              <w:t>类比例）（%）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r>
      <w:bookmarkEnd w:id="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2</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地表水劣V类水体比例（%）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3</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水功能区达标率（%）</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4</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城市集中式饮用水水源达到或优于</w:t>
            </w:r>
            <w:r>
              <w:rPr>
                <w:rFonts w:eastAsia="宋体" w:cs="Times New Roman"/>
                <w:sz w:val="21"/>
                <w:szCs w:val="21"/>
              </w:rPr>
              <w:t>Ⅲ</w:t>
            </w:r>
            <w:r>
              <w:rPr>
                <w:rFonts w:cs="Times New Roman"/>
                <w:sz w:val="21"/>
                <w:szCs w:val="21"/>
              </w:rPr>
              <w:t>类比例（%）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水资源</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5</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达到生态流量（水位）底线要求河湖数量（个）</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overflowPunct w:val="0"/>
              <w:spacing w:line="320" w:lineRule="exact"/>
              <w:ind w:firstLine="0" w:firstLineChars="0"/>
              <w:jc w:val="center"/>
              <w:rPr>
                <w:rFonts w:cs="Times New Roman"/>
                <w:sz w:val="21"/>
                <w:szCs w:val="21"/>
              </w:rPr>
            </w:pPr>
            <w:r>
              <w:rPr>
                <w:rFonts w:cs="Times New Roman"/>
                <w:sz w:val="21"/>
                <w:szCs w:val="21"/>
              </w:rPr>
              <w:t>水生态</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6</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水生生物完整性指数</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指示种群数量明显提升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7</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河湖缓冲带生态修复长度（km）</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152.84km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overflowPunct w:val="0"/>
              <w:spacing w:line="320" w:lineRule="exact"/>
              <w:ind w:firstLine="0" w:firstLineChars="0"/>
              <w:jc w:val="center"/>
              <w:rPr>
                <w:rFonts w:cs="Times New Roman"/>
                <w:sz w:val="21"/>
                <w:szCs w:val="21"/>
              </w:rPr>
            </w:pP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8</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湿地恢复（建设）面积（km</w:t>
            </w:r>
            <w:r>
              <w:rPr>
                <w:rFonts w:cs="Times New Roman"/>
                <w:sz w:val="21"/>
                <w:szCs w:val="21"/>
                <w:vertAlign w:val="superscript"/>
              </w:rPr>
              <w:t>2</w:t>
            </w:r>
            <w:r>
              <w:rPr>
                <w:rFonts w:cs="Times New Roman"/>
                <w:sz w:val="21"/>
                <w:szCs w:val="21"/>
              </w:rPr>
              <w:t>）</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类别</w:t>
            </w:r>
          </w:p>
        </w:tc>
        <w:tc>
          <w:tcPr>
            <w:tcW w:w="1276"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序号</w:t>
            </w:r>
          </w:p>
        </w:tc>
        <w:tc>
          <w:tcPr>
            <w:tcW w:w="2572"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亲民指标</w:t>
            </w:r>
          </w:p>
        </w:tc>
        <w:tc>
          <w:tcPr>
            <w:tcW w:w="1659"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2020年</w:t>
            </w:r>
          </w:p>
        </w:tc>
        <w:tc>
          <w:tcPr>
            <w:tcW w:w="1660" w:type="dxa"/>
            <w:vAlign w:val="center"/>
          </w:tcPr>
          <w:p>
            <w:pPr>
              <w:overflowPunct w:val="0"/>
              <w:spacing w:line="320" w:lineRule="exact"/>
              <w:ind w:firstLine="0" w:firstLineChars="0"/>
              <w:jc w:val="center"/>
              <w:rPr>
                <w:rFonts w:cs="Times New Roman"/>
                <w:b/>
                <w:sz w:val="21"/>
                <w:szCs w:val="21"/>
              </w:rPr>
            </w:pPr>
            <w:r>
              <w:rPr>
                <w:rFonts w:cs="Times New Roman"/>
                <w:b/>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水环境</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1</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城市建成区黑臭水体控制比例（%）</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水资源</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2</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恢复“有水”的</w:t>
            </w:r>
          </w:p>
          <w:p>
            <w:pPr>
              <w:overflowPunct w:val="0"/>
              <w:spacing w:line="320" w:lineRule="exact"/>
              <w:ind w:firstLine="0" w:firstLineChars="0"/>
              <w:jc w:val="center"/>
              <w:rPr>
                <w:rFonts w:cs="Times New Roman"/>
                <w:sz w:val="21"/>
                <w:szCs w:val="21"/>
              </w:rPr>
            </w:pPr>
            <w:r>
              <w:rPr>
                <w:rFonts w:cs="Times New Roman"/>
                <w:sz w:val="21"/>
                <w:szCs w:val="21"/>
              </w:rPr>
              <w:t>河流长度（km）</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overflowPunct w:val="0"/>
              <w:spacing w:line="320" w:lineRule="exact"/>
              <w:ind w:firstLine="0" w:firstLineChars="0"/>
              <w:jc w:val="center"/>
              <w:rPr>
                <w:rFonts w:cs="Times New Roman"/>
                <w:sz w:val="21"/>
                <w:szCs w:val="21"/>
              </w:rPr>
            </w:pPr>
            <w:r>
              <w:rPr>
                <w:rFonts w:cs="Times New Roman"/>
                <w:sz w:val="21"/>
                <w:szCs w:val="21"/>
              </w:rPr>
              <w:t>水生态</w:t>
            </w:r>
          </w:p>
        </w:tc>
        <w:tc>
          <w:tcPr>
            <w:tcW w:w="1276" w:type="dxa"/>
            <w:vAlign w:val="center"/>
          </w:tcPr>
          <w:p>
            <w:pPr>
              <w:overflowPunct w:val="0"/>
              <w:spacing w:line="320" w:lineRule="exact"/>
              <w:ind w:firstLine="0" w:firstLineChars="0"/>
              <w:jc w:val="center"/>
              <w:rPr>
                <w:rFonts w:cs="Times New Roman"/>
                <w:sz w:val="21"/>
                <w:szCs w:val="21"/>
              </w:rPr>
            </w:pPr>
            <w:r>
              <w:rPr>
                <w:rFonts w:cs="Times New Roman"/>
                <w:sz w:val="21"/>
                <w:szCs w:val="21"/>
              </w:rPr>
              <w:t>3</w:t>
            </w:r>
          </w:p>
        </w:tc>
        <w:tc>
          <w:tcPr>
            <w:tcW w:w="2572" w:type="dxa"/>
            <w:vAlign w:val="center"/>
          </w:tcPr>
          <w:p>
            <w:pPr>
              <w:overflowPunct w:val="0"/>
              <w:spacing w:line="320" w:lineRule="exact"/>
              <w:ind w:firstLine="0" w:firstLineChars="0"/>
              <w:jc w:val="center"/>
              <w:rPr>
                <w:rFonts w:cs="Times New Roman"/>
                <w:sz w:val="21"/>
                <w:szCs w:val="21"/>
              </w:rPr>
            </w:pPr>
            <w:r>
              <w:rPr>
                <w:rFonts w:cs="Times New Roman"/>
                <w:sz w:val="21"/>
                <w:szCs w:val="21"/>
              </w:rPr>
              <w:t>实现土著鱼类或水生植物种群丰度提升</w:t>
            </w:r>
          </w:p>
        </w:tc>
        <w:tc>
          <w:tcPr>
            <w:tcW w:w="1659" w:type="dxa"/>
            <w:vAlign w:val="center"/>
          </w:tcPr>
          <w:p>
            <w:pPr>
              <w:overflowPunct w:val="0"/>
              <w:spacing w:line="320" w:lineRule="exact"/>
              <w:ind w:firstLine="0" w:firstLineChars="0"/>
              <w:jc w:val="center"/>
              <w:rPr>
                <w:rFonts w:cs="Times New Roman"/>
                <w:sz w:val="21"/>
                <w:szCs w:val="21"/>
              </w:rPr>
            </w:pPr>
            <w:r>
              <w:rPr>
                <w:rFonts w:cs="Times New Roman"/>
                <w:sz w:val="21"/>
                <w:szCs w:val="21"/>
              </w:rPr>
              <w:t>/</w:t>
            </w:r>
          </w:p>
        </w:tc>
        <w:tc>
          <w:tcPr>
            <w:tcW w:w="1660" w:type="dxa"/>
            <w:vAlign w:val="center"/>
          </w:tcPr>
          <w:p>
            <w:pPr>
              <w:overflowPunct w:val="0"/>
              <w:spacing w:line="320" w:lineRule="exact"/>
              <w:ind w:firstLine="0" w:firstLineChars="0"/>
              <w:jc w:val="center"/>
              <w:rPr>
                <w:rFonts w:cs="Times New Roman"/>
                <w:sz w:val="21"/>
                <w:szCs w:val="21"/>
              </w:rPr>
            </w:pPr>
            <w:r>
              <w:rPr>
                <w:rFonts w:cs="Times New Roman"/>
                <w:sz w:val="21"/>
                <w:szCs w:val="21"/>
              </w:rPr>
              <w:t>恢复种群密度</w:t>
            </w:r>
          </w:p>
        </w:tc>
      </w:tr>
    </w:tbl>
    <w:p>
      <w:pPr>
        <w:overflowPunct w:val="0"/>
        <w:ind w:firstLine="560"/>
        <w:rPr>
          <w:rFonts w:cs="Times New Roman"/>
        </w:rPr>
      </w:pPr>
    </w:p>
    <w:p>
      <w:pPr>
        <w:pStyle w:val="2"/>
      </w:pPr>
      <w:bookmarkStart w:id="22" w:name="_Toc65855408"/>
      <w:bookmarkStart w:id="23" w:name="_Toc65855439"/>
      <w:bookmarkStart w:id="24" w:name="_Toc86417731"/>
      <w:r>
        <w:t xml:space="preserve">第三章 </w:t>
      </w:r>
      <w:bookmarkEnd w:id="22"/>
      <w:bookmarkEnd w:id="23"/>
      <w:bookmarkStart w:id="25" w:name="_Toc65855414"/>
      <w:bookmarkStart w:id="26" w:name="_Toc65855445"/>
      <w:r>
        <w:t>白山市“十四五”水生态环境保护规划任务</w:t>
      </w:r>
      <w:bookmarkEnd w:id="24"/>
      <w:bookmarkEnd w:id="25"/>
      <w:bookmarkEnd w:id="26"/>
    </w:p>
    <w:p>
      <w:pPr>
        <w:pStyle w:val="3"/>
      </w:pPr>
      <w:bookmarkStart w:id="27" w:name="_Toc86417732"/>
      <w:bookmarkStart w:id="28" w:name="_Toc65855415"/>
      <w:bookmarkStart w:id="29" w:name="_Toc65855446"/>
      <w:r>
        <w:t>一、坚持绿色低碳发展</w:t>
      </w:r>
      <w:bookmarkEnd w:id="27"/>
    </w:p>
    <w:p>
      <w:pPr>
        <w:ind w:firstLine="562"/>
        <w:rPr>
          <w:rFonts w:cs="Times New Roman"/>
          <w:b/>
          <w:bCs/>
        </w:rPr>
      </w:pPr>
      <w:r>
        <w:rPr>
          <w:rFonts w:cs="Times New Roman"/>
          <w:b/>
          <w:bCs/>
        </w:rPr>
        <w:t>严格落实产业准入清单。</w:t>
      </w:r>
      <w:r>
        <w:rPr>
          <w:rFonts w:cs="Times New Roman"/>
        </w:rPr>
        <w:t>坚持生态优先、绿色发展，按照“守底线、优格局、提质量、保安全”的总体思路，</w:t>
      </w:r>
      <w:r>
        <w:rPr>
          <w:rFonts w:cs="Times New Roman"/>
          <w:kern w:val="0"/>
        </w:rPr>
        <w:t>立足白山市水资源环境承载能力，</w:t>
      </w:r>
      <w:r>
        <w:rPr>
          <w:rFonts w:cs="Times New Roman"/>
          <w:color w:val="000000"/>
          <w:kern w:val="0"/>
        </w:rPr>
        <w:t>强化准入管理和底线约束，落实“三线一单”环境管控要求，</w:t>
      </w:r>
      <w:r>
        <w:rPr>
          <w:rFonts w:cs="Times New Roman"/>
        </w:rPr>
        <w:t>严格产业准入，坚持走新型产业化道路，大力发展高新技术产业，促进传统产业升级，加强投资项目审核管理，严控高耗水企业落户。各县（市、区）人民政府负责）</w:t>
      </w:r>
    </w:p>
    <w:p>
      <w:pPr>
        <w:ind w:firstLine="562"/>
        <w:rPr>
          <w:rFonts w:cs="Times New Roman"/>
        </w:rPr>
      </w:pPr>
      <w:r>
        <w:rPr>
          <w:rFonts w:cs="Times New Roman"/>
          <w:b/>
          <w:bCs/>
        </w:rPr>
        <w:t>严控高耗水行业发展。</w:t>
      </w:r>
      <w:r>
        <w:rPr>
          <w:rFonts w:cs="Times New Roman"/>
        </w:rPr>
        <w:t>依据环境准入清单，从严控制耗水量大的新建项目的环评审批；推动耗水行业集聚发展，促进水的梯级利用和集中处理；发展低耗水量、高附加值的高技术产业，促进工业取用水量逐步趋于零增长或负增长。（市生态环境局、市工信局按职责分工负责）</w:t>
      </w:r>
    </w:p>
    <w:p>
      <w:pPr>
        <w:ind w:firstLine="562"/>
        <w:rPr>
          <w:rFonts w:cs="Times New Roman"/>
        </w:rPr>
      </w:pPr>
      <w:r>
        <w:rPr>
          <w:rFonts w:cs="Times New Roman"/>
          <w:b/>
          <w:bCs/>
        </w:rPr>
        <w:t>提升工业企业用水效率。</w:t>
      </w:r>
      <w:r>
        <w:rPr>
          <w:rFonts w:cs="Times New Roman"/>
        </w:rPr>
        <w:t>规上企业开展用水统计监测，鼓励企业应用高新技术改造传统生产工艺和节水方式，实施循环水回用、水梯级利用、废水处理再利用等技术改造，推广闭路循环用水和清洁生产方式，提升企业各环节用水效率和重复利用率。（市水务局、市工信局、市住建局按职责分工负责）</w:t>
      </w:r>
    </w:p>
    <w:p>
      <w:pPr>
        <w:ind w:firstLine="562"/>
        <w:rPr>
          <w:rFonts w:cs="Times New Roman"/>
        </w:rPr>
      </w:pPr>
      <w:r>
        <w:rPr>
          <w:rFonts w:cs="Times New Roman"/>
          <w:b/>
          <w:bCs/>
        </w:rPr>
        <w:t>加强监督管理，完善节水法律法规。</w:t>
      </w:r>
      <w:r>
        <w:rPr>
          <w:rFonts w:cs="Times New Roman"/>
        </w:rPr>
        <w:t>建立完善的水资源法规政策，加强水资源的统一管理体制，健全水资源的执法监督机制，保障水资的可持续利用。（各县（市、区）人民政府、市水务局按职责分工负责）</w:t>
      </w:r>
    </w:p>
    <w:p>
      <w:pPr>
        <w:ind w:firstLine="562"/>
        <w:rPr>
          <w:rFonts w:cs="Times New Roman"/>
        </w:rPr>
      </w:pPr>
      <w:r>
        <w:rPr>
          <w:rFonts w:cs="Times New Roman"/>
          <w:b/>
          <w:bCs/>
        </w:rPr>
        <w:t>加强节水宣传教育。</w:t>
      </w:r>
      <w:r>
        <w:rPr>
          <w:rFonts w:cs="Times New Roman"/>
        </w:rPr>
        <w:t>建立节水教育机制，在大中小学校开展节水普及教育，节水从学生抓起；在社区和用水企业建立宣传阵地，设立节水宣传板报、宣传栏，宣传节水必要性，提高节水意识。（白山市教育局、白山市水务局、市生态环境局按职责分工负责）</w:t>
      </w:r>
    </w:p>
    <w:p>
      <w:pPr>
        <w:ind w:firstLine="562"/>
        <w:rPr>
          <w:rFonts w:cs="Times New Roman"/>
        </w:rPr>
      </w:pPr>
      <w:r>
        <w:rPr>
          <w:rFonts w:cs="Times New Roman"/>
          <w:b/>
          <w:bCs/>
        </w:rPr>
        <w:t>全面厉行城市节水。</w:t>
      </w:r>
      <w:r>
        <w:rPr>
          <w:rFonts w:cs="Times New Roman"/>
        </w:rPr>
        <w:t>城市生活用水要以节水器具型节水和强化管理型节水并重。要全面推行节水型用水器具，尤其是在公共市政用水和居民生活用水量大的洗涤、冲厕和淋雨方面重点采取节水措施，提高节水效率；加快城市供水管网技术改造，降低跑冒滴漏损失。（市住建局、市市场监督管理局按职责分工负责）</w:t>
      </w:r>
    </w:p>
    <w:p>
      <w:pPr>
        <w:pStyle w:val="3"/>
      </w:pPr>
      <w:bookmarkStart w:id="30" w:name="_Toc86417733"/>
      <w:r>
        <w:t>二、推进实现人水和谐</w:t>
      </w:r>
      <w:bookmarkEnd w:id="30"/>
    </w:p>
    <w:p>
      <w:pPr>
        <w:ind w:firstLine="562"/>
        <w:rPr>
          <w:rFonts w:cs="Times New Roman"/>
          <w:b/>
          <w:bCs/>
        </w:rPr>
      </w:pPr>
      <w:r>
        <w:rPr>
          <w:rFonts w:cs="Times New Roman"/>
          <w:b/>
          <w:bCs/>
        </w:rPr>
        <w:t>积极开展美丽河湖建设试点。</w:t>
      </w:r>
      <w:r>
        <w:rPr>
          <w:rFonts w:cs="Times New Roman"/>
        </w:rPr>
        <w:t>参考国内美丽河湖建设经验与方法，谋划以头道松花江为试点，结合农村人居环境改善，系统推进河湖综合治理，着力解决河湖突出问题，切实将优质河湖生态资源转化为绿色发展新动能。统筹推进水环境治理、水生态修复、水资源保障、水文化构建，以评促建，高质量推进河湖综合治理，营造人与自然和谐共生的河湖环境。（白山市人民政府、白山市水务局按职责分工负责）</w:t>
      </w:r>
    </w:p>
    <w:p>
      <w:pPr>
        <w:ind w:firstLine="562"/>
        <w:rPr>
          <w:rFonts w:cs="Times New Roman"/>
        </w:rPr>
      </w:pPr>
      <w:r>
        <w:rPr>
          <w:rFonts w:cs="Times New Roman"/>
          <w:b/>
          <w:bCs/>
        </w:rPr>
        <w:t>恢复建成区河道亲水功能。</w:t>
      </w:r>
      <w:r>
        <w:rPr>
          <w:rFonts w:cs="Times New Roman"/>
        </w:rPr>
        <w:t>城区设计浑江流域海绵城市示范段建设，实施生态护坡、生态缓冲带修复，增加浑江河岸生态缓冲带覆盖度，恢复亲水功能。（各县（市、区）人民政府、市住建局、市水务局、市林业局按职责分工负责）</w:t>
      </w:r>
    </w:p>
    <w:p>
      <w:pPr>
        <w:ind w:firstLine="562"/>
        <w:rPr>
          <w:rFonts w:cs="Times New Roman"/>
        </w:rPr>
      </w:pPr>
      <w:r>
        <w:rPr>
          <w:rFonts w:cs="Times New Roman"/>
          <w:b/>
          <w:bCs/>
        </w:rPr>
        <w:t>开展珠子河水生态景观建设。</w:t>
      </w:r>
      <w:r>
        <w:rPr>
          <w:rFonts w:cs="Times New Roman"/>
        </w:rPr>
        <w:t>按照自然修复为主、人工修复为辅的原则，因地制宜对珠子河上游地区采取退耕还水、经济作物间作、涵养水源林建设、岸边带修复、水生态景观建设等治理措施。加强上游水土流失控制，优化土地利用，对于未确权的农田，采取退耕还水措施；对于已确权的农田，采取调整种植结构措施，沿岸种植水土保持能力更好的经济作物。加强对河道破坏、坡岸水土流失等生态环境问题的整治，通过干草塘、植草沟等水景观建设，加强河道保护，提升水体自净能力，促进水系连通。（靖宇县人民政府负责）</w:t>
      </w:r>
    </w:p>
    <w:p>
      <w:pPr>
        <w:pStyle w:val="3"/>
      </w:pPr>
      <w:bookmarkStart w:id="31" w:name="_Toc86417734"/>
      <w:r>
        <w:t>三、深化水环境综合治理</w:t>
      </w:r>
      <w:bookmarkEnd w:id="31"/>
    </w:p>
    <w:p>
      <w:pPr>
        <w:ind w:firstLine="562"/>
        <w:rPr>
          <w:rFonts w:cs="Times New Roman"/>
        </w:rPr>
      </w:pPr>
      <w:r>
        <w:rPr>
          <w:rFonts w:cs="Times New Roman"/>
          <w:b/>
          <w:bCs/>
        </w:rPr>
        <w:t>推进农药、化肥减量施用。</w:t>
      </w:r>
      <w:r>
        <w:rPr>
          <w:rFonts w:cs="Times New Roman"/>
        </w:rPr>
        <w:t>通过农家肥替代化肥、种植结构调整、测土配方等具体措施，减少农药化肥施用量，降低农业面源污染风险，防范农业面源带来的农药化肥及其他污染物污染。（各县（市、区）人民政府、市农业农村局按职责分工负责）</w:t>
      </w:r>
    </w:p>
    <w:p>
      <w:pPr>
        <w:ind w:firstLine="562"/>
        <w:rPr>
          <w:rFonts w:cs="Times New Roman"/>
        </w:rPr>
      </w:pPr>
      <w:r>
        <w:rPr>
          <w:rFonts w:cs="Times New Roman"/>
          <w:b/>
          <w:bCs/>
        </w:rPr>
        <w:t>废弃农药化肥外包装回收。</w:t>
      </w:r>
      <w:r>
        <w:rPr>
          <w:rFonts w:cs="Times New Roman"/>
        </w:rPr>
        <w:t>通过实施废弃农药化肥外包装的有偿回收，减少因降雨过程带来的残留农药化肥外漏导致的污染，降低农业废弃物对生态环境的影响。（各县（市、区）人民政府、市农业农村局按职责分工负责）</w:t>
      </w:r>
    </w:p>
    <w:p>
      <w:pPr>
        <w:ind w:firstLine="562"/>
        <w:rPr>
          <w:rFonts w:cs="Times New Roman"/>
        </w:rPr>
      </w:pPr>
      <w:r>
        <w:rPr>
          <w:rFonts w:cs="Times New Roman"/>
          <w:b/>
          <w:bCs/>
        </w:rPr>
        <w:t>提高畜禽粪污综合利用效率。</w:t>
      </w:r>
      <w:r>
        <w:rPr>
          <w:rFonts w:cs="Times New Roman"/>
        </w:rPr>
        <w:t>规模化养殖场建设废弃物处理配套设施，完善集中收集、转运、处理处置体系；探索规模以下畜禽散养户畜禽粪水收集、无害化处理、资源化利用的体系，加强粪肥还田技术指导，促进畜禽粪水科学合理的资源化利用。（责任单位：各县（市、区）人民政府、市农业农村局按职责分工负责）</w:t>
      </w:r>
    </w:p>
    <w:p>
      <w:pPr>
        <w:ind w:firstLine="562"/>
        <w:rPr>
          <w:rFonts w:cs="Times New Roman"/>
          <w:b/>
          <w:bCs/>
        </w:rPr>
      </w:pPr>
      <w:r>
        <w:rPr>
          <w:rFonts w:cs="Times New Roman"/>
          <w:b/>
          <w:bCs/>
        </w:rPr>
        <w:t>全面提升城镇污水处理能力。</w:t>
      </w:r>
      <w:r>
        <w:rPr>
          <w:rFonts w:cs="Times New Roman"/>
        </w:rPr>
        <w:t>“十四五”期间，通过开展城镇污水处理设施扩建以及提标改质工程提升污水处理能力，全市共新建污水处理厂10座，污水处理站2座，污水收集池3座，污水泵站1座；针对部分管网漏失问题，开展设施配套管网提升改造，维修漏损、断裂管网，提升雨污分流能力，铺设雨污分流管道，使城镇生活污水得到高效处理，全市规划建设污水管线166.6065km；针对部分污水处理厂尾水浓度出水标准高于地表水功能区，出水口离监测断面过近的问题，建设污水处理厂尾水深度净化湿地，全市规划建设尾水湿地3处，共5hm</w:t>
      </w:r>
      <w:r>
        <w:rPr>
          <w:rFonts w:cs="Times New Roman"/>
          <w:vertAlign w:val="superscript"/>
        </w:rPr>
        <w:t>2</w:t>
      </w:r>
      <w:r>
        <w:rPr>
          <w:rFonts w:cs="Times New Roman"/>
        </w:rPr>
        <w:t>；新建污泥处理厂1座，针对已建成的污水处理厂，对污水处理厂污泥无害化处理进行严格管控，防止污泥二次污染。具体如下：</w:t>
      </w:r>
    </w:p>
    <w:p>
      <w:pPr>
        <w:ind w:firstLine="562"/>
        <w:rPr>
          <w:rFonts w:cs="Times New Roman"/>
        </w:rPr>
      </w:pPr>
      <w:r>
        <w:rPr>
          <w:rFonts w:cs="Times New Roman"/>
          <w:b/>
          <w:bCs/>
        </w:rPr>
        <w:t>浑江区：</w:t>
      </w:r>
      <w:r>
        <w:rPr>
          <w:rFonts w:cs="Times New Roman"/>
        </w:rPr>
        <w:t>新建污水处理厂4座，污水泵站1座，规划建设污水管线13.7875km。在现有的虹桥污水厂东侧新建污水处理厂1座，设计规模为4万m</w:t>
      </w:r>
      <w:r>
        <w:rPr>
          <w:rFonts w:cs="Times New Roman"/>
          <w:vertAlign w:val="superscript"/>
        </w:rPr>
        <w:t>3</w:t>
      </w:r>
      <w:r>
        <w:rPr>
          <w:rFonts w:cs="Times New Roman"/>
        </w:rPr>
        <w:t>/d，出水水质达到《城镇污水处理厂污染物排放标准》（GB18918-2002）一级标准中的A类标准。新建银河小区一区污水泵站1座，并配套污水监测平台1套。浑江区管网改扩建规划铺设污水管线13.7875km。（市住建局负责）在污水处理厂下游新建3处人工湿地，面积约5hm</w:t>
      </w:r>
      <w:r>
        <w:rPr>
          <w:rFonts w:cs="Times New Roman"/>
          <w:vertAlign w:val="superscript"/>
        </w:rPr>
        <w:t>2</w:t>
      </w:r>
      <w:r>
        <w:rPr>
          <w:rFonts w:cs="Times New Roman"/>
        </w:rPr>
        <w:t>。（市水务局负责）镁工业园区新建污水处理厂1座，近期设计规模500m</w:t>
      </w:r>
      <w:r>
        <w:rPr>
          <w:rFonts w:cs="Times New Roman"/>
          <w:vertAlign w:val="superscript"/>
        </w:rPr>
        <w:t>3</w:t>
      </w:r>
      <w:r>
        <w:rPr>
          <w:rFonts w:cs="Times New Roman"/>
        </w:rPr>
        <w:t>/d，远期设计规模1000m</w:t>
      </w:r>
      <w:r>
        <w:rPr>
          <w:rFonts w:cs="Times New Roman"/>
          <w:vertAlign w:val="superscript"/>
        </w:rPr>
        <w:t>3</w:t>
      </w:r>
      <w:r>
        <w:rPr>
          <w:rFonts w:cs="Times New Roman"/>
        </w:rPr>
        <w:t>/d，占地面积为7743m</w:t>
      </w:r>
      <w:r>
        <w:rPr>
          <w:rFonts w:cs="Times New Roman"/>
          <w:vertAlign w:val="superscript"/>
        </w:rPr>
        <w:t>2</w:t>
      </w:r>
      <w:r>
        <w:rPr>
          <w:rFonts w:cs="Times New Roman"/>
        </w:rPr>
        <w:t>。红土崖镇新建污水处理厂1座，污水处理设计规模为1000m</w:t>
      </w:r>
      <w:r>
        <w:rPr>
          <w:rFonts w:cs="Times New Roman"/>
          <w:vertAlign w:val="superscript"/>
        </w:rPr>
        <w:t>3</w:t>
      </w:r>
      <w:r>
        <w:rPr>
          <w:rFonts w:cs="Times New Roman"/>
        </w:rPr>
        <w:t>/d，项目用地面积33136m</w:t>
      </w:r>
      <w:r>
        <w:rPr>
          <w:rFonts w:cs="Times New Roman"/>
          <w:vertAlign w:val="superscript"/>
        </w:rPr>
        <w:t>2</w:t>
      </w:r>
      <w:r>
        <w:rPr>
          <w:rFonts w:eastAsia="宋体" w:cs="Times New Roman"/>
        </w:rPr>
        <w:t>。</w:t>
      </w:r>
      <w:r>
        <w:rPr>
          <w:rFonts w:cs="Times New Roman"/>
        </w:rPr>
        <w:t>六道江镇新建污水处理厂1座，污水处理设计规模为1000m</w:t>
      </w:r>
      <w:r>
        <w:rPr>
          <w:rFonts w:cs="Times New Roman"/>
          <w:vertAlign w:val="superscript"/>
        </w:rPr>
        <w:t>3</w:t>
      </w:r>
      <w:r>
        <w:rPr>
          <w:rFonts w:cs="Times New Roman"/>
        </w:rPr>
        <w:t>/d。（浑江区政府负责）</w:t>
      </w:r>
    </w:p>
    <w:p>
      <w:pPr>
        <w:ind w:firstLine="562"/>
        <w:rPr>
          <w:rFonts w:cs="Times New Roman"/>
        </w:rPr>
      </w:pPr>
      <w:r>
        <w:rPr>
          <w:rFonts w:cs="Times New Roman"/>
          <w:b/>
          <w:bCs/>
        </w:rPr>
        <w:t>江源区：</w:t>
      </w:r>
      <w:bookmarkStart w:id="32" w:name="_Hlk86410392"/>
      <w:r>
        <w:rPr>
          <w:rFonts w:cs="Times New Roman"/>
        </w:rPr>
        <w:t>新建污水处理厂1座，污水处理站2座，规划建设污水管线22.632km。</w:t>
      </w:r>
      <w:bookmarkEnd w:id="32"/>
      <w:r>
        <w:rPr>
          <w:rFonts w:cs="Times New Roman"/>
        </w:rPr>
        <w:t>湾沟镇新建日处理1万m³/d污水处理厂一座，新建排水管网总长度9.082km。红石村大石人镇新建处理能力35t/d的污水处理站1座，铺设管网11km。育林新村示范区新建处理能力为150t/d的污水处理站1座，铺设管网2.55km。（江源区人民政府负责)</w:t>
      </w:r>
    </w:p>
    <w:p>
      <w:pPr>
        <w:ind w:firstLine="562"/>
        <w:rPr>
          <w:rFonts w:cs="Times New Roman"/>
        </w:rPr>
      </w:pPr>
      <w:r>
        <w:rPr>
          <w:rFonts w:cs="Times New Roman"/>
          <w:b/>
          <w:bCs/>
        </w:rPr>
        <w:t>抚松县：</w:t>
      </w:r>
      <w:r>
        <w:rPr>
          <w:rFonts w:cs="Times New Roman"/>
        </w:rPr>
        <w:t>新建污水厂5座，污水收集池3座，污泥处理厂1座，规划建设污水管线88.49km。万良镇新建日处理能力0.2万m³/d污水处理厂1座，建设污水管线10.716km；兴隆乡新建日处理能力0.2万m³/d污水处理厂1座，建设污水管线11.195km；北岗镇新建日处理能力0.15万m³/d污水处理厂1座，新建污泥处理厂1座，建设污水管线14.160km；兴参镇新建日处理能力0.3万m³/d污水处理厂1座，建设污水管线8.618km；新屯子镇新建日处理能力0.06万m³/d污水处理厂1座，采用改良A</w:t>
      </w:r>
      <w:r>
        <w:rPr>
          <w:rFonts w:cs="Times New Roman"/>
          <w:vertAlign w:val="subscript"/>
        </w:rPr>
        <w:t>2</w:t>
      </w:r>
      <w:r>
        <w:rPr>
          <w:rFonts w:cs="Times New Roman"/>
        </w:rPr>
        <w:t>O工艺，建设污水管线11.195km；漫江镇、抽水乡、沿江乡各新建0.05万m³污水收集池1座，分别建设污水管线7.346km、6.446km、6.446km；抚松镇城北社区建设污水管线12.368km。（抚松县人民政府负责）</w:t>
      </w:r>
    </w:p>
    <w:p>
      <w:pPr>
        <w:ind w:firstLine="562"/>
        <w:rPr>
          <w:rFonts w:cs="Times New Roman"/>
        </w:rPr>
      </w:pPr>
      <w:r>
        <w:rPr>
          <w:rFonts w:cs="Times New Roman"/>
          <w:b/>
          <w:bCs/>
        </w:rPr>
        <w:t>靖宇县：</w:t>
      </w:r>
      <w:r>
        <w:rPr>
          <w:rFonts w:cs="Times New Roman"/>
        </w:rPr>
        <w:t>规划建设管线6.89km。花园口镇新建雨水管线3122.6m，新建雨水连接管598.5m，新建污水管线3171.4m。针对已有的靖宇县污水处理厂，对污水处理厂污泥无害化处理进行严格管控，防止污泥二次污染。（靖宇县人民政府负责）</w:t>
      </w:r>
    </w:p>
    <w:p>
      <w:pPr>
        <w:ind w:firstLine="562"/>
        <w:rPr>
          <w:rFonts w:cs="Times New Roman"/>
        </w:rPr>
      </w:pPr>
      <w:r>
        <w:rPr>
          <w:rFonts w:cs="Times New Roman"/>
          <w:b/>
          <w:bCs/>
        </w:rPr>
        <w:t>临江市：</w:t>
      </w:r>
      <w:r>
        <w:rPr>
          <w:rFonts w:cs="Times New Roman"/>
        </w:rPr>
        <w:t>规划建设污水管线28.278km。在临江市森工街道完成污水管网改造及雨污分流管网建设，共新建管网14.228km。在大湖独立工矿区转型临城矿泉水产业园区规划铺设管网总长14.05km。加强部分乡镇生活污水治理基础设施建设，因地制宜选择合适方式收集处理乡镇生活污水，使乡镇生活污水得到有效处理。（临江市人民政府负责）</w:t>
      </w:r>
    </w:p>
    <w:p>
      <w:pPr>
        <w:ind w:firstLine="562"/>
        <w:rPr>
          <w:rFonts w:cs="Times New Roman"/>
        </w:rPr>
      </w:pPr>
      <w:r>
        <w:rPr>
          <w:rFonts w:cs="Times New Roman"/>
          <w:b/>
          <w:bCs/>
        </w:rPr>
        <w:t>长白县：</w:t>
      </w:r>
      <w:r>
        <w:rPr>
          <w:rFonts w:cs="Times New Roman"/>
        </w:rPr>
        <w:t>规划建设管线6.529km。马鹿沟镇马鹿沟村规划铺设污水管线3.733km，给水管线2.745km，雨水管线0.051km。</w:t>
      </w:r>
    </w:p>
    <w:p>
      <w:pPr>
        <w:pStyle w:val="3"/>
      </w:pPr>
      <w:bookmarkStart w:id="33" w:name="_Toc86417735"/>
      <w:r>
        <w:t>四、提升水资源保障能力</w:t>
      </w:r>
      <w:bookmarkEnd w:id="33"/>
    </w:p>
    <w:p>
      <w:pPr>
        <w:ind w:firstLine="562"/>
        <w:rPr>
          <w:rFonts w:cs="Times New Roman"/>
        </w:rPr>
      </w:pPr>
      <w:r>
        <w:rPr>
          <w:rFonts w:cs="Times New Roman"/>
          <w:b/>
          <w:bCs/>
        </w:rPr>
        <w:t>狠抓生态流量确定和管控。</w:t>
      </w:r>
      <w:r>
        <w:rPr>
          <w:rFonts w:cs="Times New Roman"/>
        </w:rPr>
        <w:t>开展重要河湖生态流量研究，探索制定下泄生态流量标准，推进重点河流永久性下泄生态流量设施建设方案出台；审批或延续水库、水电站等项目许可时，优先保证生态用水需求，加强水库、水电站生态流量目标管理及监测，做好下泄生态流量记录；将小水电站生态流量监管纳入河、湖长制、水资源管理等工作内容和考核体系，严格监督检查，定期考核奖惩；组织开展绿色小水电站创建工作，推进小水电生态流量保障工作的落实（各县（市、区）人民政府、市水务局、市生态环境局按职责分工负责）</w:t>
      </w:r>
    </w:p>
    <w:p>
      <w:pPr>
        <w:ind w:firstLine="562"/>
        <w:rPr>
          <w:rFonts w:cs="Times New Roman"/>
          <w:b/>
          <w:bCs/>
        </w:rPr>
      </w:pPr>
      <w:r>
        <w:rPr>
          <w:rFonts w:cs="Times New Roman"/>
          <w:b/>
          <w:bCs/>
        </w:rPr>
        <w:t>浑江干流水资源保障。</w:t>
      </w:r>
      <w:r>
        <w:rPr>
          <w:rFonts w:cs="Times New Roman"/>
        </w:rPr>
        <w:t>完成红土崖河生态隔离带建设。加大浑江干流上游水土保持治理力度，中游加强饮用水及尾矿库风险管控，下游降低水耗、提升水污染治理能力。开展浑江干流城区段河道清淤整治工程，完成清淤73.5公里。（浑江区人民政府和市水务局按职责分工负责）</w:t>
      </w:r>
    </w:p>
    <w:p>
      <w:pPr>
        <w:ind w:firstLine="562"/>
        <w:rPr>
          <w:rFonts w:cs="Times New Roman"/>
        </w:rPr>
      </w:pPr>
      <w:r>
        <w:rPr>
          <w:rFonts w:cs="Times New Roman"/>
          <w:b/>
          <w:bCs/>
        </w:rPr>
        <w:t>开展水系连通工程。</w:t>
      </w:r>
      <w:r>
        <w:rPr>
          <w:rFonts w:cs="Times New Roman"/>
        </w:rPr>
        <w:t>完成抚松县头道松花江、松江河水系连通工程，永久性恢复流量。（抚松县人民政府、白山市水务局按职责分工负责）</w:t>
      </w:r>
    </w:p>
    <w:p>
      <w:pPr>
        <w:ind w:firstLine="562"/>
        <w:rPr>
          <w:rFonts w:cs="Times New Roman"/>
        </w:rPr>
      </w:pPr>
      <w:r>
        <w:rPr>
          <w:rFonts w:cs="Times New Roman"/>
          <w:b/>
          <w:bCs/>
        </w:rPr>
        <w:t>保障河湖生态流量。</w:t>
      </w:r>
      <w:r>
        <w:rPr>
          <w:rFonts w:cs="Times New Roman"/>
        </w:rPr>
        <w:t>通过实施河流生态修复、电站增效扩容改造、安装生态流量监控设备和永久性下泄生态流量设施建设等方式，恢复十九道沟河、七道沟河、八道沟河、十三道沟河的生态流量。（长白朝鲜族自治县人民政府、临江市人民政府、白山市水务局按职责分工负责）</w:t>
      </w:r>
    </w:p>
    <w:p>
      <w:pPr>
        <w:pStyle w:val="3"/>
      </w:pPr>
      <w:bookmarkStart w:id="34" w:name="_Toc86417736"/>
      <w:r>
        <w:t>五、推动水生态保护修复</w:t>
      </w:r>
      <w:bookmarkEnd w:id="34"/>
    </w:p>
    <w:p>
      <w:pPr>
        <w:ind w:firstLine="562"/>
        <w:rPr>
          <w:rFonts w:cs="Times New Roman"/>
        </w:rPr>
      </w:pPr>
      <w:r>
        <w:rPr>
          <w:rFonts w:cs="Times New Roman"/>
          <w:b/>
          <w:bCs/>
        </w:rPr>
        <w:t>开展长白山林区水体背景值调查研究。</w:t>
      </w:r>
      <w:r>
        <w:rPr>
          <w:rFonts w:cs="Times New Roman"/>
        </w:rPr>
        <w:t>制定背景值研究调查方案，检测水体背景值超标倍数，充分掌握林区水体综合情况。长白山区域多为原生林，未遭到人为破坏，开展高锰酸盐指数、化学需氧量、氨氮、pH值4项指标背景值调查，主要内容包括气象、水文、地质地貌、植被条件、土地利用及环境质量等方面。（抚松县人民政府负责）</w:t>
      </w:r>
    </w:p>
    <w:p>
      <w:pPr>
        <w:ind w:firstLine="562"/>
        <w:rPr>
          <w:rFonts w:cs="Times New Roman"/>
        </w:rPr>
      </w:pPr>
      <w:r>
        <w:rPr>
          <w:rFonts w:cs="Times New Roman"/>
          <w:b/>
          <w:bCs/>
        </w:rPr>
        <w:t>水生生物完整性恢复。</w:t>
      </w:r>
      <w:r>
        <w:rPr>
          <w:rFonts w:cs="Times New Roman"/>
        </w:rPr>
        <w:t>加强捕鱼监管，建立完善禁渔制度，科学划定禁渔区域及禁渔期，给松花江水生生物留出更多休养生息的空间和时间。加大执法巡查力度，杜绝电鱼、炸鱼、灭绝性捕鱼等非法捕捞行为。（抚松县人民政府、靖宇县人民政府、长白朝鲜族自治县人民政府按职责分工负责）</w:t>
      </w:r>
    </w:p>
    <w:p>
      <w:pPr>
        <w:ind w:firstLine="562"/>
        <w:rPr>
          <w:rFonts w:cs="Times New Roman"/>
        </w:rPr>
      </w:pPr>
      <w:r>
        <w:rPr>
          <w:rFonts w:cs="Times New Roman"/>
          <w:b/>
          <w:bCs/>
        </w:rPr>
        <w:t>开展土著冷水鱼原种增殖放流。</w:t>
      </w:r>
      <w:r>
        <w:rPr>
          <w:rFonts w:cs="Times New Roman"/>
        </w:rPr>
        <w:t>开展水生态调查，科学制定细鳞鱼、花羔红点鲑、YLJ茴鱼等冷水鱼增殖放流计划和实施方案，确定增殖放流的区域、时间、品种、规格、数量、单价等。（长白朝鲜族自治县人民政府、临江市人民政府按职责分工负责）</w:t>
      </w:r>
    </w:p>
    <w:p>
      <w:pPr>
        <w:ind w:firstLine="562"/>
        <w:rPr>
          <w:rFonts w:cs="Times New Roman"/>
        </w:rPr>
      </w:pPr>
      <w:r>
        <w:rPr>
          <w:rFonts w:cs="Times New Roman"/>
          <w:b/>
          <w:bCs/>
        </w:rPr>
        <w:t>打通鱼类洄游通道。</w:t>
      </w:r>
      <w:r>
        <w:rPr>
          <w:rFonts w:cs="Times New Roman"/>
        </w:rPr>
        <w:t>对现有水电站重新进行规划整治，新建或补建鱼道，让洄游性鱼类溯游无阻，低水头坝修建过鱼设施，水电站大坝补建洄游闸门。（各县（市、区）政府、白山市水务局按职责分工负责）</w:t>
      </w:r>
    </w:p>
    <w:p>
      <w:pPr>
        <w:ind w:firstLine="562"/>
        <w:rPr>
          <w:rFonts w:cs="Times New Roman"/>
          <w:b/>
          <w:bCs/>
          <w:color w:val="FF0000"/>
        </w:rPr>
      </w:pPr>
      <w:r>
        <w:rPr>
          <w:rFonts w:cs="Times New Roman"/>
          <w:b/>
          <w:bCs/>
        </w:rPr>
        <w:t>开展河湖缓冲带建设。</w:t>
      </w:r>
      <w:r>
        <w:rPr>
          <w:rFonts w:cs="Times New Roman"/>
        </w:rPr>
        <w:t>“十四五”期间全市规划建设生态缓冲带152.84km，鼓励各县（市、区）政府在此基础上</w:t>
      </w:r>
      <w:r>
        <w:rPr>
          <w:rFonts w:hint="eastAsia" w:cs="Times New Roman"/>
        </w:rPr>
        <w:t>因地制宜实施河湖生态缓冲带修复。</w:t>
      </w:r>
      <w:r>
        <w:rPr>
          <w:rFonts w:cs="Times New Roman"/>
        </w:rPr>
        <w:t>具体如下：</w:t>
      </w:r>
    </w:p>
    <w:p>
      <w:pPr>
        <w:ind w:firstLine="562"/>
        <w:rPr>
          <w:rFonts w:cs="Times New Roman"/>
          <w:b/>
          <w:bCs/>
        </w:rPr>
      </w:pPr>
      <w:r>
        <w:rPr>
          <w:rFonts w:cs="Times New Roman"/>
          <w:b/>
          <w:bCs/>
        </w:rPr>
        <w:t>浑江区：</w:t>
      </w:r>
      <w:r>
        <w:rPr>
          <w:rFonts w:cs="Times New Roman"/>
        </w:rPr>
        <w:t>浑江区总计建设5km河湖缓冲（隔离）带。在红土崖河流域内的红土崖镇红新村、红一村沿红土崖河两岸各建2.5km生态缓冲带，共计建设长度为5km。加强对河道生态环境问题的整治力度，开展干草塘、植草沟等水景观建设，加强河道生态环境保护，提升水体自净和控水保土等功能，着力打造浑江红土崖治理工作，建设红土崖河生态隔离带。（浑江区人民政府负责）</w:t>
      </w:r>
    </w:p>
    <w:p>
      <w:pPr>
        <w:ind w:firstLine="562"/>
        <w:rPr>
          <w:rFonts w:cs="Times New Roman"/>
        </w:rPr>
      </w:pPr>
      <w:r>
        <w:rPr>
          <w:rFonts w:cs="Times New Roman"/>
          <w:b/>
          <w:bCs/>
        </w:rPr>
        <w:t>临江市：</w:t>
      </w:r>
      <w:r>
        <w:rPr>
          <w:rFonts w:cs="Times New Roman"/>
        </w:rPr>
        <w:t>临江区总计建设4.955km河湖缓冲（隔离）带。在小栗子生态旅游观光产业园区新建全长2.975km的园区护岸；在葫芦套生态农业产业园区新建全长1.98km的临江市下葫芦套生态农业产业园区护岸。通过开展生态护岸建设与修复，持续保持鸭绿江流域优良水生态环境（临江市人民政府负责）</w:t>
      </w:r>
    </w:p>
    <w:p>
      <w:pPr>
        <w:ind w:firstLine="562"/>
        <w:rPr>
          <w:rFonts w:cs="Times New Roman"/>
          <w:b/>
          <w:bCs/>
        </w:rPr>
      </w:pPr>
      <w:r>
        <w:rPr>
          <w:rFonts w:cs="Times New Roman"/>
          <w:b/>
          <w:bCs/>
        </w:rPr>
        <w:t>靖宇县：</w:t>
      </w:r>
      <w:r>
        <w:rPr>
          <w:rFonts w:cs="Times New Roman"/>
        </w:rPr>
        <w:t>靖宇县总计建设139.604km河湖缓冲（隔离）带。在松江村、清泉村、仁义村、胜利村、江沿村、前进村等沿头道松花江的村屯进行生态护岸治理，长度为15.604km；在头道松花江流域内的头道花园河巴里村、白江河村、护林村等村屯进行生态护岸治理，长度为5km；在正身河流域内的花园村、腰甸子村、新华村、二道林场等村屯进行生态护岸治理，长度为8km；在双河流域内的双河村、仁和村、新立村、三合村等村屯进行生态护岸治理，长度为6km；在珠子河流域内的义胜村河岸两旁各建2.5km生态隔离带，总长度为5km；在8个乡镇进行农田排水沟渠治理，长度为100km。实施生态护坡、生态缓冲带修复，增加松花江河岸生态缓冲带覆盖度，对乡镇的农田排水沟渠进行底泥清理、种植生态植物，改善松花江流域水生态环境。（靖宇县人民政府负责）</w:t>
      </w:r>
    </w:p>
    <w:p>
      <w:pPr>
        <w:ind w:firstLine="562"/>
        <w:rPr>
          <w:rFonts w:cs="Times New Roman"/>
          <w:b/>
          <w:bCs/>
          <w:color w:val="FF0000"/>
        </w:rPr>
      </w:pPr>
      <w:r>
        <w:rPr>
          <w:rFonts w:cs="Times New Roman"/>
          <w:b/>
          <w:bCs/>
        </w:rPr>
        <w:t>抚松县：</w:t>
      </w:r>
      <w:r>
        <w:rPr>
          <w:rFonts w:cs="Times New Roman"/>
        </w:rPr>
        <w:t>抚松县总计建设3.281km河湖缓冲（隔离）带。在头道松花江流域内的黄家崴子村开展河湖缓冲带生态保护修复，采用生态砾石床净化水质，降解长白山林区背景值对河流水质的影响。构建生态砾石床水质净化工程，提升河道水体的生态自净作用，同时提升河道水质的同时改善林区环境；实施生态护坡、生态缓冲带修复，增加松花江河岸生态缓冲带覆盖度。对乡镇的农田排水沟渠进行底泥清理、种植生态植物，改善松花江流域水生态环境。并定期开展林区外围巡查监管，降低人为污染风险。（抚松县人民政府负责）</w:t>
      </w:r>
    </w:p>
    <w:bookmarkEnd w:id="28"/>
    <w:bookmarkEnd w:id="29"/>
    <w:p>
      <w:pPr>
        <w:pStyle w:val="3"/>
      </w:pPr>
      <w:bookmarkStart w:id="35" w:name="_Toc86417737"/>
      <w:bookmarkStart w:id="36" w:name="_Toc65855419"/>
      <w:bookmarkStart w:id="37" w:name="_Toc65855450"/>
      <w:r>
        <w:t>六、强化水环境风险防控</w:t>
      </w:r>
      <w:bookmarkEnd w:id="35"/>
    </w:p>
    <w:p>
      <w:pPr>
        <w:ind w:firstLine="562"/>
        <w:rPr>
          <w:rFonts w:cs="Times New Roman"/>
        </w:rPr>
      </w:pPr>
      <w:r>
        <w:rPr>
          <w:rFonts w:cs="Times New Roman"/>
          <w:b/>
          <w:bCs/>
        </w:rPr>
        <w:t>加强饮用水水源地保护和管理。</w:t>
      </w:r>
      <w:r>
        <w:rPr>
          <w:rFonts w:cs="Times New Roman"/>
        </w:rPr>
        <w:t>大力推进集中式饮用水水源地规范化、制度化、科学化管理，建立涵盖饮用水水源保护区划定、监测监控、安全保障达标建设、风险应对应急预案等全过程的保护和监管体系。加强集中式饮用水水源地风险管控，建立安全保障机制，强化应急水源地建设和污染源整治，完善风险应急预案；开展水库拦污坝建设、输水洞维修及渗漏处理，实施水库清淤。提升白山市城区水源（曲家营水库、西北岔水库）供给能力保障。（市水务局、市生态环境局、浑江区人民政府、江源区人民政府按职责分工负责）</w:t>
      </w:r>
    </w:p>
    <w:bookmarkEnd w:id="36"/>
    <w:bookmarkEnd w:id="37"/>
    <w:p>
      <w:pPr>
        <w:ind w:firstLine="562"/>
        <w:rPr>
          <w:rFonts w:cs="Times New Roman"/>
        </w:rPr>
      </w:pPr>
      <w:r>
        <w:rPr>
          <w:rFonts w:cs="Times New Roman"/>
          <w:b/>
          <w:bCs/>
        </w:rPr>
        <w:t>组织制定跨境污染应急预案。</w:t>
      </w:r>
      <w:r>
        <w:rPr>
          <w:rFonts w:cs="Times New Roman"/>
        </w:rPr>
        <w:t>制定针对YLJ对岸铜矿企业突发性生态环境污染事件预案，联防联控，定期进行铜矿风险评估，建立应急储备库，储备足够的应急物资；督促尾矿库企业每年更新突发环境事件应急预案。（临江市人民政府、长白朝鲜族自治县人民政府、市生态环境局按职责分工负责）</w:t>
      </w:r>
    </w:p>
    <w:p>
      <w:pPr>
        <w:ind w:firstLine="562"/>
        <w:rPr>
          <w:rFonts w:cs="Times New Roman"/>
        </w:rPr>
      </w:pPr>
      <w:r>
        <w:rPr>
          <w:rFonts w:cs="Times New Roman"/>
          <w:b/>
          <w:bCs/>
        </w:rPr>
        <w:t>落实尾矿库污染风险防范措施。一是</w:t>
      </w:r>
      <w:r>
        <w:rPr>
          <w:rFonts w:cs="Times New Roman"/>
        </w:rPr>
        <w:t>对浑江区所有尾矿库进行归档备案，建立三级防控体系，并按要求定期开展尾矿库环境应急演练，编制针对性环境应急预案，定期进行风险评估，储备足够的应急物资。（责任单位：浑江区人民政府）二是落实《抚松铅锌矿汤河尾矿库突发环境事件应急预案》，限期取缔该尾矿库，综合评价尾矿再选、建材生产、矿井充填、生态保护修复等技术，并制定铅锌矿汤河尾矿库综合治理方案。（责任单位：抚松县人民政府负责）</w:t>
      </w:r>
    </w:p>
    <w:p>
      <w:pPr>
        <w:ind w:firstLine="562"/>
        <w:rPr>
          <w:rFonts w:cs="Times New Roman"/>
        </w:rPr>
      </w:pPr>
      <w:bookmarkStart w:id="38" w:name="_Hlk59025465"/>
      <w:r>
        <w:rPr>
          <w:rFonts w:cs="Times New Roman"/>
          <w:b/>
          <w:bCs/>
        </w:rPr>
        <w:t>完善跨界河流污染</w:t>
      </w:r>
      <w:r>
        <w:rPr>
          <w:rFonts w:cs="Times New Roman"/>
          <w:b/>
          <w:bCs/>
          <w:kern w:val="0"/>
        </w:rPr>
        <w:t>风险监测预警体系。</w:t>
      </w:r>
      <w:r>
        <w:rPr>
          <w:rFonts w:cs="Times New Roman"/>
        </w:rPr>
        <w:t>针对性设置跨市水质监测断面，定期开展市界断面水质监测，监测项目包括《地表水环境质量标准》（GB3838-2002）中规定的基本项目24项，充分掌握汉阳屯点位二道松花江入境水质情况，分析延边州朝鲜族自治州段沿岸耕地农业面源污染风险。建立跨市断面监测预警机制，确保南岗/汉阳屯断面水质稳定达到Ⅱ类标准。（抚松县人民政府、市生态环境局、市农业农村局、按职责分工负责）</w:t>
      </w:r>
    </w:p>
    <w:p>
      <w:pPr>
        <w:ind w:firstLine="0" w:firstLineChars="0"/>
        <w:rPr>
          <w:rFonts w:cs="Times New Roman"/>
        </w:rPr>
      </w:pPr>
    </w:p>
    <w:p>
      <w:pPr>
        <w:ind w:firstLine="0" w:firstLineChars="0"/>
        <w:rPr>
          <w:rFonts w:cs="Times New Roman"/>
        </w:rPr>
      </w:pPr>
    </w:p>
    <w:p>
      <w:pPr>
        <w:ind w:firstLine="0" w:firstLineChars="0"/>
        <w:rPr>
          <w:rFonts w:cs="Times New Roman"/>
        </w:rPr>
        <w:sectPr>
          <w:footerReference r:id="rId12" w:type="default"/>
          <w:footerReference r:id="rId13" w:type="even"/>
          <w:pgSz w:w="11906" w:h="16838"/>
          <w:pgMar w:top="1440" w:right="1800" w:bottom="1440" w:left="1800" w:header="851" w:footer="992" w:gutter="0"/>
          <w:pgNumType w:fmt="numberInDash" w:start="1"/>
          <w:cols w:space="425" w:num="1"/>
          <w:docGrid w:type="lines" w:linePitch="381" w:charSpace="0"/>
        </w:sectPr>
      </w:pPr>
    </w:p>
    <w:bookmarkEnd w:id="38"/>
    <w:p>
      <w:pPr>
        <w:pStyle w:val="2"/>
      </w:pPr>
      <w:bookmarkStart w:id="39" w:name="_Toc65855420"/>
      <w:bookmarkStart w:id="40" w:name="_Toc65855451"/>
      <w:bookmarkStart w:id="41" w:name="_Toc86417738"/>
      <w:r>
        <w:t>第四章 白山市“十四五”水生态环境保护规划项目</w:t>
      </w:r>
      <w:bookmarkEnd w:id="39"/>
      <w:bookmarkEnd w:id="40"/>
      <w:bookmarkEnd w:id="41"/>
    </w:p>
    <w:p>
      <w:pPr>
        <w:ind w:firstLine="0" w:firstLineChars="0"/>
      </w:pPr>
    </w:p>
    <w:p>
      <w:pPr>
        <w:spacing w:line="240" w:lineRule="auto"/>
        <w:ind w:firstLine="0" w:firstLineChars="0"/>
        <w:jc w:val="center"/>
      </w:pPr>
      <w:r>
        <w:drawing>
          <wp:inline distT="0" distB="0" distL="0" distR="0">
            <wp:extent cx="5274310" cy="37338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733800"/>
                    </a:xfrm>
                    <a:prstGeom prst="rect">
                      <a:avLst/>
                    </a:prstGeom>
                    <a:noFill/>
                    <a:ln>
                      <a:noFill/>
                    </a:ln>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图4</w:t>
      </w:r>
      <w:r>
        <w:rPr>
          <w:rFonts w:eastAsia="仿宋" w:cs="Times New Roman"/>
          <w:b/>
          <w:sz w:val="24"/>
          <w:szCs w:val="24"/>
        </w:rPr>
        <w:t xml:space="preserve">-1  </w:t>
      </w:r>
      <w:r>
        <w:rPr>
          <w:rFonts w:hint="eastAsia" w:eastAsia="仿宋" w:cs="Times New Roman"/>
          <w:b/>
          <w:sz w:val="24"/>
          <w:szCs w:val="24"/>
        </w:rPr>
        <w:t>1</w:t>
      </w:r>
      <w:r>
        <w:rPr>
          <w:rFonts w:eastAsia="仿宋" w:cs="Times New Roman"/>
          <w:b/>
          <w:sz w:val="24"/>
          <w:szCs w:val="24"/>
        </w:rPr>
        <w:t>2</w:t>
      </w:r>
      <w:r>
        <w:rPr>
          <w:rFonts w:hint="eastAsia" w:eastAsia="仿宋" w:cs="Times New Roman"/>
          <w:b/>
          <w:sz w:val="24"/>
          <w:szCs w:val="24"/>
        </w:rPr>
        <w:t>个国控断面汇水范围分布图</w:t>
      </w:r>
    </w:p>
    <w:p>
      <w:pPr>
        <w:ind w:firstLine="0" w:firstLineChars="0"/>
      </w:pPr>
    </w:p>
    <w:p>
      <w:pPr>
        <w:pStyle w:val="3"/>
      </w:pPr>
      <w:bookmarkStart w:id="42" w:name="_Toc86417739"/>
      <w:r>
        <w:t>一、实施松江河水生态环境保护工程</w:t>
      </w:r>
      <w:bookmarkEnd w:id="42"/>
    </w:p>
    <w:p>
      <w:pPr>
        <w:ind w:firstLine="560"/>
        <w:rPr>
          <w:rFonts w:cs="Times New Roman"/>
        </w:rPr>
      </w:pPr>
      <w:r>
        <w:rPr>
          <w:rFonts w:cs="Times New Roman"/>
        </w:rPr>
        <w:t>着力建设松江河流域乡镇生活污水处理设施，提升改造市政管网，维修漏损、断裂管网，提升雨污分流能力，鼓励建设尾水湿地和</w:t>
      </w:r>
      <w:r>
        <w:rPr>
          <w:rFonts w:hint="eastAsia" w:cs="Times New Roman"/>
        </w:rPr>
        <w:t>进行</w:t>
      </w:r>
      <w:r>
        <w:rPr>
          <w:rFonts w:cs="Times New Roman"/>
        </w:rPr>
        <w:t>生态缓冲带</w:t>
      </w:r>
      <w:r>
        <w:rPr>
          <w:rFonts w:hint="eastAsia" w:cs="Times New Roman"/>
        </w:rPr>
        <w:t>修复</w:t>
      </w:r>
      <w:r>
        <w:rPr>
          <w:rFonts w:cs="Times New Roman"/>
        </w:rPr>
        <w:t>。</w:t>
      </w:r>
    </w:p>
    <w:p>
      <w:pPr>
        <w:spacing w:line="240" w:lineRule="auto"/>
        <w:ind w:firstLine="0" w:firstLineChars="0"/>
        <w:jc w:val="center"/>
        <w:rPr>
          <w:rFonts w:cs="Times New Roman"/>
        </w:rPr>
      </w:pPr>
      <w:r>
        <w:drawing>
          <wp:inline distT="0" distB="0" distL="0" distR="0">
            <wp:extent cx="5210175" cy="36766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2058" cy="3677882"/>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4-2  </w:t>
      </w:r>
      <w:r>
        <w:rPr>
          <w:rFonts w:hint="eastAsia" w:eastAsia="仿宋" w:cs="Times New Roman"/>
          <w:b/>
          <w:sz w:val="24"/>
          <w:szCs w:val="24"/>
        </w:rPr>
        <w:t>北江水库重点汇水范围示意图</w:t>
      </w:r>
    </w:p>
    <w:p>
      <w:pPr>
        <w:pStyle w:val="139"/>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2 松江河流域水生态环境保护工程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cs="Times New Roman"/>
                <w:sz w:val="24"/>
                <w:szCs w:val="24"/>
              </w:rPr>
              <w:t>开展长白山林区水体背景值相关调查研究，制定背景值研究调查方案，检测水体背景值超标倍数，充分掌握林区水体综合情况和对河流水质的影响程度。</w:t>
            </w:r>
          </w:p>
          <w:p>
            <w:pPr>
              <w:overflowPunct w:val="0"/>
              <w:spacing w:before="0" w:after="0" w:line="360" w:lineRule="auto"/>
              <w:ind w:firstLine="482"/>
              <w:rPr>
                <w:rFonts w:cs="Times New Roman"/>
                <w:sz w:val="24"/>
                <w:szCs w:val="24"/>
              </w:rPr>
            </w:pPr>
            <w:r>
              <w:rPr>
                <w:rFonts w:cs="Times New Roman"/>
                <w:b/>
                <w:bCs/>
                <w:sz w:val="24"/>
                <w:szCs w:val="24"/>
              </w:rPr>
              <w:t>乡镇生活污水处理设施建设：</w:t>
            </w:r>
            <w:r>
              <w:rPr>
                <w:rFonts w:cs="Times New Roman"/>
                <w:sz w:val="24"/>
                <w:szCs w:val="24"/>
              </w:rPr>
              <w:t>建设万良镇污水处理场，占地面积0.6hm</w:t>
            </w:r>
            <w:r>
              <w:rPr>
                <w:rFonts w:cs="Times New Roman"/>
                <w:sz w:val="24"/>
                <w:szCs w:val="24"/>
                <w:vertAlign w:val="superscript"/>
              </w:rPr>
              <w:t>2</w:t>
            </w:r>
            <w:r>
              <w:rPr>
                <w:rFonts w:cs="Times New Roman"/>
                <w:sz w:val="24"/>
                <w:szCs w:val="24"/>
              </w:rPr>
              <w:t>，处理规模为0.2万m</w:t>
            </w:r>
            <w:r>
              <w:rPr>
                <w:rFonts w:cs="Times New Roman"/>
                <w:sz w:val="24"/>
                <w:szCs w:val="24"/>
                <w:vertAlign w:val="superscript"/>
              </w:rPr>
              <w:t>3</w:t>
            </w:r>
            <w:r>
              <w:rPr>
                <w:rFonts w:cs="Times New Roman"/>
                <w:sz w:val="24"/>
                <w:szCs w:val="24"/>
              </w:rPr>
              <w:t>/d，采用AAO（VFL）工艺，建设污水管线10.716km。新建兴隆乡污水处理厂，占地面积0.6hm</w:t>
            </w:r>
            <w:r>
              <w:rPr>
                <w:rFonts w:cs="Times New Roman"/>
                <w:sz w:val="24"/>
                <w:szCs w:val="24"/>
                <w:vertAlign w:val="superscript"/>
              </w:rPr>
              <w:t>2</w:t>
            </w:r>
            <w:r>
              <w:rPr>
                <w:rFonts w:cs="Times New Roman"/>
                <w:sz w:val="24"/>
                <w:szCs w:val="24"/>
              </w:rPr>
              <w:t>，处理规模为0.2万m</w:t>
            </w:r>
            <w:r>
              <w:rPr>
                <w:rFonts w:cs="Times New Roman"/>
                <w:sz w:val="24"/>
                <w:szCs w:val="24"/>
                <w:vertAlign w:val="superscript"/>
              </w:rPr>
              <w:t>3</w:t>
            </w:r>
            <w:r>
              <w:rPr>
                <w:rFonts w:cs="Times New Roman"/>
                <w:sz w:val="24"/>
                <w:szCs w:val="24"/>
              </w:rPr>
              <w:t>/d，采用AAO（VFL）工艺，建设污水管线11.195km。建设抚松县北岗镇污泥处理厂1座，占地面积3.6hm</w:t>
            </w:r>
            <w:r>
              <w:rPr>
                <w:rFonts w:cs="Times New Roman"/>
                <w:sz w:val="24"/>
                <w:szCs w:val="24"/>
                <w:vertAlign w:val="superscript"/>
              </w:rPr>
              <w:t>2</w:t>
            </w:r>
            <w:r>
              <w:rPr>
                <w:rFonts w:cs="Times New Roman"/>
                <w:sz w:val="24"/>
                <w:szCs w:val="24"/>
              </w:rPr>
              <w:t>，设计规模100t/d（含水率80％）。</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规划在城北社区打造雨污分流排放系统，建设污水管线12.368km。</w:t>
            </w:r>
          </w:p>
        </w:tc>
      </w:tr>
    </w:tbl>
    <w:p>
      <w:pPr>
        <w:pStyle w:val="3"/>
      </w:pPr>
      <w:bookmarkStart w:id="43" w:name="_Toc86417740"/>
      <w:r>
        <w:t>二、实施头道松花江水资源保障工程</w:t>
      </w:r>
      <w:bookmarkEnd w:id="43"/>
    </w:p>
    <w:p>
      <w:pPr>
        <w:ind w:firstLine="560"/>
        <w:rPr>
          <w:rFonts w:cs="Times New Roman"/>
        </w:rPr>
      </w:pPr>
      <w:r>
        <w:rPr>
          <w:rFonts w:cs="Times New Roman"/>
        </w:rPr>
        <w:t>推进建设头道松花江流域河湖缓冲带，开展水质提升工程，联防联控尾矿库风险，保护源头区水源，保障头道松花江生态流量</w:t>
      </w:r>
      <w:r>
        <w:rPr>
          <w:rFonts w:hint="eastAsia" w:cs="Times New Roman"/>
        </w:rPr>
        <w:t>，鼓励建设尾水湿地和进行生态缓冲带修复。</w:t>
      </w:r>
    </w:p>
    <w:p>
      <w:pPr>
        <w:ind w:firstLine="560"/>
        <w:rPr>
          <w:rFonts w:cs="Times New Roman"/>
        </w:rPr>
      </w:pPr>
    </w:p>
    <w:p>
      <w:pPr>
        <w:spacing w:line="240" w:lineRule="auto"/>
        <w:ind w:firstLine="0" w:firstLineChars="0"/>
        <w:jc w:val="center"/>
        <w:rPr>
          <w:rFonts w:cs="Times New Roman"/>
        </w:rPr>
      </w:pPr>
      <w:r>
        <w:drawing>
          <wp:inline distT="0" distB="0" distL="0" distR="0">
            <wp:extent cx="4784090" cy="3381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96754" cy="3460809"/>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4-3  </w:t>
      </w:r>
      <w:r>
        <w:rPr>
          <w:rFonts w:hint="eastAsia" w:eastAsia="仿宋" w:cs="Times New Roman"/>
          <w:b/>
          <w:sz w:val="24"/>
          <w:szCs w:val="24"/>
        </w:rPr>
        <w:t>参乡一号桥重点汇水范围示意图</w:t>
      </w:r>
    </w:p>
    <w:p>
      <w:pPr>
        <w:spacing w:line="240" w:lineRule="auto"/>
        <w:ind w:firstLine="0" w:firstLineChars="0"/>
        <w:jc w:val="center"/>
        <w:rPr>
          <w:rFonts w:cs="Times New Roman"/>
        </w:rPr>
      </w:pPr>
    </w:p>
    <w:p>
      <w:pPr>
        <w:spacing w:line="240" w:lineRule="auto"/>
        <w:ind w:firstLine="0" w:firstLineChars="0"/>
        <w:jc w:val="center"/>
        <w:rPr>
          <w:rFonts w:cs="Times New Roman"/>
        </w:rPr>
      </w:pPr>
      <w:r>
        <w:rPr>
          <w:rFonts w:cs="Times New Roman"/>
        </w:rPr>
        <w:drawing>
          <wp:inline distT="0" distB="0" distL="0" distR="0">
            <wp:extent cx="3194685" cy="4511675"/>
            <wp:effectExtent l="0" t="0" r="571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94685" cy="4511675"/>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4-4  </w:t>
      </w:r>
      <w:r>
        <w:rPr>
          <w:rFonts w:hint="eastAsia" w:eastAsia="仿宋" w:cs="Times New Roman"/>
          <w:b/>
          <w:sz w:val="24"/>
          <w:szCs w:val="24"/>
        </w:rPr>
        <w:t>白龙湾重点汇水范围示意图</w:t>
      </w: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专栏 3 头道松花江水资源保障工程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cs="Times New Roman"/>
                <w:sz w:val="24"/>
                <w:szCs w:val="24"/>
              </w:rPr>
              <w:t>开展长白山林区水体背景值相关调查研究，制定背景值研究调查方案，检测水体背景值超标倍数，充分掌握林区水体综合情况和对河流水质的影响程度。</w:t>
            </w:r>
          </w:p>
          <w:p>
            <w:pPr>
              <w:overflowPunct w:val="0"/>
              <w:spacing w:before="0" w:after="0" w:line="360" w:lineRule="auto"/>
              <w:ind w:firstLine="482"/>
              <w:rPr>
                <w:rFonts w:cs="Times New Roman"/>
                <w:bCs/>
                <w:sz w:val="24"/>
                <w:szCs w:val="24"/>
              </w:rPr>
            </w:pPr>
            <w:r>
              <w:rPr>
                <w:rFonts w:cs="Times New Roman"/>
                <w:b/>
                <w:sz w:val="24"/>
                <w:szCs w:val="24"/>
              </w:rPr>
              <w:t>河湖缓冲带建设：</w:t>
            </w:r>
            <w:r>
              <w:rPr>
                <w:rFonts w:cs="Times New Roman"/>
                <w:bCs/>
                <w:sz w:val="24"/>
                <w:szCs w:val="24"/>
              </w:rPr>
              <w:t>建设抚松县黄家崴子村3.281km河湖缓冲（隔离）带，种植植物缓冲带，减少长白山林区背景值对河流水质的影响。在靖宇县的双河村、仁和村、新立村、三合村等村屯进行6km的生态护岸治理，提升头道松花江水环境质量。</w:t>
            </w:r>
          </w:p>
          <w:p>
            <w:pPr>
              <w:overflowPunct w:val="0"/>
              <w:spacing w:before="0" w:after="0" w:line="360" w:lineRule="auto"/>
              <w:ind w:firstLine="482"/>
              <w:rPr>
                <w:rFonts w:cs="Times New Roman"/>
                <w:sz w:val="24"/>
                <w:szCs w:val="24"/>
              </w:rPr>
            </w:pPr>
            <w:r>
              <w:rPr>
                <w:rFonts w:cs="Times New Roman"/>
                <w:b/>
                <w:bCs/>
                <w:sz w:val="24"/>
                <w:szCs w:val="24"/>
              </w:rPr>
              <w:t>城镇生活污水处理设施建设：</w:t>
            </w:r>
            <w:r>
              <w:rPr>
                <w:rFonts w:cs="Times New Roman"/>
                <w:sz w:val="24"/>
                <w:szCs w:val="24"/>
              </w:rPr>
              <w:t>新建漫江镇污水收集池，收集池规模0.05万m</w:t>
            </w:r>
            <w:r>
              <w:rPr>
                <w:rFonts w:cs="Times New Roman"/>
                <w:sz w:val="24"/>
                <w:szCs w:val="24"/>
                <w:vertAlign w:val="superscript"/>
              </w:rPr>
              <w:t>3</w:t>
            </w:r>
            <w:r>
              <w:rPr>
                <w:rFonts w:cs="Times New Roman"/>
                <w:sz w:val="24"/>
                <w:szCs w:val="24"/>
              </w:rPr>
              <w:t>，占地面积约为0.1hm</w:t>
            </w:r>
            <w:r>
              <w:rPr>
                <w:rFonts w:cs="Times New Roman"/>
                <w:sz w:val="24"/>
                <w:szCs w:val="24"/>
                <w:vertAlign w:val="superscript"/>
              </w:rPr>
              <w:t>2</w:t>
            </w:r>
            <w:r>
              <w:rPr>
                <w:rFonts w:cs="Times New Roman"/>
                <w:sz w:val="24"/>
                <w:szCs w:val="24"/>
              </w:rPr>
              <w:t>。湾沟镇新建污水处理厂1座，污水处理规模近期1.0万m</w:t>
            </w:r>
            <w:r>
              <w:rPr>
                <w:rFonts w:cs="Times New Roman"/>
                <w:sz w:val="24"/>
                <w:szCs w:val="24"/>
                <w:vertAlign w:val="superscript"/>
              </w:rPr>
              <w:t>3</w:t>
            </w:r>
            <w:r>
              <w:rPr>
                <w:rFonts w:cs="Times New Roman"/>
                <w:sz w:val="24"/>
                <w:szCs w:val="24"/>
              </w:rPr>
              <w:t>/d，远期处理规模将达到2.0万m</w:t>
            </w:r>
            <w:r>
              <w:rPr>
                <w:rFonts w:cs="Times New Roman"/>
                <w:sz w:val="24"/>
                <w:szCs w:val="24"/>
                <w:vertAlign w:val="superscript"/>
              </w:rPr>
              <w:t>3</w:t>
            </w:r>
            <w:r>
              <w:rPr>
                <w:rFonts w:cs="Times New Roman"/>
                <w:sz w:val="24"/>
                <w:szCs w:val="24"/>
              </w:rPr>
              <w:t>/d，出水水质达到《城镇污水处理厂污染物排放标准》（GB18918-2002）一级标准中的A类标准。新建抽水乡污水收集池，收集池规模为0.05万m</w:t>
            </w:r>
            <w:r>
              <w:rPr>
                <w:rFonts w:cs="Times New Roman"/>
                <w:sz w:val="24"/>
                <w:szCs w:val="24"/>
                <w:vertAlign w:val="superscript"/>
              </w:rPr>
              <w:t>3</w:t>
            </w:r>
            <w:r>
              <w:rPr>
                <w:rFonts w:cs="Times New Roman"/>
                <w:sz w:val="24"/>
                <w:szCs w:val="24"/>
              </w:rPr>
              <w:t>，占地面积约为0.1hm</w:t>
            </w:r>
            <w:r>
              <w:rPr>
                <w:rFonts w:cs="Times New Roman"/>
                <w:sz w:val="24"/>
                <w:szCs w:val="24"/>
                <w:vertAlign w:val="superscript"/>
              </w:rPr>
              <w:t>2</w:t>
            </w:r>
            <w:r>
              <w:rPr>
                <w:rFonts w:cs="Times New Roman"/>
                <w:sz w:val="24"/>
                <w:szCs w:val="24"/>
              </w:rPr>
              <w:t>。靖宇县花园口镇新建污水处理设备2套。</w:t>
            </w:r>
            <w:r>
              <w:rPr>
                <w:rFonts w:hint="eastAsia" w:cs="Times New Roman"/>
                <w:sz w:val="24"/>
                <w:szCs w:val="24"/>
              </w:rPr>
              <w:t>新建仙人桥镇污水处理厂，新增处理能力0.2万吨/天，近期规划新建污水管线14.4公里，远期规划新建污水管线5.8公里</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开展设施配套管网提升改造工程，维修漏损、断裂管网，提升雨污分流能力。漫江镇规划建设污水管线7.346km；湾沟镇新建排水管网总长度9.082km；抽水乡规划建设污水管线约6.446km；靖宇县花园口镇新建雨水管线3122.6m、新建雨水连接管598.5m、新建污水管线3171.4m。</w:t>
            </w:r>
          </w:p>
          <w:p>
            <w:pPr>
              <w:overflowPunct w:val="0"/>
              <w:spacing w:before="0" w:after="0" w:line="360" w:lineRule="auto"/>
              <w:ind w:firstLine="482"/>
              <w:rPr>
                <w:rFonts w:cs="Times New Roman"/>
                <w:sz w:val="24"/>
                <w:szCs w:val="24"/>
              </w:rPr>
            </w:pPr>
            <w:r>
              <w:rPr>
                <w:rFonts w:cs="Times New Roman"/>
                <w:b/>
                <w:bCs/>
                <w:sz w:val="24"/>
                <w:szCs w:val="24"/>
              </w:rPr>
              <w:t>生态流量调度保障：</w:t>
            </w:r>
            <w:r>
              <w:rPr>
                <w:rFonts w:cs="Times New Roman"/>
                <w:sz w:val="24"/>
                <w:szCs w:val="24"/>
              </w:rPr>
              <w:t>加强水库、水电站生态流量目标管理及监测，制定重要河湖生态流量研究和水量调度方案，保证下泄生态流量。拟建西江拦河坝1座、引水涵闸1座、人工湖2处、排水涵闸1座、北江拦河坝1座、内河工程（含交通桥）4段，完成抚松县头道松花江、松江河水系连通工程。</w:t>
            </w:r>
          </w:p>
          <w:p>
            <w:pPr>
              <w:overflowPunct w:val="0"/>
              <w:spacing w:before="0" w:after="0" w:line="360" w:lineRule="auto"/>
              <w:ind w:firstLine="482"/>
              <w:rPr>
                <w:rFonts w:cs="Times New Roman"/>
                <w:sz w:val="24"/>
                <w:szCs w:val="24"/>
              </w:rPr>
            </w:pPr>
            <w:r>
              <w:rPr>
                <w:rFonts w:cs="Times New Roman"/>
                <w:b/>
                <w:bCs/>
                <w:sz w:val="24"/>
                <w:szCs w:val="24"/>
              </w:rPr>
              <w:t>尾矿库风险防控：</w:t>
            </w:r>
            <w:r>
              <w:rPr>
                <w:rFonts w:cs="Times New Roman"/>
                <w:sz w:val="24"/>
                <w:szCs w:val="24"/>
              </w:rPr>
              <w:t>落实《抚松铅锌矿汤河尾矿库突发环境事件应急预案》，限期取缔该尾矿库，综合评价尾矿再选、建材生产、矿井充填、生态保护修复等技术，并制定铅锌矿汤河尾矿库综合治理方案。</w:t>
            </w:r>
          </w:p>
          <w:p>
            <w:pPr>
              <w:overflowPunct w:val="0"/>
              <w:spacing w:before="0" w:after="0" w:line="360" w:lineRule="auto"/>
              <w:ind w:firstLine="482"/>
              <w:rPr>
                <w:rFonts w:cs="Times New Roman"/>
                <w:sz w:val="24"/>
                <w:szCs w:val="24"/>
              </w:rPr>
            </w:pPr>
            <w:r>
              <w:rPr>
                <w:rFonts w:cs="Times New Roman"/>
                <w:b/>
                <w:bCs/>
                <w:sz w:val="24"/>
                <w:szCs w:val="24"/>
              </w:rPr>
              <w:t>冷水鱼种群丰度提升：</w:t>
            </w:r>
            <w:r>
              <w:rPr>
                <w:rFonts w:cs="Times New Roman"/>
                <w:sz w:val="24"/>
                <w:szCs w:val="24"/>
              </w:rPr>
              <w:t>实施松山水库范围内冷水鱼生态放流工程，补充松花江水域经济鱼类和珍稀濒危生物物种种群数量，促进渔业种群资源恢复。</w:t>
            </w:r>
          </w:p>
        </w:tc>
      </w:tr>
    </w:tbl>
    <w:p>
      <w:pPr>
        <w:ind w:firstLine="560"/>
        <w:rPr>
          <w:rFonts w:cs="Times New Roman"/>
        </w:rPr>
      </w:pPr>
    </w:p>
    <w:p>
      <w:pPr>
        <w:ind w:firstLine="560"/>
        <w:rPr>
          <w:rFonts w:cs="Times New Roman"/>
        </w:rPr>
      </w:pPr>
    </w:p>
    <w:p>
      <w:pPr>
        <w:pStyle w:val="3"/>
      </w:pPr>
      <w:bookmarkStart w:id="44" w:name="_Toc86417741"/>
      <w:r>
        <w:t>三、实施二道松花江水环境保护工程</w:t>
      </w:r>
      <w:bookmarkEnd w:id="44"/>
    </w:p>
    <w:p>
      <w:pPr>
        <w:ind w:firstLine="560"/>
        <w:rPr>
          <w:rFonts w:cs="Times New Roman"/>
        </w:rPr>
      </w:pPr>
      <w:r>
        <w:rPr>
          <w:rFonts w:cs="Times New Roman"/>
        </w:rPr>
        <w:t>完善城镇污水管网体系，推动完善跨界断面监测预警机制，促进二道松花江水质稳定达标</w:t>
      </w:r>
      <w:r>
        <w:rPr>
          <w:rFonts w:hint="eastAsia" w:cs="Times New Roman"/>
        </w:rPr>
        <w:t>，鼓励建设尾水湿地和进行生态缓冲带修复。</w:t>
      </w:r>
    </w:p>
    <w:p>
      <w:pPr>
        <w:ind w:firstLine="560"/>
        <w:rPr>
          <w:rFonts w:cs="Times New Roman"/>
        </w:rPr>
      </w:pPr>
      <w:r>
        <w:rPr>
          <w:rFonts w:hint="eastAsia" w:cs="Times New Roman"/>
        </w:rPr>
        <w:t>二道松花江途径的汇水范围有白山大桥、</w:t>
      </w:r>
    </w:p>
    <w:p>
      <w:pPr>
        <w:spacing w:line="240" w:lineRule="auto"/>
        <w:ind w:firstLine="0" w:firstLineChars="0"/>
        <w:jc w:val="center"/>
        <w:rPr>
          <w:rFonts w:cs="Times New Roman"/>
        </w:rPr>
      </w:pPr>
      <w:r>
        <w:drawing>
          <wp:inline distT="0" distB="0" distL="0" distR="0">
            <wp:extent cx="4770755" cy="337121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19766" cy="3405843"/>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4-5  </w:t>
      </w:r>
      <w:r>
        <w:rPr>
          <w:rFonts w:hint="eastAsia" w:eastAsia="仿宋" w:cs="Times New Roman"/>
          <w:b/>
          <w:sz w:val="24"/>
          <w:szCs w:val="24"/>
        </w:rPr>
        <w:t>南岗/汉阳屯重点汇水范围示意图</w:t>
      </w: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专栏 4 二道松花江水环境保护工程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水质影响因素分析：</w:t>
            </w:r>
            <w:r>
              <w:rPr>
                <w:rFonts w:cs="Times New Roman"/>
                <w:sz w:val="24"/>
                <w:szCs w:val="24"/>
              </w:rPr>
              <w:t>开展长白山林区水体背景值相关调查研究，制定背景值研究调查方案，检测水体背景值超标倍数，充分掌握林区水体综合情况和对河流水质的影响程度。</w:t>
            </w:r>
          </w:p>
          <w:p>
            <w:pPr>
              <w:overflowPunct w:val="0"/>
              <w:spacing w:before="0" w:after="0" w:line="360" w:lineRule="auto"/>
              <w:ind w:firstLine="482"/>
              <w:rPr>
                <w:rFonts w:cs="Times New Roman"/>
                <w:sz w:val="24"/>
                <w:szCs w:val="24"/>
              </w:rPr>
            </w:pPr>
            <w:r>
              <w:rPr>
                <w:rFonts w:cs="Times New Roman"/>
                <w:b/>
                <w:bCs/>
                <w:sz w:val="24"/>
                <w:szCs w:val="24"/>
              </w:rPr>
              <w:t>乡镇生活污水处理设施建设：</w:t>
            </w:r>
            <w:r>
              <w:rPr>
                <w:rFonts w:cs="Times New Roman"/>
                <w:sz w:val="24"/>
                <w:szCs w:val="24"/>
              </w:rPr>
              <w:t>新建北岗镇污水处理厂，2025年污水处理厂规模为0.2万m</w:t>
            </w:r>
            <w:r>
              <w:rPr>
                <w:rFonts w:cs="Times New Roman"/>
                <w:sz w:val="24"/>
                <w:szCs w:val="24"/>
                <w:vertAlign w:val="superscript"/>
              </w:rPr>
              <w:t>3</w:t>
            </w:r>
            <w:r>
              <w:rPr>
                <w:rFonts w:cs="Times New Roman"/>
                <w:sz w:val="24"/>
                <w:szCs w:val="24"/>
              </w:rPr>
              <w:t>/d，采用AAO（VFL）工艺，占地面积0.4hm</w:t>
            </w:r>
            <w:r>
              <w:rPr>
                <w:rFonts w:cs="Times New Roman"/>
                <w:sz w:val="24"/>
                <w:szCs w:val="24"/>
                <w:vertAlign w:val="superscript"/>
              </w:rPr>
              <w:t>2</w:t>
            </w:r>
            <w:r>
              <w:rPr>
                <w:rFonts w:cs="Times New Roman"/>
                <w:sz w:val="24"/>
                <w:szCs w:val="24"/>
              </w:rPr>
              <w:t>。新建沿江乡污水收集池，收集池规模0.05万m</w:t>
            </w:r>
            <w:r>
              <w:rPr>
                <w:rFonts w:cs="Times New Roman"/>
                <w:sz w:val="24"/>
                <w:szCs w:val="24"/>
                <w:vertAlign w:val="superscript"/>
              </w:rPr>
              <w:t>3</w:t>
            </w:r>
            <w:r>
              <w:rPr>
                <w:rFonts w:cs="Times New Roman"/>
                <w:sz w:val="24"/>
                <w:szCs w:val="24"/>
              </w:rPr>
              <w:t>，占地面积约为0.1hm</w:t>
            </w:r>
            <w:r>
              <w:rPr>
                <w:rFonts w:cs="Times New Roman"/>
                <w:sz w:val="24"/>
                <w:szCs w:val="24"/>
                <w:vertAlign w:val="superscript"/>
              </w:rPr>
              <w:t>2</w:t>
            </w:r>
            <w:r>
              <w:rPr>
                <w:rFonts w:cs="Times New Roman"/>
                <w:sz w:val="24"/>
                <w:szCs w:val="24"/>
              </w:rPr>
              <w:t>。</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北岗镇规划建设污水管线14.160km。沿江乡规划建设污水管线6.446km。</w:t>
            </w:r>
          </w:p>
          <w:p>
            <w:pPr>
              <w:overflowPunct w:val="0"/>
              <w:spacing w:before="0" w:after="0" w:line="360" w:lineRule="auto"/>
              <w:ind w:firstLine="482"/>
              <w:rPr>
                <w:rFonts w:cs="Times New Roman"/>
                <w:sz w:val="24"/>
                <w:szCs w:val="24"/>
              </w:rPr>
            </w:pPr>
            <w:r>
              <w:rPr>
                <w:rFonts w:cs="Times New Roman"/>
                <w:b/>
                <w:bCs/>
                <w:sz w:val="24"/>
                <w:szCs w:val="24"/>
              </w:rPr>
              <w:t>风险防范工程：</w:t>
            </w:r>
            <w:r>
              <w:rPr>
                <w:rFonts w:cs="Times New Roman"/>
                <w:sz w:val="24"/>
                <w:szCs w:val="24"/>
              </w:rPr>
              <w:t>针对性设置跨市水质监测断面，定期开展市界断面水质监测，其监测项目包括河流流量（含流向）及《地表水环境质量标准》（GB3838-2002）中规定的基本项目24项，充分掌握汉阳屯点位二道松花江入境水质情况，分析延边州朝鲜族自治州段沿岸耕地农业面源污染风险。建立跨市断面监测预警机制，确保南岗/汉阳屯断面水质稳定达到Ⅱ类标准。</w:t>
            </w:r>
          </w:p>
        </w:tc>
      </w:tr>
    </w:tbl>
    <w:p>
      <w:pPr>
        <w:ind w:firstLine="560"/>
        <w:rPr>
          <w:rFonts w:cs="Times New Roman"/>
        </w:rPr>
      </w:pPr>
    </w:p>
    <w:p>
      <w:pPr>
        <w:pStyle w:val="3"/>
      </w:pPr>
      <w:bookmarkStart w:id="45" w:name="_Toc86417742"/>
      <w:r>
        <w:t>四、实施松花江水环境改善工程</w:t>
      </w:r>
      <w:bookmarkEnd w:id="45"/>
    </w:p>
    <w:p>
      <w:pPr>
        <w:ind w:firstLine="560"/>
        <w:rPr>
          <w:rFonts w:cs="Times New Roman"/>
        </w:rPr>
      </w:pPr>
      <w:r>
        <w:rPr>
          <w:rFonts w:cs="Times New Roman"/>
        </w:rPr>
        <w:t>补齐乡镇基础设施短板，开展农业面源污染防治，</w:t>
      </w:r>
      <w:r>
        <w:rPr>
          <w:rFonts w:cs="Times New Roman"/>
          <w:bCs/>
        </w:rPr>
        <w:t>改善松花江流域水生态环境</w:t>
      </w:r>
      <w:r>
        <w:rPr>
          <w:rFonts w:cs="Times New Roman"/>
        </w:rPr>
        <w:t>，提升</w:t>
      </w:r>
      <w:r>
        <w:rPr>
          <w:rFonts w:cs="Times New Roman"/>
          <w:bCs/>
        </w:rPr>
        <w:t>松花江流域</w:t>
      </w:r>
      <w:r>
        <w:rPr>
          <w:rFonts w:cs="Times New Roman"/>
        </w:rPr>
        <w:t>指示性水生生物种群丰度。</w:t>
      </w:r>
    </w:p>
    <w:p>
      <w:pPr>
        <w:spacing w:line="240" w:lineRule="auto"/>
        <w:ind w:firstLine="0" w:firstLineChars="0"/>
        <w:jc w:val="center"/>
        <w:rPr>
          <w:rFonts w:cs="Times New Roman"/>
        </w:rPr>
      </w:pPr>
      <w:r>
        <w:drawing>
          <wp:inline distT="0" distB="0" distL="0" distR="0">
            <wp:extent cx="3948430" cy="2790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85057" cy="2816664"/>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4-6  </w:t>
      </w:r>
      <w:r>
        <w:rPr>
          <w:rFonts w:hint="eastAsia" w:eastAsia="仿宋" w:cs="Times New Roman"/>
          <w:b/>
          <w:sz w:val="24"/>
          <w:szCs w:val="24"/>
        </w:rPr>
        <w:t>白山大桥重点汇水范围示意图</w:t>
      </w: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560" w:firstLineChars="0"/>
              <w:jc w:val="center"/>
              <w:rPr>
                <w:rFonts w:eastAsia="黑体" w:cs="Times New Roman"/>
                <w:sz w:val="24"/>
                <w:szCs w:val="24"/>
              </w:rPr>
            </w:pPr>
            <w:r>
              <w:rPr>
                <w:rFonts w:eastAsia="黑体" w:cs="Times New Roman"/>
                <w:sz w:val="24"/>
                <w:szCs w:val="24"/>
              </w:rPr>
              <w:t>专栏 5 松花江流域水生态环境保护工程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bCs/>
                <w:sz w:val="24"/>
                <w:szCs w:val="24"/>
              </w:rPr>
            </w:pPr>
            <w:r>
              <w:rPr>
                <w:rFonts w:cs="Times New Roman"/>
                <w:b/>
                <w:sz w:val="24"/>
                <w:szCs w:val="24"/>
              </w:rPr>
              <w:t>生态护岸建设：</w:t>
            </w:r>
            <w:r>
              <w:rPr>
                <w:rFonts w:cs="Times New Roman"/>
                <w:bCs/>
                <w:sz w:val="24"/>
                <w:szCs w:val="24"/>
              </w:rPr>
              <w:t>实施景山镇实施生态护坡、生态缓冲带修复工程，增加松花江河岸生态缓冲带覆盖度。景山村一队修复防洪生态护岸总长度1259.3m，景山村二队修复防洪生态护岸总长度367.3m，景山村三队修复防洪生态护岸总长度773.1m，对山洪沟进行底泥清理、种植生态植物，改善松花江流域水生态环境。</w:t>
            </w:r>
          </w:p>
          <w:p>
            <w:pPr>
              <w:overflowPunct w:val="0"/>
              <w:spacing w:before="0" w:after="0" w:line="360" w:lineRule="auto"/>
              <w:ind w:firstLine="482"/>
              <w:rPr>
                <w:rFonts w:cs="Times New Roman"/>
                <w:sz w:val="24"/>
                <w:szCs w:val="24"/>
              </w:rPr>
            </w:pPr>
            <w:r>
              <w:rPr>
                <w:rFonts w:cs="Times New Roman"/>
                <w:b/>
                <w:bCs/>
                <w:sz w:val="24"/>
                <w:szCs w:val="24"/>
              </w:rPr>
              <w:t>乡镇生活污水处理设施建设：</w:t>
            </w:r>
            <w:r>
              <w:rPr>
                <w:rFonts w:cs="Times New Roman"/>
                <w:sz w:val="24"/>
                <w:szCs w:val="24"/>
              </w:rPr>
              <w:t>新建兴参镇污水处理厂，处理规模0.3m</w:t>
            </w:r>
            <w:r>
              <w:rPr>
                <w:rFonts w:cs="Times New Roman"/>
                <w:sz w:val="24"/>
                <w:szCs w:val="24"/>
                <w:vertAlign w:val="superscript"/>
              </w:rPr>
              <w:t>3</w:t>
            </w:r>
            <w:r>
              <w:rPr>
                <w:rFonts w:cs="Times New Roman"/>
                <w:sz w:val="24"/>
                <w:szCs w:val="24"/>
              </w:rPr>
              <w:t>/d，采用AAO（VFL）工艺，占地面积0.6hm</w:t>
            </w:r>
            <w:r>
              <w:rPr>
                <w:rFonts w:cs="Times New Roman"/>
                <w:sz w:val="24"/>
                <w:szCs w:val="24"/>
                <w:vertAlign w:val="superscript"/>
              </w:rPr>
              <w:t>2</w:t>
            </w:r>
            <w:r>
              <w:rPr>
                <w:rFonts w:cs="Times New Roman"/>
                <w:sz w:val="24"/>
                <w:szCs w:val="24"/>
              </w:rPr>
              <w:t>。新建新屯子污水处理厂，处理规模为0.06万m</w:t>
            </w:r>
            <w:r>
              <w:rPr>
                <w:rFonts w:cs="Times New Roman"/>
                <w:sz w:val="24"/>
                <w:szCs w:val="24"/>
                <w:vertAlign w:val="superscript"/>
              </w:rPr>
              <w:t>3</w:t>
            </w:r>
            <w:r>
              <w:rPr>
                <w:rFonts w:cs="Times New Roman"/>
                <w:sz w:val="24"/>
                <w:szCs w:val="24"/>
              </w:rPr>
              <w:t>/d，采用AAO（VFL）工艺，占地面积0.2hm</w:t>
            </w:r>
            <w:r>
              <w:rPr>
                <w:rFonts w:cs="Times New Roman"/>
                <w:sz w:val="24"/>
                <w:szCs w:val="24"/>
                <w:vertAlign w:val="superscript"/>
              </w:rPr>
              <w:t>2</w:t>
            </w:r>
            <w:r>
              <w:rPr>
                <w:rFonts w:cs="Times New Roman"/>
                <w:sz w:val="24"/>
                <w:szCs w:val="24"/>
              </w:rPr>
              <w:t>。</w:t>
            </w:r>
          </w:p>
          <w:p>
            <w:pPr>
              <w:overflowPunct w:val="0"/>
              <w:spacing w:before="0" w:after="0" w:line="360" w:lineRule="auto"/>
              <w:ind w:firstLine="482"/>
              <w:rPr>
                <w:rFonts w:cs="Times New Roman"/>
                <w:sz w:val="24"/>
                <w:szCs w:val="24"/>
              </w:rPr>
            </w:pPr>
            <w:r>
              <w:rPr>
                <w:rFonts w:cs="Times New Roman"/>
                <w:b/>
                <w:bCs/>
                <w:sz w:val="24"/>
                <w:szCs w:val="24"/>
              </w:rPr>
              <w:t>市政管网改造：</w:t>
            </w:r>
            <w:r>
              <w:rPr>
                <w:rFonts w:cs="Times New Roman"/>
                <w:sz w:val="24"/>
                <w:szCs w:val="24"/>
              </w:rPr>
              <w:t>兴参镇规划建设污水管线8.618km。新屯子镇规划建设污水管线11.195km。</w:t>
            </w:r>
          </w:p>
          <w:p>
            <w:pPr>
              <w:overflowPunct w:val="0"/>
              <w:spacing w:before="0" w:after="0" w:line="360" w:lineRule="auto"/>
              <w:ind w:firstLine="482"/>
              <w:rPr>
                <w:rFonts w:cs="Times New Roman"/>
                <w:sz w:val="24"/>
                <w:szCs w:val="24"/>
              </w:rPr>
            </w:pPr>
            <w:r>
              <w:rPr>
                <w:rFonts w:cs="Times New Roman"/>
                <w:b/>
                <w:bCs/>
                <w:sz w:val="24"/>
                <w:szCs w:val="24"/>
              </w:rPr>
              <w:t>禁渔执法制度建设：</w:t>
            </w:r>
            <w:r>
              <w:rPr>
                <w:rFonts w:cs="Times New Roman"/>
                <w:sz w:val="24"/>
                <w:szCs w:val="24"/>
              </w:rPr>
              <w:t>加强捕鱼监管，建立完善禁渔制度，科学划定禁渔区域及禁渔期，加大执法巡查力度，加快松花江水生生物</w:t>
            </w:r>
            <w:r>
              <w:rPr>
                <w:rFonts w:eastAsia="仿宋" w:cs="Times New Roman"/>
                <w:sz w:val="24"/>
                <w:szCs w:val="24"/>
              </w:rPr>
              <w:t>蝲</w:t>
            </w:r>
            <w:r>
              <w:rPr>
                <w:rFonts w:cs="Times New Roman"/>
                <w:sz w:val="24"/>
                <w:szCs w:val="24"/>
              </w:rPr>
              <w:t>蛄种群恢复。</w:t>
            </w:r>
          </w:p>
          <w:p>
            <w:pPr>
              <w:overflowPunct w:val="0"/>
              <w:spacing w:before="0" w:after="0" w:line="360" w:lineRule="auto"/>
              <w:ind w:firstLine="482"/>
              <w:rPr>
                <w:rFonts w:cs="Times New Roman"/>
                <w:sz w:val="24"/>
                <w:szCs w:val="24"/>
              </w:rPr>
            </w:pPr>
            <w:r>
              <w:rPr>
                <w:rFonts w:cs="Times New Roman"/>
                <w:b/>
                <w:bCs/>
                <w:sz w:val="24"/>
                <w:szCs w:val="24"/>
              </w:rPr>
              <w:t>农业农村污染防治：</w:t>
            </w:r>
            <w:r>
              <w:rPr>
                <w:rFonts w:cs="Times New Roman"/>
                <w:sz w:val="24"/>
                <w:szCs w:val="24"/>
              </w:rPr>
              <w:t>推进农村生活垃圾分类和资源化利用，实施农药化肥双减半，减少农药化肥施用量，降低农药面源污染风险。</w:t>
            </w:r>
          </w:p>
        </w:tc>
      </w:tr>
    </w:tbl>
    <w:p>
      <w:pPr>
        <w:ind w:firstLine="560"/>
        <w:rPr>
          <w:rFonts w:cs="Times New Roman"/>
        </w:rPr>
      </w:pPr>
    </w:p>
    <w:p>
      <w:pPr>
        <w:pStyle w:val="3"/>
      </w:pPr>
      <w:bookmarkStart w:id="46" w:name="_Toc86417743"/>
      <w:r>
        <w:t>五、实施珠子河生态护岸建设工程</w:t>
      </w:r>
      <w:bookmarkEnd w:id="46"/>
    </w:p>
    <w:p>
      <w:pPr>
        <w:ind w:firstLine="560"/>
        <w:rPr>
          <w:rFonts w:cs="Times New Roman"/>
        </w:rPr>
      </w:pPr>
      <w:r>
        <w:rPr>
          <w:rFonts w:cs="Times New Roman"/>
        </w:rPr>
        <w:t>加强上游水土流失控制，提高乡镇生活污水处理能力，强化农业农村污染防治力度，降低农业面源污染风险</w:t>
      </w:r>
      <w:r>
        <w:rPr>
          <w:rFonts w:hint="eastAsia" w:cs="Times New Roman"/>
        </w:rPr>
        <w:t>，鼓励建设尾水湿地和进行生态缓冲带修复。</w:t>
      </w:r>
    </w:p>
    <w:p>
      <w:pPr>
        <w:spacing w:line="240" w:lineRule="auto"/>
        <w:ind w:firstLine="0" w:firstLineChars="0"/>
        <w:jc w:val="center"/>
        <w:rPr>
          <w:rFonts w:cs="Times New Roman"/>
        </w:rPr>
      </w:pPr>
      <w:r>
        <w:drawing>
          <wp:inline distT="0" distB="0" distL="0" distR="0">
            <wp:extent cx="5111750" cy="361061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12000" cy="3610800"/>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bookmarkStart w:id="47" w:name="_Hlk86760403"/>
      <w:r>
        <w:rPr>
          <w:rFonts w:hint="eastAsia" w:eastAsia="仿宋" w:cs="Times New Roman"/>
          <w:b/>
          <w:sz w:val="24"/>
          <w:szCs w:val="24"/>
        </w:rPr>
        <w:t>图</w:t>
      </w:r>
      <w:r>
        <w:rPr>
          <w:rFonts w:eastAsia="仿宋" w:cs="Times New Roman"/>
          <w:b/>
          <w:sz w:val="24"/>
          <w:szCs w:val="24"/>
        </w:rPr>
        <w:t xml:space="preserve">4-7  </w:t>
      </w:r>
      <w:r>
        <w:rPr>
          <w:rFonts w:hint="eastAsia" w:eastAsia="仿宋" w:cs="Times New Roman"/>
          <w:b/>
          <w:sz w:val="24"/>
          <w:szCs w:val="24"/>
        </w:rPr>
        <w:t>海岛电站坝下重点汇水范围示意图</w:t>
      </w:r>
    </w:p>
    <w:bookmarkEnd w:id="47"/>
    <w:p>
      <w:pPr>
        <w:spacing w:line="240" w:lineRule="auto"/>
        <w:ind w:firstLine="0" w:firstLineChars="0"/>
        <w:jc w:val="center"/>
        <w:rPr>
          <w:rFonts w:cs="Times New Roman"/>
        </w:rPr>
      </w:pP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6 珠子河生态护岸建设工程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bCs/>
                <w:sz w:val="24"/>
                <w:szCs w:val="24"/>
              </w:rPr>
            </w:pPr>
            <w:r>
              <w:rPr>
                <w:rFonts w:cs="Times New Roman"/>
                <w:b/>
                <w:sz w:val="24"/>
                <w:szCs w:val="24"/>
              </w:rPr>
              <w:t>生态护岸工程：</w:t>
            </w:r>
            <w:r>
              <w:rPr>
                <w:rFonts w:cs="Times New Roman"/>
                <w:bCs/>
                <w:sz w:val="24"/>
                <w:szCs w:val="24"/>
              </w:rPr>
              <w:t>建设花园口镇、那尔轰镇、景山镇、赤松镇、靖宇镇、三道湖镇、龙泉镇、</w:t>
            </w:r>
            <w:r>
              <w:rPr>
                <w:rFonts w:eastAsia="仿宋" w:cs="Times New Roman"/>
                <w:bCs/>
                <w:sz w:val="24"/>
                <w:szCs w:val="24"/>
              </w:rPr>
              <w:t>濛</w:t>
            </w:r>
            <w:r>
              <w:rPr>
                <w:rFonts w:cs="Times New Roman"/>
                <w:bCs/>
                <w:sz w:val="24"/>
                <w:szCs w:val="24"/>
              </w:rPr>
              <w:t>江乡等8个乡镇生态沟渠治理工程，治理沟渠长度100km。建设双河村、仁和村、新立村、三合村（三道湖镇）等村屯进行生态护岸治理，治理长度6km。实施靖宇县三道</w:t>
            </w:r>
            <w:r>
              <w:rPr>
                <w:rFonts w:eastAsia="微软雅黑" w:cs="Times New Roman"/>
                <w:bCs/>
                <w:sz w:val="24"/>
                <w:szCs w:val="24"/>
              </w:rPr>
              <w:t>濛</w:t>
            </w:r>
            <w:r>
              <w:rPr>
                <w:rFonts w:cs="Times New Roman"/>
                <w:bCs/>
                <w:sz w:val="24"/>
                <w:szCs w:val="24"/>
              </w:rPr>
              <w:t>江河东北抗联教育基地段治理工程，工程护岸总长度为6078m，其中左岸长2829m，右岸长3249m。</w:t>
            </w:r>
            <w:r>
              <w:rPr>
                <w:rFonts w:cs="Times New Roman"/>
                <w:sz w:val="24"/>
                <w:szCs w:val="24"/>
              </w:rPr>
              <w:t>实施靖宇县三道湖镇海龙河蓝莓小镇河道治理工程（三道湖桥至三道湖镇小学），河道左岸护岸597米，右岸护岸638米。实施珠子河靖宇县龙泉镇段综合治理工程，新建护岸总长度4.71km，生态步道总长度为1.82km。实施靖宇县珠子河（双石村段）综合治理工程，珠子河左岸总长3.95km，右岸总长3.852km。实施靖宇县</w:t>
            </w:r>
            <w:r>
              <w:rPr>
                <w:rFonts w:eastAsia="微软雅黑" w:cs="Times New Roman"/>
                <w:sz w:val="24"/>
                <w:szCs w:val="24"/>
              </w:rPr>
              <w:t>濛</w:t>
            </w:r>
            <w:r>
              <w:rPr>
                <w:rFonts w:cs="Times New Roman"/>
                <w:sz w:val="24"/>
                <w:szCs w:val="24"/>
              </w:rPr>
              <w:t>江乡（小营子村、前双山子村、山林村、八宝村、大沙河村）山洪沟治理工程，现浇矩形槽护砌总长1362m，新建雷诺护垫护岸76m，新建浆砌石挡墙护岸77m。实施靖宇县</w:t>
            </w:r>
            <w:r>
              <w:rPr>
                <w:rFonts w:eastAsia="微软雅黑" w:cs="Times New Roman"/>
                <w:sz w:val="24"/>
                <w:szCs w:val="24"/>
              </w:rPr>
              <w:t>濛</w:t>
            </w:r>
            <w:r>
              <w:rPr>
                <w:rFonts w:cs="Times New Roman"/>
                <w:sz w:val="24"/>
                <w:szCs w:val="24"/>
              </w:rPr>
              <w:t>江乡（珠子河村联合屯、复兴村）农田防护堤工程，护岸总长度1685米。实施头道花园河巴里村、白江河村、护林村等村屯生态护岸治理工程，治理长度5km。实施义胜村珠子河岸两旁2.5km生态隔离带建设工程。</w:t>
            </w:r>
          </w:p>
          <w:p>
            <w:pPr>
              <w:overflowPunct w:val="0"/>
              <w:spacing w:before="0" w:after="0" w:line="360" w:lineRule="auto"/>
              <w:ind w:firstLine="482"/>
              <w:rPr>
                <w:rFonts w:cs="Times New Roman"/>
                <w:sz w:val="24"/>
                <w:szCs w:val="24"/>
              </w:rPr>
            </w:pPr>
            <w:r>
              <w:rPr>
                <w:rFonts w:cs="Times New Roman"/>
                <w:b/>
                <w:bCs/>
                <w:sz w:val="24"/>
                <w:szCs w:val="24"/>
              </w:rPr>
              <w:t>河道治理：</w:t>
            </w:r>
            <w:r>
              <w:rPr>
                <w:rFonts w:cs="Times New Roman"/>
                <w:sz w:val="24"/>
                <w:szCs w:val="24"/>
              </w:rPr>
              <w:t>实施靖宇县靖宇镇河南村姜家沟河道治理工程，新建挡墙总长1064m。设排水涵管8处，砼盖板4处，改建1-8m钢筋混凝土板桥一座。</w:t>
            </w:r>
          </w:p>
          <w:p>
            <w:pPr>
              <w:overflowPunct w:val="0"/>
              <w:spacing w:before="0" w:after="0" w:line="360" w:lineRule="auto"/>
              <w:ind w:firstLine="482"/>
              <w:rPr>
                <w:rFonts w:cs="Times New Roman"/>
                <w:sz w:val="24"/>
                <w:szCs w:val="24"/>
              </w:rPr>
            </w:pPr>
            <w:r>
              <w:rPr>
                <w:rFonts w:cs="Times New Roman"/>
                <w:b/>
                <w:bCs/>
                <w:sz w:val="24"/>
                <w:szCs w:val="24"/>
              </w:rPr>
              <w:t>村堤修复：</w:t>
            </w:r>
            <w:r>
              <w:rPr>
                <w:rFonts w:cs="Times New Roman"/>
                <w:sz w:val="24"/>
                <w:szCs w:val="24"/>
              </w:rPr>
              <w:t>开展2020年水毁16个村堤防修复。</w:t>
            </w:r>
          </w:p>
          <w:p>
            <w:pPr>
              <w:overflowPunct w:val="0"/>
              <w:spacing w:before="0" w:after="0" w:line="360" w:lineRule="auto"/>
              <w:ind w:firstLine="482"/>
              <w:rPr>
                <w:rFonts w:cs="Times New Roman"/>
                <w:sz w:val="24"/>
                <w:szCs w:val="24"/>
              </w:rPr>
            </w:pPr>
            <w:r>
              <w:rPr>
                <w:rFonts w:cs="Times New Roman"/>
                <w:b/>
                <w:bCs/>
                <w:sz w:val="24"/>
                <w:szCs w:val="24"/>
              </w:rPr>
              <w:t>减少农村面源污染：</w:t>
            </w:r>
            <w:r>
              <w:rPr>
                <w:rFonts w:cs="Times New Roman"/>
                <w:sz w:val="24"/>
                <w:szCs w:val="24"/>
              </w:rPr>
              <w:t>推进农村生活垃圾分类和资源化利用，实施农药化肥双减半，减少农药化肥施用量，降低农药面源污染风险。</w:t>
            </w:r>
          </w:p>
          <w:p>
            <w:pPr>
              <w:overflowPunct w:val="0"/>
              <w:spacing w:before="0" w:after="0" w:line="360" w:lineRule="auto"/>
              <w:ind w:firstLine="482"/>
              <w:rPr>
                <w:rFonts w:cs="Times New Roman"/>
                <w:sz w:val="24"/>
                <w:szCs w:val="24"/>
              </w:rPr>
            </w:pPr>
            <w:r>
              <w:rPr>
                <w:rFonts w:cs="Times New Roman"/>
                <w:b/>
                <w:bCs/>
                <w:sz w:val="24"/>
                <w:szCs w:val="24"/>
              </w:rPr>
              <w:t>农村供水保障：</w:t>
            </w:r>
            <w:r>
              <w:rPr>
                <w:rFonts w:cs="Times New Roman"/>
                <w:sz w:val="24"/>
                <w:szCs w:val="24"/>
              </w:rPr>
              <w:t>实施靖宇县农村供水保障工程，新建蓄水池3处，新铺设饮水管路25公里，新建泵房机井4眼，水源保护8处，同时建设饮水工程智能化建设。</w:t>
            </w:r>
          </w:p>
        </w:tc>
      </w:tr>
    </w:tbl>
    <w:p>
      <w:pPr>
        <w:ind w:firstLine="560"/>
        <w:rPr>
          <w:rFonts w:cs="Times New Roman"/>
        </w:rPr>
      </w:pPr>
    </w:p>
    <w:p>
      <w:pPr>
        <w:pStyle w:val="3"/>
      </w:pPr>
      <w:bookmarkStart w:id="48" w:name="_Toc86417744"/>
      <w:r>
        <w:t>六、实施浑江水环境综合整治工程</w:t>
      </w:r>
      <w:bookmarkEnd w:id="48"/>
    </w:p>
    <w:p>
      <w:pPr>
        <w:ind w:firstLine="560"/>
        <w:rPr>
          <w:rFonts w:cs="Times New Roman"/>
        </w:rPr>
      </w:pPr>
      <w:r>
        <w:rPr>
          <w:rFonts w:cs="Times New Roman"/>
        </w:rPr>
        <w:t>上游退耕还水、还林，固持水土，开展农业农村污染防治。中游保障饮用水安全，加强尾矿库风险管控。下游降低水耗，提升水污染治理能力。提高城镇生活污水处理能力，开展农村污水综合治理</w:t>
      </w:r>
      <w:r>
        <w:rPr>
          <w:rFonts w:hint="eastAsia" w:cs="Times New Roman"/>
        </w:rPr>
        <w:t>，鼓励建设尾水湿地和进行生态缓冲带修复。</w:t>
      </w:r>
    </w:p>
    <w:p>
      <w:pPr>
        <w:spacing w:line="240" w:lineRule="auto"/>
        <w:ind w:firstLine="0" w:firstLineChars="0"/>
        <w:rPr>
          <w:rFonts w:cs="Times New Roman"/>
        </w:rPr>
      </w:pPr>
    </w:p>
    <w:p>
      <w:pPr>
        <w:spacing w:line="240" w:lineRule="auto"/>
        <w:ind w:firstLine="0" w:firstLineChars="0"/>
        <w:jc w:val="center"/>
        <w:rPr>
          <w:rFonts w:cs="Times New Roman"/>
        </w:rPr>
      </w:pPr>
      <w:r>
        <w:drawing>
          <wp:inline distT="0" distB="0" distL="0" distR="0">
            <wp:extent cx="5067300" cy="35826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85152" cy="3595417"/>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4-8  </w:t>
      </w:r>
      <w:r>
        <w:rPr>
          <w:rFonts w:hint="eastAsia" w:eastAsia="仿宋" w:cs="Times New Roman"/>
          <w:b/>
          <w:sz w:val="24"/>
          <w:szCs w:val="24"/>
        </w:rPr>
        <w:t>江源（浑）/大阳岔重点汇水范围示意图</w:t>
      </w:r>
    </w:p>
    <w:p>
      <w:pPr>
        <w:spacing w:line="240" w:lineRule="auto"/>
        <w:ind w:firstLine="0" w:firstLineChars="0"/>
        <w:jc w:val="center"/>
        <w:rPr>
          <w:rFonts w:cs="Times New Roman"/>
        </w:rPr>
      </w:pPr>
      <w:r>
        <w:drawing>
          <wp:inline distT="0" distB="0" distL="0" distR="0">
            <wp:extent cx="5111750" cy="3304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12000" cy="3304800"/>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4-9  </w:t>
      </w:r>
      <w:r>
        <w:rPr>
          <w:rFonts w:hint="eastAsia" w:eastAsia="仿宋" w:cs="Times New Roman"/>
          <w:b/>
          <w:sz w:val="24"/>
          <w:szCs w:val="24"/>
        </w:rPr>
        <w:t>西村重点汇水范围示意图</w:t>
      </w:r>
    </w:p>
    <w:p>
      <w:pPr>
        <w:spacing w:line="240" w:lineRule="auto"/>
        <w:ind w:firstLine="0" w:firstLineChars="0"/>
        <w:rPr>
          <w:rFonts w:cs="Times New Roman"/>
        </w:rPr>
      </w:pPr>
    </w:p>
    <w:p>
      <w:pPr>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7 浑江水环境综合整治工程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污水处理设施建设：</w:t>
            </w:r>
            <w:r>
              <w:rPr>
                <w:rFonts w:cs="Times New Roman"/>
                <w:sz w:val="24"/>
                <w:szCs w:val="24"/>
              </w:rPr>
              <w:t>实施白山市虹桥污水厂扩建4万吨/日污水处理工程，出水达到《城镇污水处理厂污染物排放标准》（GB18918-2002）一级标准中的A类标准。实施白山市污水处理厂配套管网改扩建工程（一期），新建污水管线13.7875km，新建银河小区一区污水泵站1座，污水监测平台1套。实施白山市浑江区镁工业园区污水处理厂工程，近期设计规模500m</w:t>
            </w:r>
            <w:r>
              <w:rPr>
                <w:rFonts w:cs="Times New Roman"/>
                <w:sz w:val="24"/>
                <w:szCs w:val="24"/>
                <w:vertAlign w:val="superscript"/>
              </w:rPr>
              <w:t>3</w:t>
            </w:r>
            <w:r>
              <w:rPr>
                <w:rFonts w:cs="Times New Roman"/>
                <w:sz w:val="24"/>
                <w:szCs w:val="24"/>
              </w:rPr>
              <w:t>/d。</w:t>
            </w:r>
          </w:p>
          <w:p>
            <w:pPr>
              <w:overflowPunct w:val="0"/>
              <w:spacing w:before="0" w:after="0" w:line="360" w:lineRule="auto"/>
              <w:ind w:firstLine="482"/>
              <w:rPr>
                <w:rFonts w:cs="Times New Roman"/>
                <w:bCs/>
                <w:sz w:val="24"/>
                <w:szCs w:val="24"/>
              </w:rPr>
            </w:pPr>
            <w:r>
              <w:rPr>
                <w:rFonts w:cs="Times New Roman"/>
                <w:b/>
                <w:sz w:val="24"/>
                <w:szCs w:val="24"/>
              </w:rPr>
              <w:t>供水保障工程：</w:t>
            </w:r>
            <w:r>
              <w:rPr>
                <w:rFonts w:cs="Times New Roman"/>
                <w:bCs/>
                <w:sz w:val="24"/>
                <w:szCs w:val="24"/>
              </w:rPr>
              <w:t>实施白山市城区水源（曲家营水库、西北岔水库）供给保障提升工程，包括拦污坝建设、水库清淤等建设内容。</w:t>
            </w:r>
          </w:p>
          <w:p>
            <w:pPr>
              <w:overflowPunct w:val="0"/>
              <w:spacing w:before="0" w:after="0" w:line="360" w:lineRule="auto"/>
              <w:ind w:firstLine="482"/>
              <w:rPr>
                <w:rFonts w:cs="Times New Roman"/>
                <w:bCs/>
                <w:sz w:val="24"/>
                <w:szCs w:val="24"/>
              </w:rPr>
            </w:pPr>
            <w:r>
              <w:rPr>
                <w:rFonts w:cs="Times New Roman"/>
                <w:b/>
                <w:sz w:val="24"/>
                <w:szCs w:val="24"/>
              </w:rPr>
              <w:t>再生水循环利用：</w:t>
            </w:r>
            <w:r>
              <w:rPr>
                <w:rFonts w:cs="Times New Roman"/>
                <w:bCs/>
                <w:sz w:val="24"/>
                <w:szCs w:val="24"/>
              </w:rPr>
              <w:t>开展区域再生水循环利用工程，督促高耗水工业企业加强废水重复利用等节水工程建设。</w:t>
            </w:r>
          </w:p>
          <w:p>
            <w:pPr>
              <w:overflowPunct w:val="0"/>
              <w:spacing w:before="0" w:after="0" w:line="360" w:lineRule="auto"/>
              <w:ind w:firstLine="482"/>
              <w:rPr>
                <w:rFonts w:cs="Times New Roman"/>
                <w:bCs/>
                <w:sz w:val="24"/>
                <w:szCs w:val="24"/>
              </w:rPr>
            </w:pPr>
            <w:r>
              <w:rPr>
                <w:rFonts w:cs="Times New Roman"/>
                <w:b/>
                <w:sz w:val="24"/>
                <w:szCs w:val="24"/>
              </w:rPr>
              <w:t>农村污水综合治理：</w:t>
            </w:r>
            <w:r>
              <w:rPr>
                <w:rFonts w:cs="Times New Roman"/>
                <w:bCs/>
                <w:sz w:val="24"/>
                <w:szCs w:val="24"/>
              </w:rPr>
              <w:t>实施白山市江源区农村污水综合治理示范项目，红石村（大石人镇）示范区污水治理拟设置处理能力35t/d的污水处理站一座，铺设管网11km，育林新村示范区污水治理拟设置处理能力为150t/d的污水处理站一座，铺设管网2.55km。</w:t>
            </w:r>
          </w:p>
          <w:p>
            <w:pPr>
              <w:overflowPunct w:val="0"/>
              <w:spacing w:before="0" w:after="0" w:line="360" w:lineRule="auto"/>
              <w:ind w:firstLine="482"/>
              <w:rPr>
                <w:rFonts w:cs="Times New Roman"/>
                <w:bCs/>
                <w:sz w:val="24"/>
                <w:szCs w:val="24"/>
              </w:rPr>
            </w:pPr>
            <w:r>
              <w:rPr>
                <w:rFonts w:cs="Times New Roman"/>
                <w:b/>
                <w:sz w:val="24"/>
                <w:szCs w:val="24"/>
              </w:rPr>
              <w:t>河湖缓冲带建设：</w:t>
            </w:r>
            <w:r>
              <w:rPr>
                <w:rFonts w:cs="Times New Roman"/>
                <w:bCs/>
                <w:sz w:val="24"/>
                <w:szCs w:val="24"/>
              </w:rPr>
              <w:t>实施红土崖河生态隔离带建设，在红土崖镇红新村、红一村沿红土崖河两岸各建2.5km生态缓冲带（总计5km）。</w:t>
            </w:r>
          </w:p>
          <w:p>
            <w:pPr>
              <w:overflowPunct w:val="0"/>
              <w:spacing w:before="0" w:after="0" w:line="360" w:lineRule="auto"/>
              <w:ind w:firstLine="482"/>
              <w:rPr>
                <w:rFonts w:cs="Times New Roman"/>
                <w:sz w:val="24"/>
                <w:szCs w:val="24"/>
              </w:rPr>
            </w:pPr>
            <w:r>
              <w:rPr>
                <w:rFonts w:cs="Times New Roman"/>
                <w:b/>
                <w:bCs/>
                <w:sz w:val="24"/>
                <w:szCs w:val="24"/>
              </w:rPr>
              <w:t>生态修复工程：</w:t>
            </w:r>
            <w:r>
              <w:rPr>
                <w:rFonts w:cs="Times New Roman"/>
                <w:sz w:val="24"/>
                <w:szCs w:val="24"/>
              </w:rPr>
              <w:t>实施浑江流域生态保护修复治理工程（一期），恢复水保林3000hm</w:t>
            </w:r>
            <w:r>
              <w:rPr>
                <w:rFonts w:cs="Times New Roman"/>
                <w:sz w:val="24"/>
                <w:szCs w:val="24"/>
                <w:vertAlign w:val="superscript"/>
              </w:rPr>
              <w:t>2</w:t>
            </w:r>
            <w:r>
              <w:rPr>
                <w:rFonts w:cs="Times New Roman"/>
                <w:sz w:val="24"/>
                <w:szCs w:val="24"/>
              </w:rPr>
              <w:t>，坡耕地梯田改造1500hm</w:t>
            </w:r>
            <w:r>
              <w:rPr>
                <w:rFonts w:cs="Times New Roman"/>
                <w:sz w:val="24"/>
                <w:szCs w:val="24"/>
                <w:vertAlign w:val="superscript"/>
              </w:rPr>
              <w:t>2</w:t>
            </w:r>
            <w:r>
              <w:rPr>
                <w:rFonts w:cs="Times New Roman"/>
                <w:sz w:val="24"/>
                <w:szCs w:val="24"/>
              </w:rPr>
              <w:t>，围栏45km，修建谷坊300座，修建小河堤防护岸长8km。实施吉林白山珠宝河国家湿地公园湿地保护补助资金项目，恢复退化湿地。实施白山市浑江区浑江生态小流域保护治理工程项目，河道清淤4919m³。</w:t>
            </w:r>
          </w:p>
          <w:p>
            <w:pPr>
              <w:overflowPunct w:val="0"/>
              <w:spacing w:before="0" w:after="0" w:line="360" w:lineRule="auto"/>
              <w:ind w:firstLine="482"/>
              <w:rPr>
                <w:rFonts w:cs="Times New Roman"/>
                <w:sz w:val="24"/>
                <w:szCs w:val="24"/>
              </w:rPr>
            </w:pPr>
            <w:r>
              <w:rPr>
                <w:rFonts w:cs="Times New Roman"/>
                <w:b/>
                <w:bCs/>
                <w:sz w:val="24"/>
                <w:szCs w:val="24"/>
              </w:rPr>
              <w:t>尾水湿地建设：</w:t>
            </w:r>
            <w:r>
              <w:rPr>
                <w:rFonts w:cs="Times New Roman"/>
                <w:sz w:val="24"/>
                <w:szCs w:val="24"/>
              </w:rPr>
              <w:t>在污水处理厂下游新建3处人工湿地，改善污水处理厂出水水质。</w:t>
            </w:r>
          </w:p>
          <w:p>
            <w:pPr>
              <w:overflowPunct w:val="0"/>
              <w:spacing w:before="0" w:after="0" w:line="360" w:lineRule="auto"/>
              <w:ind w:firstLine="482"/>
              <w:rPr>
                <w:rFonts w:cs="Times New Roman"/>
                <w:sz w:val="24"/>
                <w:szCs w:val="24"/>
              </w:rPr>
            </w:pPr>
            <w:r>
              <w:rPr>
                <w:rFonts w:cs="Times New Roman"/>
                <w:b/>
                <w:bCs/>
                <w:sz w:val="24"/>
                <w:szCs w:val="24"/>
              </w:rPr>
              <w:t>减少农村面源污染：</w:t>
            </w:r>
            <w:r>
              <w:rPr>
                <w:rFonts w:cs="Times New Roman"/>
                <w:sz w:val="24"/>
                <w:szCs w:val="24"/>
              </w:rPr>
              <w:t>推进农村生活垃圾分类和资源化利用，实施农药化肥双减半，减少农药化肥施用量，降低农药面源污染风险。</w:t>
            </w:r>
          </w:p>
          <w:p>
            <w:pPr>
              <w:overflowPunct w:val="0"/>
              <w:spacing w:before="0" w:after="0" w:line="360" w:lineRule="auto"/>
              <w:ind w:firstLine="482"/>
              <w:rPr>
                <w:rFonts w:cs="Times New Roman"/>
                <w:sz w:val="24"/>
                <w:szCs w:val="24"/>
              </w:rPr>
            </w:pPr>
            <w:r>
              <w:rPr>
                <w:rFonts w:hint="eastAsia" w:cs="Times New Roman"/>
                <w:b/>
                <w:bCs/>
                <w:sz w:val="24"/>
                <w:szCs w:val="24"/>
              </w:rPr>
              <w:t>尾矿库风险防控：</w:t>
            </w:r>
            <w:r>
              <w:rPr>
                <w:rFonts w:hint="eastAsia" w:cs="Times New Roman"/>
                <w:sz w:val="24"/>
                <w:szCs w:val="24"/>
              </w:rPr>
              <w:t>编制尾矿库突发性生态环境污染事件预案，并定期更新修改尾矿库紧急预案，明确环境应急管理方向。</w:t>
            </w:r>
          </w:p>
        </w:tc>
      </w:tr>
    </w:tbl>
    <w:p>
      <w:pPr>
        <w:ind w:firstLine="560"/>
        <w:rPr>
          <w:rFonts w:cs="Times New Roman"/>
        </w:rPr>
      </w:pPr>
    </w:p>
    <w:p>
      <w:pPr>
        <w:pStyle w:val="3"/>
      </w:pPr>
      <w:bookmarkStart w:id="49" w:name="_Toc86417745"/>
      <w:r>
        <w:t>七、实施YLJ水生物种恢复工程</w:t>
      </w:r>
      <w:bookmarkEnd w:id="49"/>
    </w:p>
    <w:p>
      <w:pPr>
        <w:ind w:firstLine="560"/>
        <w:rPr>
          <w:rFonts w:cs="Times New Roman"/>
        </w:rPr>
      </w:pPr>
      <w:r>
        <w:rPr>
          <w:rFonts w:cs="Times New Roman"/>
        </w:rPr>
        <w:t>开展禁渔、增殖放流等方式恢复水生物多样性，提升城乡污水处理能力，完善雨污分流管网建设，加强饮用水水源风险管控，编制尾矿库突发性生态环境污染事件预案</w:t>
      </w:r>
      <w:r>
        <w:rPr>
          <w:rFonts w:hint="eastAsia" w:cs="Times New Roman"/>
        </w:rPr>
        <w:t>，鼓励建设尾水湿地和进行生态缓冲带修复。</w:t>
      </w:r>
    </w:p>
    <w:p>
      <w:pPr>
        <w:spacing w:line="240" w:lineRule="auto"/>
        <w:ind w:firstLine="0" w:firstLineChars="0"/>
        <w:jc w:val="center"/>
        <w:rPr>
          <w:rFonts w:cs="Times New Roman"/>
        </w:rPr>
      </w:pPr>
      <w:r>
        <w:drawing>
          <wp:inline distT="0" distB="0" distL="0" distR="0">
            <wp:extent cx="2428875" cy="3314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9594" cy="3357029"/>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4-10  </w:t>
      </w:r>
      <w:r>
        <w:rPr>
          <w:rFonts w:hint="eastAsia" w:eastAsia="仿宋" w:cs="Times New Roman"/>
          <w:b/>
          <w:sz w:val="24"/>
          <w:szCs w:val="24"/>
        </w:rPr>
        <w:t>鸠谷重点汇水范围示意图</w:t>
      </w:r>
    </w:p>
    <w:p>
      <w:pPr>
        <w:spacing w:line="240" w:lineRule="auto"/>
        <w:ind w:firstLine="0" w:firstLineChars="0"/>
        <w:rPr>
          <w:rFonts w:cs="Times New Roman"/>
        </w:rPr>
      </w:pPr>
    </w:p>
    <w:p>
      <w:pPr>
        <w:spacing w:line="240" w:lineRule="auto"/>
        <w:ind w:firstLine="0" w:firstLineChars="0"/>
        <w:jc w:val="center"/>
        <w:rPr>
          <w:rFonts w:cs="Times New Roman"/>
        </w:rPr>
      </w:pPr>
      <w:r>
        <w:drawing>
          <wp:inline distT="0" distB="0" distL="0" distR="0">
            <wp:extent cx="4778375" cy="337820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78734" cy="3378767"/>
                    </a:xfrm>
                    <a:prstGeom prst="rect">
                      <a:avLst/>
                    </a:prstGeom>
                    <a:noFill/>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bookmarkStart w:id="50" w:name="_Hlk86761900"/>
      <w:r>
        <w:rPr>
          <w:rFonts w:hint="eastAsia" w:eastAsia="仿宋" w:cs="Times New Roman"/>
          <w:b/>
          <w:sz w:val="24"/>
          <w:szCs w:val="24"/>
        </w:rPr>
        <w:t>图</w:t>
      </w:r>
      <w:r>
        <w:rPr>
          <w:rFonts w:eastAsia="仿宋" w:cs="Times New Roman"/>
          <w:b/>
          <w:sz w:val="24"/>
          <w:szCs w:val="24"/>
        </w:rPr>
        <w:t xml:space="preserve">4-11  </w:t>
      </w:r>
      <w:r>
        <w:rPr>
          <w:rFonts w:hint="eastAsia" w:eastAsia="仿宋" w:cs="Times New Roman"/>
          <w:b/>
          <w:sz w:val="24"/>
          <w:szCs w:val="24"/>
        </w:rPr>
        <w:t>葫芦套重点汇水范围示意图</w:t>
      </w:r>
    </w:p>
    <w:bookmarkEnd w:id="50"/>
    <w:p>
      <w:pPr>
        <w:spacing w:line="240" w:lineRule="auto"/>
        <w:ind w:firstLine="0" w:firstLineChars="0"/>
        <w:jc w:val="center"/>
        <w:rPr>
          <w:rFonts w:cs="Times New Roman"/>
        </w:rPr>
      </w:pPr>
      <w:r>
        <w:drawing>
          <wp:inline distT="0" distB="0" distL="0" distR="0">
            <wp:extent cx="2800350" cy="39547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05318" cy="3962375"/>
                    </a:xfrm>
                    <a:prstGeom prst="rect">
                      <a:avLst/>
                    </a:prstGeom>
                    <a:noFill/>
                    <a:ln>
                      <a:noFill/>
                    </a:ln>
                  </pic:spPr>
                </pic:pic>
              </a:graphicData>
            </a:graphic>
          </wp:inline>
        </w:drawing>
      </w:r>
    </w:p>
    <w:p>
      <w:pPr>
        <w:keepNext/>
        <w:keepLines/>
        <w:overflowPunct w:val="0"/>
        <w:spacing w:before="0" w:after="0"/>
        <w:ind w:firstLine="0" w:firstLineChars="0"/>
        <w:jc w:val="center"/>
        <w:outlineLvl w:val="5"/>
        <w:rPr>
          <w:rFonts w:eastAsia="仿宋" w:cs="Times New Roman"/>
          <w:b/>
          <w:sz w:val="24"/>
          <w:szCs w:val="24"/>
        </w:rPr>
      </w:pPr>
      <w:r>
        <w:rPr>
          <w:rFonts w:hint="eastAsia" w:eastAsia="仿宋" w:cs="Times New Roman"/>
          <w:b/>
          <w:sz w:val="24"/>
          <w:szCs w:val="24"/>
        </w:rPr>
        <w:t>图</w:t>
      </w:r>
      <w:r>
        <w:rPr>
          <w:rFonts w:eastAsia="仿宋" w:cs="Times New Roman"/>
          <w:b/>
          <w:sz w:val="24"/>
          <w:szCs w:val="24"/>
        </w:rPr>
        <w:t xml:space="preserve">4-12  </w:t>
      </w:r>
      <w:r>
        <w:rPr>
          <w:rFonts w:hint="eastAsia" w:eastAsia="仿宋" w:cs="Times New Roman"/>
          <w:b/>
          <w:sz w:val="24"/>
          <w:szCs w:val="24"/>
        </w:rPr>
        <w:t>云峰重点汇水范围示意图</w:t>
      </w:r>
    </w:p>
    <w:p>
      <w:pPr>
        <w:spacing w:line="240" w:lineRule="auto"/>
        <w:ind w:firstLine="0" w:firstLineChars="0"/>
        <w:rPr>
          <w:rFonts w:cs="Times New Roman"/>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spacing w:before="0" w:after="0" w:line="360" w:lineRule="auto"/>
              <w:ind w:firstLine="0" w:firstLineChars="0"/>
              <w:jc w:val="center"/>
              <w:rPr>
                <w:rFonts w:eastAsia="黑体" w:cs="Times New Roman"/>
                <w:sz w:val="24"/>
                <w:szCs w:val="24"/>
              </w:rPr>
            </w:pPr>
            <w:r>
              <w:rPr>
                <w:rFonts w:eastAsia="黑体" w:cs="Times New Roman"/>
                <w:sz w:val="24"/>
                <w:szCs w:val="24"/>
              </w:rPr>
              <w:t>专栏 8 YLJ水生物种恢复工程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overflowPunct w:val="0"/>
              <w:spacing w:before="0" w:after="0" w:line="360" w:lineRule="auto"/>
              <w:ind w:firstLine="482"/>
              <w:rPr>
                <w:rFonts w:cs="Times New Roman"/>
                <w:sz w:val="24"/>
                <w:szCs w:val="24"/>
              </w:rPr>
            </w:pPr>
            <w:r>
              <w:rPr>
                <w:rFonts w:cs="Times New Roman"/>
                <w:b/>
                <w:bCs/>
                <w:sz w:val="24"/>
                <w:szCs w:val="24"/>
              </w:rPr>
              <w:t>生物多样性保护：</w:t>
            </w:r>
            <w:r>
              <w:rPr>
                <w:rFonts w:cs="Times New Roman"/>
                <w:sz w:val="24"/>
                <w:szCs w:val="24"/>
              </w:rPr>
              <w:t>实施冷水鱼原种增殖放流，恢复细鳞鱼、花羔红点鲑、YLJ茴鱼等冷水鱼种群丰度。建立禁渔制度，每年设定三个月的禁渔期，在全市开展全流域禁渔，给水生生物</w:t>
            </w:r>
            <w:r>
              <w:rPr>
                <w:rFonts w:eastAsia="微软雅黑" w:cs="Times New Roman"/>
                <w:sz w:val="24"/>
                <w:szCs w:val="24"/>
              </w:rPr>
              <w:t>蝲</w:t>
            </w:r>
            <w:r>
              <w:rPr>
                <w:rFonts w:cs="Times New Roman"/>
                <w:sz w:val="24"/>
                <w:szCs w:val="24"/>
              </w:rPr>
              <w:t>蛄和冷水鱼留出更多休养生息的空间和时间，并严格监管执法。</w:t>
            </w:r>
          </w:p>
          <w:p>
            <w:pPr>
              <w:overflowPunct w:val="0"/>
              <w:spacing w:before="0" w:after="0" w:line="360" w:lineRule="auto"/>
              <w:ind w:firstLine="482"/>
              <w:rPr>
                <w:rFonts w:cs="Times New Roman"/>
                <w:bCs/>
                <w:sz w:val="24"/>
                <w:szCs w:val="24"/>
              </w:rPr>
            </w:pPr>
            <w:r>
              <w:rPr>
                <w:rFonts w:cs="Times New Roman"/>
                <w:b/>
                <w:sz w:val="24"/>
                <w:szCs w:val="24"/>
              </w:rPr>
              <w:t>管网建设工程：</w:t>
            </w:r>
            <w:r>
              <w:rPr>
                <w:rFonts w:cs="Times New Roman"/>
                <w:bCs/>
                <w:sz w:val="24"/>
                <w:szCs w:val="24"/>
              </w:rPr>
              <w:t>实施马鹿沟镇马鹿沟村2020年一、二、三、四片区给排水管网工程项目。实施临江市森工街道排水管网项目，新建管网总长14.228km。实施吉林省临江市大湖独立工矿区转型临城矿泉水产业园区污水排放项目，建设管线总长14.05公里，石笼敷设3.6公里。</w:t>
            </w:r>
          </w:p>
          <w:p>
            <w:pPr>
              <w:overflowPunct w:val="0"/>
              <w:spacing w:before="0" w:after="0" w:line="360" w:lineRule="auto"/>
              <w:ind w:firstLine="482"/>
              <w:rPr>
                <w:rFonts w:cs="Times New Roman"/>
                <w:bCs/>
                <w:sz w:val="24"/>
                <w:szCs w:val="24"/>
              </w:rPr>
            </w:pPr>
            <w:r>
              <w:rPr>
                <w:rFonts w:cs="Times New Roman"/>
                <w:b/>
                <w:sz w:val="24"/>
                <w:szCs w:val="24"/>
              </w:rPr>
              <w:t>饮用水安全保障工程：</w:t>
            </w:r>
            <w:r>
              <w:rPr>
                <w:rFonts w:cs="Times New Roman"/>
                <w:bCs/>
                <w:sz w:val="24"/>
                <w:szCs w:val="24"/>
              </w:rPr>
              <w:t>开展吉林长白山天然矿泉水临江饮用水水源地防护项目，建设一级保护区隔离防护网6.6km，二级保护区隔离防护网13.5km，水质、环保监控预警设备10套，中控设备2套、防火预警系统10套、无人机巡查设备三套。</w:t>
            </w:r>
          </w:p>
          <w:p>
            <w:pPr>
              <w:overflowPunct w:val="0"/>
              <w:spacing w:before="0" w:after="0" w:line="360" w:lineRule="auto"/>
              <w:ind w:firstLine="482"/>
              <w:rPr>
                <w:rFonts w:cs="Times New Roman"/>
                <w:b/>
                <w:sz w:val="24"/>
                <w:szCs w:val="24"/>
              </w:rPr>
            </w:pPr>
            <w:r>
              <w:rPr>
                <w:rFonts w:cs="Times New Roman"/>
                <w:b/>
                <w:sz w:val="24"/>
                <w:szCs w:val="24"/>
              </w:rPr>
              <w:t>农村环境整治：</w:t>
            </w:r>
            <w:r>
              <w:rPr>
                <w:rFonts w:cs="Times New Roman"/>
                <w:bCs/>
                <w:sz w:val="24"/>
                <w:szCs w:val="24"/>
              </w:rPr>
              <w:t>实施农村户用无害化厕所改造建设项目，四道沟镇6个行政农村建设800户无害化厕所。</w:t>
            </w:r>
          </w:p>
          <w:p>
            <w:pPr>
              <w:overflowPunct w:val="0"/>
              <w:spacing w:before="0" w:after="0" w:line="360" w:lineRule="auto"/>
              <w:ind w:firstLine="482"/>
              <w:rPr>
                <w:rFonts w:cs="Times New Roman"/>
                <w:sz w:val="24"/>
                <w:szCs w:val="24"/>
              </w:rPr>
            </w:pPr>
            <w:r>
              <w:rPr>
                <w:rFonts w:cs="Times New Roman"/>
                <w:b/>
                <w:bCs/>
                <w:sz w:val="24"/>
                <w:szCs w:val="24"/>
              </w:rPr>
              <w:t>风险防范工程：</w:t>
            </w:r>
            <w:r>
              <w:rPr>
                <w:rFonts w:cs="Times New Roman"/>
                <w:sz w:val="24"/>
                <w:szCs w:val="24"/>
              </w:rPr>
              <w:t>加强水环境风险防控，制定针对YLJ对岸铜矿企业突发性生态环境污染事件预案，建立联防联控机制。</w:t>
            </w:r>
          </w:p>
          <w:p>
            <w:pPr>
              <w:overflowPunct w:val="0"/>
              <w:spacing w:before="0" w:after="0" w:line="360" w:lineRule="auto"/>
              <w:ind w:firstLine="482"/>
              <w:rPr>
                <w:rFonts w:cs="Times New Roman"/>
                <w:sz w:val="24"/>
                <w:szCs w:val="24"/>
              </w:rPr>
            </w:pPr>
            <w:r>
              <w:rPr>
                <w:rFonts w:cs="Times New Roman"/>
                <w:b/>
                <w:bCs/>
                <w:sz w:val="24"/>
                <w:szCs w:val="24"/>
              </w:rPr>
              <w:t>生态流量保障工程：</w:t>
            </w:r>
            <w:r>
              <w:rPr>
                <w:rFonts w:cs="Times New Roman"/>
                <w:sz w:val="24"/>
                <w:szCs w:val="24"/>
              </w:rPr>
              <w:t>加强水库、水电站生态流量目标管理及监测，水库、水电站等项目许可审批或延续，优先保证生态用水需求；恢复七道沟河、八道沟河、十三道沟河生态流量。</w:t>
            </w:r>
          </w:p>
          <w:p>
            <w:pPr>
              <w:overflowPunct w:val="0"/>
              <w:spacing w:before="0" w:after="0" w:line="360" w:lineRule="auto"/>
              <w:ind w:firstLine="482"/>
              <w:rPr>
                <w:rFonts w:cs="Times New Roman"/>
                <w:sz w:val="24"/>
                <w:szCs w:val="24"/>
              </w:rPr>
            </w:pPr>
            <w:r>
              <w:rPr>
                <w:rFonts w:hint="eastAsia" w:cs="Times New Roman"/>
                <w:b/>
                <w:bCs/>
                <w:sz w:val="24"/>
                <w:szCs w:val="24"/>
              </w:rPr>
              <w:t>尾矿库风险防控</w:t>
            </w:r>
            <w:r>
              <w:rPr>
                <w:rFonts w:cs="Times New Roman"/>
                <w:sz w:val="24"/>
                <w:szCs w:val="24"/>
              </w:rPr>
              <w:t>：编制尾矿库突发性生态环境污染事件预案，并定期更新修改尾矿库紧急预案，明确环境应急管理方向。</w:t>
            </w:r>
          </w:p>
        </w:tc>
      </w:tr>
    </w:tbl>
    <w:p>
      <w:pPr>
        <w:ind w:firstLine="0" w:firstLineChars="0"/>
        <w:rPr>
          <w:rFonts w:cs="Times New Roman"/>
        </w:rPr>
        <w:sectPr>
          <w:pgSz w:w="11906" w:h="16838"/>
          <w:pgMar w:top="1440" w:right="1800" w:bottom="1440" w:left="1800" w:header="851" w:footer="992" w:gutter="0"/>
          <w:pgNumType w:fmt="numberInDash"/>
          <w:cols w:space="425" w:num="1"/>
          <w:docGrid w:type="lines" w:linePitch="381" w:charSpace="0"/>
        </w:sectPr>
      </w:pPr>
    </w:p>
    <w:p>
      <w:pPr>
        <w:pStyle w:val="2"/>
        <w:rPr>
          <w:color w:val="FF0000"/>
        </w:rPr>
      </w:pPr>
      <w:bookmarkStart w:id="51" w:name="_Toc65855452"/>
      <w:bookmarkStart w:id="52" w:name="_Toc86417746"/>
      <w:bookmarkStart w:id="53" w:name="_Toc65855421"/>
      <w:r>
        <w:t>第五章 保障措施</w:t>
      </w:r>
      <w:bookmarkEnd w:id="51"/>
      <w:bookmarkEnd w:id="52"/>
      <w:bookmarkEnd w:id="53"/>
    </w:p>
    <w:p>
      <w:pPr>
        <w:pStyle w:val="3"/>
      </w:pPr>
      <w:bookmarkStart w:id="54" w:name="_Toc65855422"/>
      <w:bookmarkStart w:id="55" w:name="_Toc65855453"/>
      <w:bookmarkStart w:id="56" w:name="_Toc86417747"/>
      <w:r>
        <w:t>一、组织领导</w:t>
      </w:r>
      <w:bookmarkEnd w:id="54"/>
      <w:bookmarkEnd w:id="55"/>
      <w:bookmarkEnd w:id="56"/>
    </w:p>
    <w:p>
      <w:pPr>
        <w:widowControl/>
        <w:ind w:firstLine="560"/>
        <w:rPr>
          <w:rFonts w:cs="Times New Roman"/>
        </w:rPr>
      </w:pPr>
      <w:r>
        <w:rPr>
          <w:rFonts w:cs="Times New Roman"/>
        </w:rPr>
        <w:t>加强组织领导和任务分工。建立责任制度，将规划建设任务纳入各级领导及部门考核体系，逐级分解目标任务，做到责任、措施和投入“三到位”。</w:t>
      </w:r>
    </w:p>
    <w:p>
      <w:pPr>
        <w:pStyle w:val="3"/>
      </w:pPr>
      <w:bookmarkStart w:id="57" w:name="_Toc65855423"/>
      <w:bookmarkStart w:id="58" w:name="_Toc65855454"/>
      <w:bookmarkStart w:id="59" w:name="_Toc86417748"/>
      <w:r>
        <w:t>二、机制保障</w:t>
      </w:r>
      <w:bookmarkEnd w:id="57"/>
      <w:bookmarkEnd w:id="58"/>
      <w:bookmarkEnd w:id="59"/>
    </w:p>
    <w:p>
      <w:pPr>
        <w:widowControl/>
        <w:ind w:firstLine="560"/>
        <w:rPr>
          <w:rFonts w:cs="Times New Roman"/>
        </w:rPr>
      </w:pPr>
      <w:r>
        <w:rPr>
          <w:rFonts w:cs="Times New Roman"/>
        </w:rPr>
        <w:t>将水生态环境保护责任压实到基层、细化到部门，制度化、机制化、长效化地推动水生态环境保护“党政同责、一岗双责”，构建“地方党政负责、环保机构监管、相关部门联动”的工作格局，确保水规划建设任务在全市予以推动落实。</w:t>
      </w:r>
    </w:p>
    <w:p>
      <w:pPr>
        <w:pStyle w:val="3"/>
      </w:pPr>
      <w:bookmarkStart w:id="60" w:name="_Toc65855424"/>
      <w:bookmarkStart w:id="61" w:name="_Toc65855455"/>
      <w:bookmarkStart w:id="62" w:name="_Toc86417749"/>
      <w:r>
        <w:t>三、资金保障</w:t>
      </w:r>
      <w:bookmarkEnd w:id="60"/>
      <w:bookmarkEnd w:id="61"/>
      <w:bookmarkEnd w:id="62"/>
    </w:p>
    <w:p>
      <w:pPr>
        <w:widowControl/>
        <w:ind w:firstLine="560"/>
        <w:rPr>
          <w:rFonts w:cs="Times New Roman"/>
        </w:rPr>
      </w:pPr>
      <w:r>
        <w:rPr>
          <w:rFonts w:cs="Times New Roman"/>
        </w:rPr>
        <w:t>加大资金投入，统筹水污染防治各项任务，重点组织实施并切实在政策和资金等方面支持污水处理、污泥处理处置、河道整治、饮用水水源保护、畜禽养殖污染防治、水生态修复、应急清污等工程，并对环境监管能力建设及运行费用予以必要保障。建立多元融资渠道，积极探索运用PPP等模式，推动企业成为水生态环境建设的实施主体和投入主体，形成市场化、社会化动作的多方并举、合力推进的投入格局。</w:t>
      </w:r>
    </w:p>
    <w:p>
      <w:pPr>
        <w:pStyle w:val="3"/>
      </w:pPr>
      <w:bookmarkStart w:id="63" w:name="_Toc65855425"/>
      <w:bookmarkStart w:id="64" w:name="_Toc65855456"/>
      <w:bookmarkStart w:id="65" w:name="_Toc86417750"/>
      <w:r>
        <w:t>四、技术支撑</w:t>
      </w:r>
      <w:bookmarkEnd w:id="63"/>
      <w:bookmarkEnd w:id="64"/>
      <w:bookmarkEnd w:id="65"/>
    </w:p>
    <w:p>
      <w:pPr>
        <w:widowControl/>
        <w:ind w:firstLine="560"/>
        <w:rPr>
          <w:rFonts w:cs="Times New Roman"/>
        </w:rPr>
      </w:pPr>
      <w:r>
        <w:rPr>
          <w:rFonts w:cs="Times New Roman"/>
        </w:rPr>
        <w:t>推广先进适用科技成果、积极开发、引进和推广应用各类新技术、新工艺、新产品，对科技含量较高的生态产业项目和有利于改善生态环境的适用技术，予以享受高新技术产业和先进技术的有关优惠政策。培养专业水生态文明人才，强化政府部门工作人员、特别是领导干部的相关业务培训，提高公务人员的专业知识和技能。完善高层次人才队伍建设体系，进一步实施、完善高层次人才队伍政策，建设结构合理、数量充足的人才梯队。</w:t>
      </w:r>
    </w:p>
    <w:p>
      <w:pPr>
        <w:pStyle w:val="3"/>
      </w:pPr>
      <w:bookmarkStart w:id="66" w:name="_Toc65855426"/>
      <w:bookmarkStart w:id="67" w:name="_Toc65855457"/>
      <w:bookmarkStart w:id="68" w:name="_Toc86417751"/>
      <w:r>
        <w:t>五、监督管理</w:t>
      </w:r>
      <w:bookmarkEnd w:id="66"/>
      <w:bookmarkEnd w:id="67"/>
      <w:bookmarkEnd w:id="68"/>
    </w:p>
    <w:p>
      <w:pPr>
        <w:widowControl/>
        <w:ind w:firstLine="560"/>
        <w:rPr>
          <w:rFonts w:cs="Times New Roman"/>
        </w:rPr>
      </w:pPr>
      <w:r>
        <w:rPr>
          <w:rFonts w:cs="Times New Roman"/>
        </w:rPr>
        <w:t>加强督查督办，做好工作任务落实情况的日常督查督办，项目牵头部门每季度对重点项目进行现场跟踪，及时通报进度、分析问题并提出对策，确保规划顺利实施。</w:t>
      </w:r>
    </w:p>
    <w:p>
      <w:pPr>
        <w:pStyle w:val="3"/>
      </w:pPr>
      <w:bookmarkStart w:id="69" w:name="_Toc65855427"/>
      <w:bookmarkStart w:id="70" w:name="_Toc65855458"/>
      <w:bookmarkStart w:id="71" w:name="_Toc86417752"/>
      <w:r>
        <w:t>六、宣传保障</w:t>
      </w:r>
      <w:bookmarkEnd w:id="69"/>
      <w:bookmarkEnd w:id="70"/>
      <w:bookmarkEnd w:id="71"/>
    </w:p>
    <w:p>
      <w:pPr>
        <w:ind w:firstLine="560"/>
        <w:rPr>
          <w:rFonts w:cs="Times New Roman"/>
        </w:rPr>
        <w:sectPr>
          <w:pgSz w:w="11906" w:h="16838"/>
          <w:pgMar w:top="1440" w:right="1800" w:bottom="1440" w:left="1800" w:header="851" w:footer="992" w:gutter="0"/>
          <w:pgNumType w:fmt="numberInDash"/>
          <w:cols w:space="425" w:num="1"/>
          <w:docGrid w:type="lines" w:linePitch="381" w:charSpace="0"/>
        </w:sectPr>
      </w:pPr>
      <w:r>
        <w:rPr>
          <w:rFonts w:cs="Times New Roman"/>
        </w:rPr>
        <w:t>开展水生态文明主题宣传实践活动，以“世界水日”、“环境日”、“地球日”等重大节庆活动为载体，组织开展水生态文明主题宣传。科学运用电视、报纸专栏、微博、微信等互联网媒介，有效扩大宣传半径。以家庭、学校、机关单位为基础单元，开展不同类别的水生态知识竞赛活动。各部门、各单位策划、组织形式多样的活动，动员广大市民共同参与到保护水生态环境、节约用水等行动中，形成全社会关心、支持、参与的社会氛围。</w:t>
      </w:r>
    </w:p>
    <w:p>
      <w:pPr>
        <w:pStyle w:val="2"/>
      </w:pPr>
      <w:bookmarkStart w:id="72" w:name="_Toc86417753"/>
      <w:r>
        <w:t>附表</w:t>
      </w:r>
      <w:bookmarkEnd w:id="72"/>
    </w:p>
    <w:p>
      <w:pPr>
        <w:pStyle w:val="3"/>
      </w:pPr>
      <w:bookmarkStart w:id="73" w:name="_Toc86417754"/>
      <w:r>
        <w:t>附表1 规划范围表</w:t>
      </w:r>
      <w:bookmarkEnd w:id="73"/>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458"/>
        <w:gridCol w:w="10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510" w:type="pct"/>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水系</w:t>
            </w:r>
          </w:p>
        </w:tc>
        <w:tc>
          <w:tcPr>
            <w:tcW w:w="867" w:type="pct"/>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市（州）级地区</w:t>
            </w:r>
          </w:p>
        </w:tc>
        <w:tc>
          <w:tcPr>
            <w:tcW w:w="3622" w:type="pct"/>
            <w:shd w:val="clear" w:color="auto" w:fill="auto"/>
            <w:vAlign w:val="center"/>
          </w:tcPr>
          <w:p>
            <w:pPr>
              <w:widowControl/>
              <w:snapToGrid w:val="0"/>
              <w:spacing w:line="240" w:lineRule="auto"/>
              <w:ind w:firstLine="0" w:firstLineChars="0"/>
              <w:jc w:val="center"/>
              <w:rPr>
                <w:rFonts w:cs="Times New Roman"/>
                <w:b/>
                <w:bCs/>
                <w:color w:val="000000"/>
                <w:kern w:val="0"/>
                <w:sz w:val="21"/>
                <w:szCs w:val="21"/>
              </w:rPr>
            </w:pPr>
            <w:bookmarkStart w:id="74" w:name="RANGE!C1"/>
            <w:r>
              <w:rPr>
                <w:rFonts w:cs="Times New Roman"/>
                <w:b/>
                <w:bCs/>
                <w:color w:val="000000"/>
                <w:kern w:val="0"/>
                <w:sz w:val="21"/>
                <w:szCs w:val="21"/>
              </w:rPr>
              <w:t>县级行政区</w:t>
            </w:r>
            <w:bookmarkEnd w:id="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10" w:type="pct"/>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松花江水系</w:t>
            </w:r>
          </w:p>
        </w:tc>
        <w:tc>
          <w:tcPr>
            <w:tcW w:w="867"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3622"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抚松县、靖宇县、江源区（湾沟镇、松树镇）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10" w:type="pct"/>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YLJ水系</w:t>
            </w:r>
          </w:p>
        </w:tc>
        <w:tc>
          <w:tcPr>
            <w:tcW w:w="867"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3622" w:type="pct"/>
            <w:shd w:val="clear" w:color="auto" w:fill="auto"/>
            <w:vAlign w:val="center"/>
          </w:tcPr>
          <w:p>
            <w:pPr>
              <w:widowControl/>
              <w:snapToGrid w:val="0"/>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白山市区、临江市、长白县</w:t>
            </w:r>
          </w:p>
        </w:tc>
      </w:tr>
    </w:tbl>
    <w:p>
      <w:pPr>
        <w:ind w:firstLine="560"/>
        <w:rPr>
          <w:rFonts w:cs="Times New Roman"/>
          <w:color w:val="FF0000"/>
        </w:rPr>
      </w:pPr>
    </w:p>
    <w:p>
      <w:pPr>
        <w:pStyle w:val="3"/>
      </w:pPr>
      <w:bookmarkStart w:id="75" w:name="_Toc86417755"/>
      <w:r>
        <w:t>附表2 “十四五”国控断面水质目标清单</w:t>
      </w:r>
      <w:bookmarkEnd w:id="75"/>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003"/>
        <w:gridCol w:w="1782"/>
        <w:gridCol w:w="1782"/>
        <w:gridCol w:w="1189"/>
        <w:gridCol w:w="1782"/>
        <w:gridCol w:w="1041"/>
        <w:gridCol w:w="1782"/>
        <w:gridCol w:w="1041"/>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blHeader/>
          <w:jc w:val="center"/>
        </w:trPr>
        <w:tc>
          <w:tcPr>
            <w:tcW w:w="234"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706"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断面名称</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所在流域</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所在水体</w:t>
            </w:r>
          </w:p>
        </w:tc>
        <w:tc>
          <w:tcPr>
            <w:tcW w:w="419"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水体</w:t>
            </w:r>
          </w:p>
          <w:p>
            <w:pPr>
              <w:spacing w:line="240" w:lineRule="auto"/>
              <w:ind w:firstLine="0" w:firstLineChars="0"/>
              <w:jc w:val="center"/>
              <w:rPr>
                <w:rFonts w:cs="Times New Roman"/>
                <w:b/>
                <w:bCs/>
                <w:sz w:val="21"/>
                <w:szCs w:val="21"/>
              </w:rPr>
            </w:pPr>
            <w:r>
              <w:rPr>
                <w:rFonts w:cs="Times New Roman"/>
                <w:b/>
                <w:bCs/>
                <w:sz w:val="21"/>
                <w:szCs w:val="21"/>
              </w:rPr>
              <w:t>类型</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断面属性</w:t>
            </w:r>
          </w:p>
        </w:tc>
        <w:tc>
          <w:tcPr>
            <w:tcW w:w="367"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2020</w:t>
            </w:r>
          </w:p>
        </w:tc>
        <w:tc>
          <w:tcPr>
            <w:tcW w:w="628"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“十四五”</w:t>
            </w:r>
          </w:p>
          <w:p>
            <w:pPr>
              <w:spacing w:line="240" w:lineRule="auto"/>
              <w:ind w:firstLine="0" w:firstLineChars="0"/>
              <w:jc w:val="center"/>
              <w:rPr>
                <w:rFonts w:cs="Times New Roman"/>
                <w:b/>
                <w:bCs/>
                <w:sz w:val="21"/>
                <w:szCs w:val="21"/>
              </w:rPr>
            </w:pPr>
            <w:r>
              <w:rPr>
                <w:rFonts w:cs="Times New Roman"/>
                <w:b/>
                <w:bCs/>
                <w:sz w:val="21"/>
                <w:szCs w:val="21"/>
              </w:rPr>
              <w:t>水质目标</w:t>
            </w:r>
          </w:p>
        </w:tc>
        <w:tc>
          <w:tcPr>
            <w:tcW w:w="367"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达标</w:t>
            </w:r>
          </w:p>
          <w:p>
            <w:pPr>
              <w:spacing w:line="240" w:lineRule="auto"/>
              <w:ind w:firstLine="0" w:firstLineChars="0"/>
              <w:jc w:val="center"/>
              <w:rPr>
                <w:rFonts w:cs="Times New Roman"/>
                <w:b/>
                <w:bCs/>
                <w:sz w:val="21"/>
                <w:szCs w:val="21"/>
              </w:rPr>
            </w:pPr>
            <w:r>
              <w:rPr>
                <w:rFonts w:cs="Times New Roman"/>
                <w:b/>
                <w:bCs/>
                <w:sz w:val="21"/>
                <w:szCs w:val="21"/>
              </w:rPr>
              <w:t>年限</w:t>
            </w:r>
          </w:p>
        </w:tc>
        <w:tc>
          <w:tcPr>
            <w:tcW w:w="391" w:type="pct"/>
            <w:shd w:val="clear" w:color="auto" w:fill="auto"/>
            <w:vAlign w:val="center"/>
          </w:tcPr>
          <w:p>
            <w:pPr>
              <w:spacing w:line="240" w:lineRule="auto"/>
              <w:ind w:firstLine="0" w:firstLineChars="0"/>
              <w:jc w:val="center"/>
              <w:rPr>
                <w:rFonts w:cs="Times New Roman"/>
                <w:b/>
                <w:bCs/>
                <w:sz w:val="21"/>
                <w:szCs w:val="21"/>
              </w:rPr>
            </w:pPr>
            <w:r>
              <w:rPr>
                <w:rFonts w:cs="Times New Roman"/>
                <w:b/>
                <w:bCs/>
                <w:sz w:val="21"/>
                <w:szCs w:val="21"/>
              </w:rPr>
              <w:t>责任</w:t>
            </w:r>
          </w:p>
          <w:p>
            <w:pPr>
              <w:spacing w:line="240" w:lineRule="auto"/>
              <w:ind w:firstLine="0" w:firstLineChars="0"/>
              <w:jc w:val="center"/>
              <w:rPr>
                <w:rFonts w:cs="Times New Roman"/>
                <w:b/>
                <w:bCs/>
                <w:sz w:val="21"/>
                <w:szCs w:val="21"/>
              </w:rPr>
            </w:pPr>
            <w:r>
              <w:rPr>
                <w:rFonts w:cs="Times New Roman"/>
                <w:b/>
                <w:bCs/>
                <w:sz w:val="21"/>
                <w:szCs w:val="21"/>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参乡一号桥</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头道松花江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白龙湾</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头道松花江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北江水库</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松江河</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海岛电站坝下</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珠子河</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Ⅳ</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2024</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南岗</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二道松花江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市界（吉林市、白山市）</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白山大桥</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松花江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市界（白山市-吉林市）</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吉林市</w:t>
            </w:r>
          </w:p>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鸠谷</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鸭绿江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国界（中、朝）</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葫芦套</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鸭绿江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国界（中、朝）</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大阳岔</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浑江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西村</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浑江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市界（白山市-通化市）</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2023</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4" w:type="pct"/>
            <w:shd w:val="clear" w:color="auto" w:fill="auto"/>
            <w:noWrap/>
            <w:vAlign w:val="center"/>
          </w:tcPr>
          <w:p>
            <w:pPr>
              <w:pStyle w:val="79"/>
              <w:numPr>
                <w:ilvl w:val="0"/>
                <w:numId w:val="4"/>
              </w:numPr>
              <w:ind w:left="0" w:firstLine="0" w:firstLineChars="0"/>
              <w:jc w:val="center"/>
              <w:rPr>
                <w:rFonts w:ascii="Times New Roman" w:hAnsi="Times New Roman" w:eastAsia="仿宋_GB2312" w:cs="Times New Roman"/>
                <w:szCs w:val="21"/>
              </w:rPr>
            </w:pPr>
          </w:p>
        </w:tc>
        <w:tc>
          <w:tcPr>
            <w:tcW w:w="706"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江源（浑）</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辽河流域</w:t>
            </w:r>
          </w:p>
        </w:tc>
        <w:tc>
          <w:tcPr>
            <w:tcW w:w="628"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浑江</w:t>
            </w:r>
          </w:p>
        </w:tc>
        <w:tc>
          <w:tcPr>
            <w:tcW w:w="419"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河流</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Ⅱ</w:t>
            </w:r>
          </w:p>
        </w:tc>
        <w:tc>
          <w:tcPr>
            <w:tcW w:w="628"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Ⅲ</w:t>
            </w:r>
          </w:p>
        </w:tc>
        <w:tc>
          <w:tcPr>
            <w:tcW w:w="367" w:type="pct"/>
            <w:shd w:val="clear" w:color="auto" w:fill="auto"/>
            <w:noWrap/>
            <w:vAlign w:val="center"/>
          </w:tcPr>
          <w:p>
            <w:pPr>
              <w:spacing w:line="240" w:lineRule="auto"/>
              <w:ind w:firstLine="0" w:firstLineChars="0"/>
              <w:jc w:val="center"/>
              <w:rPr>
                <w:rFonts w:cs="Times New Roman"/>
                <w:sz w:val="21"/>
                <w:szCs w:val="21"/>
              </w:rPr>
            </w:pPr>
            <w:r>
              <w:rPr>
                <w:rFonts w:cs="Times New Roman"/>
                <w:sz w:val="21"/>
                <w:szCs w:val="21"/>
              </w:rPr>
              <w:t>2021</w:t>
            </w:r>
          </w:p>
        </w:tc>
        <w:tc>
          <w:tcPr>
            <w:tcW w:w="391"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白山市</w:t>
            </w:r>
          </w:p>
        </w:tc>
      </w:tr>
    </w:tbl>
    <w:p>
      <w:pPr>
        <w:ind w:firstLine="560"/>
        <w:rPr>
          <w:rFonts w:cs="Times New Roman"/>
          <w:color w:val="FF0000"/>
        </w:rPr>
      </w:pPr>
    </w:p>
    <w:p>
      <w:pPr>
        <w:pStyle w:val="3"/>
      </w:pPr>
      <w:bookmarkStart w:id="76" w:name="_Toc86417756"/>
      <w:r>
        <w:t>附表3 城市集中式饮用水水源目标清单</w:t>
      </w:r>
      <w:bookmarkEnd w:id="76"/>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74"/>
        <w:gridCol w:w="2180"/>
        <w:gridCol w:w="6007"/>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250"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661"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城市名称</w:t>
            </w:r>
          </w:p>
        </w:tc>
        <w:tc>
          <w:tcPr>
            <w:tcW w:w="769"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县（区、市）名称</w:t>
            </w:r>
          </w:p>
        </w:tc>
        <w:tc>
          <w:tcPr>
            <w:tcW w:w="2119"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水源地名称</w:t>
            </w:r>
          </w:p>
        </w:tc>
        <w:tc>
          <w:tcPr>
            <w:tcW w:w="1201" w:type="pct"/>
            <w:shd w:val="clear" w:color="auto" w:fill="auto"/>
            <w:noWrap/>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水质类别要求（达到或优于）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661"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76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浑江区</w:t>
            </w:r>
          </w:p>
        </w:tc>
        <w:tc>
          <w:tcPr>
            <w:tcW w:w="211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曲家营水库饮用水水源</w:t>
            </w:r>
          </w:p>
        </w:tc>
        <w:tc>
          <w:tcPr>
            <w:tcW w:w="12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w:t>
            </w:r>
          </w:p>
        </w:tc>
        <w:tc>
          <w:tcPr>
            <w:tcW w:w="661"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76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临江市</w:t>
            </w:r>
          </w:p>
        </w:tc>
        <w:tc>
          <w:tcPr>
            <w:tcW w:w="2119" w:type="pct"/>
            <w:shd w:val="clear" w:color="auto" w:fill="auto"/>
            <w:noWrap/>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吉林长白山天然矿泉水临江饮用水水源</w:t>
            </w:r>
          </w:p>
        </w:tc>
        <w:tc>
          <w:tcPr>
            <w:tcW w:w="12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Ⅲ类</w:t>
            </w:r>
          </w:p>
        </w:tc>
      </w:tr>
    </w:tbl>
    <w:p>
      <w:pPr>
        <w:ind w:firstLine="560"/>
        <w:rPr>
          <w:rFonts w:cs="Times New Roman"/>
        </w:rPr>
      </w:pPr>
    </w:p>
    <w:p>
      <w:pPr>
        <w:pStyle w:val="3"/>
      </w:pPr>
      <w:bookmarkStart w:id="77" w:name="_Toc86417757"/>
      <w:r>
        <w:t>附表4 河湖生态缓冲带修复的水体清单</w:t>
      </w:r>
      <w:bookmarkEnd w:id="77"/>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310"/>
        <w:gridCol w:w="1307"/>
        <w:gridCol w:w="1318"/>
        <w:gridCol w:w="1307"/>
        <w:gridCol w:w="1298"/>
        <w:gridCol w:w="1511"/>
        <w:gridCol w:w="1511"/>
        <w:gridCol w:w="1321"/>
        <w:gridCol w:w="1128"/>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30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462"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46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465"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范围</w:t>
            </w:r>
          </w:p>
        </w:tc>
        <w:tc>
          <w:tcPr>
            <w:tcW w:w="46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名称</w:t>
            </w:r>
          </w:p>
        </w:tc>
        <w:tc>
          <w:tcPr>
            <w:tcW w:w="458"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类型</w:t>
            </w:r>
          </w:p>
        </w:tc>
        <w:tc>
          <w:tcPr>
            <w:tcW w:w="533"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经度</w:t>
            </w:r>
          </w:p>
        </w:tc>
        <w:tc>
          <w:tcPr>
            <w:tcW w:w="533"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纬度</w:t>
            </w:r>
          </w:p>
        </w:tc>
        <w:tc>
          <w:tcPr>
            <w:tcW w:w="46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修复长度（公里）</w:t>
            </w:r>
          </w:p>
        </w:tc>
        <w:tc>
          <w:tcPr>
            <w:tcW w:w="398"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宽度（米）</w:t>
            </w:r>
          </w:p>
        </w:tc>
        <w:tc>
          <w:tcPr>
            <w:tcW w:w="462"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完成年度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抚松县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北江水库、白龙湾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3.281</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浑江区</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西村</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红土崖河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白龙湾、白山大桥</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15.604</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w:t>
            </w:r>
          </w:p>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松花江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双河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6</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正身河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8</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白龙湾</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夹皮沟河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白山大桥</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那尔轰河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30</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白山大桥</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赤松河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珠子河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龙泉河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三道</w:t>
            </w:r>
            <w:r>
              <w:rPr>
                <w:rFonts w:eastAsia="仿宋" w:cs="Times New Roman"/>
                <w:color w:val="000000"/>
                <w:kern w:val="0"/>
                <w:sz w:val="21"/>
                <w:szCs w:val="21"/>
              </w:rPr>
              <w:t>濛</w:t>
            </w:r>
            <w:r>
              <w:rPr>
                <w:rFonts w:cs="Times New Roman"/>
                <w:color w:val="000000"/>
                <w:kern w:val="0"/>
                <w:sz w:val="21"/>
                <w:szCs w:val="21"/>
              </w:rPr>
              <w:t>江河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靖宇县</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海岛电站坝下</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板石河</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10</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临江市</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云峰</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1.98</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1" w:type="pct"/>
            <w:shd w:val="clear" w:color="auto" w:fill="auto"/>
            <w:vAlign w:val="center"/>
          </w:tcPr>
          <w:p>
            <w:pPr>
              <w:pStyle w:val="79"/>
              <w:numPr>
                <w:ilvl w:val="0"/>
                <w:numId w:val="5"/>
              </w:numPr>
              <w:ind w:left="0" w:firstLine="0" w:firstLineChars="0"/>
              <w:jc w:val="center"/>
              <w:rPr>
                <w:rFonts w:ascii="Times New Roman" w:hAnsi="Times New Roman" w:cs="Times New Roman"/>
                <w:color w:val="000000"/>
                <w:szCs w:val="21"/>
              </w:rPr>
            </w:pP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临江市</w:t>
            </w:r>
          </w:p>
        </w:tc>
        <w:tc>
          <w:tcPr>
            <w:tcW w:w="4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云峰</w:t>
            </w:r>
          </w:p>
        </w:tc>
        <w:tc>
          <w:tcPr>
            <w:tcW w:w="46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45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53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2.975</w:t>
            </w:r>
          </w:p>
        </w:tc>
        <w:tc>
          <w:tcPr>
            <w:tcW w:w="398"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462"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bl>
    <w:p>
      <w:pPr>
        <w:ind w:firstLine="560"/>
        <w:rPr>
          <w:rFonts w:cs="Times New Roman"/>
          <w:color w:val="FF0000"/>
        </w:rPr>
      </w:pPr>
    </w:p>
    <w:p>
      <w:pPr>
        <w:pStyle w:val="3"/>
      </w:pPr>
      <w:bookmarkStart w:id="78" w:name="_Toc86417758"/>
      <w:r>
        <w:t>附表5 人工湿地建设清单</w:t>
      </w:r>
      <w:bookmarkEnd w:id="78"/>
    </w:p>
    <w:tbl>
      <w:tblPr>
        <w:tblStyle w:val="34"/>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078"/>
        <w:gridCol w:w="1098"/>
        <w:gridCol w:w="1837"/>
        <w:gridCol w:w="2397"/>
        <w:gridCol w:w="1384"/>
        <w:gridCol w:w="1316"/>
        <w:gridCol w:w="1316"/>
        <w:gridCol w:w="119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blHeader/>
        </w:trPr>
        <w:tc>
          <w:tcPr>
            <w:tcW w:w="16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385"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392"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65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汇水范围</w:t>
            </w:r>
          </w:p>
        </w:tc>
        <w:tc>
          <w:tcPr>
            <w:tcW w:w="85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湿地名称</w:t>
            </w:r>
          </w:p>
        </w:tc>
        <w:tc>
          <w:tcPr>
            <w:tcW w:w="494"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建设位置所属类型</w:t>
            </w:r>
          </w:p>
        </w:tc>
        <w:tc>
          <w:tcPr>
            <w:tcW w:w="470"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经度</w:t>
            </w:r>
          </w:p>
        </w:tc>
        <w:tc>
          <w:tcPr>
            <w:tcW w:w="470"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纬度</w:t>
            </w:r>
          </w:p>
        </w:tc>
        <w:tc>
          <w:tcPr>
            <w:tcW w:w="427"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建设面积（亩）</w:t>
            </w:r>
          </w:p>
        </w:tc>
        <w:tc>
          <w:tcPr>
            <w:tcW w:w="683"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预计完成年度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6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38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392"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浑江区</w:t>
            </w:r>
          </w:p>
        </w:tc>
        <w:tc>
          <w:tcPr>
            <w:tcW w:w="656"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西村</w:t>
            </w:r>
          </w:p>
        </w:tc>
        <w:tc>
          <w:tcPr>
            <w:tcW w:w="85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白山市污水处理厂尾水深度净化湿地</w:t>
            </w:r>
          </w:p>
        </w:tc>
        <w:tc>
          <w:tcPr>
            <w:tcW w:w="494"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尾水湿地</w:t>
            </w:r>
          </w:p>
        </w:tc>
        <w:tc>
          <w:tcPr>
            <w:tcW w:w="47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126.35155</w:t>
            </w:r>
          </w:p>
        </w:tc>
        <w:tc>
          <w:tcPr>
            <w:tcW w:w="47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41.88661</w:t>
            </w:r>
          </w:p>
        </w:tc>
        <w:tc>
          <w:tcPr>
            <w:tcW w:w="427"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465</w:t>
            </w:r>
          </w:p>
        </w:tc>
        <w:tc>
          <w:tcPr>
            <w:tcW w:w="6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bl>
    <w:p>
      <w:pPr>
        <w:ind w:firstLine="560"/>
        <w:rPr>
          <w:rFonts w:cs="Times New Roman"/>
          <w:color w:val="FF0000"/>
        </w:rPr>
      </w:pPr>
    </w:p>
    <w:p>
      <w:pPr>
        <w:pStyle w:val="3"/>
      </w:pPr>
      <w:bookmarkStart w:id="79" w:name="_Toc86417759"/>
      <w:r>
        <w:t>附表6 恢复“有水”的河流清单</w:t>
      </w:r>
      <w:bookmarkEnd w:id="79"/>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26"/>
        <w:gridCol w:w="1274"/>
        <w:gridCol w:w="1418"/>
        <w:gridCol w:w="1484"/>
        <w:gridCol w:w="1209"/>
        <w:gridCol w:w="1701"/>
        <w:gridCol w:w="1134"/>
        <w:gridCol w:w="2060"/>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0" w:type="auto"/>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1126"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1274"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1418"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汇水范围</w:t>
            </w:r>
          </w:p>
        </w:tc>
        <w:tc>
          <w:tcPr>
            <w:tcW w:w="1484"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名称</w:t>
            </w:r>
          </w:p>
        </w:tc>
        <w:tc>
          <w:tcPr>
            <w:tcW w:w="1209"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水体类型</w:t>
            </w:r>
          </w:p>
        </w:tc>
        <w:tc>
          <w:tcPr>
            <w:tcW w:w="1701" w:type="dxa"/>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恢复“有水”的河流长度（公里）</w:t>
            </w:r>
          </w:p>
        </w:tc>
        <w:tc>
          <w:tcPr>
            <w:tcW w:w="3194" w:type="dxa"/>
            <w:gridSpan w:val="2"/>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恢复“有水”的时间</w:t>
            </w:r>
          </w:p>
        </w:tc>
        <w:tc>
          <w:tcPr>
            <w:tcW w:w="0" w:type="auto"/>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预计达到</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目标要求的年度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trPr>
        <w:tc>
          <w:tcPr>
            <w:tcW w:w="0" w:type="auto"/>
            <w:vMerge w:val="continue"/>
            <w:vAlign w:val="center"/>
          </w:tcPr>
          <w:p>
            <w:pPr>
              <w:widowControl/>
              <w:spacing w:line="240" w:lineRule="auto"/>
              <w:ind w:firstLine="0" w:firstLineChars="0"/>
              <w:jc w:val="left"/>
              <w:rPr>
                <w:rFonts w:cs="Times New Roman"/>
                <w:b/>
                <w:color w:val="000000"/>
                <w:kern w:val="0"/>
                <w:sz w:val="21"/>
                <w:szCs w:val="21"/>
              </w:rPr>
            </w:pPr>
          </w:p>
        </w:tc>
        <w:tc>
          <w:tcPr>
            <w:tcW w:w="1126"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274" w:type="dxa"/>
            <w:vMerge w:val="continue"/>
            <w:vAlign w:val="center"/>
          </w:tcPr>
          <w:p>
            <w:pPr>
              <w:widowControl/>
              <w:spacing w:line="240" w:lineRule="auto"/>
              <w:ind w:firstLine="0" w:firstLineChars="0"/>
              <w:jc w:val="center"/>
              <w:rPr>
                <w:rFonts w:cs="Times New Roman"/>
                <w:b/>
                <w:color w:val="000000"/>
                <w:kern w:val="0"/>
                <w:sz w:val="21"/>
                <w:szCs w:val="21"/>
              </w:rPr>
            </w:pPr>
          </w:p>
        </w:tc>
        <w:tc>
          <w:tcPr>
            <w:tcW w:w="1418"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484"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209"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701" w:type="dxa"/>
            <w:vMerge w:val="continue"/>
            <w:vAlign w:val="center"/>
          </w:tcPr>
          <w:p>
            <w:pPr>
              <w:widowControl/>
              <w:spacing w:line="240" w:lineRule="auto"/>
              <w:ind w:firstLine="0" w:firstLineChars="0"/>
              <w:jc w:val="left"/>
              <w:rPr>
                <w:rFonts w:cs="Times New Roman"/>
                <w:b/>
                <w:color w:val="000000"/>
                <w:kern w:val="0"/>
                <w:sz w:val="21"/>
                <w:szCs w:val="21"/>
              </w:rPr>
            </w:pPr>
          </w:p>
        </w:tc>
        <w:tc>
          <w:tcPr>
            <w:tcW w:w="1134" w:type="dxa"/>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时长（天）</w:t>
            </w:r>
          </w:p>
        </w:tc>
        <w:tc>
          <w:tcPr>
            <w:tcW w:w="2060" w:type="dxa"/>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“有水”的</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具体月份</w:t>
            </w:r>
          </w:p>
        </w:tc>
        <w:tc>
          <w:tcPr>
            <w:tcW w:w="0" w:type="auto"/>
            <w:vMerge w:val="continue"/>
            <w:vAlign w:val="center"/>
          </w:tcPr>
          <w:p>
            <w:pPr>
              <w:widowControl/>
              <w:spacing w:line="240" w:lineRule="auto"/>
              <w:ind w:firstLine="0" w:firstLineChars="0"/>
              <w:jc w:val="left"/>
              <w:rPr>
                <w:rFonts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1126"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1274"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抚松县</w:t>
            </w:r>
          </w:p>
        </w:tc>
        <w:tc>
          <w:tcPr>
            <w:tcW w:w="1418"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北江水库</w:t>
            </w:r>
          </w:p>
        </w:tc>
        <w:tc>
          <w:tcPr>
            <w:tcW w:w="1484"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头道松花江</w:t>
            </w:r>
          </w:p>
        </w:tc>
        <w:tc>
          <w:tcPr>
            <w:tcW w:w="1209"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1701"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1134"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2060" w:type="dxa"/>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c>
          <w:tcPr>
            <w:tcW w:w="0" w:type="auto"/>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2025年</w:t>
            </w:r>
          </w:p>
        </w:tc>
      </w:tr>
    </w:tbl>
    <w:p>
      <w:pPr>
        <w:ind w:firstLine="560"/>
        <w:rPr>
          <w:rFonts w:cs="Times New Roman"/>
          <w:color w:val="FF0000"/>
        </w:rPr>
      </w:pPr>
    </w:p>
    <w:p>
      <w:pPr>
        <w:pStyle w:val="3"/>
      </w:pPr>
      <w:bookmarkStart w:id="80" w:name="_Toc86417760"/>
      <w:r>
        <w:t>附表7 以重现土著鱼类为目标的水体清单</w:t>
      </w:r>
      <w:bookmarkEnd w:id="80"/>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86"/>
        <w:gridCol w:w="1843"/>
        <w:gridCol w:w="2126"/>
        <w:gridCol w:w="1137"/>
        <w:gridCol w:w="992"/>
        <w:gridCol w:w="1885"/>
        <w:gridCol w:w="2030"/>
        <w:gridCol w:w="1364"/>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255"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序号</w:t>
            </w:r>
          </w:p>
        </w:tc>
        <w:tc>
          <w:tcPr>
            <w:tcW w:w="383"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地市</w:t>
            </w:r>
          </w:p>
        </w:tc>
        <w:tc>
          <w:tcPr>
            <w:tcW w:w="650"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区县</w:t>
            </w:r>
          </w:p>
        </w:tc>
        <w:tc>
          <w:tcPr>
            <w:tcW w:w="750"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汇水范围</w:t>
            </w:r>
          </w:p>
        </w:tc>
        <w:tc>
          <w:tcPr>
            <w:tcW w:w="401"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名称</w:t>
            </w:r>
          </w:p>
        </w:tc>
        <w:tc>
          <w:tcPr>
            <w:tcW w:w="350"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水体</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类型</w:t>
            </w:r>
          </w:p>
        </w:tc>
        <w:tc>
          <w:tcPr>
            <w:tcW w:w="1862" w:type="pct"/>
            <w:gridSpan w:val="3"/>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土著鱼类</w:t>
            </w:r>
          </w:p>
        </w:tc>
        <w:tc>
          <w:tcPr>
            <w:tcW w:w="349" w:type="pct"/>
            <w:vMerge w:val="restar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预计重现年度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255"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383"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650" w:type="pct"/>
            <w:vMerge w:val="continue"/>
            <w:vAlign w:val="center"/>
          </w:tcPr>
          <w:p>
            <w:pPr>
              <w:widowControl/>
              <w:spacing w:line="240" w:lineRule="auto"/>
              <w:ind w:firstLine="0" w:firstLineChars="0"/>
              <w:jc w:val="center"/>
              <w:rPr>
                <w:rFonts w:cs="Times New Roman"/>
                <w:b/>
                <w:color w:val="000000"/>
                <w:kern w:val="0"/>
                <w:sz w:val="21"/>
                <w:szCs w:val="21"/>
              </w:rPr>
            </w:pPr>
          </w:p>
        </w:tc>
        <w:tc>
          <w:tcPr>
            <w:tcW w:w="750"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401"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350" w:type="pct"/>
            <w:vMerge w:val="continue"/>
            <w:vAlign w:val="center"/>
          </w:tcPr>
          <w:p>
            <w:pPr>
              <w:widowControl/>
              <w:spacing w:line="240" w:lineRule="auto"/>
              <w:ind w:firstLine="0" w:firstLineChars="0"/>
              <w:jc w:val="left"/>
              <w:rPr>
                <w:rFonts w:cs="Times New Roman"/>
                <w:b/>
                <w:color w:val="000000"/>
                <w:kern w:val="0"/>
                <w:sz w:val="21"/>
                <w:szCs w:val="21"/>
              </w:rPr>
            </w:pPr>
          </w:p>
        </w:tc>
        <w:tc>
          <w:tcPr>
            <w:tcW w:w="665"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俗称</w:t>
            </w:r>
          </w:p>
        </w:tc>
        <w:tc>
          <w:tcPr>
            <w:tcW w:w="716"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学名</w:t>
            </w:r>
          </w:p>
        </w:tc>
        <w:tc>
          <w:tcPr>
            <w:tcW w:w="481" w:type="pct"/>
            <w:shd w:val="clear" w:color="auto" w:fill="auto"/>
            <w:vAlign w:val="center"/>
          </w:tcPr>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消失的</w:t>
            </w:r>
          </w:p>
          <w:p>
            <w:pPr>
              <w:widowControl/>
              <w:spacing w:line="240" w:lineRule="auto"/>
              <w:ind w:firstLine="0" w:firstLineChars="0"/>
              <w:jc w:val="center"/>
              <w:rPr>
                <w:rFonts w:cs="Times New Roman"/>
                <w:b/>
                <w:color w:val="000000"/>
                <w:kern w:val="0"/>
                <w:sz w:val="21"/>
                <w:szCs w:val="21"/>
              </w:rPr>
            </w:pPr>
            <w:r>
              <w:rPr>
                <w:rFonts w:cs="Times New Roman"/>
                <w:b/>
                <w:color w:val="000000"/>
                <w:kern w:val="0"/>
                <w:sz w:val="21"/>
                <w:szCs w:val="21"/>
              </w:rPr>
              <w:t>历史年份</w:t>
            </w:r>
          </w:p>
        </w:tc>
        <w:tc>
          <w:tcPr>
            <w:tcW w:w="349" w:type="pct"/>
            <w:vMerge w:val="continue"/>
            <w:vAlign w:val="center"/>
          </w:tcPr>
          <w:p>
            <w:pPr>
              <w:widowControl/>
              <w:spacing w:line="240" w:lineRule="auto"/>
              <w:ind w:firstLine="0" w:firstLineChars="0"/>
              <w:jc w:val="left"/>
              <w:rPr>
                <w:rFonts w:cs="Times New Roman"/>
                <w:b/>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5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1</w:t>
            </w:r>
          </w:p>
        </w:tc>
        <w:tc>
          <w:tcPr>
            <w:tcW w:w="3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6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长白县</w:t>
            </w:r>
          </w:p>
        </w:tc>
        <w:tc>
          <w:tcPr>
            <w:tcW w:w="7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鸠谷</w:t>
            </w:r>
          </w:p>
        </w:tc>
        <w:tc>
          <w:tcPr>
            <w:tcW w:w="4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3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6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细鳞鱼</w:t>
            </w:r>
          </w:p>
        </w:tc>
        <w:tc>
          <w:tcPr>
            <w:tcW w:w="71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Brachymystax lenok (Pallas)</w:t>
            </w:r>
          </w:p>
        </w:tc>
        <w:tc>
          <w:tcPr>
            <w:tcW w:w="48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未消失</w:t>
            </w:r>
          </w:p>
        </w:tc>
        <w:tc>
          <w:tcPr>
            <w:tcW w:w="349"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5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w:t>
            </w:r>
          </w:p>
        </w:tc>
        <w:tc>
          <w:tcPr>
            <w:tcW w:w="3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6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长白县</w:t>
            </w:r>
          </w:p>
        </w:tc>
        <w:tc>
          <w:tcPr>
            <w:tcW w:w="7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鸠谷</w:t>
            </w:r>
          </w:p>
        </w:tc>
        <w:tc>
          <w:tcPr>
            <w:tcW w:w="4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3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6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花羔红点鲑</w:t>
            </w:r>
          </w:p>
        </w:tc>
        <w:tc>
          <w:tcPr>
            <w:tcW w:w="71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Salvelinus malma (Walbaum)</w:t>
            </w:r>
          </w:p>
        </w:tc>
        <w:tc>
          <w:tcPr>
            <w:tcW w:w="48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未消失</w:t>
            </w:r>
          </w:p>
        </w:tc>
        <w:tc>
          <w:tcPr>
            <w:tcW w:w="349"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5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3</w:t>
            </w:r>
          </w:p>
        </w:tc>
        <w:tc>
          <w:tcPr>
            <w:tcW w:w="383"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白山市</w:t>
            </w:r>
          </w:p>
        </w:tc>
        <w:tc>
          <w:tcPr>
            <w:tcW w:w="6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长白县</w:t>
            </w:r>
          </w:p>
        </w:tc>
        <w:tc>
          <w:tcPr>
            <w:tcW w:w="7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鸠谷</w:t>
            </w:r>
          </w:p>
        </w:tc>
        <w:tc>
          <w:tcPr>
            <w:tcW w:w="40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w:t>
            </w:r>
          </w:p>
        </w:tc>
        <w:tc>
          <w:tcPr>
            <w:tcW w:w="350"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河流</w:t>
            </w:r>
          </w:p>
        </w:tc>
        <w:tc>
          <w:tcPr>
            <w:tcW w:w="665"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鸭绿江茴鱼</w:t>
            </w:r>
          </w:p>
        </w:tc>
        <w:tc>
          <w:tcPr>
            <w:tcW w:w="716" w:type="pct"/>
            <w:shd w:val="clear" w:color="auto" w:fill="auto"/>
            <w:vAlign w:val="center"/>
          </w:tcPr>
          <w:p>
            <w:pPr>
              <w:widowControl/>
              <w:spacing w:line="240" w:lineRule="auto"/>
              <w:ind w:firstLine="0" w:firstLineChars="0"/>
              <w:rPr>
                <w:rFonts w:cs="Times New Roman"/>
                <w:color w:val="000000"/>
                <w:kern w:val="0"/>
                <w:sz w:val="21"/>
                <w:szCs w:val="21"/>
              </w:rPr>
            </w:pPr>
            <w:r>
              <w:rPr>
                <w:rFonts w:cs="Times New Roman"/>
                <w:color w:val="000000"/>
                <w:kern w:val="0"/>
                <w:sz w:val="21"/>
                <w:szCs w:val="21"/>
              </w:rPr>
              <w:t>Thymallus arcticus Pallas</w:t>
            </w:r>
          </w:p>
        </w:tc>
        <w:tc>
          <w:tcPr>
            <w:tcW w:w="48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未消失</w:t>
            </w:r>
          </w:p>
        </w:tc>
        <w:tc>
          <w:tcPr>
            <w:tcW w:w="349"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w:t>
            </w:r>
          </w:p>
        </w:tc>
      </w:tr>
    </w:tbl>
    <w:p>
      <w:pPr>
        <w:ind w:firstLine="560"/>
        <w:rPr>
          <w:rFonts w:cs="Times New Roman"/>
          <w:color w:val="FF0000"/>
        </w:rPr>
      </w:pPr>
    </w:p>
    <w:p>
      <w:pPr>
        <w:pStyle w:val="3"/>
      </w:pPr>
      <w:bookmarkStart w:id="81" w:name="_Toc86417761"/>
      <w:r>
        <w:t>附表8 工程项目表</w:t>
      </w:r>
      <w:bookmarkEnd w:id="81"/>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7"/>
        <w:gridCol w:w="838"/>
        <w:gridCol w:w="1269"/>
        <w:gridCol w:w="1130"/>
        <w:gridCol w:w="1130"/>
        <w:gridCol w:w="1204"/>
        <w:gridCol w:w="2729"/>
        <w:gridCol w:w="1251"/>
        <w:gridCol w:w="820"/>
        <w:gridCol w:w="698"/>
        <w:gridCol w:w="698"/>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428" w:type="dxa"/>
            <w:vAlign w:val="center"/>
          </w:tcPr>
          <w:p>
            <w:pPr>
              <w:ind w:firstLine="0" w:firstLineChars="0"/>
              <w:jc w:val="center"/>
              <w:rPr>
                <w:rFonts w:cs="Times New Roman"/>
                <w:b/>
                <w:bCs/>
                <w:sz w:val="21"/>
                <w:szCs w:val="21"/>
              </w:rPr>
            </w:pPr>
            <w:r>
              <w:rPr>
                <w:rFonts w:cs="Times New Roman"/>
                <w:b/>
                <w:bCs/>
                <w:sz w:val="21"/>
                <w:szCs w:val="21"/>
              </w:rPr>
              <w:t>序号</w:t>
            </w:r>
          </w:p>
        </w:tc>
        <w:tc>
          <w:tcPr>
            <w:tcW w:w="427" w:type="dxa"/>
            <w:vAlign w:val="center"/>
          </w:tcPr>
          <w:p>
            <w:pPr>
              <w:ind w:firstLine="0" w:firstLineChars="0"/>
              <w:jc w:val="center"/>
              <w:rPr>
                <w:rFonts w:cs="Times New Roman"/>
                <w:b/>
                <w:bCs/>
                <w:sz w:val="21"/>
                <w:szCs w:val="21"/>
              </w:rPr>
            </w:pPr>
            <w:r>
              <w:rPr>
                <w:rFonts w:cs="Times New Roman"/>
                <w:b/>
                <w:bCs/>
                <w:sz w:val="21"/>
                <w:szCs w:val="21"/>
              </w:rPr>
              <w:t>省份</w:t>
            </w:r>
          </w:p>
        </w:tc>
        <w:tc>
          <w:tcPr>
            <w:tcW w:w="427" w:type="dxa"/>
            <w:vAlign w:val="center"/>
          </w:tcPr>
          <w:p>
            <w:pPr>
              <w:ind w:firstLine="0" w:firstLineChars="0"/>
              <w:jc w:val="center"/>
              <w:rPr>
                <w:rFonts w:cs="Times New Roman"/>
                <w:b/>
                <w:bCs/>
                <w:sz w:val="21"/>
                <w:szCs w:val="21"/>
              </w:rPr>
            </w:pPr>
            <w:r>
              <w:rPr>
                <w:rFonts w:cs="Times New Roman"/>
                <w:b/>
                <w:bCs/>
                <w:sz w:val="21"/>
                <w:szCs w:val="21"/>
              </w:rPr>
              <w:t>地市</w:t>
            </w:r>
          </w:p>
        </w:tc>
        <w:tc>
          <w:tcPr>
            <w:tcW w:w="840" w:type="dxa"/>
            <w:vAlign w:val="center"/>
          </w:tcPr>
          <w:p>
            <w:pPr>
              <w:ind w:firstLine="0" w:firstLineChars="0"/>
              <w:jc w:val="center"/>
              <w:rPr>
                <w:rFonts w:cs="Times New Roman"/>
                <w:b/>
                <w:bCs/>
                <w:sz w:val="21"/>
                <w:szCs w:val="21"/>
              </w:rPr>
            </w:pPr>
            <w:r>
              <w:rPr>
                <w:rFonts w:cs="Times New Roman"/>
                <w:b/>
                <w:bCs/>
                <w:sz w:val="21"/>
                <w:szCs w:val="21"/>
              </w:rPr>
              <w:t>区县</w:t>
            </w:r>
          </w:p>
        </w:tc>
        <w:tc>
          <w:tcPr>
            <w:tcW w:w="1275" w:type="dxa"/>
            <w:vAlign w:val="center"/>
          </w:tcPr>
          <w:p>
            <w:pPr>
              <w:ind w:firstLine="0" w:firstLineChars="0"/>
              <w:jc w:val="center"/>
              <w:rPr>
                <w:rFonts w:cs="Times New Roman"/>
                <w:b/>
                <w:bCs/>
                <w:sz w:val="21"/>
                <w:szCs w:val="21"/>
              </w:rPr>
            </w:pPr>
            <w:r>
              <w:rPr>
                <w:rFonts w:cs="Times New Roman"/>
                <w:b/>
                <w:bCs/>
                <w:sz w:val="21"/>
                <w:szCs w:val="21"/>
              </w:rPr>
              <w:t>乡镇</w:t>
            </w:r>
          </w:p>
        </w:tc>
        <w:tc>
          <w:tcPr>
            <w:tcW w:w="1134" w:type="dxa"/>
            <w:vAlign w:val="center"/>
          </w:tcPr>
          <w:p>
            <w:pPr>
              <w:ind w:firstLine="0" w:firstLineChars="0"/>
              <w:jc w:val="center"/>
              <w:rPr>
                <w:rFonts w:cs="Times New Roman"/>
                <w:b/>
                <w:bCs/>
                <w:sz w:val="21"/>
                <w:szCs w:val="21"/>
              </w:rPr>
            </w:pPr>
            <w:r>
              <w:rPr>
                <w:rFonts w:cs="Times New Roman"/>
                <w:b/>
                <w:bCs/>
                <w:sz w:val="21"/>
                <w:szCs w:val="21"/>
              </w:rPr>
              <w:t>水系</w:t>
            </w:r>
          </w:p>
        </w:tc>
        <w:tc>
          <w:tcPr>
            <w:tcW w:w="1134" w:type="dxa"/>
            <w:vAlign w:val="center"/>
          </w:tcPr>
          <w:p>
            <w:pPr>
              <w:ind w:firstLine="0" w:firstLineChars="0"/>
              <w:jc w:val="center"/>
              <w:rPr>
                <w:rFonts w:cs="Times New Roman"/>
                <w:b/>
                <w:bCs/>
                <w:sz w:val="21"/>
                <w:szCs w:val="21"/>
              </w:rPr>
            </w:pPr>
            <w:r>
              <w:rPr>
                <w:rFonts w:cs="Times New Roman"/>
                <w:b/>
                <w:bCs/>
                <w:sz w:val="21"/>
                <w:szCs w:val="21"/>
              </w:rPr>
              <w:t>控制单元</w:t>
            </w:r>
          </w:p>
        </w:tc>
        <w:tc>
          <w:tcPr>
            <w:tcW w:w="1209" w:type="dxa"/>
            <w:vAlign w:val="center"/>
          </w:tcPr>
          <w:p>
            <w:pPr>
              <w:ind w:firstLine="0" w:firstLineChars="0"/>
              <w:jc w:val="center"/>
              <w:rPr>
                <w:rFonts w:cs="Times New Roman"/>
                <w:b/>
                <w:bCs/>
                <w:sz w:val="21"/>
                <w:szCs w:val="21"/>
              </w:rPr>
            </w:pPr>
            <w:r>
              <w:rPr>
                <w:rFonts w:cs="Times New Roman"/>
                <w:b/>
                <w:bCs/>
                <w:sz w:val="21"/>
                <w:szCs w:val="21"/>
              </w:rPr>
              <w:t>项目名称</w:t>
            </w:r>
          </w:p>
        </w:tc>
        <w:tc>
          <w:tcPr>
            <w:tcW w:w="2736" w:type="dxa"/>
            <w:vAlign w:val="center"/>
          </w:tcPr>
          <w:p>
            <w:pPr>
              <w:ind w:firstLine="0" w:firstLineChars="0"/>
              <w:jc w:val="center"/>
              <w:rPr>
                <w:rFonts w:cs="Times New Roman"/>
                <w:b/>
                <w:bCs/>
                <w:sz w:val="21"/>
                <w:szCs w:val="21"/>
              </w:rPr>
            </w:pPr>
            <w:r>
              <w:rPr>
                <w:rFonts w:cs="Times New Roman"/>
                <w:b/>
                <w:bCs/>
                <w:sz w:val="21"/>
                <w:szCs w:val="21"/>
              </w:rPr>
              <w:t>项目概况</w:t>
            </w:r>
          </w:p>
        </w:tc>
        <w:tc>
          <w:tcPr>
            <w:tcW w:w="1253" w:type="dxa"/>
            <w:vAlign w:val="center"/>
          </w:tcPr>
          <w:p>
            <w:pPr>
              <w:ind w:firstLine="0" w:firstLineChars="0"/>
              <w:jc w:val="center"/>
              <w:rPr>
                <w:rFonts w:cs="Times New Roman"/>
                <w:b/>
                <w:bCs/>
                <w:sz w:val="21"/>
                <w:szCs w:val="21"/>
              </w:rPr>
            </w:pPr>
            <w:r>
              <w:rPr>
                <w:rFonts w:cs="Times New Roman"/>
                <w:b/>
                <w:bCs/>
                <w:sz w:val="21"/>
                <w:szCs w:val="21"/>
              </w:rPr>
              <w:t>投资</w:t>
            </w:r>
          </w:p>
          <w:p>
            <w:pPr>
              <w:ind w:firstLine="0" w:firstLineChars="0"/>
              <w:jc w:val="center"/>
              <w:rPr>
                <w:rFonts w:cs="Times New Roman"/>
                <w:b/>
                <w:bCs/>
                <w:sz w:val="21"/>
                <w:szCs w:val="21"/>
              </w:rPr>
            </w:pPr>
            <w:r>
              <w:rPr>
                <w:rFonts w:cs="Times New Roman"/>
                <w:b/>
                <w:bCs/>
                <w:sz w:val="21"/>
                <w:szCs w:val="21"/>
              </w:rPr>
              <w:t>（万元）</w:t>
            </w:r>
          </w:p>
        </w:tc>
        <w:tc>
          <w:tcPr>
            <w:tcW w:w="822" w:type="dxa"/>
            <w:vAlign w:val="center"/>
          </w:tcPr>
          <w:p>
            <w:pPr>
              <w:ind w:firstLine="0" w:firstLineChars="0"/>
              <w:jc w:val="center"/>
              <w:rPr>
                <w:rFonts w:cs="Times New Roman"/>
                <w:b/>
                <w:bCs/>
                <w:sz w:val="21"/>
                <w:szCs w:val="21"/>
              </w:rPr>
            </w:pPr>
            <w:r>
              <w:rPr>
                <w:rFonts w:cs="Times New Roman"/>
                <w:b/>
                <w:bCs/>
                <w:sz w:val="21"/>
                <w:szCs w:val="21"/>
              </w:rPr>
              <w:t>责任单位</w:t>
            </w:r>
          </w:p>
        </w:tc>
        <w:tc>
          <w:tcPr>
            <w:tcW w:w="700" w:type="dxa"/>
            <w:vAlign w:val="center"/>
          </w:tcPr>
          <w:p>
            <w:pPr>
              <w:ind w:firstLine="0" w:firstLineChars="0"/>
              <w:jc w:val="center"/>
              <w:rPr>
                <w:rFonts w:cs="Times New Roman"/>
                <w:b/>
                <w:bCs/>
                <w:sz w:val="21"/>
                <w:szCs w:val="21"/>
              </w:rPr>
            </w:pPr>
            <w:r>
              <w:rPr>
                <w:rFonts w:cs="Times New Roman"/>
                <w:b/>
                <w:bCs/>
                <w:sz w:val="21"/>
                <w:szCs w:val="21"/>
              </w:rPr>
              <w:t>项目大类</w:t>
            </w:r>
          </w:p>
        </w:tc>
        <w:tc>
          <w:tcPr>
            <w:tcW w:w="700" w:type="dxa"/>
            <w:vAlign w:val="center"/>
          </w:tcPr>
          <w:p>
            <w:pPr>
              <w:ind w:firstLine="0" w:firstLineChars="0"/>
              <w:jc w:val="center"/>
              <w:rPr>
                <w:rFonts w:cs="Times New Roman"/>
                <w:b/>
                <w:bCs/>
                <w:sz w:val="21"/>
                <w:szCs w:val="21"/>
              </w:rPr>
            </w:pPr>
            <w:r>
              <w:rPr>
                <w:rFonts w:cs="Times New Roman"/>
                <w:b/>
                <w:bCs/>
                <w:sz w:val="21"/>
                <w:szCs w:val="21"/>
              </w:rPr>
              <w:t>项目细类</w:t>
            </w:r>
          </w:p>
        </w:tc>
        <w:tc>
          <w:tcPr>
            <w:tcW w:w="863" w:type="dxa"/>
            <w:vAlign w:val="center"/>
          </w:tcPr>
          <w:p>
            <w:pPr>
              <w:ind w:firstLine="0" w:firstLineChars="0"/>
              <w:jc w:val="center"/>
              <w:rPr>
                <w:rFonts w:cs="Times New Roman"/>
                <w:b/>
                <w:bCs/>
                <w:sz w:val="21"/>
                <w:szCs w:val="21"/>
              </w:rPr>
            </w:pPr>
            <w:r>
              <w:rPr>
                <w:rFonts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村级河长制落实管理体系</w:t>
            </w:r>
          </w:p>
        </w:tc>
        <w:tc>
          <w:tcPr>
            <w:tcW w:w="2736" w:type="dxa"/>
            <w:vAlign w:val="center"/>
          </w:tcPr>
          <w:p>
            <w:pPr>
              <w:ind w:firstLine="0" w:firstLineChars="0"/>
              <w:jc w:val="center"/>
              <w:rPr>
                <w:rFonts w:cs="Times New Roman"/>
                <w:sz w:val="21"/>
                <w:szCs w:val="21"/>
              </w:rPr>
            </w:pPr>
            <w:r>
              <w:rPr>
                <w:rFonts w:cs="Times New Roman"/>
                <w:sz w:val="21"/>
                <w:szCs w:val="21"/>
              </w:rPr>
              <w:t>加强全市河长制的落实，建立严格的河长管理体系。</w:t>
            </w:r>
          </w:p>
        </w:tc>
        <w:tc>
          <w:tcPr>
            <w:tcW w:w="1253" w:type="dxa"/>
            <w:vAlign w:val="center"/>
          </w:tcPr>
          <w:p>
            <w:pPr>
              <w:ind w:firstLine="0" w:firstLineChars="0"/>
              <w:jc w:val="center"/>
              <w:rPr>
                <w:rFonts w:cs="Times New Roman"/>
                <w:sz w:val="21"/>
                <w:szCs w:val="21"/>
              </w:rPr>
            </w:pPr>
            <w:r>
              <w:rPr>
                <w:rFonts w:cs="Times New Roman"/>
                <w:sz w:val="21"/>
                <w:szCs w:val="21"/>
              </w:rPr>
              <w:t>100</w:t>
            </w:r>
          </w:p>
        </w:tc>
        <w:tc>
          <w:tcPr>
            <w:tcW w:w="822" w:type="dxa"/>
            <w:vAlign w:val="center"/>
          </w:tcPr>
          <w:p>
            <w:pPr>
              <w:ind w:firstLine="0" w:firstLineChars="0"/>
              <w:jc w:val="center"/>
              <w:rPr>
                <w:rFonts w:cs="Times New Roman"/>
                <w:sz w:val="21"/>
                <w:szCs w:val="21"/>
              </w:rPr>
            </w:pPr>
            <w:r>
              <w:rPr>
                <w:rFonts w:cs="Times New Roman"/>
                <w:sz w:val="21"/>
                <w:szCs w:val="21"/>
              </w:rPr>
              <w:t>各区县人民政府</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常态化管理措施</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松江河、头道松花江、二道松花江</w:t>
            </w:r>
          </w:p>
        </w:tc>
        <w:tc>
          <w:tcPr>
            <w:tcW w:w="1134" w:type="dxa"/>
            <w:vAlign w:val="center"/>
          </w:tcPr>
          <w:p>
            <w:pPr>
              <w:ind w:firstLine="0" w:firstLineChars="0"/>
              <w:jc w:val="center"/>
              <w:rPr>
                <w:rFonts w:cs="Times New Roman"/>
                <w:sz w:val="21"/>
                <w:szCs w:val="21"/>
              </w:rPr>
            </w:pPr>
            <w:r>
              <w:rPr>
                <w:rFonts w:cs="Times New Roman"/>
                <w:sz w:val="21"/>
                <w:szCs w:val="21"/>
              </w:rPr>
              <w:t>北江水库、白龙湾、南岗/汉阳屯</w:t>
            </w:r>
          </w:p>
        </w:tc>
        <w:tc>
          <w:tcPr>
            <w:tcW w:w="1209" w:type="dxa"/>
            <w:vAlign w:val="center"/>
          </w:tcPr>
          <w:p>
            <w:pPr>
              <w:ind w:firstLine="0" w:firstLineChars="0"/>
              <w:jc w:val="center"/>
              <w:rPr>
                <w:rFonts w:cs="Times New Roman"/>
                <w:sz w:val="21"/>
                <w:szCs w:val="21"/>
              </w:rPr>
            </w:pPr>
            <w:r>
              <w:rPr>
                <w:rFonts w:cs="Times New Roman"/>
                <w:sz w:val="21"/>
                <w:szCs w:val="21"/>
              </w:rPr>
              <w:t>背景值调查研究项目</w:t>
            </w:r>
          </w:p>
        </w:tc>
        <w:tc>
          <w:tcPr>
            <w:tcW w:w="2736" w:type="dxa"/>
            <w:vAlign w:val="center"/>
          </w:tcPr>
          <w:p>
            <w:pPr>
              <w:ind w:firstLine="0" w:firstLineChars="0"/>
              <w:jc w:val="center"/>
              <w:rPr>
                <w:rFonts w:cs="Times New Roman"/>
                <w:sz w:val="21"/>
                <w:szCs w:val="21"/>
              </w:rPr>
            </w:pPr>
            <w:r>
              <w:rPr>
                <w:rFonts w:cs="Times New Roman"/>
                <w:sz w:val="21"/>
                <w:szCs w:val="21"/>
              </w:rPr>
              <w:t>开展长白山林区水体背景值相关调查研究，制定背景值研究调查方案，检测水体背景值超标倍数，充分掌握林区水体综合情况。</w:t>
            </w:r>
          </w:p>
        </w:tc>
        <w:tc>
          <w:tcPr>
            <w:tcW w:w="1253" w:type="dxa"/>
            <w:vAlign w:val="center"/>
          </w:tcPr>
          <w:p>
            <w:pPr>
              <w:ind w:firstLine="0" w:firstLineChars="0"/>
              <w:jc w:val="center"/>
              <w:rPr>
                <w:rFonts w:cs="Times New Roman"/>
                <w:sz w:val="21"/>
                <w:szCs w:val="21"/>
              </w:rPr>
            </w:pPr>
            <w:r>
              <w:rPr>
                <w:rFonts w:cs="Times New Roman"/>
                <w:sz w:val="21"/>
                <w:szCs w:val="21"/>
              </w:rPr>
              <w:t>70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修复工程可行性研究</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万良镇</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抚松县万良污水处理工程</w:t>
            </w:r>
          </w:p>
        </w:tc>
        <w:tc>
          <w:tcPr>
            <w:tcW w:w="2736" w:type="dxa"/>
            <w:vAlign w:val="center"/>
          </w:tcPr>
          <w:p>
            <w:pPr>
              <w:ind w:firstLine="0" w:firstLineChars="0"/>
              <w:jc w:val="center"/>
              <w:rPr>
                <w:rFonts w:cs="Times New Roman"/>
                <w:sz w:val="21"/>
                <w:szCs w:val="21"/>
              </w:rPr>
            </w:pPr>
            <w:r>
              <w:rPr>
                <w:rFonts w:cs="Times New Roman"/>
                <w:sz w:val="21"/>
                <w:szCs w:val="21"/>
              </w:rPr>
              <w:t>建设万良镇污水处理场，位于镇区南侧，万良河西侧，污水厂占地面积0.6hm2，处理规模为0.2万m3/d，采用AAO（VFL）工艺。建设污水管线10.716km。</w:t>
            </w:r>
          </w:p>
        </w:tc>
        <w:tc>
          <w:tcPr>
            <w:tcW w:w="1253" w:type="dxa"/>
            <w:vAlign w:val="center"/>
          </w:tcPr>
          <w:p>
            <w:pPr>
              <w:ind w:firstLine="0" w:firstLineChars="0"/>
              <w:jc w:val="center"/>
              <w:rPr>
                <w:rFonts w:cs="Times New Roman"/>
                <w:sz w:val="21"/>
                <w:szCs w:val="21"/>
              </w:rPr>
            </w:pPr>
            <w:r>
              <w:rPr>
                <w:rFonts w:cs="Times New Roman"/>
                <w:sz w:val="21"/>
                <w:szCs w:val="21"/>
              </w:rPr>
              <w:t>7946.91</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兴隆乡</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抚松县兴隆乡污水处理工程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新建兴隆乡污水处理厂，位于乱泥沟下游，镇区东南侧。污水厂占地面积0.6hm</w:t>
            </w:r>
            <w:r>
              <w:rPr>
                <w:rFonts w:cs="Times New Roman"/>
                <w:sz w:val="21"/>
                <w:szCs w:val="21"/>
                <w:vertAlign w:val="superscript"/>
              </w:rPr>
              <w:t>2</w:t>
            </w:r>
            <w:r>
              <w:rPr>
                <w:rFonts w:cs="Times New Roman"/>
                <w:sz w:val="21"/>
                <w:szCs w:val="21"/>
              </w:rPr>
              <w:t>，处理规模为0.2万m</w:t>
            </w:r>
            <w:r>
              <w:rPr>
                <w:rFonts w:cs="Times New Roman"/>
                <w:sz w:val="21"/>
                <w:szCs w:val="21"/>
                <w:vertAlign w:val="superscript"/>
              </w:rPr>
              <w:t>3</w:t>
            </w:r>
            <w:r>
              <w:rPr>
                <w:rFonts w:cs="Times New Roman"/>
                <w:sz w:val="21"/>
                <w:szCs w:val="21"/>
              </w:rPr>
              <w:t>/d，采用AAO（VFL）工艺。建设污水管线11.195km。</w:t>
            </w:r>
          </w:p>
        </w:tc>
        <w:tc>
          <w:tcPr>
            <w:tcW w:w="1253" w:type="dxa"/>
            <w:vAlign w:val="center"/>
          </w:tcPr>
          <w:p>
            <w:pPr>
              <w:ind w:firstLine="0" w:firstLineChars="0"/>
              <w:jc w:val="center"/>
              <w:rPr>
                <w:rFonts w:cs="Times New Roman"/>
                <w:sz w:val="21"/>
                <w:szCs w:val="21"/>
              </w:rPr>
            </w:pPr>
            <w:r>
              <w:rPr>
                <w:rFonts w:cs="Times New Roman"/>
                <w:sz w:val="21"/>
                <w:szCs w:val="21"/>
              </w:rPr>
              <w:t>6500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抚松镇</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抚松县抚松镇城北社区雨污分流改造</w:t>
            </w:r>
          </w:p>
        </w:tc>
        <w:tc>
          <w:tcPr>
            <w:tcW w:w="2736" w:type="dxa"/>
            <w:vAlign w:val="center"/>
          </w:tcPr>
          <w:p>
            <w:pPr>
              <w:ind w:firstLine="0" w:firstLineChars="0"/>
              <w:jc w:val="center"/>
              <w:rPr>
                <w:rFonts w:cs="Times New Roman"/>
                <w:sz w:val="21"/>
                <w:szCs w:val="21"/>
              </w:rPr>
            </w:pPr>
            <w:r>
              <w:rPr>
                <w:rFonts w:cs="Times New Roman"/>
                <w:sz w:val="21"/>
                <w:szCs w:val="21"/>
              </w:rPr>
              <w:t>计划在城北社区进行雨污排放系统打造，将雨水和污水分开，各用一条管道输送，进行排放或后续处理。雨水通过雨水管网直接排到河道，污水通过污水管网收集后，送到污水处理厂进行处理，水质达标后再排到河道里，防止河道污染。建设污水管线12.368km。</w:t>
            </w:r>
          </w:p>
        </w:tc>
        <w:tc>
          <w:tcPr>
            <w:tcW w:w="1253" w:type="dxa"/>
            <w:vAlign w:val="center"/>
          </w:tcPr>
          <w:p>
            <w:pPr>
              <w:ind w:firstLine="0" w:firstLineChars="0"/>
              <w:jc w:val="center"/>
              <w:rPr>
                <w:rFonts w:cs="Times New Roman"/>
                <w:sz w:val="21"/>
                <w:szCs w:val="21"/>
              </w:rPr>
            </w:pPr>
            <w:r>
              <w:rPr>
                <w:rFonts w:cs="Times New Roman"/>
                <w:sz w:val="21"/>
                <w:szCs w:val="21"/>
              </w:rPr>
              <w:t>1500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北岗镇</w:t>
            </w:r>
          </w:p>
        </w:tc>
        <w:tc>
          <w:tcPr>
            <w:tcW w:w="1134" w:type="dxa"/>
            <w:vAlign w:val="center"/>
          </w:tcPr>
          <w:p>
            <w:pPr>
              <w:ind w:firstLine="0" w:firstLineChars="0"/>
              <w:jc w:val="center"/>
              <w:rPr>
                <w:rFonts w:cs="Times New Roman"/>
                <w:sz w:val="21"/>
                <w:szCs w:val="21"/>
              </w:rPr>
            </w:pPr>
            <w:r>
              <w:rPr>
                <w:rFonts w:cs="Times New Roman"/>
                <w:sz w:val="21"/>
                <w:szCs w:val="21"/>
              </w:rPr>
              <w:t>松江河</w:t>
            </w:r>
          </w:p>
        </w:tc>
        <w:tc>
          <w:tcPr>
            <w:tcW w:w="1134" w:type="dxa"/>
            <w:vAlign w:val="center"/>
          </w:tcPr>
          <w:p>
            <w:pPr>
              <w:ind w:firstLine="0" w:firstLineChars="0"/>
              <w:jc w:val="center"/>
              <w:rPr>
                <w:rFonts w:cs="Times New Roman"/>
                <w:sz w:val="21"/>
                <w:szCs w:val="21"/>
              </w:rPr>
            </w:pPr>
            <w:r>
              <w:rPr>
                <w:rFonts w:cs="Times New Roman"/>
                <w:sz w:val="21"/>
                <w:szCs w:val="21"/>
              </w:rPr>
              <w:t>北江水库</w:t>
            </w:r>
          </w:p>
        </w:tc>
        <w:tc>
          <w:tcPr>
            <w:tcW w:w="1209" w:type="dxa"/>
            <w:vAlign w:val="center"/>
          </w:tcPr>
          <w:p>
            <w:pPr>
              <w:ind w:firstLine="0" w:firstLineChars="0"/>
              <w:jc w:val="center"/>
              <w:rPr>
                <w:rFonts w:cs="Times New Roman"/>
                <w:sz w:val="21"/>
                <w:szCs w:val="21"/>
              </w:rPr>
            </w:pPr>
            <w:r>
              <w:rPr>
                <w:rFonts w:cs="Times New Roman"/>
                <w:sz w:val="21"/>
                <w:szCs w:val="21"/>
              </w:rPr>
              <w:t>抚松县新建污泥处理工程</w:t>
            </w:r>
          </w:p>
        </w:tc>
        <w:tc>
          <w:tcPr>
            <w:tcW w:w="2736" w:type="dxa"/>
            <w:vAlign w:val="center"/>
          </w:tcPr>
          <w:p>
            <w:pPr>
              <w:ind w:firstLine="0" w:firstLineChars="0"/>
              <w:jc w:val="center"/>
              <w:rPr>
                <w:rFonts w:cs="Times New Roman"/>
                <w:sz w:val="21"/>
                <w:szCs w:val="21"/>
              </w:rPr>
            </w:pPr>
            <w:r>
              <w:rPr>
                <w:rFonts w:cs="Times New Roman"/>
                <w:sz w:val="21"/>
                <w:szCs w:val="21"/>
              </w:rPr>
              <w:t>在抚松县北岗镇北侧建设污泥处理厂一座，发酵车间2座，辅料棚1座，设计规模100t/d（含水率80％），厂址位于拟建垃圾填埋场（鹤大高速以南1km，距离北岗村3km处的一处林地）的西南侧，总占地面积3.6hm2。</w:t>
            </w:r>
          </w:p>
        </w:tc>
        <w:tc>
          <w:tcPr>
            <w:tcW w:w="1253" w:type="dxa"/>
            <w:vAlign w:val="center"/>
          </w:tcPr>
          <w:p>
            <w:pPr>
              <w:ind w:firstLine="0" w:firstLineChars="0"/>
              <w:jc w:val="center"/>
              <w:rPr>
                <w:rFonts w:cs="Times New Roman"/>
                <w:sz w:val="21"/>
                <w:szCs w:val="21"/>
              </w:rPr>
            </w:pPr>
            <w:r>
              <w:rPr>
                <w:rFonts w:cs="Times New Roman"/>
                <w:sz w:val="21"/>
                <w:szCs w:val="21"/>
              </w:rPr>
              <w:t>10599.61</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松江河、头道松花江、二道松花江</w:t>
            </w:r>
          </w:p>
        </w:tc>
        <w:tc>
          <w:tcPr>
            <w:tcW w:w="1134" w:type="dxa"/>
            <w:vAlign w:val="center"/>
          </w:tcPr>
          <w:p>
            <w:pPr>
              <w:ind w:firstLine="0" w:firstLineChars="0"/>
              <w:jc w:val="center"/>
              <w:rPr>
                <w:rFonts w:cs="Times New Roman"/>
                <w:sz w:val="21"/>
                <w:szCs w:val="21"/>
              </w:rPr>
            </w:pPr>
            <w:r>
              <w:rPr>
                <w:rFonts w:cs="Times New Roman"/>
                <w:sz w:val="21"/>
                <w:szCs w:val="21"/>
              </w:rPr>
              <w:t>北江水库、白龙湾、南岗/汉阳屯、参乡一号桥</w:t>
            </w:r>
          </w:p>
        </w:tc>
        <w:tc>
          <w:tcPr>
            <w:tcW w:w="1209" w:type="dxa"/>
            <w:vAlign w:val="center"/>
          </w:tcPr>
          <w:p>
            <w:pPr>
              <w:ind w:firstLine="0" w:firstLineChars="0"/>
              <w:jc w:val="center"/>
              <w:rPr>
                <w:rFonts w:cs="Times New Roman"/>
                <w:sz w:val="21"/>
                <w:szCs w:val="21"/>
              </w:rPr>
            </w:pPr>
            <w:r>
              <w:rPr>
                <w:rFonts w:cs="Times New Roman"/>
                <w:sz w:val="21"/>
                <w:szCs w:val="21"/>
              </w:rPr>
              <w:t>头道松花江（黄家崴子段）河湖缓冲（隔离）带建设</w:t>
            </w:r>
          </w:p>
        </w:tc>
        <w:tc>
          <w:tcPr>
            <w:tcW w:w="2736" w:type="dxa"/>
            <w:vAlign w:val="center"/>
          </w:tcPr>
          <w:p>
            <w:pPr>
              <w:ind w:firstLine="0" w:firstLineChars="0"/>
              <w:jc w:val="center"/>
              <w:rPr>
                <w:rFonts w:cs="Times New Roman"/>
                <w:sz w:val="21"/>
                <w:szCs w:val="21"/>
              </w:rPr>
            </w:pPr>
            <w:r>
              <w:rPr>
                <w:rFonts w:cs="Times New Roman"/>
                <w:sz w:val="21"/>
                <w:szCs w:val="21"/>
              </w:rPr>
              <w:t>在抚松县黄家崴子村建设3.281km河湖缓冲（隔离）带，种植植物缓冲带，降解长白山林区背景值对河流水质的影响。采用生态砾石床水质净化，砾石的拦截过滤作用可实现对河水中悬浮物的拦截，提升河水透明度；另一方面通过砾石表面生长的生物膜实现对水体中的有机物和氨氮的转化降解。</w:t>
            </w:r>
          </w:p>
        </w:tc>
        <w:tc>
          <w:tcPr>
            <w:tcW w:w="1253" w:type="dxa"/>
            <w:vAlign w:val="center"/>
          </w:tcPr>
          <w:p>
            <w:pPr>
              <w:ind w:firstLine="0" w:firstLineChars="0"/>
              <w:jc w:val="center"/>
              <w:rPr>
                <w:rFonts w:cs="Times New Roman"/>
                <w:sz w:val="21"/>
                <w:szCs w:val="21"/>
              </w:rPr>
            </w:pPr>
            <w:r>
              <w:rPr>
                <w:rFonts w:cs="Times New Roman"/>
                <w:sz w:val="21"/>
                <w:szCs w:val="21"/>
              </w:rPr>
              <w:t>1000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河湖生态缓冲带修复</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正身河生态护岸工程</w:t>
            </w:r>
          </w:p>
        </w:tc>
        <w:tc>
          <w:tcPr>
            <w:tcW w:w="2736" w:type="dxa"/>
            <w:vAlign w:val="center"/>
          </w:tcPr>
          <w:p>
            <w:pPr>
              <w:ind w:firstLine="0" w:firstLineChars="0"/>
              <w:jc w:val="center"/>
              <w:rPr>
                <w:rFonts w:cs="Times New Roman"/>
                <w:sz w:val="21"/>
                <w:szCs w:val="21"/>
              </w:rPr>
            </w:pPr>
            <w:r>
              <w:rPr>
                <w:rFonts w:cs="Times New Roman"/>
                <w:sz w:val="21"/>
                <w:szCs w:val="21"/>
              </w:rPr>
              <w:t>正身河花园村、腰甸子村、新华村、二道林场等村屯进行生态护岸治理，治理长度8km。</w:t>
            </w:r>
          </w:p>
        </w:tc>
        <w:tc>
          <w:tcPr>
            <w:tcW w:w="1253" w:type="dxa"/>
            <w:vAlign w:val="center"/>
          </w:tcPr>
          <w:p>
            <w:pPr>
              <w:ind w:firstLine="0" w:firstLineChars="0"/>
              <w:jc w:val="center"/>
              <w:rPr>
                <w:rFonts w:cs="Times New Roman"/>
                <w:sz w:val="21"/>
                <w:szCs w:val="21"/>
              </w:rPr>
            </w:pPr>
            <w:r>
              <w:rPr>
                <w:rFonts w:cs="Times New Roman"/>
                <w:sz w:val="21"/>
                <w:szCs w:val="21"/>
              </w:rPr>
              <w:t>4000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花园口镇、赤松镇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白龙湾、白山大桥</w:t>
            </w:r>
          </w:p>
        </w:tc>
        <w:tc>
          <w:tcPr>
            <w:tcW w:w="1209" w:type="dxa"/>
            <w:vAlign w:val="center"/>
          </w:tcPr>
          <w:p>
            <w:pPr>
              <w:ind w:firstLine="0" w:firstLineChars="0"/>
              <w:jc w:val="center"/>
              <w:rPr>
                <w:rFonts w:cs="Times New Roman"/>
                <w:sz w:val="21"/>
                <w:szCs w:val="21"/>
              </w:rPr>
            </w:pPr>
            <w:r>
              <w:rPr>
                <w:rFonts w:cs="Times New Roman"/>
                <w:sz w:val="21"/>
                <w:szCs w:val="21"/>
              </w:rPr>
              <w:t>头道松花江靖宇县生态护岸工程</w:t>
            </w:r>
          </w:p>
        </w:tc>
        <w:tc>
          <w:tcPr>
            <w:tcW w:w="2736" w:type="dxa"/>
            <w:vAlign w:val="center"/>
          </w:tcPr>
          <w:p>
            <w:pPr>
              <w:ind w:firstLine="0" w:firstLineChars="0"/>
              <w:jc w:val="center"/>
              <w:rPr>
                <w:rFonts w:cs="Times New Roman"/>
                <w:sz w:val="21"/>
                <w:szCs w:val="21"/>
              </w:rPr>
            </w:pPr>
            <w:r>
              <w:rPr>
                <w:rFonts w:cs="Times New Roman"/>
                <w:sz w:val="21"/>
                <w:szCs w:val="21"/>
              </w:rPr>
              <w:t>在松江村、清泉村、仁义村、胜利村、江沿村、前进村等沿江村屯进行生态护岸治理，治理长度15.604km。</w:t>
            </w:r>
          </w:p>
        </w:tc>
        <w:tc>
          <w:tcPr>
            <w:tcW w:w="1253" w:type="dxa"/>
            <w:vAlign w:val="center"/>
          </w:tcPr>
          <w:p>
            <w:pPr>
              <w:ind w:firstLine="0" w:firstLineChars="0"/>
              <w:jc w:val="center"/>
              <w:rPr>
                <w:rFonts w:cs="Times New Roman"/>
                <w:sz w:val="21"/>
                <w:szCs w:val="21"/>
              </w:rPr>
            </w:pPr>
            <w:r>
              <w:rPr>
                <w:rFonts w:cs="Times New Roman"/>
                <w:sz w:val="21"/>
                <w:szCs w:val="21"/>
              </w:rPr>
              <w:t>8700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靖宇县花园口镇榆树川村山洪沟治理工程</w:t>
            </w:r>
          </w:p>
        </w:tc>
        <w:tc>
          <w:tcPr>
            <w:tcW w:w="2736" w:type="dxa"/>
            <w:vAlign w:val="center"/>
          </w:tcPr>
          <w:p>
            <w:pPr>
              <w:ind w:firstLine="0" w:firstLineChars="0"/>
              <w:jc w:val="center"/>
              <w:rPr>
                <w:rFonts w:cs="Times New Roman"/>
                <w:sz w:val="21"/>
                <w:szCs w:val="21"/>
              </w:rPr>
            </w:pPr>
            <w:r>
              <w:rPr>
                <w:rFonts w:cs="Times New Roman"/>
                <w:sz w:val="21"/>
                <w:szCs w:val="21"/>
              </w:rPr>
              <w:t>双河干流段堤防设计总长度为885米；</w:t>
            </w:r>
            <w:r>
              <w:rPr>
                <w:rFonts w:eastAsia="微软雅黑" w:cs="Times New Roman"/>
                <w:sz w:val="21"/>
                <w:szCs w:val="21"/>
              </w:rPr>
              <w:t>牤</w:t>
            </w:r>
            <w:r>
              <w:rPr>
                <w:rFonts w:cs="Times New Roman"/>
                <w:sz w:val="21"/>
                <w:szCs w:val="21"/>
              </w:rPr>
              <w:t>牛岗段堤防设计总长度为404米</w:t>
            </w:r>
          </w:p>
        </w:tc>
        <w:tc>
          <w:tcPr>
            <w:tcW w:w="1253" w:type="dxa"/>
            <w:vAlign w:val="center"/>
          </w:tcPr>
          <w:p>
            <w:pPr>
              <w:ind w:firstLine="0" w:firstLineChars="0"/>
              <w:jc w:val="center"/>
              <w:rPr>
                <w:rFonts w:cs="Times New Roman"/>
                <w:sz w:val="21"/>
                <w:szCs w:val="21"/>
              </w:rPr>
            </w:pPr>
            <w:r>
              <w:rPr>
                <w:rFonts w:cs="Times New Roman"/>
                <w:sz w:val="21"/>
                <w:szCs w:val="21"/>
              </w:rPr>
              <w:t>550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抽水乡</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抚松县抽水乡污水处理工程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新建抽水乡污水收集池，收集池规模为0.05万m</w:t>
            </w:r>
            <w:r>
              <w:rPr>
                <w:rFonts w:cs="Times New Roman"/>
                <w:sz w:val="21"/>
                <w:szCs w:val="21"/>
                <w:vertAlign w:val="superscript"/>
              </w:rPr>
              <w:t>3</w:t>
            </w:r>
            <w:r>
              <w:rPr>
                <w:rFonts w:cs="Times New Roman"/>
                <w:sz w:val="21"/>
                <w:szCs w:val="21"/>
              </w:rPr>
              <w:t>。位于集镇西北侧、永泉河下游处，占地面积约为0.1hm2。建设污水管线约6.446km。</w:t>
            </w:r>
          </w:p>
        </w:tc>
        <w:tc>
          <w:tcPr>
            <w:tcW w:w="1253" w:type="dxa"/>
            <w:vAlign w:val="center"/>
          </w:tcPr>
          <w:p>
            <w:pPr>
              <w:ind w:firstLine="0" w:firstLineChars="0"/>
              <w:jc w:val="center"/>
              <w:rPr>
                <w:rFonts w:cs="Times New Roman"/>
                <w:sz w:val="21"/>
                <w:szCs w:val="21"/>
              </w:rPr>
            </w:pPr>
            <w:r>
              <w:rPr>
                <w:rFonts w:cs="Times New Roman"/>
                <w:sz w:val="21"/>
                <w:szCs w:val="21"/>
              </w:rPr>
              <w:t>3700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漫江镇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抚松县漫江镇污水处理工程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新建漫江镇污水收集池，收集池规模0.05万m</w:t>
            </w:r>
            <w:r>
              <w:rPr>
                <w:rFonts w:cs="Times New Roman"/>
                <w:sz w:val="21"/>
                <w:szCs w:val="21"/>
                <w:vertAlign w:val="superscript"/>
              </w:rPr>
              <w:t>3</w:t>
            </w:r>
            <w:r>
              <w:rPr>
                <w:rFonts w:cs="Times New Roman"/>
                <w:sz w:val="21"/>
                <w:szCs w:val="21"/>
              </w:rPr>
              <w:t>，位于集镇西北侧、头道松花江下游处，占地面积约为0.1hm</w:t>
            </w:r>
            <w:r>
              <w:rPr>
                <w:rFonts w:cs="Times New Roman"/>
                <w:sz w:val="21"/>
                <w:szCs w:val="21"/>
                <w:vertAlign w:val="superscript"/>
              </w:rPr>
              <w:t>2</w:t>
            </w:r>
            <w:r>
              <w:rPr>
                <w:rFonts w:cs="Times New Roman"/>
                <w:sz w:val="21"/>
                <w:szCs w:val="21"/>
              </w:rPr>
              <w:t>。规划建设污水管线7.346km。</w:t>
            </w:r>
          </w:p>
        </w:tc>
        <w:tc>
          <w:tcPr>
            <w:tcW w:w="1253" w:type="dxa"/>
            <w:vAlign w:val="center"/>
          </w:tcPr>
          <w:p>
            <w:pPr>
              <w:ind w:firstLine="0" w:firstLineChars="0"/>
              <w:jc w:val="center"/>
              <w:rPr>
                <w:rFonts w:cs="Times New Roman"/>
                <w:sz w:val="21"/>
                <w:szCs w:val="21"/>
              </w:rPr>
            </w:pPr>
            <w:r>
              <w:rPr>
                <w:rFonts w:cs="Times New Roman"/>
                <w:sz w:val="21"/>
                <w:szCs w:val="21"/>
              </w:rPr>
              <w:t>1200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江源区</w:t>
            </w:r>
          </w:p>
        </w:tc>
        <w:tc>
          <w:tcPr>
            <w:tcW w:w="1275" w:type="dxa"/>
            <w:vAlign w:val="center"/>
          </w:tcPr>
          <w:p>
            <w:pPr>
              <w:ind w:firstLine="0" w:firstLineChars="0"/>
              <w:jc w:val="center"/>
              <w:rPr>
                <w:rFonts w:cs="Times New Roman"/>
                <w:sz w:val="21"/>
                <w:szCs w:val="21"/>
              </w:rPr>
            </w:pPr>
            <w:r>
              <w:rPr>
                <w:rFonts w:cs="Times New Roman"/>
                <w:sz w:val="21"/>
                <w:szCs w:val="21"/>
              </w:rPr>
              <w:t>湾沟镇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白山市江源区湾沟镇污水处理工程一期工程</w:t>
            </w:r>
          </w:p>
        </w:tc>
        <w:tc>
          <w:tcPr>
            <w:tcW w:w="2736" w:type="dxa"/>
            <w:vAlign w:val="center"/>
          </w:tcPr>
          <w:p>
            <w:pPr>
              <w:ind w:firstLine="0" w:firstLineChars="0"/>
              <w:jc w:val="center"/>
              <w:rPr>
                <w:rFonts w:cs="Times New Roman"/>
                <w:sz w:val="21"/>
                <w:szCs w:val="21"/>
              </w:rPr>
            </w:pPr>
            <w:r>
              <w:rPr>
                <w:rFonts w:cs="Times New Roman"/>
                <w:sz w:val="21"/>
                <w:szCs w:val="21"/>
              </w:rPr>
              <w:t>新建污水处理厂1座，污水处理规模近期1.0万m</w:t>
            </w:r>
            <w:r>
              <w:rPr>
                <w:rFonts w:cs="Times New Roman"/>
                <w:sz w:val="21"/>
                <w:szCs w:val="21"/>
                <w:vertAlign w:val="superscript"/>
              </w:rPr>
              <w:t>3</w:t>
            </w:r>
            <w:r>
              <w:rPr>
                <w:rFonts w:cs="Times New Roman"/>
                <w:sz w:val="21"/>
                <w:szCs w:val="21"/>
              </w:rPr>
              <w:t>/d，远期处理规模将达到2.0万m</w:t>
            </w:r>
            <w:r>
              <w:rPr>
                <w:rFonts w:cs="Times New Roman"/>
                <w:sz w:val="21"/>
                <w:szCs w:val="21"/>
                <w:vertAlign w:val="superscript"/>
              </w:rPr>
              <w:t>3</w:t>
            </w:r>
            <w:r>
              <w:rPr>
                <w:rFonts w:cs="Times New Roman"/>
                <w:sz w:val="21"/>
                <w:szCs w:val="21"/>
              </w:rPr>
              <w:t>/d，使出水达到《城镇污水处理厂污染物排放标准》（GB18918-2002）一级标准中的A类标准，新建排水管网总长度9.082km。</w:t>
            </w:r>
          </w:p>
        </w:tc>
        <w:tc>
          <w:tcPr>
            <w:tcW w:w="1253" w:type="dxa"/>
            <w:vAlign w:val="center"/>
          </w:tcPr>
          <w:p>
            <w:pPr>
              <w:ind w:firstLine="0" w:firstLineChars="0"/>
              <w:jc w:val="center"/>
              <w:rPr>
                <w:rFonts w:cs="Times New Roman"/>
                <w:sz w:val="21"/>
                <w:szCs w:val="21"/>
              </w:rPr>
            </w:pPr>
            <w:r>
              <w:rPr>
                <w:rFonts w:cs="Times New Roman"/>
                <w:sz w:val="21"/>
                <w:szCs w:val="21"/>
              </w:rPr>
              <w:t>11436.3</w:t>
            </w:r>
          </w:p>
        </w:tc>
        <w:tc>
          <w:tcPr>
            <w:tcW w:w="822" w:type="dxa"/>
            <w:vAlign w:val="center"/>
          </w:tcPr>
          <w:p>
            <w:pPr>
              <w:ind w:firstLine="0" w:firstLineChars="0"/>
              <w:jc w:val="center"/>
              <w:rPr>
                <w:rFonts w:cs="Times New Roman"/>
                <w:sz w:val="21"/>
                <w:szCs w:val="21"/>
              </w:rPr>
            </w:pPr>
            <w:r>
              <w:rPr>
                <w:rFonts w:cs="Times New Roman"/>
                <w:sz w:val="21"/>
                <w:szCs w:val="21"/>
              </w:rPr>
              <w:t>江源区人民政府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抚松县</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抚松县头道松花江、松江河水系连通工程</w:t>
            </w:r>
          </w:p>
        </w:tc>
        <w:tc>
          <w:tcPr>
            <w:tcW w:w="2736" w:type="dxa"/>
            <w:vAlign w:val="center"/>
          </w:tcPr>
          <w:p>
            <w:pPr>
              <w:ind w:firstLine="0" w:firstLineChars="0"/>
              <w:jc w:val="center"/>
              <w:rPr>
                <w:rFonts w:cs="Times New Roman"/>
                <w:sz w:val="21"/>
                <w:szCs w:val="21"/>
              </w:rPr>
            </w:pPr>
            <w:r>
              <w:rPr>
                <w:rFonts w:cs="Times New Roman"/>
                <w:sz w:val="21"/>
                <w:szCs w:val="21"/>
              </w:rPr>
              <w:t>拟建西江拦河坝一座、引水涵闸一座、人工湖两处、排水涵闸一座、北江拦河坝一座、内河工程（含交通桥）4段。</w:t>
            </w:r>
          </w:p>
        </w:tc>
        <w:tc>
          <w:tcPr>
            <w:tcW w:w="1253" w:type="dxa"/>
            <w:vAlign w:val="center"/>
          </w:tcPr>
          <w:p>
            <w:pPr>
              <w:ind w:firstLine="0" w:firstLineChars="0"/>
              <w:jc w:val="center"/>
              <w:rPr>
                <w:rFonts w:cs="Times New Roman"/>
                <w:sz w:val="21"/>
                <w:szCs w:val="21"/>
              </w:rPr>
            </w:pPr>
            <w:r>
              <w:rPr>
                <w:rFonts w:cs="Times New Roman"/>
                <w:sz w:val="21"/>
                <w:szCs w:val="21"/>
              </w:rPr>
              <w:t>13000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水资源优化调度</w:t>
            </w:r>
          </w:p>
        </w:tc>
        <w:tc>
          <w:tcPr>
            <w:tcW w:w="700" w:type="dxa"/>
            <w:vAlign w:val="center"/>
          </w:tcPr>
          <w:p>
            <w:pPr>
              <w:ind w:firstLine="0" w:firstLineChars="0"/>
              <w:jc w:val="center"/>
              <w:rPr>
                <w:rFonts w:cs="Times New Roman"/>
                <w:sz w:val="21"/>
                <w:szCs w:val="21"/>
              </w:rPr>
            </w:pPr>
            <w:r>
              <w:rPr>
                <w:rFonts w:cs="Times New Roman"/>
                <w:sz w:val="21"/>
                <w:szCs w:val="21"/>
              </w:rPr>
              <w:t>水系连通工程</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抚松县</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抚松县仙人桥镇污水处理工程</w:t>
            </w:r>
          </w:p>
        </w:tc>
        <w:tc>
          <w:tcPr>
            <w:tcW w:w="2736" w:type="dxa"/>
            <w:vAlign w:val="center"/>
          </w:tcPr>
          <w:p>
            <w:pPr>
              <w:ind w:firstLine="0" w:firstLineChars="0"/>
              <w:jc w:val="center"/>
              <w:rPr>
                <w:rFonts w:cs="Times New Roman"/>
                <w:sz w:val="21"/>
                <w:szCs w:val="21"/>
              </w:rPr>
            </w:pPr>
            <w:r>
              <w:rPr>
                <w:rFonts w:cs="Times New Roman"/>
                <w:sz w:val="21"/>
                <w:szCs w:val="21"/>
              </w:rPr>
              <w:t>规划设计规模为日处理能力0.2万吨，采用“改良AAO”工艺</w:t>
            </w:r>
          </w:p>
        </w:tc>
        <w:tc>
          <w:tcPr>
            <w:tcW w:w="1253" w:type="dxa"/>
            <w:vAlign w:val="center"/>
          </w:tcPr>
          <w:p>
            <w:pPr>
              <w:ind w:firstLine="0" w:firstLineChars="0"/>
              <w:jc w:val="center"/>
              <w:rPr>
                <w:rFonts w:cs="Times New Roman"/>
                <w:sz w:val="21"/>
                <w:szCs w:val="21"/>
              </w:rPr>
            </w:pPr>
            <w:r>
              <w:rPr>
                <w:rFonts w:cs="Times New Roman"/>
                <w:sz w:val="21"/>
                <w:szCs w:val="21"/>
              </w:rPr>
              <w:t>5000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头道松花江治理项目</w:t>
            </w:r>
          </w:p>
        </w:tc>
        <w:tc>
          <w:tcPr>
            <w:tcW w:w="2736" w:type="dxa"/>
            <w:vAlign w:val="center"/>
          </w:tcPr>
          <w:p>
            <w:pPr>
              <w:ind w:firstLine="0" w:firstLineChars="0"/>
              <w:jc w:val="center"/>
              <w:rPr>
                <w:rFonts w:cs="Times New Roman"/>
                <w:sz w:val="21"/>
                <w:szCs w:val="21"/>
              </w:rPr>
            </w:pPr>
            <w:r>
              <w:rPr>
                <w:rFonts w:cs="Times New Roman"/>
                <w:sz w:val="21"/>
                <w:szCs w:val="21"/>
              </w:rPr>
              <w:t>前进上屯，胜利二队，榆树林子三段</w:t>
            </w:r>
          </w:p>
        </w:tc>
        <w:tc>
          <w:tcPr>
            <w:tcW w:w="1253" w:type="dxa"/>
            <w:vAlign w:val="center"/>
          </w:tcPr>
          <w:p>
            <w:pPr>
              <w:ind w:firstLine="0" w:firstLineChars="0"/>
              <w:jc w:val="center"/>
              <w:rPr>
                <w:rFonts w:cs="Times New Roman"/>
                <w:sz w:val="21"/>
                <w:szCs w:val="21"/>
              </w:rPr>
            </w:pPr>
            <w:r>
              <w:rPr>
                <w:rFonts w:cs="Times New Roman"/>
                <w:sz w:val="21"/>
                <w:szCs w:val="21"/>
              </w:rPr>
              <w:t>2800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生态沟渠修复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三道湖镇、花园口镇</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白龙湾、海岛电站坝下</w:t>
            </w:r>
          </w:p>
        </w:tc>
        <w:tc>
          <w:tcPr>
            <w:tcW w:w="1209" w:type="dxa"/>
            <w:vAlign w:val="center"/>
          </w:tcPr>
          <w:p>
            <w:pPr>
              <w:ind w:firstLine="0" w:firstLineChars="0"/>
              <w:jc w:val="center"/>
              <w:rPr>
                <w:rFonts w:cs="Times New Roman"/>
                <w:sz w:val="21"/>
                <w:szCs w:val="21"/>
              </w:rPr>
            </w:pPr>
            <w:r>
              <w:rPr>
                <w:rFonts w:cs="Times New Roman"/>
                <w:sz w:val="21"/>
                <w:szCs w:val="21"/>
              </w:rPr>
              <w:t>头道花园河生态护岸工程</w:t>
            </w:r>
          </w:p>
        </w:tc>
        <w:tc>
          <w:tcPr>
            <w:tcW w:w="2736" w:type="dxa"/>
            <w:vAlign w:val="center"/>
          </w:tcPr>
          <w:p>
            <w:pPr>
              <w:ind w:firstLine="0" w:firstLineChars="0"/>
              <w:jc w:val="center"/>
              <w:rPr>
                <w:rFonts w:cs="Times New Roman"/>
                <w:sz w:val="21"/>
                <w:szCs w:val="21"/>
              </w:rPr>
            </w:pPr>
            <w:r>
              <w:rPr>
                <w:rFonts w:cs="Times New Roman"/>
                <w:sz w:val="21"/>
                <w:szCs w:val="21"/>
              </w:rPr>
              <w:t>头道花园河巴里村、白江河村、护林村等村屯进行生态护岸治理，治理长度5km。</w:t>
            </w:r>
          </w:p>
        </w:tc>
        <w:tc>
          <w:tcPr>
            <w:tcW w:w="1253" w:type="dxa"/>
            <w:vAlign w:val="center"/>
          </w:tcPr>
          <w:p>
            <w:pPr>
              <w:ind w:firstLine="0" w:firstLineChars="0"/>
              <w:jc w:val="center"/>
              <w:rPr>
                <w:rFonts w:cs="Times New Roman"/>
                <w:sz w:val="21"/>
                <w:szCs w:val="21"/>
              </w:rPr>
            </w:pPr>
            <w:r>
              <w:rPr>
                <w:rFonts w:cs="Times New Roman"/>
                <w:sz w:val="21"/>
                <w:szCs w:val="21"/>
              </w:rPr>
              <w:t>2600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参乡一号桥、西村</w:t>
            </w:r>
          </w:p>
        </w:tc>
        <w:tc>
          <w:tcPr>
            <w:tcW w:w="1209" w:type="dxa"/>
            <w:vAlign w:val="center"/>
          </w:tcPr>
          <w:p>
            <w:pPr>
              <w:ind w:firstLine="0" w:firstLineChars="0"/>
              <w:jc w:val="center"/>
              <w:rPr>
                <w:rFonts w:cs="Times New Roman"/>
                <w:sz w:val="21"/>
                <w:szCs w:val="21"/>
              </w:rPr>
            </w:pPr>
            <w:r>
              <w:rPr>
                <w:rFonts w:cs="Times New Roman"/>
                <w:sz w:val="21"/>
                <w:szCs w:val="21"/>
              </w:rPr>
              <w:t>尾矿库综合治理工程</w:t>
            </w:r>
          </w:p>
        </w:tc>
        <w:tc>
          <w:tcPr>
            <w:tcW w:w="2736" w:type="dxa"/>
            <w:vAlign w:val="center"/>
          </w:tcPr>
          <w:p>
            <w:pPr>
              <w:ind w:firstLine="0" w:firstLineChars="0"/>
              <w:jc w:val="center"/>
              <w:rPr>
                <w:rFonts w:cs="Times New Roman"/>
                <w:sz w:val="21"/>
                <w:szCs w:val="21"/>
              </w:rPr>
            </w:pPr>
            <w:r>
              <w:rPr>
                <w:rFonts w:cs="Times New Roman"/>
                <w:sz w:val="21"/>
                <w:szCs w:val="21"/>
              </w:rPr>
              <w:t>针对抚松县、浑江区、江源区、靖宇县、临江市的尾矿库，定期更新修改尾矿库紧急预案，明确环境应急管理方向。落实《抚松铅锌矿汤河尾矿库突发环境事件应急预案》，制定铅锌矿汤河尾矿库综合治理方案，防控尾矿库风险</w:t>
            </w:r>
          </w:p>
        </w:tc>
        <w:tc>
          <w:tcPr>
            <w:tcW w:w="1253" w:type="dxa"/>
            <w:vAlign w:val="center"/>
          </w:tcPr>
          <w:p>
            <w:pPr>
              <w:ind w:firstLine="0" w:firstLineChars="0"/>
              <w:jc w:val="center"/>
              <w:rPr>
                <w:rFonts w:cs="Times New Roman"/>
                <w:sz w:val="21"/>
                <w:szCs w:val="21"/>
              </w:rPr>
            </w:pPr>
            <w:r>
              <w:rPr>
                <w:rFonts w:cs="Times New Roman"/>
                <w:sz w:val="21"/>
                <w:szCs w:val="21"/>
              </w:rPr>
              <w:t>100</w:t>
            </w:r>
          </w:p>
        </w:tc>
        <w:tc>
          <w:tcPr>
            <w:tcW w:w="822" w:type="dxa"/>
            <w:vAlign w:val="center"/>
          </w:tcPr>
          <w:p>
            <w:pPr>
              <w:ind w:firstLine="0" w:firstLineChars="0"/>
              <w:jc w:val="center"/>
              <w:rPr>
                <w:rFonts w:cs="Times New Roman"/>
                <w:sz w:val="21"/>
                <w:szCs w:val="21"/>
              </w:rPr>
            </w:pPr>
            <w:r>
              <w:rPr>
                <w:rFonts w:cs="Times New Roman"/>
                <w:sz w:val="21"/>
                <w:szCs w:val="21"/>
              </w:rPr>
              <w:t>各区县人民政府</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应急预案编制</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19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头道松花江</w:t>
            </w:r>
          </w:p>
        </w:tc>
        <w:tc>
          <w:tcPr>
            <w:tcW w:w="1134" w:type="dxa"/>
            <w:vAlign w:val="center"/>
          </w:tcPr>
          <w:p>
            <w:pPr>
              <w:ind w:firstLine="0" w:firstLineChars="0"/>
              <w:jc w:val="center"/>
              <w:rPr>
                <w:rFonts w:cs="Times New Roman"/>
                <w:sz w:val="21"/>
                <w:szCs w:val="21"/>
              </w:rPr>
            </w:pPr>
            <w:r>
              <w:rPr>
                <w:rFonts w:cs="Times New Roman"/>
                <w:sz w:val="21"/>
                <w:szCs w:val="21"/>
              </w:rPr>
              <w:t>参乡一号桥</w:t>
            </w:r>
          </w:p>
        </w:tc>
        <w:tc>
          <w:tcPr>
            <w:tcW w:w="1209" w:type="dxa"/>
            <w:vAlign w:val="center"/>
          </w:tcPr>
          <w:p>
            <w:pPr>
              <w:ind w:firstLine="0" w:firstLineChars="0"/>
              <w:jc w:val="center"/>
              <w:rPr>
                <w:rFonts w:cs="Times New Roman"/>
                <w:sz w:val="21"/>
                <w:szCs w:val="21"/>
              </w:rPr>
            </w:pPr>
            <w:r>
              <w:rPr>
                <w:rFonts w:cs="Times New Roman"/>
                <w:sz w:val="21"/>
                <w:szCs w:val="21"/>
              </w:rPr>
              <w:t>松山水库生态放流</w:t>
            </w:r>
          </w:p>
        </w:tc>
        <w:tc>
          <w:tcPr>
            <w:tcW w:w="2736" w:type="dxa"/>
            <w:vAlign w:val="center"/>
          </w:tcPr>
          <w:p>
            <w:pPr>
              <w:ind w:firstLine="0" w:firstLineChars="0"/>
              <w:jc w:val="center"/>
              <w:rPr>
                <w:rFonts w:cs="Times New Roman"/>
                <w:sz w:val="21"/>
                <w:szCs w:val="21"/>
              </w:rPr>
            </w:pPr>
            <w:r>
              <w:rPr>
                <w:rFonts w:cs="Times New Roman"/>
                <w:sz w:val="21"/>
                <w:szCs w:val="21"/>
              </w:rPr>
              <w:t>通过在松花江流域增殖放流，补充松花江水域经济鱼类和珍稀濒危生物物种种群数量，使得水域生态环境得到改善，渔业种群资源加快恢复。</w:t>
            </w:r>
          </w:p>
        </w:tc>
        <w:tc>
          <w:tcPr>
            <w:tcW w:w="1253" w:type="dxa"/>
            <w:vAlign w:val="center"/>
          </w:tcPr>
          <w:p>
            <w:pPr>
              <w:ind w:firstLine="0" w:firstLineChars="0"/>
              <w:jc w:val="center"/>
              <w:rPr>
                <w:rFonts w:cs="Times New Roman"/>
                <w:sz w:val="21"/>
                <w:szCs w:val="21"/>
              </w:rPr>
            </w:pPr>
            <w:r>
              <w:rPr>
                <w:rFonts w:cs="Times New Roman"/>
                <w:sz w:val="21"/>
                <w:szCs w:val="21"/>
              </w:rPr>
              <w:t>400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河湖水生动物恢复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北岗镇</w:t>
            </w:r>
          </w:p>
        </w:tc>
        <w:tc>
          <w:tcPr>
            <w:tcW w:w="1134" w:type="dxa"/>
            <w:vAlign w:val="center"/>
          </w:tcPr>
          <w:p>
            <w:pPr>
              <w:ind w:firstLine="0" w:firstLineChars="0"/>
              <w:jc w:val="center"/>
              <w:rPr>
                <w:rFonts w:cs="Times New Roman"/>
                <w:sz w:val="21"/>
                <w:szCs w:val="21"/>
              </w:rPr>
            </w:pPr>
            <w:r>
              <w:rPr>
                <w:rFonts w:cs="Times New Roman"/>
                <w:sz w:val="21"/>
                <w:szCs w:val="21"/>
              </w:rPr>
              <w:t>二道松花江</w:t>
            </w:r>
          </w:p>
        </w:tc>
        <w:tc>
          <w:tcPr>
            <w:tcW w:w="1134" w:type="dxa"/>
            <w:vAlign w:val="center"/>
          </w:tcPr>
          <w:p>
            <w:pPr>
              <w:ind w:firstLine="0" w:firstLineChars="0"/>
              <w:jc w:val="center"/>
              <w:rPr>
                <w:rFonts w:cs="Times New Roman"/>
                <w:sz w:val="21"/>
                <w:szCs w:val="21"/>
              </w:rPr>
            </w:pPr>
            <w:r>
              <w:rPr>
                <w:rFonts w:cs="Times New Roman"/>
                <w:sz w:val="21"/>
                <w:szCs w:val="21"/>
              </w:rPr>
              <w:t>南岗/汉阳屯</w:t>
            </w:r>
          </w:p>
        </w:tc>
        <w:tc>
          <w:tcPr>
            <w:tcW w:w="1209" w:type="dxa"/>
            <w:vAlign w:val="center"/>
          </w:tcPr>
          <w:p>
            <w:pPr>
              <w:ind w:firstLine="0" w:firstLineChars="0"/>
              <w:jc w:val="center"/>
              <w:rPr>
                <w:rFonts w:cs="Times New Roman"/>
                <w:sz w:val="21"/>
                <w:szCs w:val="21"/>
              </w:rPr>
            </w:pPr>
            <w:r>
              <w:rPr>
                <w:rFonts w:cs="Times New Roman"/>
                <w:sz w:val="21"/>
                <w:szCs w:val="21"/>
              </w:rPr>
              <w:t>北岗镇污水处理厂建设工程</w:t>
            </w:r>
          </w:p>
        </w:tc>
        <w:tc>
          <w:tcPr>
            <w:tcW w:w="2736" w:type="dxa"/>
            <w:vAlign w:val="center"/>
          </w:tcPr>
          <w:p>
            <w:pPr>
              <w:ind w:firstLine="0" w:firstLineChars="0"/>
              <w:jc w:val="center"/>
              <w:rPr>
                <w:rFonts w:cs="Times New Roman"/>
                <w:sz w:val="21"/>
                <w:szCs w:val="21"/>
              </w:rPr>
            </w:pPr>
            <w:r>
              <w:rPr>
                <w:rFonts w:cs="Times New Roman"/>
                <w:sz w:val="21"/>
                <w:szCs w:val="21"/>
              </w:rPr>
              <w:t>新建北岗镇污水处理厂，位于镇区西部、201国道南侧。2025年污水处理厂规模为0.2万m</w:t>
            </w:r>
            <w:r>
              <w:rPr>
                <w:rFonts w:cs="Times New Roman"/>
                <w:sz w:val="21"/>
                <w:szCs w:val="21"/>
                <w:vertAlign w:val="superscript"/>
              </w:rPr>
              <w:t>3</w:t>
            </w:r>
            <w:r>
              <w:rPr>
                <w:rFonts w:cs="Times New Roman"/>
                <w:sz w:val="21"/>
                <w:szCs w:val="21"/>
              </w:rPr>
              <w:t>/d，采用AAO（VFL）工艺，污水厂占地面积0.4hm</w:t>
            </w:r>
            <w:r>
              <w:rPr>
                <w:rFonts w:cs="Times New Roman"/>
                <w:sz w:val="21"/>
                <w:szCs w:val="21"/>
                <w:vertAlign w:val="superscript"/>
              </w:rPr>
              <w:t>2</w:t>
            </w:r>
            <w:r>
              <w:rPr>
                <w:rFonts w:cs="Times New Roman"/>
                <w:sz w:val="21"/>
                <w:szCs w:val="21"/>
              </w:rPr>
              <w:t>。规划建设污水管线14.160km。</w:t>
            </w:r>
          </w:p>
        </w:tc>
        <w:tc>
          <w:tcPr>
            <w:tcW w:w="1253" w:type="dxa"/>
            <w:vAlign w:val="center"/>
          </w:tcPr>
          <w:p>
            <w:pPr>
              <w:ind w:firstLine="0" w:firstLineChars="0"/>
              <w:jc w:val="center"/>
              <w:rPr>
                <w:rFonts w:cs="Times New Roman"/>
                <w:sz w:val="21"/>
                <w:szCs w:val="21"/>
              </w:rPr>
            </w:pPr>
            <w:r>
              <w:rPr>
                <w:rFonts w:cs="Times New Roman"/>
                <w:sz w:val="21"/>
                <w:szCs w:val="21"/>
              </w:rPr>
              <w:t>6000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沿江乡</w:t>
            </w:r>
          </w:p>
        </w:tc>
        <w:tc>
          <w:tcPr>
            <w:tcW w:w="1134" w:type="dxa"/>
            <w:vAlign w:val="center"/>
          </w:tcPr>
          <w:p>
            <w:pPr>
              <w:ind w:firstLine="0" w:firstLineChars="0"/>
              <w:jc w:val="center"/>
              <w:rPr>
                <w:rFonts w:cs="Times New Roman"/>
                <w:sz w:val="21"/>
                <w:szCs w:val="21"/>
              </w:rPr>
            </w:pPr>
            <w:r>
              <w:rPr>
                <w:rFonts w:cs="Times New Roman"/>
                <w:sz w:val="21"/>
                <w:szCs w:val="21"/>
              </w:rPr>
              <w:t>二道松花江</w:t>
            </w:r>
          </w:p>
        </w:tc>
        <w:tc>
          <w:tcPr>
            <w:tcW w:w="1134" w:type="dxa"/>
            <w:vAlign w:val="center"/>
          </w:tcPr>
          <w:p>
            <w:pPr>
              <w:ind w:firstLine="0" w:firstLineChars="0"/>
              <w:jc w:val="center"/>
              <w:rPr>
                <w:rFonts w:cs="Times New Roman"/>
                <w:sz w:val="21"/>
                <w:szCs w:val="21"/>
              </w:rPr>
            </w:pPr>
            <w:r>
              <w:rPr>
                <w:rFonts w:cs="Times New Roman"/>
                <w:sz w:val="21"/>
                <w:szCs w:val="21"/>
              </w:rPr>
              <w:t>南岗/汉阳屯</w:t>
            </w:r>
          </w:p>
        </w:tc>
        <w:tc>
          <w:tcPr>
            <w:tcW w:w="1209" w:type="dxa"/>
            <w:vAlign w:val="center"/>
          </w:tcPr>
          <w:p>
            <w:pPr>
              <w:ind w:firstLine="0" w:firstLineChars="0"/>
              <w:jc w:val="center"/>
              <w:rPr>
                <w:rFonts w:cs="Times New Roman"/>
                <w:sz w:val="21"/>
                <w:szCs w:val="21"/>
              </w:rPr>
            </w:pPr>
            <w:r>
              <w:rPr>
                <w:rFonts w:cs="Times New Roman"/>
                <w:sz w:val="21"/>
                <w:szCs w:val="21"/>
              </w:rPr>
              <w:t>抚松县沿江乡污水处理工程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新建沿江乡污水收集池，收集池规模0.05万m</w:t>
            </w:r>
            <w:r>
              <w:rPr>
                <w:rFonts w:cs="Times New Roman"/>
                <w:sz w:val="21"/>
                <w:szCs w:val="21"/>
                <w:vertAlign w:val="superscript"/>
              </w:rPr>
              <w:t>3</w:t>
            </w:r>
            <w:r>
              <w:rPr>
                <w:rFonts w:cs="Times New Roman"/>
                <w:sz w:val="21"/>
                <w:szCs w:val="21"/>
              </w:rPr>
              <w:t>，位于集镇东侧、扁桃胡下游，占地面积约为0.1hm</w:t>
            </w:r>
            <w:r>
              <w:rPr>
                <w:rFonts w:cs="Times New Roman"/>
                <w:sz w:val="21"/>
                <w:szCs w:val="21"/>
                <w:vertAlign w:val="superscript"/>
              </w:rPr>
              <w:t>2</w:t>
            </w:r>
            <w:r>
              <w:rPr>
                <w:rFonts w:cs="Times New Roman"/>
                <w:sz w:val="21"/>
                <w:szCs w:val="21"/>
              </w:rPr>
              <w:t>。建设污水管线6.446km。</w:t>
            </w:r>
          </w:p>
        </w:tc>
        <w:tc>
          <w:tcPr>
            <w:tcW w:w="1253" w:type="dxa"/>
            <w:vAlign w:val="center"/>
          </w:tcPr>
          <w:p>
            <w:pPr>
              <w:ind w:firstLine="0" w:firstLineChars="0"/>
              <w:jc w:val="center"/>
              <w:rPr>
                <w:rFonts w:cs="Times New Roman"/>
                <w:sz w:val="21"/>
                <w:szCs w:val="21"/>
              </w:rPr>
            </w:pPr>
            <w:r>
              <w:rPr>
                <w:rFonts w:cs="Times New Roman"/>
                <w:sz w:val="21"/>
                <w:szCs w:val="21"/>
              </w:rPr>
              <w:t>1200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二道松花江</w:t>
            </w:r>
          </w:p>
        </w:tc>
        <w:tc>
          <w:tcPr>
            <w:tcW w:w="1134" w:type="dxa"/>
            <w:vAlign w:val="center"/>
          </w:tcPr>
          <w:p>
            <w:pPr>
              <w:ind w:firstLine="0" w:firstLineChars="0"/>
              <w:jc w:val="center"/>
              <w:rPr>
                <w:rFonts w:cs="Times New Roman"/>
                <w:sz w:val="21"/>
                <w:szCs w:val="21"/>
              </w:rPr>
            </w:pPr>
            <w:r>
              <w:rPr>
                <w:rFonts w:cs="Times New Roman"/>
                <w:sz w:val="21"/>
                <w:szCs w:val="21"/>
              </w:rPr>
              <w:t>南岗/汉阳屯</w:t>
            </w:r>
          </w:p>
        </w:tc>
        <w:tc>
          <w:tcPr>
            <w:tcW w:w="1209" w:type="dxa"/>
            <w:vAlign w:val="center"/>
          </w:tcPr>
          <w:p>
            <w:pPr>
              <w:ind w:firstLine="0" w:firstLineChars="0"/>
              <w:jc w:val="center"/>
              <w:rPr>
                <w:rFonts w:cs="Times New Roman"/>
                <w:sz w:val="21"/>
                <w:szCs w:val="21"/>
              </w:rPr>
            </w:pPr>
            <w:r>
              <w:rPr>
                <w:rFonts w:cs="Times New Roman"/>
                <w:sz w:val="21"/>
                <w:szCs w:val="21"/>
              </w:rPr>
              <w:t>建立水质监测预警机制</w:t>
            </w:r>
          </w:p>
        </w:tc>
        <w:tc>
          <w:tcPr>
            <w:tcW w:w="2736" w:type="dxa"/>
            <w:vAlign w:val="center"/>
          </w:tcPr>
          <w:p>
            <w:pPr>
              <w:ind w:firstLine="0" w:firstLineChars="0"/>
              <w:jc w:val="center"/>
              <w:rPr>
                <w:rFonts w:cs="Times New Roman"/>
                <w:sz w:val="21"/>
                <w:szCs w:val="21"/>
              </w:rPr>
            </w:pPr>
            <w:r>
              <w:rPr>
                <w:rFonts w:cs="Times New Roman"/>
                <w:sz w:val="21"/>
                <w:szCs w:val="21"/>
              </w:rPr>
              <w:t>充分掌握汉阳屯点位二道松花江入境水质情况，分析延边州朝鲜族自治州段沿岸耕地农业面源污染风险。建立跨市断面监测预警机制。</w:t>
            </w:r>
          </w:p>
        </w:tc>
        <w:tc>
          <w:tcPr>
            <w:tcW w:w="1253" w:type="dxa"/>
            <w:vAlign w:val="center"/>
          </w:tcPr>
          <w:p>
            <w:pPr>
              <w:ind w:firstLine="0" w:firstLineChars="0"/>
              <w:jc w:val="center"/>
              <w:rPr>
                <w:rFonts w:cs="Times New Roman"/>
                <w:sz w:val="21"/>
                <w:szCs w:val="21"/>
              </w:rPr>
            </w:pPr>
            <w:r>
              <w:rPr>
                <w:rFonts w:cs="Times New Roman"/>
                <w:sz w:val="21"/>
                <w:szCs w:val="21"/>
              </w:rPr>
              <w:t>10</w:t>
            </w:r>
          </w:p>
        </w:tc>
        <w:tc>
          <w:tcPr>
            <w:tcW w:w="822" w:type="dxa"/>
            <w:vAlign w:val="center"/>
          </w:tcPr>
          <w:p>
            <w:pPr>
              <w:ind w:firstLine="0" w:firstLineChars="0"/>
              <w:jc w:val="center"/>
              <w:rPr>
                <w:rFonts w:cs="Times New Roman"/>
                <w:sz w:val="21"/>
                <w:szCs w:val="21"/>
              </w:rPr>
            </w:pPr>
            <w:r>
              <w:rPr>
                <w:rFonts w:cs="Times New Roman"/>
                <w:sz w:val="21"/>
                <w:szCs w:val="21"/>
              </w:rPr>
              <w:t>市生态环境局</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应急预案编制</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景山镇</w:t>
            </w:r>
          </w:p>
        </w:tc>
        <w:tc>
          <w:tcPr>
            <w:tcW w:w="1134" w:type="dxa"/>
            <w:vAlign w:val="center"/>
          </w:tcPr>
          <w:p>
            <w:pPr>
              <w:ind w:firstLine="0" w:firstLineChars="0"/>
              <w:jc w:val="center"/>
              <w:rPr>
                <w:rFonts w:cs="Times New Roman"/>
                <w:sz w:val="21"/>
                <w:szCs w:val="21"/>
              </w:rPr>
            </w:pPr>
            <w:r>
              <w:rPr>
                <w:rFonts w:cs="Times New Roman"/>
                <w:sz w:val="21"/>
                <w:szCs w:val="21"/>
              </w:rPr>
              <w:t>松花江</w:t>
            </w:r>
          </w:p>
        </w:tc>
        <w:tc>
          <w:tcPr>
            <w:tcW w:w="1134" w:type="dxa"/>
            <w:vAlign w:val="center"/>
          </w:tcPr>
          <w:p>
            <w:pPr>
              <w:ind w:firstLine="0" w:firstLineChars="0"/>
              <w:jc w:val="center"/>
              <w:rPr>
                <w:rFonts w:cs="Times New Roman"/>
                <w:sz w:val="21"/>
                <w:szCs w:val="21"/>
              </w:rPr>
            </w:pPr>
            <w:r>
              <w:rPr>
                <w:rFonts w:cs="Times New Roman"/>
                <w:sz w:val="21"/>
                <w:szCs w:val="21"/>
              </w:rPr>
              <w:t>白山大桥</w:t>
            </w:r>
          </w:p>
        </w:tc>
        <w:tc>
          <w:tcPr>
            <w:tcW w:w="1209" w:type="dxa"/>
            <w:vAlign w:val="center"/>
          </w:tcPr>
          <w:p>
            <w:pPr>
              <w:ind w:firstLine="0" w:firstLineChars="0"/>
              <w:jc w:val="center"/>
              <w:rPr>
                <w:rFonts w:cs="Times New Roman"/>
                <w:sz w:val="21"/>
                <w:szCs w:val="21"/>
              </w:rPr>
            </w:pPr>
            <w:r>
              <w:rPr>
                <w:rFonts w:cs="Times New Roman"/>
                <w:sz w:val="21"/>
                <w:szCs w:val="21"/>
              </w:rPr>
              <w:t>靖宇县景山镇景山村（靖宇村一队、景山村二队、景山村三队）山洪沟治理工程</w:t>
            </w:r>
          </w:p>
        </w:tc>
        <w:tc>
          <w:tcPr>
            <w:tcW w:w="2736" w:type="dxa"/>
            <w:vAlign w:val="center"/>
          </w:tcPr>
          <w:p>
            <w:pPr>
              <w:ind w:firstLine="0" w:firstLineChars="0"/>
              <w:jc w:val="center"/>
              <w:rPr>
                <w:rFonts w:cs="Times New Roman"/>
                <w:sz w:val="21"/>
                <w:szCs w:val="21"/>
              </w:rPr>
            </w:pPr>
            <w:r>
              <w:rPr>
                <w:rFonts w:cs="Times New Roman"/>
                <w:sz w:val="21"/>
                <w:szCs w:val="21"/>
              </w:rPr>
              <w:t>景山村一队护总长度1259.3m，景山村二队护岸总长度367.3m，左岸345.5m，景山村三队护岸总长度773.1m。</w:t>
            </w:r>
          </w:p>
        </w:tc>
        <w:tc>
          <w:tcPr>
            <w:tcW w:w="1253" w:type="dxa"/>
            <w:vAlign w:val="center"/>
          </w:tcPr>
          <w:p>
            <w:pPr>
              <w:ind w:firstLine="0" w:firstLineChars="0"/>
              <w:jc w:val="center"/>
              <w:rPr>
                <w:rFonts w:cs="Times New Roman"/>
                <w:sz w:val="21"/>
                <w:szCs w:val="21"/>
              </w:rPr>
            </w:pPr>
            <w:r>
              <w:rPr>
                <w:rFonts w:cs="Times New Roman"/>
                <w:sz w:val="21"/>
                <w:szCs w:val="21"/>
              </w:rPr>
              <w:t>701</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兴参镇</w:t>
            </w:r>
          </w:p>
        </w:tc>
        <w:tc>
          <w:tcPr>
            <w:tcW w:w="1134" w:type="dxa"/>
            <w:vAlign w:val="center"/>
          </w:tcPr>
          <w:p>
            <w:pPr>
              <w:ind w:firstLine="0" w:firstLineChars="0"/>
              <w:jc w:val="center"/>
              <w:rPr>
                <w:rFonts w:cs="Times New Roman"/>
                <w:sz w:val="21"/>
                <w:szCs w:val="21"/>
              </w:rPr>
            </w:pPr>
            <w:r>
              <w:rPr>
                <w:rFonts w:cs="Times New Roman"/>
                <w:sz w:val="21"/>
                <w:szCs w:val="21"/>
              </w:rPr>
              <w:t>松花江</w:t>
            </w:r>
          </w:p>
        </w:tc>
        <w:tc>
          <w:tcPr>
            <w:tcW w:w="1134" w:type="dxa"/>
            <w:vAlign w:val="center"/>
          </w:tcPr>
          <w:p>
            <w:pPr>
              <w:ind w:firstLine="0" w:firstLineChars="0"/>
              <w:jc w:val="center"/>
              <w:rPr>
                <w:rFonts w:cs="Times New Roman"/>
                <w:sz w:val="21"/>
                <w:szCs w:val="21"/>
              </w:rPr>
            </w:pPr>
            <w:r>
              <w:rPr>
                <w:rFonts w:cs="Times New Roman"/>
                <w:sz w:val="21"/>
                <w:szCs w:val="21"/>
              </w:rPr>
              <w:t>白山大桥</w:t>
            </w:r>
          </w:p>
        </w:tc>
        <w:tc>
          <w:tcPr>
            <w:tcW w:w="1209" w:type="dxa"/>
            <w:vAlign w:val="center"/>
          </w:tcPr>
          <w:p>
            <w:pPr>
              <w:ind w:firstLine="0" w:firstLineChars="0"/>
              <w:jc w:val="center"/>
              <w:rPr>
                <w:rFonts w:cs="Times New Roman"/>
                <w:sz w:val="21"/>
                <w:szCs w:val="21"/>
              </w:rPr>
            </w:pPr>
            <w:r>
              <w:rPr>
                <w:rFonts w:cs="Times New Roman"/>
                <w:sz w:val="21"/>
                <w:szCs w:val="21"/>
              </w:rPr>
              <w:t>抚松县兴参镇污水处理工程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新建兴参镇污水处理厂，位于苇沙河下游左岸。污水处理厂规模0.3万m</w:t>
            </w:r>
            <w:r>
              <w:rPr>
                <w:rFonts w:cs="Times New Roman"/>
                <w:sz w:val="21"/>
                <w:szCs w:val="21"/>
                <w:vertAlign w:val="superscript"/>
              </w:rPr>
              <w:t>3</w:t>
            </w:r>
            <w:r>
              <w:rPr>
                <w:rFonts w:cs="Times New Roman"/>
                <w:sz w:val="21"/>
                <w:szCs w:val="21"/>
              </w:rPr>
              <w:t>/d，采用AAO（VFL）工艺，污水厂占地面积0.6hm</w:t>
            </w:r>
            <w:r>
              <w:rPr>
                <w:rFonts w:cs="Times New Roman"/>
                <w:sz w:val="21"/>
                <w:szCs w:val="21"/>
                <w:vertAlign w:val="superscript"/>
              </w:rPr>
              <w:t>2</w:t>
            </w:r>
            <w:r>
              <w:rPr>
                <w:rFonts w:cs="Times New Roman"/>
                <w:sz w:val="21"/>
                <w:szCs w:val="21"/>
              </w:rPr>
              <w:t>。规划建设污水管线8.618km。</w:t>
            </w:r>
          </w:p>
        </w:tc>
        <w:tc>
          <w:tcPr>
            <w:tcW w:w="1253" w:type="dxa"/>
            <w:vAlign w:val="center"/>
          </w:tcPr>
          <w:p>
            <w:pPr>
              <w:ind w:firstLine="0" w:firstLineChars="0"/>
              <w:jc w:val="center"/>
              <w:rPr>
                <w:rFonts w:cs="Times New Roman"/>
                <w:sz w:val="21"/>
                <w:szCs w:val="21"/>
              </w:rPr>
            </w:pPr>
            <w:r>
              <w:rPr>
                <w:rFonts w:cs="Times New Roman"/>
                <w:sz w:val="21"/>
                <w:szCs w:val="21"/>
              </w:rPr>
              <w:t>6500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抚松县</w:t>
            </w:r>
          </w:p>
        </w:tc>
        <w:tc>
          <w:tcPr>
            <w:tcW w:w="1275" w:type="dxa"/>
            <w:vAlign w:val="center"/>
          </w:tcPr>
          <w:p>
            <w:pPr>
              <w:ind w:firstLine="0" w:firstLineChars="0"/>
              <w:jc w:val="center"/>
              <w:rPr>
                <w:rFonts w:cs="Times New Roman"/>
                <w:sz w:val="21"/>
                <w:szCs w:val="21"/>
              </w:rPr>
            </w:pPr>
            <w:r>
              <w:rPr>
                <w:rFonts w:cs="Times New Roman"/>
                <w:sz w:val="21"/>
                <w:szCs w:val="21"/>
              </w:rPr>
              <w:t>新屯子镇</w:t>
            </w:r>
          </w:p>
        </w:tc>
        <w:tc>
          <w:tcPr>
            <w:tcW w:w="1134" w:type="dxa"/>
            <w:vAlign w:val="center"/>
          </w:tcPr>
          <w:p>
            <w:pPr>
              <w:ind w:firstLine="0" w:firstLineChars="0"/>
              <w:jc w:val="center"/>
              <w:rPr>
                <w:rFonts w:cs="Times New Roman"/>
                <w:sz w:val="21"/>
                <w:szCs w:val="21"/>
              </w:rPr>
            </w:pPr>
            <w:r>
              <w:rPr>
                <w:rFonts w:cs="Times New Roman"/>
                <w:sz w:val="21"/>
                <w:szCs w:val="21"/>
              </w:rPr>
              <w:t>松花江</w:t>
            </w:r>
          </w:p>
        </w:tc>
        <w:tc>
          <w:tcPr>
            <w:tcW w:w="1134" w:type="dxa"/>
            <w:vAlign w:val="center"/>
          </w:tcPr>
          <w:p>
            <w:pPr>
              <w:ind w:firstLine="0" w:firstLineChars="0"/>
              <w:jc w:val="center"/>
              <w:rPr>
                <w:rFonts w:cs="Times New Roman"/>
                <w:sz w:val="21"/>
                <w:szCs w:val="21"/>
              </w:rPr>
            </w:pPr>
            <w:r>
              <w:rPr>
                <w:rFonts w:cs="Times New Roman"/>
                <w:sz w:val="21"/>
                <w:szCs w:val="21"/>
              </w:rPr>
              <w:t>白山大桥</w:t>
            </w:r>
          </w:p>
        </w:tc>
        <w:tc>
          <w:tcPr>
            <w:tcW w:w="1209" w:type="dxa"/>
            <w:vAlign w:val="center"/>
          </w:tcPr>
          <w:p>
            <w:pPr>
              <w:ind w:firstLine="0" w:firstLineChars="0"/>
              <w:jc w:val="center"/>
              <w:rPr>
                <w:rFonts w:cs="Times New Roman"/>
                <w:sz w:val="21"/>
                <w:szCs w:val="21"/>
              </w:rPr>
            </w:pPr>
            <w:r>
              <w:rPr>
                <w:rFonts w:cs="Times New Roman"/>
                <w:sz w:val="21"/>
                <w:szCs w:val="21"/>
              </w:rPr>
              <w:t>抚松县新屯子镇污水处理工程</w:t>
            </w:r>
          </w:p>
        </w:tc>
        <w:tc>
          <w:tcPr>
            <w:tcW w:w="2736" w:type="dxa"/>
            <w:vAlign w:val="center"/>
          </w:tcPr>
          <w:p>
            <w:pPr>
              <w:ind w:firstLine="0" w:firstLineChars="0"/>
              <w:jc w:val="center"/>
              <w:rPr>
                <w:rFonts w:cs="Times New Roman"/>
                <w:sz w:val="21"/>
                <w:szCs w:val="21"/>
              </w:rPr>
            </w:pPr>
            <w:r>
              <w:rPr>
                <w:rFonts w:cs="Times New Roman"/>
                <w:sz w:val="21"/>
                <w:szCs w:val="21"/>
              </w:rPr>
              <w:t>新建新屯子污水处理厂，位于镇区西北部、河流下游建设污水处理厂。污水处理厂规模为0.06万m</w:t>
            </w:r>
            <w:r>
              <w:rPr>
                <w:rFonts w:cs="Times New Roman"/>
                <w:sz w:val="21"/>
                <w:szCs w:val="21"/>
                <w:vertAlign w:val="superscript"/>
              </w:rPr>
              <w:t>3</w:t>
            </w:r>
            <w:r>
              <w:rPr>
                <w:rFonts w:cs="Times New Roman"/>
                <w:sz w:val="21"/>
                <w:szCs w:val="21"/>
              </w:rPr>
              <w:t>/d，采用AAO（VFL）工艺，污水厂占地面积0.2hm</w:t>
            </w:r>
            <w:r>
              <w:rPr>
                <w:rFonts w:cs="Times New Roman"/>
                <w:sz w:val="21"/>
                <w:szCs w:val="21"/>
                <w:vertAlign w:val="superscript"/>
              </w:rPr>
              <w:t>2</w:t>
            </w:r>
            <w:r>
              <w:rPr>
                <w:rFonts w:cs="Times New Roman"/>
                <w:sz w:val="21"/>
                <w:szCs w:val="21"/>
              </w:rPr>
              <w:t>，建设污水管线11.195km。</w:t>
            </w:r>
          </w:p>
        </w:tc>
        <w:tc>
          <w:tcPr>
            <w:tcW w:w="1253" w:type="dxa"/>
            <w:vAlign w:val="center"/>
          </w:tcPr>
          <w:p>
            <w:pPr>
              <w:ind w:firstLine="0" w:firstLineChars="0"/>
              <w:jc w:val="center"/>
              <w:rPr>
                <w:rFonts w:cs="Times New Roman"/>
                <w:sz w:val="21"/>
                <w:szCs w:val="21"/>
              </w:rPr>
            </w:pPr>
            <w:r>
              <w:rPr>
                <w:rFonts w:cs="Times New Roman"/>
                <w:sz w:val="21"/>
                <w:szCs w:val="21"/>
              </w:rPr>
              <w:t>4500</w:t>
            </w:r>
          </w:p>
        </w:tc>
        <w:tc>
          <w:tcPr>
            <w:tcW w:w="822" w:type="dxa"/>
            <w:vAlign w:val="center"/>
          </w:tcPr>
          <w:p>
            <w:pPr>
              <w:ind w:firstLine="0" w:firstLineChars="0"/>
              <w:jc w:val="center"/>
              <w:rPr>
                <w:rFonts w:cs="Times New Roman"/>
                <w:sz w:val="21"/>
                <w:szCs w:val="21"/>
              </w:rPr>
            </w:pPr>
            <w:r>
              <w:rPr>
                <w:rFonts w:cs="Times New Roman"/>
                <w:sz w:val="21"/>
                <w:szCs w:val="21"/>
              </w:rPr>
              <w:t>抚松县人民政府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种植结构调整工程</w:t>
            </w:r>
          </w:p>
        </w:tc>
        <w:tc>
          <w:tcPr>
            <w:tcW w:w="2736" w:type="dxa"/>
            <w:vAlign w:val="center"/>
          </w:tcPr>
          <w:p>
            <w:pPr>
              <w:ind w:firstLine="0" w:firstLineChars="0"/>
              <w:jc w:val="center"/>
              <w:rPr>
                <w:rFonts w:cs="Times New Roman"/>
                <w:sz w:val="21"/>
                <w:szCs w:val="21"/>
              </w:rPr>
            </w:pPr>
            <w:r>
              <w:rPr>
                <w:rFonts w:cs="Times New Roman"/>
                <w:sz w:val="21"/>
                <w:szCs w:val="21"/>
              </w:rPr>
              <w:t>开展“退粮进特”、“退耕还林”、“休耕轮作”等一系列种植结构调整行动，调减籽粒玉米种植，新增特色种植。</w:t>
            </w:r>
          </w:p>
        </w:tc>
        <w:tc>
          <w:tcPr>
            <w:tcW w:w="1253" w:type="dxa"/>
            <w:vAlign w:val="center"/>
          </w:tcPr>
          <w:p>
            <w:pPr>
              <w:ind w:firstLine="0" w:firstLineChars="0"/>
              <w:jc w:val="center"/>
              <w:rPr>
                <w:rFonts w:cs="Times New Roman"/>
                <w:sz w:val="21"/>
                <w:szCs w:val="21"/>
              </w:rPr>
            </w:pPr>
            <w:r>
              <w:rPr>
                <w:rFonts w:cs="Times New Roman"/>
                <w:sz w:val="21"/>
                <w:szCs w:val="21"/>
              </w:rPr>
              <w:t>11600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测土施肥工程</w:t>
            </w:r>
          </w:p>
        </w:tc>
        <w:tc>
          <w:tcPr>
            <w:tcW w:w="2736" w:type="dxa"/>
            <w:vAlign w:val="center"/>
          </w:tcPr>
          <w:p>
            <w:pPr>
              <w:ind w:firstLine="0" w:firstLineChars="0"/>
              <w:jc w:val="center"/>
              <w:rPr>
                <w:rFonts w:cs="Times New Roman"/>
                <w:sz w:val="21"/>
                <w:szCs w:val="21"/>
              </w:rPr>
            </w:pPr>
            <w:r>
              <w:rPr>
                <w:rFonts w:cs="Times New Roman"/>
                <w:sz w:val="21"/>
                <w:szCs w:val="21"/>
              </w:rPr>
              <w:t>运用微谱化学成分分析手段对耕地地块的肥力、酸碱性、微生物等情况进行定性或定量分析，总结出耕地适宜种植的农作物品种，并对所种植的农作物所需的肥料种类及用量进行微谱配方分析、并做含量勾兑，有提高土地利用效率。</w:t>
            </w:r>
          </w:p>
        </w:tc>
        <w:tc>
          <w:tcPr>
            <w:tcW w:w="1253" w:type="dxa"/>
            <w:vAlign w:val="center"/>
          </w:tcPr>
          <w:p>
            <w:pPr>
              <w:ind w:firstLine="0" w:firstLineChars="0"/>
              <w:jc w:val="center"/>
              <w:rPr>
                <w:rFonts w:cs="Times New Roman"/>
                <w:sz w:val="21"/>
                <w:szCs w:val="21"/>
              </w:rPr>
            </w:pPr>
            <w:r>
              <w:rPr>
                <w:rFonts w:cs="Times New Roman"/>
                <w:sz w:val="21"/>
                <w:szCs w:val="21"/>
              </w:rPr>
              <w:t>500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有机肥推广项目</w:t>
            </w:r>
          </w:p>
        </w:tc>
        <w:tc>
          <w:tcPr>
            <w:tcW w:w="2736" w:type="dxa"/>
            <w:vAlign w:val="center"/>
          </w:tcPr>
          <w:p>
            <w:pPr>
              <w:ind w:firstLine="0" w:firstLineChars="0"/>
              <w:jc w:val="center"/>
              <w:rPr>
                <w:rFonts w:cs="Times New Roman"/>
                <w:sz w:val="21"/>
                <w:szCs w:val="21"/>
              </w:rPr>
            </w:pPr>
            <w:r>
              <w:rPr>
                <w:rFonts w:cs="Times New Roman"/>
                <w:sz w:val="21"/>
                <w:szCs w:val="21"/>
              </w:rPr>
              <w:t>通过有机废弃物堆肥还田、果园生草、设施菜地秸秆生物反应堆和商品有机肥等模式，采取有机肥替代化肥。</w:t>
            </w:r>
          </w:p>
        </w:tc>
        <w:tc>
          <w:tcPr>
            <w:tcW w:w="1253" w:type="dxa"/>
            <w:vAlign w:val="center"/>
          </w:tcPr>
          <w:p>
            <w:pPr>
              <w:ind w:firstLine="0" w:firstLineChars="0"/>
              <w:jc w:val="center"/>
              <w:rPr>
                <w:rFonts w:cs="Times New Roman"/>
                <w:sz w:val="21"/>
                <w:szCs w:val="21"/>
              </w:rPr>
            </w:pPr>
            <w:r>
              <w:rPr>
                <w:rFonts w:cs="Times New Roman"/>
                <w:sz w:val="21"/>
                <w:szCs w:val="21"/>
              </w:rPr>
              <w:t>1000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29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全市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松花江、珠子河</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农药化肥废弃物回收项目</w:t>
            </w:r>
          </w:p>
        </w:tc>
        <w:tc>
          <w:tcPr>
            <w:tcW w:w="2736" w:type="dxa"/>
            <w:vAlign w:val="center"/>
          </w:tcPr>
          <w:p>
            <w:pPr>
              <w:ind w:firstLine="0" w:firstLineChars="0"/>
              <w:jc w:val="center"/>
              <w:rPr>
                <w:rFonts w:cs="Times New Roman"/>
                <w:sz w:val="21"/>
                <w:szCs w:val="21"/>
              </w:rPr>
            </w:pPr>
            <w:r>
              <w:rPr>
                <w:rFonts w:cs="Times New Roman"/>
                <w:sz w:val="21"/>
                <w:szCs w:val="21"/>
              </w:rPr>
              <w:t>开展农药包装袋、肥料包装袋、农膜、抛秧盘、果树套袋等农业生产资料包装废弃物的回收、集中储存、分类处置，并将危险化学品包装废弃物交给有资质的企业进行处理。</w:t>
            </w:r>
          </w:p>
        </w:tc>
        <w:tc>
          <w:tcPr>
            <w:tcW w:w="1253" w:type="dxa"/>
            <w:vAlign w:val="center"/>
          </w:tcPr>
          <w:p>
            <w:pPr>
              <w:ind w:firstLine="0" w:firstLineChars="0"/>
              <w:jc w:val="center"/>
              <w:rPr>
                <w:rFonts w:cs="Times New Roman"/>
                <w:sz w:val="21"/>
                <w:szCs w:val="21"/>
              </w:rPr>
            </w:pPr>
            <w:r>
              <w:rPr>
                <w:rFonts w:cs="Times New Roman"/>
                <w:sz w:val="21"/>
                <w:szCs w:val="21"/>
              </w:rPr>
              <w:t>500</w:t>
            </w:r>
          </w:p>
        </w:tc>
        <w:tc>
          <w:tcPr>
            <w:tcW w:w="822" w:type="dxa"/>
            <w:vAlign w:val="center"/>
          </w:tcPr>
          <w:p>
            <w:pPr>
              <w:ind w:firstLine="0" w:firstLineChars="0"/>
              <w:jc w:val="center"/>
              <w:rPr>
                <w:rFonts w:cs="Times New Roman"/>
                <w:sz w:val="21"/>
                <w:szCs w:val="21"/>
              </w:rPr>
            </w:pPr>
            <w:r>
              <w:rPr>
                <w:rFonts w:cs="Times New Roman"/>
                <w:sz w:val="21"/>
                <w:szCs w:val="21"/>
              </w:rPr>
              <w:t>白山市农业农村局、各县区人民政府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农业面源污染防治</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花园口镇、那尔轰镇、景山镇、赤松镇、靖宇镇、三道湖镇、龙泉镇、</w:t>
            </w:r>
            <w:r>
              <w:rPr>
                <w:rFonts w:eastAsia="微软雅黑" w:cs="Times New Roman"/>
                <w:sz w:val="21"/>
                <w:szCs w:val="21"/>
              </w:rPr>
              <w:t>濛</w:t>
            </w:r>
            <w:r>
              <w:rPr>
                <w:rFonts w:cs="Times New Roman"/>
                <w:sz w:val="21"/>
                <w:szCs w:val="21"/>
              </w:rPr>
              <w:t>江乡</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白龙湾、白山大桥、海岛电站坝下</w:t>
            </w:r>
          </w:p>
        </w:tc>
        <w:tc>
          <w:tcPr>
            <w:tcW w:w="1209" w:type="dxa"/>
            <w:vAlign w:val="center"/>
          </w:tcPr>
          <w:p>
            <w:pPr>
              <w:ind w:firstLine="0" w:firstLineChars="0"/>
              <w:jc w:val="center"/>
              <w:rPr>
                <w:rFonts w:cs="Times New Roman"/>
                <w:sz w:val="21"/>
                <w:szCs w:val="21"/>
              </w:rPr>
            </w:pPr>
            <w:r>
              <w:rPr>
                <w:rFonts w:cs="Times New Roman"/>
                <w:sz w:val="21"/>
                <w:szCs w:val="21"/>
              </w:rPr>
              <w:t>生态沟渠治理工程</w:t>
            </w:r>
          </w:p>
        </w:tc>
        <w:tc>
          <w:tcPr>
            <w:tcW w:w="2736" w:type="dxa"/>
            <w:vAlign w:val="center"/>
          </w:tcPr>
          <w:p>
            <w:pPr>
              <w:ind w:firstLine="0" w:firstLineChars="0"/>
              <w:jc w:val="center"/>
              <w:rPr>
                <w:rFonts w:cs="Times New Roman"/>
                <w:sz w:val="21"/>
                <w:szCs w:val="21"/>
              </w:rPr>
            </w:pPr>
            <w:r>
              <w:rPr>
                <w:rFonts w:cs="Times New Roman"/>
                <w:sz w:val="21"/>
                <w:szCs w:val="21"/>
              </w:rPr>
              <w:t>对靖宇县8个乡镇的农田排水沟渠进行底泥清理、种植生态植物，治理沟渠长度100km。</w:t>
            </w:r>
          </w:p>
        </w:tc>
        <w:tc>
          <w:tcPr>
            <w:tcW w:w="1253" w:type="dxa"/>
            <w:vAlign w:val="center"/>
          </w:tcPr>
          <w:p>
            <w:pPr>
              <w:ind w:firstLine="0" w:firstLineChars="0"/>
              <w:jc w:val="center"/>
              <w:rPr>
                <w:rFonts w:cs="Times New Roman"/>
                <w:sz w:val="21"/>
                <w:szCs w:val="21"/>
              </w:rPr>
            </w:pPr>
            <w:r>
              <w:rPr>
                <w:rFonts w:cs="Times New Roman"/>
                <w:sz w:val="21"/>
                <w:szCs w:val="21"/>
              </w:rPr>
              <w:t>10350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生态沟渠修复</w:t>
            </w:r>
          </w:p>
        </w:tc>
        <w:tc>
          <w:tcPr>
            <w:tcW w:w="863" w:type="dxa"/>
            <w:vAlign w:val="center"/>
          </w:tcPr>
          <w:p>
            <w:pPr>
              <w:ind w:firstLine="0" w:firstLineChars="0"/>
              <w:jc w:val="center"/>
              <w:rPr>
                <w:rFonts w:cs="Times New Roman"/>
                <w:sz w:val="21"/>
                <w:szCs w:val="21"/>
              </w:rPr>
            </w:pPr>
            <w:r>
              <w:rPr>
                <w:rFonts w:cs="Times New Roman"/>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双河村、仁和村、新立村、三合村</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白龙湾、海岛电站坝下</w:t>
            </w:r>
          </w:p>
        </w:tc>
        <w:tc>
          <w:tcPr>
            <w:tcW w:w="1209" w:type="dxa"/>
            <w:vAlign w:val="center"/>
          </w:tcPr>
          <w:p>
            <w:pPr>
              <w:ind w:firstLine="0" w:firstLineChars="0"/>
              <w:jc w:val="center"/>
              <w:rPr>
                <w:rFonts w:cs="Times New Roman"/>
                <w:sz w:val="21"/>
                <w:szCs w:val="21"/>
              </w:rPr>
            </w:pPr>
            <w:r>
              <w:rPr>
                <w:rFonts w:cs="Times New Roman"/>
                <w:sz w:val="21"/>
                <w:szCs w:val="21"/>
              </w:rPr>
              <w:t>双河生态护岸工程</w:t>
            </w:r>
          </w:p>
        </w:tc>
        <w:tc>
          <w:tcPr>
            <w:tcW w:w="2736" w:type="dxa"/>
            <w:vAlign w:val="center"/>
          </w:tcPr>
          <w:p>
            <w:pPr>
              <w:ind w:firstLine="0" w:firstLineChars="0"/>
              <w:jc w:val="center"/>
              <w:rPr>
                <w:rFonts w:cs="Times New Roman"/>
                <w:sz w:val="21"/>
                <w:szCs w:val="21"/>
              </w:rPr>
            </w:pPr>
            <w:r>
              <w:rPr>
                <w:rFonts w:cs="Times New Roman"/>
                <w:sz w:val="21"/>
                <w:szCs w:val="21"/>
              </w:rPr>
              <w:t>双河村、仁和村、新立村、三合村等村屯进行生态护岸治理，治理长度6km。</w:t>
            </w:r>
          </w:p>
        </w:tc>
        <w:tc>
          <w:tcPr>
            <w:tcW w:w="1253" w:type="dxa"/>
            <w:vAlign w:val="center"/>
          </w:tcPr>
          <w:p>
            <w:pPr>
              <w:ind w:firstLine="0" w:firstLineChars="0"/>
              <w:jc w:val="center"/>
              <w:rPr>
                <w:rFonts w:cs="Times New Roman"/>
                <w:sz w:val="21"/>
                <w:szCs w:val="21"/>
              </w:rPr>
            </w:pPr>
            <w:r>
              <w:rPr>
                <w:rFonts w:cs="Times New Roman"/>
                <w:sz w:val="21"/>
                <w:szCs w:val="21"/>
              </w:rPr>
              <w:t>3000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三道湖镇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靖宇县三道湖镇海龙河蓝莓小镇河道治理工程（三道湖桥至三道湖镇小学）</w:t>
            </w:r>
          </w:p>
        </w:tc>
        <w:tc>
          <w:tcPr>
            <w:tcW w:w="2736" w:type="dxa"/>
            <w:vAlign w:val="center"/>
          </w:tcPr>
          <w:p>
            <w:pPr>
              <w:ind w:firstLine="0" w:firstLineChars="0"/>
              <w:jc w:val="center"/>
              <w:rPr>
                <w:rFonts w:cs="Times New Roman"/>
                <w:sz w:val="21"/>
                <w:szCs w:val="21"/>
              </w:rPr>
            </w:pPr>
            <w:r>
              <w:rPr>
                <w:rFonts w:cs="Times New Roman"/>
                <w:sz w:val="21"/>
                <w:szCs w:val="21"/>
              </w:rPr>
              <w:t>河道左岸护岸597米，右岸护岸638米。每隔50米设置景观台阶1处，共计13处。</w:t>
            </w:r>
          </w:p>
        </w:tc>
        <w:tc>
          <w:tcPr>
            <w:tcW w:w="1253" w:type="dxa"/>
            <w:vAlign w:val="center"/>
          </w:tcPr>
          <w:p>
            <w:pPr>
              <w:ind w:firstLine="0" w:firstLineChars="0"/>
              <w:jc w:val="center"/>
              <w:rPr>
                <w:rFonts w:cs="Times New Roman"/>
                <w:sz w:val="21"/>
                <w:szCs w:val="21"/>
              </w:rPr>
            </w:pPr>
            <w:r>
              <w:rPr>
                <w:rFonts w:cs="Times New Roman"/>
                <w:sz w:val="21"/>
                <w:szCs w:val="21"/>
              </w:rPr>
              <w:t>609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靖宇县三道</w:t>
            </w:r>
            <w:r>
              <w:rPr>
                <w:rFonts w:eastAsia="微软雅黑" w:cs="Times New Roman"/>
                <w:sz w:val="21"/>
                <w:szCs w:val="21"/>
              </w:rPr>
              <w:t>濛</w:t>
            </w:r>
            <w:r>
              <w:rPr>
                <w:rFonts w:cs="Times New Roman"/>
                <w:sz w:val="21"/>
                <w:szCs w:val="21"/>
              </w:rPr>
              <w:t>江河东北抗联教育基地段治理工程</w:t>
            </w:r>
          </w:p>
        </w:tc>
        <w:tc>
          <w:tcPr>
            <w:tcW w:w="2736" w:type="dxa"/>
            <w:vAlign w:val="center"/>
          </w:tcPr>
          <w:p>
            <w:pPr>
              <w:ind w:firstLine="0" w:firstLineChars="0"/>
              <w:jc w:val="center"/>
              <w:rPr>
                <w:rFonts w:cs="Times New Roman"/>
                <w:sz w:val="21"/>
                <w:szCs w:val="21"/>
              </w:rPr>
            </w:pPr>
            <w:r>
              <w:rPr>
                <w:rFonts w:cs="Times New Roman"/>
                <w:sz w:val="21"/>
                <w:szCs w:val="21"/>
              </w:rPr>
              <w:t>工程护岸总长度为6078m，其中左岸长2829m，右岸长3249m。新建涵洞18座，其中引水涵2座，排水圆洞（φ0.3m）5座；排水圆涵（φ1.0m）9座；排水方涵2座。</w:t>
            </w:r>
          </w:p>
        </w:tc>
        <w:tc>
          <w:tcPr>
            <w:tcW w:w="1253" w:type="dxa"/>
            <w:vAlign w:val="center"/>
          </w:tcPr>
          <w:p>
            <w:pPr>
              <w:ind w:firstLine="0" w:firstLineChars="0"/>
              <w:jc w:val="center"/>
              <w:rPr>
                <w:rFonts w:cs="Times New Roman"/>
                <w:sz w:val="21"/>
                <w:szCs w:val="21"/>
              </w:rPr>
            </w:pPr>
            <w:r>
              <w:rPr>
                <w:rFonts w:cs="Times New Roman"/>
                <w:sz w:val="21"/>
                <w:szCs w:val="21"/>
              </w:rPr>
              <w:t>1626</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龙泉镇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珠子河靖宇县龙泉镇段综合治理工程</w:t>
            </w:r>
          </w:p>
        </w:tc>
        <w:tc>
          <w:tcPr>
            <w:tcW w:w="2736" w:type="dxa"/>
            <w:vAlign w:val="center"/>
          </w:tcPr>
          <w:p>
            <w:pPr>
              <w:ind w:firstLine="0" w:firstLineChars="0"/>
              <w:jc w:val="center"/>
              <w:rPr>
                <w:rFonts w:cs="Times New Roman"/>
                <w:sz w:val="21"/>
                <w:szCs w:val="21"/>
              </w:rPr>
            </w:pPr>
            <w:r>
              <w:rPr>
                <w:rFonts w:cs="Times New Roman"/>
                <w:sz w:val="21"/>
                <w:szCs w:val="21"/>
              </w:rPr>
              <w:t>1、河道治理工程：新建护岸工程总长度4.71km;2、新建生态工程：生态步道总长度为1.82km</w:t>
            </w:r>
          </w:p>
        </w:tc>
        <w:tc>
          <w:tcPr>
            <w:tcW w:w="1253" w:type="dxa"/>
            <w:vAlign w:val="center"/>
          </w:tcPr>
          <w:p>
            <w:pPr>
              <w:ind w:firstLine="0" w:firstLineChars="0"/>
              <w:jc w:val="center"/>
              <w:rPr>
                <w:rFonts w:cs="Times New Roman"/>
                <w:sz w:val="21"/>
                <w:szCs w:val="21"/>
              </w:rPr>
            </w:pPr>
            <w:r>
              <w:rPr>
                <w:rFonts w:cs="Times New Roman"/>
                <w:sz w:val="21"/>
                <w:szCs w:val="21"/>
              </w:rPr>
              <w:t>2100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双石村</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靖宇县珠子河（双石村段）综合治理工程</w:t>
            </w:r>
          </w:p>
        </w:tc>
        <w:tc>
          <w:tcPr>
            <w:tcW w:w="2736" w:type="dxa"/>
            <w:vAlign w:val="center"/>
          </w:tcPr>
          <w:p>
            <w:pPr>
              <w:ind w:firstLine="0" w:firstLineChars="0"/>
              <w:jc w:val="center"/>
              <w:rPr>
                <w:rFonts w:cs="Times New Roman"/>
                <w:sz w:val="21"/>
                <w:szCs w:val="21"/>
              </w:rPr>
            </w:pPr>
            <w:r>
              <w:rPr>
                <w:rFonts w:cs="Times New Roman"/>
                <w:sz w:val="21"/>
                <w:szCs w:val="21"/>
              </w:rPr>
              <w:t>珠子河左岸总长3.95km，右岸总长3.852km</w:t>
            </w:r>
          </w:p>
        </w:tc>
        <w:tc>
          <w:tcPr>
            <w:tcW w:w="1253" w:type="dxa"/>
            <w:vAlign w:val="center"/>
          </w:tcPr>
          <w:p>
            <w:pPr>
              <w:ind w:firstLine="0" w:firstLineChars="0"/>
              <w:jc w:val="center"/>
              <w:rPr>
                <w:rFonts w:cs="Times New Roman"/>
                <w:sz w:val="21"/>
                <w:szCs w:val="21"/>
              </w:rPr>
            </w:pPr>
            <w:r>
              <w:rPr>
                <w:rFonts w:cs="Times New Roman"/>
                <w:sz w:val="21"/>
                <w:szCs w:val="21"/>
              </w:rPr>
              <w:t>2369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eastAsia="微软雅黑" w:cs="Times New Roman"/>
                <w:sz w:val="21"/>
                <w:szCs w:val="21"/>
              </w:rPr>
              <w:t>濛</w:t>
            </w:r>
            <w:r>
              <w:rPr>
                <w:rFonts w:cs="Times New Roman"/>
                <w:sz w:val="21"/>
                <w:szCs w:val="21"/>
              </w:rPr>
              <w:t>江乡</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w:t>
            </w:r>
            <w:r>
              <w:rPr>
                <w:rFonts w:eastAsia="微软雅黑" w:cs="Times New Roman"/>
                <w:sz w:val="21"/>
                <w:szCs w:val="21"/>
              </w:rPr>
              <w:t>濛</w:t>
            </w:r>
            <w:r>
              <w:rPr>
                <w:rFonts w:cs="Times New Roman"/>
                <w:sz w:val="21"/>
                <w:szCs w:val="21"/>
              </w:rPr>
              <w:t>江乡（小营子村、前双山子村、山林村、八宝村、大沙河村）山洪沟治理工程</w:t>
            </w:r>
          </w:p>
        </w:tc>
        <w:tc>
          <w:tcPr>
            <w:tcW w:w="2736" w:type="dxa"/>
            <w:vAlign w:val="center"/>
          </w:tcPr>
          <w:p>
            <w:pPr>
              <w:ind w:firstLine="0" w:firstLineChars="0"/>
              <w:jc w:val="center"/>
              <w:rPr>
                <w:rFonts w:cs="Times New Roman"/>
                <w:sz w:val="21"/>
                <w:szCs w:val="21"/>
              </w:rPr>
            </w:pPr>
            <w:r>
              <w:rPr>
                <w:rFonts w:cs="Times New Roman"/>
                <w:sz w:val="21"/>
                <w:szCs w:val="21"/>
              </w:rPr>
              <w:t>现浇矩形槽护砌总长1362m，新建雷诺护垫护岸76m，新建浆砌石挡墙护岸77m，新建农桥共10座</w:t>
            </w:r>
          </w:p>
        </w:tc>
        <w:tc>
          <w:tcPr>
            <w:tcW w:w="1253" w:type="dxa"/>
            <w:vAlign w:val="center"/>
          </w:tcPr>
          <w:p>
            <w:pPr>
              <w:ind w:firstLine="0" w:firstLineChars="0"/>
              <w:jc w:val="center"/>
              <w:rPr>
                <w:rFonts w:cs="Times New Roman"/>
                <w:sz w:val="21"/>
                <w:szCs w:val="21"/>
              </w:rPr>
            </w:pPr>
            <w:r>
              <w:rPr>
                <w:rFonts w:cs="Times New Roman"/>
                <w:sz w:val="21"/>
                <w:szCs w:val="21"/>
              </w:rPr>
              <w:t>502</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eastAsia="微软雅黑" w:cs="Times New Roman"/>
                <w:sz w:val="21"/>
                <w:szCs w:val="21"/>
              </w:rPr>
              <w:t>濛</w:t>
            </w:r>
            <w:r>
              <w:rPr>
                <w:rFonts w:cs="Times New Roman"/>
                <w:sz w:val="21"/>
                <w:szCs w:val="21"/>
              </w:rPr>
              <w:t>江乡</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w:t>
            </w:r>
            <w:r>
              <w:rPr>
                <w:rFonts w:eastAsia="微软雅黑" w:cs="Times New Roman"/>
                <w:sz w:val="21"/>
                <w:szCs w:val="21"/>
              </w:rPr>
              <w:t>濛</w:t>
            </w:r>
            <w:r>
              <w:rPr>
                <w:rFonts w:cs="Times New Roman"/>
                <w:sz w:val="21"/>
                <w:szCs w:val="21"/>
              </w:rPr>
              <w:t>江乡（珠子河村联合屯、复兴村）农田防护堤工程</w:t>
            </w:r>
          </w:p>
        </w:tc>
        <w:tc>
          <w:tcPr>
            <w:tcW w:w="2736" w:type="dxa"/>
            <w:vAlign w:val="center"/>
          </w:tcPr>
          <w:p>
            <w:pPr>
              <w:ind w:firstLine="0" w:firstLineChars="0"/>
              <w:jc w:val="center"/>
              <w:rPr>
                <w:rFonts w:cs="Times New Roman"/>
                <w:sz w:val="21"/>
                <w:szCs w:val="21"/>
              </w:rPr>
            </w:pPr>
            <w:r>
              <w:rPr>
                <w:rFonts w:cs="Times New Roman"/>
                <w:sz w:val="21"/>
                <w:szCs w:val="21"/>
              </w:rPr>
              <w:t>本工程设计护岸总长度1685米，新建盖板涵3座</w:t>
            </w:r>
          </w:p>
        </w:tc>
        <w:tc>
          <w:tcPr>
            <w:tcW w:w="1253" w:type="dxa"/>
            <w:vAlign w:val="center"/>
          </w:tcPr>
          <w:p>
            <w:pPr>
              <w:ind w:firstLine="0" w:firstLineChars="0"/>
              <w:jc w:val="center"/>
              <w:rPr>
                <w:rFonts w:cs="Times New Roman"/>
                <w:sz w:val="21"/>
                <w:szCs w:val="21"/>
              </w:rPr>
            </w:pPr>
            <w:r>
              <w:rPr>
                <w:rFonts w:cs="Times New Roman"/>
                <w:sz w:val="21"/>
                <w:szCs w:val="21"/>
              </w:rPr>
              <w:t>699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珠子河生态隔离带建设</w:t>
            </w:r>
          </w:p>
        </w:tc>
        <w:tc>
          <w:tcPr>
            <w:tcW w:w="2736" w:type="dxa"/>
            <w:vAlign w:val="center"/>
          </w:tcPr>
          <w:p>
            <w:pPr>
              <w:ind w:firstLine="0" w:firstLineChars="0"/>
              <w:jc w:val="center"/>
              <w:rPr>
                <w:rFonts w:cs="Times New Roman"/>
                <w:sz w:val="21"/>
                <w:szCs w:val="21"/>
              </w:rPr>
            </w:pPr>
            <w:r>
              <w:rPr>
                <w:rFonts w:cs="Times New Roman"/>
                <w:sz w:val="21"/>
                <w:szCs w:val="21"/>
              </w:rPr>
              <w:t>在义胜村珠子河岸两旁各建2.5km生态隔离带</w:t>
            </w:r>
          </w:p>
        </w:tc>
        <w:tc>
          <w:tcPr>
            <w:tcW w:w="1253" w:type="dxa"/>
            <w:vAlign w:val="center"/>
          </w:tcPr>
          <w:p>
            <w:pPr>
              <w:ind w:firstLine="0" w:firstLineChars="0"/>
              <w:jc w:val="center"/>
              <w:rPr>
                <w:rFonts w:cs="Times New Roman"/>
                <w:sz w:val="21"/>
                <w:szCs w:val="21"/>
              </w:rPr>
            </w:pPr>
            <w:r>
              <w:rPr>
                <w:rFonts w:cs="Times New Roman"/>
                <w:sz w:val="21"/>
                <w:szCs w:val="21"/>
              </w:rPr>
              <w:t>2700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39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靖宇县靖宇镇河南村姜家沟河道治理工程</w:t>
            </w:r>
          </w:p>
        </w:tc>
        <w:tc>
          <w:tcPr>
            <w:tcW w:w="2736" w:type="dxa"/>
            <w:vAlign w:val="center"/>
          </w:tcPr>
          <w:p>
            <w:pPr>
              <w:ind w:firstLine="0" w:firstLineChars="0"/>
              <w:jc w:val="center"/>
              <w:rPr>
                <w:rFonts w:cs="Times New Roman"/>
                <w:sz w:val="21"/>
                <w:szCs w:val="21"/>
              </w:rPr>
            </w:pPr>
            <w:r>
              <w:rPr>
                <w:rFonts w:cs="Times New Roman"/>
                <w:sz w:val="21"/>
                <w:szCs w:val="21"/>
              </w:rPr>
              <w:t>该项目区段内河道无防护，现状为自然土质岸面，岸坡陡缓不一，垃圾堆积，环境脏乱差。近年来，洪水沿岸受淘刷破坏严重，经常河水漫流，民房进水，严重影响岸区人民的生产生活，给当地村民造成了较为严重的经济损失，阻塞交通。一、项目建设内容与规模：新建挡墙总长1064m，其中左岸532m，右岸532m。设排水涵管8处，采用直径1m预制水泥管。设砼盖板4处，宽3m，长6m。改建1-8m钢筋混凝土板桥一座。二、效益分析：项目的实施能够防止和减少洪水灾害，保护沿岸耕地及民房，提高河道抗冲刷能力，减少水土流失，改善沿岸居民生活，促进农业的可持续发展和区域经济的发展。</w:t>
            </w:r>
          </w:p>
        </w:tc>
        <w:tc>
          <w:tcPr>
            <w:tcW w:w="1253" w:type="dxa"/>
            <w:vAlign w:val="center"/>
          </w:tcPr>
          <w:p>
            <w:pPr>
              <w:ind w:firstLine="0" w:firstLineChars="0"/>
              <w:jc w:val="center"/>
              <w:rPr>
                <w:rFonts w:cs="Times New Roman"/>
                <w:sz w:val="21"/>
                <w:szCs w:val="21"/>
              </w:rPr>
            </w:pPr>
            <w:r>
              <w:rPr>
                <w:rFonts w:cs="Times New Roman"/>
                <w:sz w:val="21"/>
                <w:szCs w:val="21"/>
              </w:rPr>
              <w:t>519.04</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靖宇县花园口镇新华村长坂坡沟小流域治理工程</w:t>
            </w:r>
          </w:p>
        </w:tc>
        <w:tc>
          <w:tcPr>
            <w:tcW w:w="2736" w:type="dxa"/>
            <w:vAlign w:val="center"/>
          </w:tcPr>
          <w:p>
            <w:pPr>
              <w:ind w:firstLine="0" w:firstLineChars="0"/>
              <w:jc w:val="center"/>
              <w:rPr>
                <w:rFonts w:cs="Times New Roman"/>
                <w:sz w:val="21"/>
                <w:szCs w:val="21"/>
              </w:rPr>
            </w:pPr>
            <w:r>
              <w:rPr>
                <w:rFonts w:cs="Times New Roman"/>
                <w:sz w:val="21"/>
                <w:szCs w:val="21"/>
              </w:rPr>
              <w:t>本次治理段位位于新华村西抚长高速桥下至新华村农桥上，共计301.9m。浆砌石护岸总长度为593.4m,其中左岸288.3m,右岸305.1m，根据实际地形在河道桩号K0+111.1处设汇入涵一处，长度为3.0m。本项目全线无新增征地拆迁。</w:t>
            </w:r>
          </w:p>
        </w:tc>
        <w:tc>
          <w:tcPr>
            <w:tcW w:w="1253" w:type="dxa"/>
            <w:vAlign w:val="center"/>
          </w:tcPr>
          <w:p>
            <w:pPr>
              <w:ind w:firstLine="0" w:firstLineChars="0"/>
              <w:jc w:val="center"/>
              <w:rPr>
                <w:rFonts w:cs="Times New Roman"/>
                <w:sz w:val="21"/>
                <w:szCs w:val="21"/>
              </w:rPr>
            </w:pPr>
            <w:r>
              <w:rPr>
                <w:rFonts w:cs="Times New Roman"/>
                <w:sz w:val="21"/>
                <w:szCs w:val="21"/>
              </w:rPr>
              <w:t>183</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花园口镇</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w:t>
            </w:r>
          </w:p>
        </w:tc>
        <w:tc>
          <w:tcPr>
            <w:tcW w:w="1209" w:type="dxa"/>
            <w:vAlign w:val="center"/>
          </w:tcPr>
          <w:p>
            <w:pPr>
              <w:ind w:firstLine="0" w:firstLineChars="0"/>
              <w:jc w:val="center"/>
              <w:rPr>
                <w:rFonts w:cs="Times New Roman"/>
                <w:sz w:val="21"/>
                <w:szCs w:val="21"/>
              </w:rPr>
            </w:pPr>
            <w:r>
              <w:rPr>
                <w:rFonts w:cs="Times New Roman"/>
                <w:sz w:val="21"/>
                <w:szCs w:val="21"/>
              </w:rPr>
              <w:t>靖宇县花园口镇雨污分离建设项目</w:t>
            </w:r>
          </w:p>
        </w:tc>
        <w:tc>
          <w:tcPr>
            <w:tcW w:w="2736" w:type="dxa"/>
            <w:vAlign w:val="center"/>
          </w:tcPr>
          <w:p>
            <w:pPr>
              <w:ind w:firstLine="0" w:firstLineChars="0"/>
              <w:jc w:val="center"/>
              <w:rPr>
                <w:rFonts w:cs="Times New Roman"/>
                <w:sz w:val="21"/>
                <w:szCs w:val="21"/>
              </w:rPr>
            </w:pPr>
            <w:r>
              <w:rPr>
                <w:rFonts w:cs="Times New Roman"/>
                <w:sz w:val="21"/>
                <w:szCs w:val="21"/>
              </w:rPr>
              <w:t>新建雨水管线3122.6m，新建雨水连接管598.5m；新建污水管线3171.4m，新建污水处理设备2套；拆除及恢复沥青铺装12883.58</w:t>
            </w:r>
            <w:r>
              <w:rPr>
                <w:rFonts w:eastAsia="Segoe UI Symbol" w:cs="Times New Roman"/>
                <w:sz w:val="21"/>
                <w:szCs w:val="21"/>
              </w:rPr>
              <w:t>㎡</w:t>
            </w:r>
            <w:r>
              <w:rPr>
                <w:rFonts w:cs="Times New Roman"/>
                <w:sz w:val="21"/>
                <w:szCs w:val="21"/>
              </w:rPr>
              <w:t>、拆除既有挡墙520m，拆除既有边沟6648.58m，新建人行横道铺装总面积20509.04</w:t>
            </w:r>
            <w:r>
              <w:rPr>
                <w:rFonts w:eastAsia="Segoe UI Symbol" w:cs="Times New Roman"/>
                <w:sz w:val="21"/>
                <w:szCs w:val="21"/>
              </w:rPr>
              <w:t>㎡</w:t>
            </w:r>
            <w:r>
              <w:rPr>
                <w:rFonts w:cs="Times New Roman"/>
                <w:sz w:val="21"/>
                <w:szCs w:val="21"/>
              </w:rPr>
              <w:t>，其中铺设人行横道方砖结构13810.04</w:t>
            </w:r>
            <w:r>
              <w:rPr>
                <w:rFonts w:eastAsia="Segoe UI Symbol" w:cs="Times New Roman"/>
                <w:sz w:val="21"/>
                <w:szCs w:val="21"/>
              </w:rPr>
              <w:t>㎡</w:t>
            </w:r>
            <w:r>
              <w:rPr>
                <w:rFonts w:cs="Times New Roman"/>
                <w:sz w:val="21"/>
                <w:szCs w:val="21"/>
              </w:rPr>
              <w:t>、铺设人行横道火烧板结构6699</w:t>
            </w:r>
            <w:r>
              <w:rPr>
                <w:rFonts w:eastAsia="Segoe UI Symbol" w:cs="Times New Roman"/>
                <w:sz w:val="21"/>
                <w:szCs w:val="21"/>
              </w:rPr>
              <w:t>㎡</w:t>
            </w:r>
            <w:r>
              <w:rPr>
                <w:rFonts w:cs="Times New Roman"/>
                <w:sz w:val="21"/>
                <w:szCs w:val="21"/>
              </w:rPr>
              <w:t>。</w:t>
            </w:r>
          </w:p>
        </w:tc>
        <w:tc>
          <w:tcPr>
            <w:tcW w:w="1253" w:type="dxa"/>
            <w:vAlign w:val="center"/>
          </w:tcPr>
          <w:p>
            <w:pPr>
              <w:ind w:firstLine="0" w:firstLineChars="0"/>
              <w:jc w:val="center"/>
              <w:rPr>
                <w:rFonts w:cs="Times New Roman"/>
                <w:sz w:val="21"/>
                <w:szCs w:val="21"/>
              </w:rPr>
            </w:pPr>
            <w:r>
              <w:rPr>
                <w:rFonts w:cs="Times New Roman"/>
                <w:sz w:val="21"/>
                <w:szCs w:val="21"/>
              </w:rPr>
              <w:t>2203.69</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八宝栏子河涉水桥</w:t>
            </w:r>
          </w:p>
        </w:tc>
        <w:tc>
          <w:tcPr>
            <w:tcW w:w="2736" w:type="dxa"/>
            <w:vAlign w:val="center"/>
          </w:tcPr>
          <w:p>
            <w:pPr>
              <w:ind w:firstLine="0" w:firstLineChars="0"/>
              <w:jc w:val="center"/>
              <w:rPr>
                <w:rFonts w:cs="Times New Roman"/>
                <w:sz w:val="21"/>
                <w:szCs w:val="21"/>
              </w:rPr>
            </w:pPr>
            <w:r>
              <w:rPr>
                <w:rFonts w:cs="Times New Roman"/>
                <w:sz w:val="21"/>
                <w:szCs w:val="21"/>
              </w:rPr>
              <w:t>景观涉水桥三道</w:t>
            </w:r>
          </w:p>
        </w:tc>
        <w:tc>
          <w:tcPr>
            <w:tcW w:w="1253" w:type="dxa"/>
            <w:vAlign w:val="center"/>
          </w:tcPr>
          <w:p>
            <w:pPr>
              <w:ind w:firstLine="0" w:firstLineChars="0"/>
              <w:jc w:val="center"/>
              <w:rPr>
                <w:rFonts w:cs="Times New Roman"/>
                <w:sz w:val="21"/>
                <w:szCs w:val="21"/>
              </w:rPr>
            </w:pPr>
            <w:r>
              <w:rPr>
                <w:rFonts w:cs="Times New Roman"/>
                <w:sz w:val="21"/>
                <w:szCs w:val="21"/>
              </w:rPr>
              <w:t>105</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三道湖镇、龙泉镇、景山镇、那尔轰镇、花园口镇</w:t>
            </w:r>
          </w:p>
        </w:tc>
        <w:tc>
          <w:tcPr>
            <w:tcW w:w="1134" w:type="dxa"/>
            <w:vAlign w:val="center"/>
          </w:tcPr>
          <w:p>
            <w:pPr>
              <w:ind w:firstLine="0" w:firstLineChars="0"/>
              <w:jc w:val="center"/>
              <w:rPr>
                <w:rFonts w:cs="Times New Roman"/>
                <w:sz w:val="21"/>
                <w:szCs w:val="21"/>
              </w:rPr>
            </w:pPr>
            <w:r>
              <w:rPr>
                <w:rFonts w:cs="Times New Roman"/>
                <w:sz w:val="21"/>
                <w:szCs w:val="21"/>
              </w:rPr>
              <w:t>珠子河、头道松花江</w:t>
            </w:r>
          </w:p>
        </w:tc>
        <w:tc>
          <w:tcPr>
            <w:tcW w:w="1134" w:type="dxa"/>
            <w:vAlign w:val="center"/>
          </w:tcPr>
          <w:p>
            <w:pPr>
              <w:ind w:firstLine="0" w:firstLineChars="0"/>
              <w:jc w:val="center"/>
              <w:rPr>
                <w:rFonts w:cs="Times New Roman"/>
                <w:sz w:val="21"/>
                <w:szCs w:val="21"/>
              </w:rPr>
            </w:pPr>
            <w:r>
              <w:rPr>
                <w:rFonts w:cs="Times New Roman"/>
                <w:sz w:val="21"/>
                <w:szCs w:val="21"/>
              </w:rPr>
              <w:t>白龙湾、白山大桥、海岛电站坝下</w:t>
            </w:r>
          </w:p>
        </w:tc>
        <w:tc>
          <w:tcPr>
            <w:tcW w:w="1209" w:type="dxa"/>
            <w:vAlign w:val="center"/>
          </w:tcPr>
          <w:p>
            <w:pPr>
              <w:ind w:firstLine="0" w:firstLineChars="0"/>
              <w:jc w:val="center"/>
              <w:rPr>
                <w:rFonts w:cs="Times New Roman"/>
                <w:sz w:val="21"/>
                <w:szCs w:val="21"/>
              </w:rPr>
            </w:pPr>
            <w:r>
              <w:rPr>
                <w:rFonts w:cs="Times New Roman"/>
                <w:sz w:val="21"/>
                <w:szCs w:val="21"/>
              </w:rPr>
              <w:t>2020年水毁修复项目</w:t>
            </w:r>
          </w:p>
        </w:tc>
        <w:tc>
          <w:tcPr>
            <w:tcW w:w="2736" w:type="dxa"/>
            <w:vAlign w:val="center"/>
          </w:tcPr>
          <w:p>
            <w:pPr>
              <w:ind w:firstLine="0" w:firstLineChars="0"/>
              <w:jc w:val="center"/>
              <w:rPr>
                <w:rFonts w:cs="Times New Roman"/>
                <w:sz w:val="21"/>
                <w:szCs w:val="21"/>
              </w:rPr>
            </w:pPr>
            <w:r>
              <w:rPr>
                <w:rFonts w:cs="Times New Roman"/>
                <w:sz w:val="21"/>
                <w:szCs w:val="21"/>
              </w:rPr>
              <w:t>2020年水毁16个村堤防修复</w:t>
            </w:r>
          </w:p>
        </w:tc>
        <w:tc>
          <w:tcPr>
            <w:tcW w:w="1253" w:type="dxa"/>
            <w:vAlign w:val="center"/>
          </w:tcPr>
          <w:p>
            <w:pPr>
              <w:ind w:firstLine="0" w:firstLineChars="0"/>
              <w:jc w:val="center"/>
              <w:rPr>
                <w:rFonts w:cs="Times New Roman"/>
                <w:sz w:val="21"/>
                <w:szCs w:val="21"/>
              </w:rPr>
            </w:pPr>
            <w:r>
              <w:rPr>
                <w:rFonts w:cs="Times New Roman"/>
                <w:sz w:val="21"/>
                <w:szCs w:val="21"/>
              </w:rPr>
              <w:t>360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靖宇县</w:t>
            </w:r>
          </w:p>
        </w:tc>
        <w:tc>
          <w:tcPr>
            <w:tcW w:w="1275" w:type="dxa"/>
            <w:vAlign w:val="center"/>
          </w:tcPr>
          <w:p>
            <w:pPr>
              <w:ind w:firstLine="0" w:firstLineChars="0"/>
              <w:jc w:val="center"/>
              <w:rPr>
                <w:rFonts w:cs="Times New Roman"/>
                <w:sz w:val="21"/>
                <w:szCs w:val="21"/>
              </w:rPr>
            </w:pPr>
            <w:r>
              <w:rPr>
                <w:rFonts w:cs="Times New Roman"/>
                <w:sz w:val="21"/>
                <w:szCs w:val="21"/>
              </w:rPr>
              <w:t>靖宇镇</w:t>
            </w:r>
          </w:p>
        </w:tc>
        <w:tc>
          <w:tcPr>
            <w:tcW w:w="1134" w:type="dxa"/>
            <w:vAlign w:val="center"/>
          </w:tcPr>
          <w:p>
            <w:pPr>
              <w:ind w:firstLine="0" w:firstLineChars="0"/>
              <w:jc w:val="center"/>
              <w:rPr>
                <w:rFonts w:cs="Times New Roman"/>
                <w:sz w:val="21"/>
                <w:szCs w:val="21"/>
              </w:rPr>
            </w:pPr>
            <w:r>
              <w:rPr>
                <w:rFonts w:cs="Times New Roman"/>
                <w:sz w:val="21"/>
                <w:szCs w:val="21"/>
              </w:rPr>
              <w:t>珠子河</w:t>
            </w:r>
          </w:p>
        </w:tc>
        <w:tc>
          <w:tcPr>
            <w:tcW w:w="1134" w:type="dxa"/>
            <w:vAlign w:val="center"/>
          </w:tcPr>
          <w:p>
            <w:pPr>
              <w:ind w:firstLine="0" w:firstLineChars="0"/>
              <w:jc w:val="center"/>
              <w:rPr>
                <w:rFonts w:cs="Times New Roman"/>
                <w:sz w:val="21"/>
                <w:szCs w:val="21"/>
              </w:rPr>
            </w:pPr>
            <w:r>
              <w:rPr>
                <w:rFonts w:cs="Times New Roman"/>
                <w:sz w:val="21"/>
                <w:szCs w:val="21"/>
              </w:rPr>
              <w:t>海岛电站坝下</w:t>
            </w:r>
          </w:p>
        </w:tc>
        <w:tc>
          <w:tcPr>
            <w:tcW w:w="1209" w:type="dxa"/>
            <w:vAlign w:val="center"/>
          </w:tcPr>
          <w:p>
            <w:pPr>
              <w:ind w:firstLine="0" w:firstLineChars="0"/>
              <w:jc w:val="center"/>
              <w:rPr>
                <w:rFonts w:cs="Times New Roman"/>
                <w:sz w:val="21"/>
                <w:szCs w:val="21"/>
              </w:rPr>
            </w:pPr>
            <w:r>
              <w:rPr>
                <w:rFonts w:cs="Times New Roman"/>
                <w:sz w:val="21"/>
                <w:szCs w:val="21"/>
              </w:rPr>
              <w:t>2021年靖宇县农村供水保障工程</w:t>
            </w:r>
          </w:p>
        </w:tc>
        <w:tc>
          <w:tcPr>
            <w:tcW w:w="2736" w:type="dxa"/>
            <w:vAlign w:val="center"/>
          </w:tcPr>
          <w:p>
            <w:pPr>
              <w:ind w:firstLine="0" w:firstLineChars="0"/>
              <w:jc w:val="center"/>
              <w:rPr>
                <w:rFonts w:cs="Times New Roman"/>
                <w:sz w:val="21"/>
                <w:szCs w:val="21"/>
              </w:rPr>
            </w:pPr>
            <w:r>
              <w:rPr>
                <w:rFonts w:cs="Times New Roman"/>
                <w:sz w:val="21"/>
                <w:szCs w:val="21"/>
              </w:rPr>
              <w:t>新建蓄水池3处，新铺设饮水管路25公里，新建泵房机井4眼，水源保护8处，同时建设饮水工程智能化建设</w:t>
            </w:r>
          </w:p>
        </w:tc>
        <w:tc>
          <w:tcPr>
            <w:tcW w:w="1253" w:type="dxa"/>
            <w:vAlign w:val="center"/>
          </w:tcPr>
          <w:p>
            <w:pPr>
              <w:ind w:firstLine="0" w:firstLineChars="0"/>
              <w:jc w:val="center"/>
              <w:rPr>
                <w:rFonts w:cs="Times New Roman"/>
                <w:sz w:val="21"/>
                <w:szCs w:val="21"/>
              </w:rPr>
            </w:pPr>
            <w:r>
              <w:rPr>
                <w:rFonts w:cs="Times New Roman"/>
                <w:sz w:val="21"/>
                <w:szCs w:val="21"/>
              </w:rPr>
              <w:t>1300</w:t>
            </w:r>
          </w:p>
        </w:tc>
        <w:tc>
          <w:tcPr>
            <w:tcW w:w="822" w:type="dxa"/>
            <w:vAlign w:val="center"/>
          </w:tcPr>
          <w:p>
            <w:pPr>
              <w:ind w:firstLine="0" w:firstLineChars="0"/>
              <w:jc w:val="center"/>
              <w:rPr>
                <w:rFonts w:cs="Times New Roman"/>
                <w:sz w:val="21"/>
                <w:szCs w:val="21"/>
              </w:rPr>
            </w:pPr>
            <w:r>
              <w:rPr>
                <w:rFonts w:cs="Times New Roman"/>
                <w:sz w:val="21"/>
                <w:szCs w:val="21"/>
              </w:rPr>
              <w:t>靖宇县人民政府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白山市扩建4万吨/日污水处理工程</w:t>
            </w:r>
          </w:p>
        </w:tc>
        <w:tc>
          <w:tcPr>
            <w:tcW w:w="2736" w:type="dxa"/>
            <w:vAlign w:val="center"/>
          </w:tcPr>
          <w:p>
            <w:pPr>
              <w:ind w:firstLine="0" w:firstLineChars="0"/>
              <w:jc w:val="center"/>
              <w:rPr>
                <w:rFonts w:cs="Times New Roman"/>
                <w:sz w:val="21"/>
                <w:szCs w:val="21"/>
              </w:rPr>
            </w:pPr>
            <w:r>
              <w:rPr>
                <w:rFonts w:cs="Times New Roman"/>
                <w:sz w:val="21"/>
                <w:szCs w:val="21"/>
              </w:rPr>
              <w:t>规模：在现有污水厂东侧，新建污水处理厂一座。设计规模为4万m</w:t>
            </w:r>
            <w:r>
              <w:rPr>
                <w:rFonts w:cs="Times New Roman"/>
                <w:sz w:val="21"/>
                <w:szCs w:val="21"/>
                <w:vertAlign w:val="superscript"/>
              </w:rPr>
              <w:t>3</w:t>
            </w:r>
            <w:r>
              <w:rPr>
                <w:rFonts w:cs="Times New Roman"/>
                <w:sz w:val="21"/>
                <w:szCs w:val="21"/>
              </w:rPr>
              <w:t>/d。出水达到《城镇污水处理厂污染物排放标准》（GB18918-2002）一级标准中的A类标准。</w:t>
            </w:r>
          </w:p>
        </w:tc>
        <w:tc>
          <w:tcPr>
            <w:tcW w:w="1253" w:type="dxa"/>
            <w:vAlign w:val="center"/>
          </w:tcPr>
          <w:p>
            <w:pPr>
              <w:ind w:firstLine="0" w:firstLineChars="0"/>
              <w:jc w:val="center"/>
              <w:rPr>
                <w:rFonts w:cs="Times New Roman"/>
                <w:sz w:val="21"/>
                <w:szCs w:val="21"/>
              </w:rPr>
            </w:pPr>
            <w:r>
              <w:rPr>
                <w:rFonts w:cs="Times New Roman"/>
                <w:sz w:val="21"/>
                <w:szCs w:val="21"/>
              </w:rPr>
              <w:t>14760.98</w:t>
            </w:r>
          </w:p>
        </w:tc>
        <w:tc>
          <w:tcPr>
            <w:tcW w:w="822" w:type="dxa"/>
            <w:vAlign w:val="center"/>
          </w:tcPr>
          <w:p>
            <w:pPr>
              <w:ind w:firstLine="0" w:firstLineChars="0"/>
              <w:jc w:val="center"/>
              <w:rPr>
                <w:rFonts w:cs="Times New Roman"/>
                <w:sz w:val="21"/>
                <w:szCs w:val="21"/>
              </w:rPr>
            </w:pPr>
            <w:r>
              <w:rPr>
                <w:rFonts w:cs="Times New Roman"/>
                <w:sz w:val="21"/>
                <w:szCs w:val="21"/>
              </w:rPr>
              <w:t>市住建局</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区域再生水循环利用工程</w:t>
            </w:r>
          </w:p>
        </w:tc>
        <w:tc>
          <w:tcPr>
            <w:tcW w:w="2736" w:type="dxa"/>
            <w:vAlign w:val="center"/>
          </w:tcPr>
          <w:p>
            <w:pPr>
              <w:ind w:firstLine="0" w:firstLineChars="0"/>
              <w:jc w:val="center"/>
              <w:rPr>
                <w:rFonts w:cs="Times New Roman"/>
                <w:sz w:val="21"/>
                <w:szCs w:val="21"/>
              </w:rPr>
            </w:pPr>
            <w:r>
              <w:rPr>
                <w:rFonts w:cs="Times New Roman"/>
                <w:sz w:val="21"/>
                <w:szCs w:val="21"/>
              </w:rPr>
              <w:t>督促高耗水工业企业加强废水重复利用等节水工程建设。</w:t>
            </w:r>
          </w:p>
        </w:tc>
        <w:tc>
          <w:tcPr>
            <w:tcW w:w="1253" w:type="dxa"/>
            <w:vAlign w:val="center"/>
          </w:tcPr>
          <w:p>
            <w:pPr>
              <w:ind w:firstLine="0" w:firstLineChars="0"/>
              <w:jc w:val="center"/>
              <w:rPr>
                <w:rFonts w:cs="Times New Roman"/>
                <w:sz w:val="21"/>
                <w:szCs w:val="21"/>
              </w:rPr>
            </w:pPr>
            <w:r>
              <w:rPr>
                <w:rFonts w:cs="Times New Roman"/>
                <w:sz w:val="21"/>
                <w:szCs w:val="21"/>
              </w:rPr>
              <w:t>1000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区域再生水循环利用</w:t>
            </w:r>
          </w:p>
        </w:tc>
        <w:tc>
          <w:tcPr>
            <w:tcW w:w="700" w:type="dxa"/>
            <w:vAlign w:val="center"/>
          </w:tcPr>
          <w:p>
            <w:pPr>
              <w:ind w:firstLine="0" w:firstLineChars="0"/>
              <w:jc w:val="center"/>
              <w:rPr>
                <w:rFonts w:cs="Times New Roman"/>
                <w:sz w:val="21"/>
                <w:szCs w:val="21"/>
              </w:rPr>
            </w:pPr>
            <w:r>
              <w:rPr>
                <w:rFonts w:cs="Times New Roman"/>
                <w:sz w:val="21"/>
                <w:szCs w:val="21"/>
              </w:rPr>
              <w:t>污水再生利用设施</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红土崖镇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浑江流域生态保护修复治理工程（一期）</w:t>
            </w:r>
          </w:p>
        </w:tc>
        <w:tc>
          <w:tcPr>
            <w:tcW w:w="2736" w:type="dxa"/>
            <w:vAlign w:val="center"/>
          </w:tcPr>
          <w:p>
            <w:pPr>
              <w:ind w:firstLine="0" w:firstLineChars="0"/>
              <w:jc w:val="center"/>
              <w:rPr>
                <w:rFonts w:cs="Times New Roman"/>
                <w:sz w:val="21"/>
                <w:szCs w:val="21"/>
              </w:rPr>
            </w:pPr>
            <w:r>
              <w:rPr>
                <w:rFonts w:cs="Times New Roman"/>
                <w:sz w:val="21"/>
                <w:szCs w:val="21"/>
              </w:rPr>
              <w:t>白山市红土崖河曲家营水库上游流域生态保护修复（一期）治理工程，项目针对问题：恢复曲家营水库上游生态环境，减少水土流失，保证白山市主城区供水安全。建设内容：恢复水保林3000hm2，坡耕地梯田改造1500hm2，围栏45km，修建谷坊300座，修建小河堤防护岸长8km，对曲家营水库上游96.8km的机耕路进行修缮，减少水土流失，保护农田。</w:t>
            </w:r>
          </w:p>
        </w:tc>
        <w:tc>
          <w:tcPr>
            <w:tcW w:w="1253" w:type="dxa"/>
            <w:vAlign w:val="center"/>
          </w:tcPr>
          <w:p>
            <w:pPr>
              <w:ind w:firstLine="0" w:firstLineChars="0"/>
              <w:jc w:val="center"/>
              <w:rPr>
                <w:rFonts w:cs="Times New Roman"/>
                <w:sz w:val="21"/>
                <w:szCs w:val="21"/>
              </w:rPr>
            </w:pPr>
            <w:r>
              <w:rPr>
                <w:rFonts w:cs="Times New Roman"/>
                <w:sz w:val="21"/>
                <w:szCs w:val="21"/>
              </w:rPr>
              <w:t>28629</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河湖生态缓冲带修复</w:t>
            </w:r>
          </w:p>
        </w:tc>
        <w:tc>
          <w:tcPr>
            <w:tcW w:w="863" w:type="dxa"/>
            <w:vAlign w:val="center"/>
          </w:tcPr>
          <w:p>
            <w:pPr>
              <w:ind w:firstLine="0" w:firstLineChars="0"/>
              <w:jc w:val="center"/>
              <w:rPr>
                <w:rFonts w:cs="Times New Roman"/>
                <w:sz w:val="21"/>
                <w:szCs w:val="21"/>
              </w:rPr>
            </w:pPr>
            <w:r>
              <w:rPr>
                <w:rFonts w:cs="Times New Roman"/>
                <w:sz w:val="21"/>
                <w:szCs w:val="21"/>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江源区、浑江区</w:t>
            </w:r>
          </w:p>
        </w:tc>
        <w:tc>
          <w:tcPr>
            <w:tcW w:w="1275" w:type="dxa"/>
            <w:vAlign w:val="center"/>
          </w:tcPr>
          <w:p>
            <w:pPr>
              <w:ind w:firstLine="0" w:firstLineChars="0"/>
              <w:jc w:val="center"/>
              <w:rPr>
                <w:rFonts w:cs="Times New Roman"/>
                <w:sz w:val="21"/>
                <w:szCs w:val="21"/>
              </w:rPr>
            </w:pPr>
            <w:r>
              <w:rPr>
                <w:rFonts w:cs="Times New Roman"/>
                <w:sz w:val="21"/>
                <w:szCs w:val="21"/>
              </w:rPr>
              <w:t>红土崖镇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白山市城区水源（曲家营水库、西北岔水库）供给保障提升工程</w:t>
            </w:r>
          </w:p>
        </w:tc>
        <w:tc>
          <w:tcPr>
            <w:tcW w:w="2736" w:type="dxa"/>
            <w:vAlign w:val="center"/>
          </w:tcPr>
          <w:p>
            <w:pPr>
              <w:ind w:firstLine="0" w:firstLineChars="0"/>
              <w:jc w:val="center"/>
              <w:rPr>
                <w:rFonts w:cs="Times New Roman"/>
                <w:sz w:val="21"/>
                <w:szCs w:val="21"/>
              </w:rPr>
            </w:pPr>
            <w:r>
              <w:rPr>
                <w:rFonts w:cs="Times New Roman"/>
                <w:sz w:val="21"/>
                <w:szCs w:val="21"/>
              </w:rPr>
              <w:t>曲家营水库针对问题：水库已运行20年，淤积严重，直接威胁水源水质安全；排沙底孔闸阀年久失修，已失去应有的作用；存在隧洞渗漏问题。建设内容：</w:t>
            </w:r>
            <w:r>
              <w:rPr>
                <w:rFonts w:hint="eastAsia" w:ascii="宋体" w:hAnsi="宋体" w:eastAsia="宋体" w:cs="宋体"/>
                <w:sz w:val="21"/>
                <w:szCs w:val="21"/>
              </w:rPr>
              <w:t>①</w:t>
            </w:r>
            <w:r>
              <w:rPr>
                <w:rFonts w:cs="Times New Roman"/>
                <w:sz w:val="21"/>
                <w:szCs w:val="21"/>
              </w:rPr>
              <w:t>在水库库区红红土崖河、珠宝沟河、外珠宝沟河入库口建设三道拦污坝；</w:t>
            </w:r>
            <w:r>
              <w:rPr>
                <w:rFonts w:hint="eastAsia" w:ascii="宋体" w:hAnsi="宋体" w:eastAsia="宋体" w:cs="宋体"/>
                <w:sz w:val="21"/>
                <w:szCs w:val="21"/>
              </w:rPr>
              <w:t>②</w:t>
            </w:r>
            <w:r>
              <w:rPr>
                <w:rFonts w:cs="Times New Roman"/>
                <w:sz w:val="21"/>
                <w:szCs w:val="21"/>
              </w:rPr>
              <w:t>水库清淤190万m</w:t>
            </w:r>
            <w:r>
              <w:rPr>
                <w:rFonts w:cs="Times New Roman"/>
                <w:sz w:val="21"/>
                <w:szCs w:val="21"/>
                <w:vertAlign w:val="superscript"/>
              </w:rPr>
              <w:t>3</w:t>
            </w:r>
            <w:r>
              <w:rPr>
                <w:rFonts w:cs="Times New Roman"/>
                <w:sz w:val="21"/>
                <w:szCs w:val="21"/>
              </w:rPr>
              <w:t>；</w:t>
            </w:r>
            <w:r>
              <w:rPr>
                <w:rFonts w:hint="eastAsia" w:ascii="宋体" w:hAnsi="宋体" w:eastAsia="宋体" w:cs="宋体"/>
                <w:sz w:val="21"/>
                <w:szCs w:val="21"/>
              </w:rPr>
              <w:t>③</w:t>
            </w:r>
            <w:r>
              <w:rPr>
                <w:rFonts w:cs="Times New Roman"/>
                <w:sz w:val="21"/>
                <w:szCs w:val="21"/>
              </w:rPr>
              <w:t>输水洞维修及渗漏处理2.3km；</w:t>
            </w:r>
            <w:r>
              <w:rPr>
                <w:rFonts w:hint="eastAsia" w:ascii="宋体" w:hAnsi="宋体" w:eastAsia="宋体" w:cs="宋体"/>
                <w:sz w:val="21"/>
                <w:szCs w:val="21"/>
              </w:rPr>
              <w:t>④</w:t>
            </w:r>
            <w:r>
              <w:rPr>
                <w:rFonts w:cs="Times New Roman"/>
                <w:sz w:val="21"/>
                <w:szCs w:val="21"/>
              </w:rPr>
              <w:t>更新改造供水发电设施设备5台套、10kv联网线路。西北岔水库</w:t>
            </w:r>
            <w:r>
              <w:rPr>
                <w:rFonts w:hint="eastAsia" w:ascii="宋体" w:hAnsi="宋体" w:eastAsia="宋体" w:cs="宋体"/>
                <w:sz w:val="21"/>
                <w:szCs w:val="21"/>
              </w:rPr>
              <w:t>①</w:t>
            </w:r>
            <w:r>
              <w:rPr>
                <w:rFonts w:cs="Times New Roman"/>
                <w:sz w:val="21"/>
                <w:szCs w:val="21"/>
              </w:rPr>
              <w:t>坝下一级保护区封闭围栏和警卫室；</w:t>
            </w:r>
            <w:r>
              <w:rPr>
                <w:rFonts w:hint="eastAsia" w:ascii="宋体" w:hAnsi="宋体" w:eastAsia="宋体" w:cs="宋体"/>
                <w:sz w:val="21"/>
                <w:szCs w:val="21"/>
              </w:rPr>
              <w:t>②</w:t>
            </w:r>
            <w:r>
              <w:rPr>
                <w:rFonts w:cs="Times New Roman"/>
                <w:sz w:val="21"/>
                <w:szCs w:val="21"/>
              </w:rPr>
              <w:t>水质在线监测系统；</w:t>
            </w:r>
            <w:r>
              <w:rPr>
                <w:rFonts w:hint="eastAsia" w:ascii="宋体" w:hAnsi="宋体" w:eastAsia="宋体" w:cs="宋体"/>
                <w:sz w:val="21"/>
                <w:szCs w:val="21"/>
              </w:rPr>
              <w:t>③</w:t>
            </w:r>
            <w:r>
              <w:rPr>
                <w:rFonts w:cs="Times New Roman"/>
                <w:sz w:val="21"/>
                <w:szCs w:val="21"/>
              </w:rPr>
              <w:t>一级保护区安全监控系统；</w:t>
            </w:r>
            <w:r>
              <w:rPr>
                <w:rFonts w:hint="eastAsia" w:ascii="宋体" w:hAnsi="宋体" w:eastAsia="宋体" w:cs="宋体"/>
                <w:sz w:val="21"/>
                <w:szCs w:val="21"/>
              </w:rPr>
              <w:t>④</w:t>
            </w:r>
            <w:r>
              <w:rPr>
                <w:rFonts w:cs="Times New Roman"/>
                <w:sz w:val="21"/>
                <w:szCs w:val="21"/>
              </w:rPr>
              <w:t>输水管线取水口防洪及封闭工程。</w:t>
            </w:r>
          </w:p>
        </w:tc>
        <w:tc>
          <w:tcPr>
            <w:tcW w:w="1253" w:type="dxa"/>
            <w:vAlign w:val="center"/>
          </w:tcPr>
          <w:p>
            <w:pPr>
              <w:ind w:firstLine="0" w:firstLineChars="0"/>
              <w:jc w:val="center"/>
              <w:rPr>
                <w:rFonts w:cs="Times New Roman"/>
                <w:sz w:val="21"/>
                <w:szCs w:val="21"/>
              </w:rPr>
            </w:pPr>
            <w:r>
              <w:rPr>
                <w:rFonts w:cs="Times New Roman"/>
                <w:sz w:val="21"/>
                <w:szCs w:val="21"/>
              </w:rPr>
              <w:t>19839.71</w:t>
            </w:r>
          </w:p>
        </w:tc>
        <w:tc>
          <w:tcPr>
            <w:tcW w:w="822" w:type="dxa"/>
            <w:vAlign w:val="center"/>
          </w:tcPr>
          <w:p>
            <w:pPr>
              <w:ind w:firstLine="0" w:firstLineChars="0"/>
              <w:jc w:val="center"/>
              <w:rPr>
                <w:rFonts w:cs="Times New Roman"/>
                <w:sz w:val="21"/>
                <w:szCs w:val="21"/>
              </w:rPr>
            </w:pPr>
            <w:r>
              <w:rPr>
                <w:rFonts w:cs="Times New Roman"/>
                <w:sz w:val="21"/>
                <w:szCs w:val="21"/>
              </w:rPr>
              <w:t>江源区人民政府、浑江区人民政府</w:t>
            </w:r>
          </w:p>
        </w:tc>
        <w:tc>
          <w:tcPr>
            <w:tcW w:w="700" w:type="dxa"/>
            <w:vAlign w:val="center"/>
          </w:tcPr>
          <w:p>
            <w:pPr>
              <w:ind w:firstLine="0" w:firstLineChars="0"/>
              <w:jc w:val="center"/>
              <w:rPr>
                <w:rFonts w:cs="Times New Roman"/>
                <w:sz w:val="21"/>
                <w:szCs w:val="21"/>
              </w:rPr>
            </w:pPr>
            <w:r>
              <w:rPr>
                <w:rFonts w:cs="Times New Roman"/>
                <w:sz w:val="21"/>
                <w:szCs w:val="21"/>
              </w:rPr>
              <w:t>饮用水水源地规范化建设</w:t>
            </w:r>
          </w:p>
        </w:tc>
        <w:tc>
          <w:tcPr>
            <w:tcW w:w="700" w:type="dxa"/>
            <w:vAlign w:val="center"/>
          </w:tcPr>
          <w:p>
            <w:pPr>
              <w:ind w:firstLine="0" w:firstLineChars="0"/>
              <w:jc w:val="center"/>
              <w:rPr>
                <w:rFonts w:cs="Times New Roman"/>
                <w:sz w:val="21"/>
                <w:szCs w:val="21"/>
              </w:rPr>
            </w:pPr>
            <w:r>
              <w:rPr>
                <w:rFonts w:cs="Times New Roman"/>
                <w:sz w:val="21"/>
                <w:szCs w:val="21"/>
              </w:rPr>
              <w:t>饮用水水源地建设与提升</w:t>
            </w:r>
          </w:p>
        </w:tc>
        <w:tc>
          <w:tcPr>
            <w:tcW w:w="863" w:type="dxa"/>
            <w:vAlign w:val="center"/>
          </w:tcPr>
          <w:p>
            <w:pPr>
              <w:ind w:firstLine="0" w:firstLineChars="0"/>
              <w:jc w:val="center"/>
              <w:rPr>
                <w:rFonts w:cs="Times New Roman"/>
                <w:sz w:val="21"/>
                <w:szCs w:val="21"/>
              </w:rPr>
            </w:pPr>
            <w:r>
              <w:rPr>
                <w:rFonts w:cs="Times New Roman"/>
                <w:sz w:val="21"/>
                <w:szCs w:val="21"/>
              </w:rPr>
              <w:t>2021-2024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49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江源区</w:t>
            </w:r>
          </w:p>
        </w:tc>
        <w:tc>
          <w:tcPr>
            <w:tcW w:w="1275" w:type="dxa"/>
            <w:vAlign w:val="center"/>
          </w:tcPr>
          <w:p>
            <w:pPr>
              <w:ind w:firstLine="0" w:firstLineChars="0"/>
              <w:jc w:val="center"/>
              <w:rPr>
                <w:rFonts w:cs="Times New Roman"/>
                <w:sz w:val="21"/>
                <w:szCs w:val="21"/>
              </w:rPr>
            </w:pPr>
            <w:r>
              <w:rPr>
                <w:rFonts w:cs="Times New Roman"/>
                <w:sz w:val="21"/>
                <w:szCs w:val="21"/>
              </w:rPr>
              <w:t>大石人镇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白山市江源区农村污水综合治理示范项目</w:t>
            </w:r>
          </w:p>
        </w:tc>
        <w:tc>
          <w:tcPr>
            <w:tcW w:w="2736" w:type="dxa"/>
            <w:vAlign w:val="center"/>
          </w:tcPr>
          <w:p>
            <w:pPr>
              <w:ind w:firstLine="0" w:firstLineChars="0"/>
              <w:jc w:val="center"/>
              <w:rPr>
                <w:rFonts w:cs="Times New Roman"/>
                <w:sz w:val="21"/>
                <w:szCs w:val="21"/>
              </w:rPr>
            </w:pPr>
            <w:r>
              <w:rPr>
                <w:rFonts w:cs="Times New Roman"/>
                <w:sz w:val="21"/>
                <w:szCs w:val="21"/>
              </w:rPr>
              <w:t>红石村（大石人镇）示范区污水治理拟设置处理能力35t/d的污水处理站一座，铺设管网11km；污水检查井310个，化粪池2座，沉淀池1座，应急池1座，跌水井1座。育林新村示范区污水治理拟设置处理能力为150t/d的污水处理站一座，铺设管网2.55km；拟购置生活污水处理设备2台（套）。七岔村、五岔村、爱林村、协力村、红石村黑臭水体治理铺设U型槽1400米，清理污泥2000m</w:t>
            </w:r>
            <w:r>
              <w:rPr>
                <w:rFonts w:cs="Times New Roman"/>
                <w:sz w:val="21"/>
                <w:szCs w:val="21"/>
                <w:vertAlign w:val="superscript"/>
              </w:rPr>
              <w:t>3</w:t>
            </w:r>
            <w:r>
              <w:rPr>
                <w:rFonts w:cs="Times New Roman"/>
                <w:sz w:val="21"/>
                <w:szCs w:val="21"/>
              </w:rPr>
              <w:t>，设置警示牌20个，生态带3000m</w:t>
            </w:r>
            <w:r>
              <w:rPr>
                <w:rFonts w:cs="Times New Roman"/>
                <w:sz w:val="21"/>
                <w:szCs w:val="21"/>
                <w:vertAlign w:val="superscript"/>
              </w:rPr>
              <w:t>2</w:t>
            </w:r>
            <w:r>
              <w:rPr>
                <w:rFonts w:cs="Times New Roman"/>
                <w:sz w:val="21"/>
                <w:szCs w:val="21"/>
              </w:rPr>
              <w:t>。</w:t>
            </w:r>
          </w:p>
        </w:tc>
        <w:tc>
          <w:tcPr>
            <w:tcW w:w="1253" w:type="dxa"/>
            <w:vAlign w:val="center"/>
          </w:tcPr>
          <w:p>
            <w:pPr>
              <w:ind w:firstLine="0" w:firstLineChars="0"/>
              <w:jc w:val="center"/>
              <w:rPr>
                <w:rFonts w:cs="Times New Roman"/>
                <w:sz w:val="21"/>
                <w:szCs w:val="21"/>
              </w:rPr>
            </w:pPr>
            <w:r>
              <w:rPr>
                <w:rFonts w:cs="Times New Roman"/>
                <w:sz w:val="21"/>
                <w:szCs w:val="21"/>
              </w:rPr>
              <w:t>1570</w:t>
            </w:r>
          </w:p>
        </w:tc>
        <w:tc>
          <w:tcPr>
            <w:tcW w:w="822" w:type="dxa"/>
            <w:vAlign w:val="center"/>
          </w:tcPr>
          <w:p>
            <w:pPr>
              <w:ind w:firstLine="0" w:firstLineChars="0"/>
              <w:jc w:val="center"/>
              <w:rPr>
                <w:rFonts w:cs="Times New Roman"/>
                <w:sz w:val="21"/>
                <w:szCs w:val="21"/>
              </w:rPr>
            </w:pPr>
            <w:r>
              <w:rPr>
                <w:rFonts w:cs="Times New Roman"/>
                <w:sz w:val="21"/>
                <w:szCs w:val="21"/>
              </w:rPr>
              <w:t>江源区人民政府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白山市污水处理厂配套管网改扩建工程（一期）</w:t>
            </w:r>
          </w:p>
        </w:tc>
        <w:tc>
          <w:tcPr>
            <w:tcW w:w="2736" w:type="dxa"/>
            <w:vAlign w:val="center"/>
          </w:tcPr>
          <w:p>
            <w:pPr>
              <w:ind w:firstLine="0" w:firstLineChars="0"/>
              <w:jc w:val="center"/>
              <w:rPr>
                <w:rFonts w:cs="Times New Roman"/>
                <w:sz w:val="21"/>
                <w:szCs w:val="21"/>
              </w:rPr>
            </w:pPr>
            <w:r>
              <w:rPr>
                <w:rFonts w:cs="Times New Roman"/>
                <w:sz w:val="21"/>
                <w:szCs w:val="21"/>
              </w:rPr>
              <w:t>新建污水管线13.7875km，新建银河小区一区污水泵站1座，污水监测平台：1套。</w:t>
            </w:r>
          </w:p>
        </w:tc>
        <w:tc>
          <w:tcPr>
            <w:tcW w:w="1253" w:type="dxa"/>
            <w:vAlign w:val="center"/>
          </w:tcPr>
          <w:p>
            <w:pPr>
              <w:ind w:firstLine="0" w:firstLineChars="0"/>
              <w:jc w:val="center"/>
              <w:rPr>
                <w:rFonts w:cs="Times New Roman"/>
                <w:sz w:val="21"/>
                <w:szCs w:val="21"/>
              </w:rPr>
            </w:pPr>
            <w:r>
              <w:rPr>
                <w:rFonts w:cs="Times New Roman"/>
                <w:sz w:val="21"/>
                <w:szCs w:val="21"/>
              </w:rPr>
              <w:t>16774.85</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污水处理厂尾水湿地建设工程</w:t>
            </w:r>
          </w:p>
        </w:tc>
        <w:tc>
          <w:tcPr>
            <w:tcW w:w="2736" w:type="dxa"/>
            <w:vAlign w:val="center"/>
          </w:tcPr>
          <w:p>
            <w:pPr>
              <w:ind w:firstLine="0" w:firstLineChars="0"/>
              <w:jc w:val="center"/>
              <w:rPr>
                <w:rFonts w:cs="Times New Roman"/>
                <w:sz w:val="21"/>
                <w:szCs w:val="21"/>
              </w:rPr>
            </w:pPr>
            <w:r>
              <w:rPr>
                <w:rFonts w:cs="Times New Roman"/>
                <w:sz w:val="21"/>
                <w:szCs w:val="21"/>
              </w:rPr>
              <w:t>拟在污水处理厂下游新建3处人工湿地，其中1#湿地利用污水处理厂下游河道新建浆砌石堤防与原有土堤间地块，通过人工开挖方式形成人工湿地；2#及3#湿地位于污水处理厂下游浑江干流河道内，通过建设拦河坝形成人工湿地。将污水处理厂污水通过管道引入1#湿地进行生态净化处理，然后通过管道将水引入下游2#湿地，再进行一次生态净化处理，对于少量外溢或渗透进浑江的污水，可通过2#、3#湿地进行生态净化处理。1#湿地利用污水处理厂下游河道新建浆砌石堤防与原有土堤间地块，面积约5hm2，2#及3#湿地位于污水处理厂下游浑江干流河道内，在胜利桥上0.19km及桥下1.3km处各建一座拦河坝，坝高3m，坝长分别为0.16km、0.18km，拦河坝采用橡胶坝结构。在湿地内种植芦苇、荷花、浮萍、蒲草等水生植物以改善河道水质。</w:t>
            </w:r>
          </w:p>
        </w:tc>
        <w:tc>
          <w:tcPr>
            <w:tcW w:w="1253" w:type="dxa"/>
            <w:vAlign w:val="center"/>
          </w:tcPr>
          <w:p>
            <w:pPr>
              <w:ind w:firstLine="0" w:firstLineChars="0"/>
              <w:jc w:val="center"/>
              <w:rPr>
                <w:rFonts w:cs="Times New Roman"/>
                <w:sz w:val="21"/>
                <w:szCs w:val="21"/>
              </w:rPr>
            </w:pPr>
            <w:r>
              <w:rPr>
                <w:rFonts w:cs="Times New Roman"/>
                <w:sz w:val="21"/>
                <w:szCs w:val="21"/>
              </w:rPr>
              <w:t>7080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污水处理厂尾水改善研究</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珠宝沟村</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吉林白山珠宝河国家湿地公园湿地保护补助资金项目</w:t>
            </w:r>
          </w:p>
        </w:tc>
        <w:tc>
          <w:tcPr>
            <w:tcW w:w="2736" w:type="dxa"/>
            <w:vAlign w:val="center"/>
          </w:tcPr>
          <w:p>
            <w:pPr>
              <w:ind w:firstLine="0" w:firstLineChars="0"/>
              <w:jc w:val="center"/>
              <w:rPr>
                <w:rFonts w:cs="Times New Roman"/>
                <w:sz w:val="21"/>
                <w:szCs w:val="21"/>
              </w:rPr>
            </w:pPr>
            <w:r>
              <w:rPr>
                <w:rFonts w:cs="Times New Roman"/>
                <w:sz w:val="21"/>
                <w:szCs w:val="21"/>
              </w:rPr>
              <w:t>主要分为五部分，一是退化湿地恢复工程。主要为抚育、病虫害防治、栽植柳树、水曲柳等工程、二是科研宣教、监测维护工程。主要为修建栈道、监测设备存放室、观测塔维修、公园大门维修等建设。三是管护、监测劳务支出。四是工程建设其它费用。主要为建设单位管理费、咨询勘查设计费。五是基本预备费。</w:t>
            </w:r>
          </w:p>
        </w:tc>
        <w:tc>
          <w:tcPr>
            <w:tcW w:w="1253" w:type="dxa"/>
            <w:vAlign w:val="center"/>
          </w:tcPr>
          <w:p>
            <w:pPr>
              <w:ind w:firstLine="0" w:firstLineChars="0"/>
              <w:jc w:val="center"/>
              <w:rPr>
                <w:rFonts w:cs="Times New Roman"/>
                <w:sz w:val="21"/>
                <w:szCs w:val="21"/>
              </w:rPr>
            </w:pPr>
            <w:r>
              <w:rPr>
                <w:rFonts w:cs="Times New Roman"/>
                <w:sz w:val="21"/>
                <w:szCs w:val="21"/>
              </w:rPr>
              <w:t>500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湿地修复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红土崖镇</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红土崖河生态隔离带建设</w:t>
            </w:r>
          </w:p>
        </w:tc>
        <w:tc>
          <w:tcPr>
            <w:tcW w:w="2736" w:type="dxa"/>
            <w:vAlign w:val="center"/>
          </w:tcPr>
          <w:p>
            <w:pPr>
              <w:ind w:firstLine="0" w:firstLineChars="0"/>
              <w:jc w:val="center"/>
              <w:rPr>
                <w:rFonts w:cs="Times New Roman"/>
                <w:sz w:val="21"/>
                <w:szCs w:val="21"/>
              </w:rPr>
            </w:pPr>
            <w:r>
              <w:rPr>
                <w:rFonts w:cs="Times New Roman"/>
                <w:sz w:val="21"/>
                <w:szCs w:val="21"/>
              </w:rPr>
              <w:t>在红土崖镇红新村、红一村沿红土崖河两岸各建2.5km生态缓冲带（总计5km）。</w:t>
            </w:r>
          </w:p>
        </w:tc>
        <w:tc>
          <w:tcPr>
            <w:tcW w:w="1253" w:type="dxa"/>
            <w:vAlign w:val="center"/>
          </w:tcPr>
          <w:p>
            <w:pPr>
              <w:ind w:firstLine="0" w:firstLineChars="0"/>
              <w:jc w:val="center"/>
              <w:rPr>
                <w:rFonts w:cs="Times New Roman"/>
                <w:sz w:val="21"/>
                <w:szCs w:val="21"/>
              </w:rPr>
            </w:pPr>
            <w:r>
              <w:rPr>
                <w:rFonts w:cs="Times New Roman"/>
                <w:sz w:val="21"/>
                <w:szCs w:val="21"/>
              </w:rPr>
              <w:t>2700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红土崖镇，红一村</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白山市浑江区红土崖镇（红一村、红新村）农村污水治理综合示范项目</w:t>
            </w:r>
          </w:p>
        </w:tc>
        <w:tc>
          <w:tcPr>
            <w:tcW w:w="2736" w:type="dxa"/>
            <w:vAlign w:val="center"/>
          </w:tcPr>
          <w:p>
            <w:pPr>
              <w:ind w:firstLine="0" w:firstLineChars="0"/>
              <w:jc w:val="center"/>
              <w:rPr>
                <w:rFonts w:cs="Times New Roman"/>
                <w:sz w:val="21"/>
                <w:szCs w:val="21"/>
              </w:rPr>
            </w:pPr>
            <w:r>
              <w:rPr>
                <w:rFonts w:cs="Times New Roman"/>
                <w:sz w:val="21"/>
                <w:szCs w:val="21"/>
              </w:rPr>
              <w:t>项目污水处理设计规模为1000m</w:t>
            </w:r>
            <w:r>
              <w:rPr>
                <w:rFonts w:cs="Times New Roman"/>
                <w:sz w:val="21"/>
                <w:szCs w:val="21"/>
                <w:vertAlign w:val="superscript"/>
              </w:rPr>
              <w:t>3</w:t>
            </w:r>
            <w:r>
              <w:rPr>
                <w:rFonts w:cs="Times New Roman"/>
                <w:sz w:val="21"/>
                <w:szCs w:val="21"/>
              </w:rPr>
              <w:t>/d。项目用地面积33136</w:t>
            </w:r>
            <w:r>
              <w:rPr>
                <w:rFonts w:eastAsia="Segoe UI Symbol" w:cs="Times New Roman"/>
                <w:sz w:val="21"/>
                <w:szCs w:val="21"/>
              </w:rPr>
              <w:t>㎡</w:t>
            </w:r>
            <w:r>
              <w:rPr>
                <w:rFonts w:cs="Times New Roman"/>
                <w:sz w:val="21"/>
                <w:szCs w:val="21"/>
              </w:rPr>
              <w:t>。生态塘1座;人工湿地1座;建截洪沟1000m；项目在红一村和红新村村内建设排水沟，新建排水沟11000m，上面设有盖板。</w:t>
            </w:r>
          </w:p>
        </w:tc>
        <w:tc>
          <w:tcPr>
            <w:tcW w:w="1253" w:type="dxa"/>
            <w:vAlign w:val="center"/>
          </w:tcPr>
          <w:p>
            <w:pPr>
              <w:ind w:firstLine="0" w:firstLineChars="0"/>
              <w:jc w:val="center"/>
              <w:rPr>
                <w:rFonts w:cs="Times New Roman"/>
                <w:sz w:val="21"/>
                <w:szCs w:val="21"/>
              </w:rPr>
            </w:pPr>
            <w:r>
              <w:rPr>
                <w:rFonts w:cs="Times New Roman"/>
                <w:sz w:val="21"/>
                <w:szCs w:val="21"/>
              </w:rPr>
              <w:t>2735.55</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农村污水收集与处理工程</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六道江镇，湖下村</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道清农村污水处理项目</w:t>
            </w:r>
          </w:p>
        </w:tc>
        <w:tc>
          <w:tcPr>
            <w:tcW w:w="2736" w:type="dxa"/>
            <w:vAlign w:val="center"/>
          </w:tcPr>
          <w:p>
            <w:pPr>
              <w:ind w:firstLine="0" w:firstLineChars="0"/>
              <w:jc w:val="center"/>
              <w:rPr>
                <w:rFonts w:cs="Times New Roman"/>
                <w:sz w:val="21"/>
                <w:szCs w:val="21"/>
              </w:rPr>
            </w:pPr>
            <w:r>
              <w:rPr>
                <w:rFonts w:cs="Times New Roman"/>
                <w:sz w:val="21"/>
                <w:szCs w:val="21"/>
              </w:rPr>
              <w:t>污水厂远期建设总规模为1000m</w:t>
            </w:r>
            <w:r>
              <w:rPr>
                <w:rFonts w:cs="Times New Roman"/>
                <w:sz w:val="21"/>
                <w:szCs w:val="21"/>
                <w:vertAlign w:val="superscript"/>
              </w:rPr>
              <w:t>3</w:t>
            </w:r>
            <w:r>
              <w:rPr>
                <w:rFonts w:cs="Times New Roman"/>
                <w:sz w:val="21"/>
                <w:szCs w:val="21"/>
              </w:rPr>
              <w:t>/d。考虑到地方财力及镇区污水的治理进度，污水处理厂分两期建设。规划近期工程建设规模为200m</w:t>
            </w:r>
            <w:r>
              <w:rPr>
                <w:rFonts w:cs="Times New Roman"/>
                <w:sz w:val="21"/>
                <w:szCs w:val="21"/>
                <w:vertAlign w:val="superscript"/>
              </w:rPr>
              <w:t>3</w:t>
            </w:r>
            <w:r>
              <w:rPr>
                <w:rFonts w:cs="Times New Roman"/>
                <w:sz w:val="21"/>
                <w:szCs w:val="21"/>
              </w:rPr>
              <w:t>/d；远期工程建设总规模为1000m</w:t>
            </w:r>
            <w:r>
              <w:rPr>
                <w:rFonts w:cs="Times New Roman"/>
                <w:sz w:val="21"/>
                <w:szCs w:val="21"/>
                <w:vertAlign w:val="superscript"/>
              </w:rPr>
              <w:t>3</w:t>
            </w:r>
            <w:r>
              <w:rPr>
                <w:rFonts w:cs="Times New Roman"/>
                <w:sz w:val="21"/>
                <w:szCs w:val="21"/>
              </w:rPr>
              <w:t>/d。污水管网按照远期2030年收集到的污水量进行设计，近期工程先进行镇区主管道的建设。</w:t>
            </w:r>
          </w:p>
        </w:tc>
        <w:tc>
          <w:tcPr>
            <w:tcW w:w="1253" w:type="dxa"/>
            <w:vAlign w:val="center"/>
          </w:tcPr>
          <w:p>
            <w:pPr>
              <w:ind w:firstLine="0" w:firstLineChars="0"/>
              <w:jc w:val="center"/>
              <w:rPr>
                <w:rFonts w:cs="Times New Roman"/>
                <w:sz w:val="21"/>
                <w:szCs w:val="21"/>
              </w:rPr>
            </w:pPr>
            <w:r>
              <w:rPr>
                <w:rFonts w:cs="Times New Roman"/>
                <w:sz w:val="21"/>
                <w:szCs w:val="21"/>
              </w:rPr>
              <w:t>2000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农村污水收集与处理工程</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六道江镇、七道江镇等四处</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白山市浑江区浑江生态小流域保护治理工程项目</w:t>
            </w:r>
          </w:p>
        </w:tc>
        <w:tc>
          <w:tcPr>
            <w:tcW w:w="2736" w:type="dxa"/>
            <w:vAlign w:val="center"/>
          </w:tcPr>
          <w:p>
            <w:pPr>
              <w:ind w:firstLine="0" w:firstLineChars="0"/>
              <w:jc w:val="center"/>
              <w:rPr>
                <w:rFonts w:cs="Times New Roman"/>
                <w:sz w:val="21"/>
                <w:szCs w:val="21"/>
              </w:rPr>
            </w:pPr>
            <w:r>
              <w:rPr>
                <w:rFonts w:cs="Times New Roman"/>
                <w:sz w:val="21"/>
                <w:szCs w:val="21"/>
              </w:rPr>
              <w:t>河道清淤：机械清运4098.7m³；人工清运820.35m³；</w:t>
            </w:r>
          </w:p>
        </w:tc>
        <w:tc>
          <w:tcPr>
            <w:tcW w:w="1253" w:type="dxa"/>
            <w:vAlign w:val="center"/>
          </w:tcPr>
          <w:p>
            <w:pPr>
              <w:ind w:firstLine="0" w:firstLineChars="0"/>
              <w:jc w:val="center"/>
              <w:rPr>
                <w:rFonts w:cs="Times New Roman"/>
                <w:sz w:val="21"/>
                <w:szCs w:val="21"/>
              </w:rPr>
            </w:pPr>
            <w:r>
              <w:rPr>
                <w:rFonts w:cs="Times New Roman"/>
                <w:sz w:val="21"/>
                <w:szCs w:val="21"/>
              </w:rPr>
              <w:t>6138.65</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浑江区</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浑江</w:t>
            </w:r>
          </w:p>
        </w:tc>
        <w:tc>
          <w:tcPr>
            <w:tcW w:w="1134" w:type="dxa"/>
            <w:vAlign w:val="center"/>
          </w:tcPr>
          <w:p>
            <w:pPr>
              <w:ind w:firstLine="0" w:firstLineChars="0"/>
              <w:jc w:val="center"/>
              <w:rPr>
                <w:rFonts w:cs="Times New Roman"/>
                <w:sz w:val="21"/>
                <w:szCs w:val="21"/>
              </w:rPr>
            </w:pPr>
            <w:r>
              <w:rPr>
                <w:rFonts w:cs="Times New Roman"/>
                <w:sz w:val="21"/>
                <w:szCs w:val="21"/>
              </w:rPr>
              <w:t>西村</w:t>
            </w:r>
          </w:p>
        </w:tc>
        <w:tc>
          <w:tcPr>
            <w:tcW w:w="1209" w:type="dxa"/>
            <w:vAlign w:val="center"/>
          </w:tcPr>
          <w:p>
            <w:pPr>
              <w:ind w:firstLine="0" w:firstLineChars="0"/>
              <w:jc w:val="center"/>
              <w:rPr>
                <w:rFonts w:cs="Times New Roman"/>
                <w:sz w:val="21"/>
                <w:szCs w:val="21"/>
              </w:rPr>
            </w:pPr>
            <w:r>
              <w:rPr>
                <w:rFonts w:cs="Times New Roman"/>
                <w:sz w:val="21"/>
                <w:szCs w:val="21"/>
              </w:rPr>
              <w:t>白山市浑江区镁工业园区污水处理厂工程</w:t>
            </w:r>
          </w:p>
        </w:tc>
        <w:tc>
          <w:tcPr>
            <w:tcW w:w="2736" w:type="dxa"/>
            <w:vAlign w:val="center"/>
          </w:tcPr>
          <w:p>
            <w:pPr>
              <w:ind w:firstLine="0" w:firstLineChars="0"/>
              <w:jc w:val="center"/>
              <w:rPr>
                <w:rFonts w:cs="Times New Roman"/>
                <w:sz w:val="21"/>
                <w:szCs w:val="21"/>
              </w:rPr>
            </w:pPr>
            <w:r>
              <w:rPr>
                <w:rFonts w:cs="Times New Roman"/>
                <w:sz w:val="21"/>
                <w:szCs w:val="21"/>
              </w:rPr>
              <w:t>项目一期占地面积为7743平方米，主要建设内容：预处理间及综合泵间、调节事故池、综合池（水解酸化池、A/LSP生化池、二沉池、二提泵池）、深度处理间、臭氧制备间、 综合楼等。规模：近期设计规模500m</w:t>
            </w:r>
            <w:r>
              <w:rPr>
                <w:rFonts w:cs="Times New Roman"/>
                <w:sz w:val="21"/>
                <w:szCs w:val="21"/>
                <w:vertAlign w:val="superscript"/>
              </w:rPr>
              <w:t>3</w:t>
            </w:r>
            <w:r>
              <w:rPr>
                <w:rFonts w:cs="Times New Roman"/>
                <w:sz w:val="21"/>
                <w:szCs w:val="21"/>
              </w:rPr>
              <w:t>/d,远期设计规模 1000m</w:t>
            </w:r>
            <w:r>
              <w:rPr>
                <w:rFonts w:cs="Times New Roman"/>
                <w:sz w:val="21"/>
                <w:szCs w:val="21"/>
                <w:vertAlign w:val="superscript"/>
              </w:rPr>
              <w:t>3</w:t>
            </w:r>
            <w:r>
              <w:rPr>
                <w:rFonts w:cs="Times New Roman"/>
                <w:sz w:val="21"/>
                <w:szCs w:val="21"/>
              </w:rPr>
              <w:t>/d。</w:t>
            </w:r>
          </w:p>
        </w:tc>
        <w:tc>
          <w:tcPr>
            <w:tcW w:w="1253" w:type="dxa"/>
            <w:vAlign w:val="center"/>
          </w:tcPr>
          <w:p>
            <w:pPr>
              <w:ind w:firstLine="0" w:firstLineChars="0"/>
              <w:jc w:val="center"/>
              <w:rPr>
                <w:rFonts w:cs="Times New Roman"/>
                <w:sz w:val="21"/>
                <w:szCs w:val="21"/>
              </w:rPr>
            </w:pPr>
            <w:r>
              <w:rPr>
                <w:rFonts w:cs="Times New Roman"/>
                <w:sz w:val="21"/>
                <w:szCs w:val="21"/>
              </w:rPr>
              <w:t>4926. 16</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松花江流域</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209" w:type="dxa"/>
            <w:vAlign w:val="center"/>
          </w:tcPr>
          <w:p>
            <w:pPr>
              <w:ind w:firstLine="0" w:firstLineChars="0"/>
              <w:jc w:val="center"/>
              <w:rPr>
                <w:rFonts w:cs="Times New Roman"/>
                <w:sz w:val="21"/>
                <w:szCs w:val="21"/>
              </w:rPr>
            </w:pPr>
            <w:r>
              <w:rPr>
                <w:rFonts w:cs="Times New Roman"/>
                <w:sz w:val="21"/>
                <w:szCs w:val="21"/>
              </w:rPr>
              <w:t>建立禁渔执法管控体系</w:t>
            </w:r>
          </w:p>
        </w:tc>
        <w:tc>
          <w:tcPr>
            <w:tcW w:w="2736" w:type="dxa"/>
            <w:vAlign w:val="center"/>
          </w:tcPr>
          <w:p>
            <w:pPr>
              <w:ind w:firstLine="0" w:firstLineChars="0"/>
              <w:jc w:val="center"/>
              <w:rPr>
                <w:rFonts w:cs="Times New Roman"/>
                <w:sz w:val="21"/>
                <w:szCs w:val="21"/>
              </w:rPr>
            </w:pPr>
            <w:r>
              <w:rPr>
                <w:rFonts w:cs="Times New Roman"/>
                <w:sz w:val="21"/>
                <w:szCs w:val="21"/>
              </w:rPr>
              <w:t>每年设定三个月的禁渔期，在全市开展全流域禁渔，给水生生物</w:t>
            </w:r>
            <w:r>
              <w:rPr>
                <w:rFonts w:eastAsia="微软雅黑" w:cs="Times New Roman"/>
                <w:sz w:val="21"/>
                <w:szCs w:val="21"/>
              </w:rPr>
              <w:t>蝲</w:t>
            </w:r>
            <w:r>
              <w:rPr>
                <w:rFonts w:cs="Times New Roman"/>
                <w:sz w:val="21"/>
                <w:szCs w:val="21"/>
              </w:rPr>
              <w:t>蛄和冷水鱼留出更多休养生息的空间和时间，并严格监管执法。</w:t>
            </w:r>
          </w:p>
        </w:tc>
        <w:tc>
          <w:tcPr>
            <w:tcW w:w="1253" w:type="dxa"/>
            <w:vAlign w:val="center"/>
          </w:tcPr>
          <w:p>
            <w:pPr>
              <w:ind w:firstLine="0" w:firstLineChars="0"/>
              <w:jc w:val="center"/>
              <w:rPr>
                <w:rFonts w:cs="Times New Roman"/>
                <w:sz w:val="21"/>
                <w:szCs w:val="21"/>
              </w:rPr>
            </w:pPr>
            <w:r>
              <w:rPr>
                <w:rFonts w:cs="Times New Roman"/>
                <w:sz w:val="21"/>
                <w:szCs w:val="21"/>
              </w:rPr>
              <w:t>200</w:t>
            </w:r>
          </w:p>
        </w:tc>
        <w:tc>
          <w:tcPr>
            <w:tcW w:w="822" w:type="dxa"/>
            <w:vAlign w:val="center"/>
          </w:tcPr>
          <w:p>
            <w:pPr>
              <w:ind w:firstLine="0" w:firstLineChars="0"/>
              <w:jc w:val="center"/>
              <w:rPr>
                <w:rFonts w:cs="Times New Roman"/>
                <w:sz w:val="21"/>
                <w:szCs w:val="21"/>
              </w:rPr>
            </w:pPr>
            <w:r>
              <w:rPr>
                <w:rFonts w:cs="Times New Roman"/>
                <w:sz w:val="21"/>
                <w:szCs w:val="21"/>
              </w:rPr>
              <w:t>各区县人民政府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河湖水生动物恢复</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59</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YLJ上游</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鸠谷、葫芦套</w:t>
            </w:r>
          </w:p>
        </w:tc>
        <w:tc>
          <w:tcPr>
            <w:tcW w:w="1209" w:type="dxa"/>
            <w:vAlign w:val="center"/>
          </w:tcPr>
          <w:p>
            <w:pPr>
              <w:ind w:firstLine="0" w:firstLineChars="0"/>
              <w:jc w:val="center"/>
              <w:rPr>
                <w:rFonts w:cs="Times New Roman"/>
                <w:sz w:val="21"/>
                <w:szCs w:val="21"/>
              </w:rPr>
            </w:pPr>
            <w:r>
              <w:rPr>
                <w:rFonts w:cs="Times New Roman"/>
                <w:sz w:val="21"/>
                <w:szCs w:val="21"/>
              </w:rPr>
              <w:t>冷水鱼原种增殖放流</w:t>
            </w:r>
          </w:p>
        </w:tc>
        <w:tc>
          <w:tcPr>
            <w:tcW w:w="2736" w:type="dxa"/>
            <w:vAlign w:val="center"/>
          </w:tcPr>
          <w:p>
            <w:pPr>
              <w:ind w:firstLine="0" w:firstLineChars="0"/>
              <w:jc w:val="center"/>
              <w:rPr>
                <w:rFonts w:cs="Times New Roman"/>
                <w:sz w:val="21"/>
                <w:szCs w:val="21"/>
              </w:rPr>
            </w:pPr>
            <w:r>
              <w:rPr>
                <w:rFonts w:cs="Times New Roman"/>
                <w:sz w:val="21"/>
                <w:szCs w:val="21"/>
              </w:rPr>
              <w:t>科学制定细鳞鱼、花羔红点鲑、YLJ茴鱼等冷水鱼增殖放流计划和实施方案，确定增殖放流的区域、时间、品种、规格、数量、单价等。</w:t>
            </w:r>
          </w:p>
        </w:tc>
        <w:tc>
          <w:tcPr>
            <w:tcW w:w="1253" w:type="dxa"/>
            <w:vAlign w:val="center"/>
          </w:tcPr>
          <w:p>
            <w:pPr>
              <w:ind w:firstLine="0" w:firstLineChars="0"/>
              <w:jc w:val="center"/>
              <w:rPr>
                <w:rFonts w:cs="Times New Roman"/>
                <w:sz w:val="21"/>
                <w:szCs w:val="21"/>
              </w:rPr>
            </w:pPr>
            <w:r>
              <w:rPr>
                <w:rFonts w:cs="Times New Roman"/>
                <w:sz w:val="21"/>
                <w:szCs w:val="21"/>
              </w:rPr>
              <w:t>350</w:t>
            </w:r>
          </w:p>
        </w:tc>
        <w:tc>
          <w:tcPr>
            <w:tcW w:w="822" w:type="dxa"/>
            <w:vAlign w:val="center"/>
          </w:tcPr>
          <w:p>
            <w:pPr>
              <w:ind w:firstLine="0" w:firstLineChars="0"/>
              <w:jc w:val="center"/>
              <w:rPr>
                <w:rFonts w:cs="Times New Roman"/>
                <w:sz w:val="21"/>
                <w:szCs w:val="21"/>
              </w:rPr>
            </w:pPr>
            <w:r>
              <w:rPr>
                <w:rFonts w:cs="Times New Roman"/>
                <w:sz w:val="21"/>
                <w:szCs w:val="21"/>
              </w:rPr>
              <w:t>浑江区人民政府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河湖水生动物恢复</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60</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葫芦套</w:t>
            </w:r>
          </w:p>
        </w:tc>
        <w:tc>
          <w:tcPr>
            <w:tcW w:w="1209" w:type="dxa"/>
            <w:vAlign w:val="center"/>
          </w:tcPr>
          <w:p>
            <w:pPr>
              <w:ind w:firstLine="0" w:firstLineChars="0"/>
              <w:jc w:val="center"/>
              <w:rPr>
                <w:rFonts w:cs="Times New Roman"/>
                <w:sz w:val="21"/>
                <w:szCs w:val="21"/>
              </w:rPr>
            </w:pPr>
            <w:r>
              <w:rPr>
                <w:rFonts w:cs="Times New Roman"/>
                <w:sz w:val="21"/>
                <w:szCs w:val="21"/>
              </w:rPr>
              <w:t>编制跨境河流突发生态环境污染事件应急预案</w:t>
            </w:r>
          </w:p>
        </w:tc>
        <w:tc>
          <w:tcPr>
            <w:tcW w:w="2736" w:type="dxa"/>
            <w:vAlign w:val="center"/>
          </w:tcPr>
          <w:p>
            <w:pPr>
              <w:ind w:firstLine="0" w:firstLineChars="0"/>
              <w:jc w:val="center"/>
              <w:rPr>
                <w:rFonts w:cs="Times New Roman"/>
                <w:sz w:val="21"/>
                <w:szCs w:val="21"/>
              </w:rPr>
            </w:pPr>
            <w:r>
              <w:rPr>
                <w:rFonts w:cs="Times New Roman"/>
                <w:sz w:val="21"/>
                <w:szCs w:val="21"/>
              </w:rPr>
              <w:t>制定针对YLJ对岸铜矿企业突发性生态环境污染事件预案，联防联控，定期进行铜矿风险评估，建立应急储备库，储备足够的应急物资。</w:t>
            </w:r>
          </w:p>
        </w:tc>
        <w:tc>
          <w:tcPr>
            <w:tcW w:w="1253" w:type="dxa"/>
            <w:vAlign w:val="center"/>
          </w:tcPr>
          <w:p>
            <w:pPr>
              <w:ind w:firstLine="0" w:firstLineChars="0"/>
              <w:jc w:val="center"/>
              <w:rPr>
                <w:rFonts w:cs="Times New Roman"/>
                <w:sz w:val="21"/>
                <w:szCs w:val="21"/>
              </w:rPr>
            </w:pPr>
            <w:r>
              <w:rPr>
                <w:rFonts w:cs="Times New Roman"/>
                <w:sz w:val="21"/>
                <w:szCs w:val="21"/>
              </w:rPr>
              <w:t>20</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风险预防</w:t>
            </w:r>
          </w:p>
        </w:tc>
        <w:tc>
          <w:tcPr>
            <w:tcW w:w="700" w:type="dxa"/>
            <w:vAlign w:val="center"/>
          </w:tcPr>
          <w:p>
            <w:pPr>
              <w:ind w:firstLine="0" w:firstLineChars="0"/>
              <w:jc w:val="center"/>
              <w:rPr>
                <w:rFonts w:cs="Times New Roman"/>
                <w:sz w:val="21"/>
                <w:szCs w:val="21"/>
              </w:rPr>
            </w:pPr>
            <w:r>
              <w:rPr>
                <w:rFonts w:cs="Times New Roman"/>
                <w:sz w:val="21"/>
                <w:szCs w:val="21"/>
              </w:rPr>
              <w:t>应急预案编制</w:t>
            </w:r>
          </w:p>
        </w:tc>
        <w:tc>
          <w:tcPr>
            <w:tcW w:w="863" w:type="dxa"/>
            <w:vAlign w:val="center"/>
          </w:tcPr>
          <w:p>
            <w:pPr>
              <w:ind w:firstLine="0" w:firstLineChars="0"/>
              <w:jc w:val="center"/>
              <w:rPr>
                <w:rFonts w:cs="Times New Roman"/>
                <w:sz w:val="21"/>
                <w:szCs w:val="21"/>
              </w:rPr>
            </w:pPr>
            <w:r>
              <w:rPr>
                <w:rFonts w:cs="Times New Roman"/>
                <w:sz w:val="21"/>
                <w:szCs w:val="21"/>
              </w:rPr>
              <w:t>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61</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森工街道</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葫芦套</w:t>
            </w:r>
          </w:p>
        </w:tc>
        <w:tc>
          <w:tcPr>
            <w:tcW w:w="1209" w:type="dxa"/>
            <w:vAlign w:val="center"/>
          </w:tcPr>
          <w:p>
            <w:pPr>
              <w:ind w:firstLine="0" w:firstLineChars="0"/>
              <w:jc w:val="center"/>
              <w:rPr>
                <w:rFonts w:cs="Times New Roman"/>
                <w:sz w:val="21"/>
                <w:szCs w:val="21"/>
              </w:rPr>
            </w:pPr>
            <w:r>
              <w:rPr>
                <w:rFonts w:cs="Times New Roman"/>
                <w:sz w:val="21"/>
                <w:szCs w:val="21"/>
              </w:rPr>
              <w:t>临江市森工街道排水管网项目</w:t>
            </w:r>
          </w:p>
        </w:tc>
        <w:tc>
          <w:tcPr>
            <w:tcW w:w="2736" w:type="dxa"/>
            <w:vAlign w:val="center"/>
          </w:tcPr>
          <w:p>
            <w:pPr>
              <w:ind w:firstLine="0" w:firstLineChars="0"/>
              <w:jc w:val="center"/>
              <w:rPr>
                <w:rFonts w:cs="Times New Roman"/>
                <w:sz w:val="21"/>
                <w:szCs w:val="21"/>
              </w:rPr>
            </w:pPr>
            <w:r>
              <w:rPr>
                <w:rFonts w:cs="Times New Roman"/>
                <w:sz w:val="21"/>
                <w:szCs w:val="21"/>
              </w:rPr>
              <w:t>主要为临江市森工街道区域内既有老旧小区内原有污水管网改造。项目依据建设内容将森工区范围内的污水改造划分成4个部分，分别为：污水干线、污水支线、老旧小区污水、新建小区污水。本项目共新建DN300-DN400总长约为14.228km。</w:t>
            </w:r>
          </w:p>
        </w:tc>
        <w:tc>
          <w:tcPr>
            <w:tcW w:w="1253" w:type="dxa"/>
            <w:vAlign w:val="center"/>
          </w:tcPr>
          <w:p>
            <w:pPr>
              <w:ind w:firstLine="0" w:firstLineChars="0"/>
              <w:jc w:val="center"/>
              <w:rPr>
                <w:rFonts w:cs="Times New Roman"/>
                <w:sz w:val="21"/>
                <w:szCs w:val="21"/>
              </w:rPr>
            </w:pPr>
            <w:r>
              <w:rPr>
                <w:rFonts w:cs="Times New Roman"/>
                <w:sz w:val="21"/>
                <w:szCs w:val="21"/>
              </w:rPr>
              <w:t>4845.17</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配套管网工程</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62</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吉林长白山天然矿泉水临江饮用水水源地防护项目</w:t>
            </w:r>
          </w:p>
        </w:tc>
        <w:tc>
          <w:tcPr>
            <w:tcW w:w="2736" w:type="dxa"/>
            <w:vAlign w:val="center"/>
          </w:tcPr>
          <w:p>
            <w:pPr>
              <w:ind w:firstLine="0" w:firstLineChars="0"/>
              <w:jc w:val="center"/>
              <w:rPr>
                <w:rFonts w:cs="Times New Roman"/>
                <w:sz w:val="21"/>
                <w:szCs w:val="21"/>
              </w:rPr>
            </w:pPr>
            <w:r>
              <w:rPr>
                <w:rFonts w:cs="Times New Roman"/>
                <w:sz w:val="21"/>
                <w:szCs w:val="21"/>
              </w:rPr>
              <w:t>该项目建设一级保护区隔离防护网6.6km，二级保护区隔离防护网13.5km，水质、环保监控预警设备10套，中控设备2套、防火预警系统10套、无人机巡查设备三套。（检修钢结构基础木栈道3km、输电电缆11km、通讯光缆11km、通讯服务器等设备30套、监控摄像头110个、音响驱离警示45处）。</w:t>
            </w:r>
          </w:p>
        </w:tc>
        <w:tc>
          <w:tcPr>
            <w:tcW w:w="1253" w:type="dxa"/>
            <w:vAlign w:val="center"/>
          </w:tcPr>
          <w:p>
            <w:pPr>
              <w:ind w:firstLine="0" w:firstLineChars="0"/>
              <w:jc w:val="center"/>
              <w:rPr>
                <w:rFonts w:cs="Times New Roman"/>
                <w:sz w:val="21"/>
                <w:szCs w:val="21"/>
              </w:rPr>
            </w:pPr>
            <w:r>
              <w:rPr>
                <w:rFonts w:cs="Times New Roman"/>
                <w:sz w:val="21"/>
                <w:szCs w:val="21"/>
              </w:rPr>
              <w:t>5111.16</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饮用水水源地规范化建设</w:t>
            </w:r>
          </w:p>
        </w:tc>
        <w:tc>
          <w:tcPr>
            <w:tcW w:w="700" w:type="dxa"/>
            <w:vAlign w:val="center"/>
          </w:tcPr>
          <w:p>
            <w:pPr>
              <w:ind w:firstLine="0" w:firstLineChars="0"/>
              <w:jc w:val="center"/>
              <w:rPr>
                <w:rFonts w:cs="Times New Roman"/>
                <w:sz w:val="21"/>
                <w:szCs w:val="21"/>
              </w:rPr>
            </w:pPr>
            <w:r>
              <w:rPr>
                <w:rFonts w:cs="Times New Roman"/>
                <w:sz w:val="21"/>
                <w:szCs w:val="21"/>
              </w:rPr>
              <w:t>饮用水水源地建设与提升</w:t>
            </w:r>
          </w:p>
        </w:tc>
        <w:tc>
          <w:tcPr>
            <w:tcW w:w="863" w:type="dxa"/>
            <w:vAlign w:val="center"/>
          </w:tcPr>
          <w:p>
            <w:pPr>
              <w:ind w:firstLine="0" w:firstLineChars="0"/>
              <w:jc w:val="center"/>
              <w:rPr>
                <w:rFonts w:cs="Times New Roman"/>
                <w:sz w:val="21"/>
                <w:szCs w:val="21"/>
              </w:rPr>
            </w:pPr>
            <w:r>
              <w:rPr>
                <w:rFonts w:cs="Times New Roman"/>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63</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长白县</w:t>
            </w:r>
          </w:p>
        </w:tc>
        <w:tc>
          <w:tcPr>
            <w:tcW w:w="1275" w:type="dxa"/>
            <w:vAlign w:val="center"/>
          </w:tcPr>
          <w:p>
            <w:pPr>
              <w:ind w:firstLine="0" w:firstLineChars="0"/>
              <w:jc w:val="center"/>
              <w:rPr>
                <w:rFonts w:cs="Times New Roman"/>
                <w:sz w:val="21"/>
                <w:szCs w:val="21"/>
              </w:rPr>
            </w:pPr>
            <w:r>
              <w:rPr>
                <w:rFonts w:cs="Times New Roman"/>
                <w:sz w:val="21"/>
                <w:szCs w:val="21"/>
              </w:rPr>
              <w:t>马鹿沟镇</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鸠谷</w:t>
            </w:r>
          </w:p>
        </w:tc>
        <w:tc>
          <w:tcPr>
            <w:tcW w:w="1209" w:type="dxa"/>
            <w:vAlign w:val="center"/>
          </w:tcPr>
          <w:p>
            <w:pPr>
              <w:ind w:firstLine="0" w:firstLineChars="0"/>
              <w:jc w:val="center"/>
              <w:rPr>
                <w:rFonts w:cs="Times New Roman"/>
                <w:sz w:val="21"/>
                <w:szCs w:val="21"/>
              </w:rPr>
            </w:pPr>
            <w:r>
              <w:rPr>
                <w:rFonts w:cs="Times New Roman"/>
                <w:sz w:val="21"/>
                <w:szCs w:val="21"/>
              </w:rPr>
              <w:t>马鹿沟镇马鹿沟村2020年二、三片区给排水管网工程项目</w:t>
            </w:r>
          </w:p>
        </w:tc>
        <w:tc>
          <w:tcPr>
            <w:tcW w:w="2736" w:type="dxa"/>
            <w:vAlign w:val="center"/>
          </w:tcPr>
          <w:p>
            <w:pPr>
              <w:ind w:firstLine="0" w:firstLineChars="0"/>
              <w:jc w:val="center"/>
              <w:rPr>
                <w:rFonts w:cs="Times New Roman"/>
                <w:sz w:val="21"/>
                <w:szCs w:val="21"/>
              </w:rPr>
            </w:pPr>
            <w:r>
              <w:rPr>
                <w:rFonts w:cs="Times New Roman"/>
                <w:sz w:val="21"/>
                <w:szCs w:val="21"/>
              </w:rPr>
              <w:t>污水管线D300钢筋混凝土Ⅱ级管702m；D400钢筋混凝土Ⅱ级管864m；D500钢筋混凝土Ⅱ级管219m；D600钢筋混凝土Ⅱ级管356m；给水管线dn110PE管线907m、dn200PE管线265m；既有道路拆除恢复10143</w:t>
            </w:r>
            <w:r>
              <w:rPr>
                <w:rFonts w:eastAsia="Segoe UI Symbol" w:cs="Times New Roman"/>
                <w:sz w:val="21"/>
                <w:szCs w:val="21"/>
              </w:rPr>
              <w:t>㎡</w:t>
            </w:r>
            <w:r>
              <w:rPr>
                <w:rFonts w:cs="Times New Roman"/>
                <w:sz w:val="21"/>
                <w:szCs w:val="21"/>
              </w:rPr>
              <w:t>，防渗池1座。</w:t>
            </w:r>
          </w:p>
        </w:tc>
        <w:tc>
          <w:tcPr>
            <w:tcW w:w="1253" w:type="dxa"/>
            <w:vAlign w:val="center"/>
          </w:tcPr>
          <w:p>
            <w:pPr>
              <w:ind w:firstLine="0" w:firstLineChars="0"/>
              <w:jc w:val="center"/>
              <w:rPr>
                <w:rFonts w:cs="Times New Roman"/>
                <w:sz w:val="21"/>
                <w:szCs w:val="21"/>
              </w:rPr>
            </w:pPr>
            <w:r>
              <w:rPr>
                <w:rFonts w:cs="Times New Roman"/>
                <w:sz w:val="21"/>
                <w:szCs w:val="21"/>
              </w:rPr>
              <w:t>859.76</w:t>
            </w:r>
          </w:p>
        </w:tc>
        <w:tc>
          <w:tcPr>
            <w:tcW w:w="822" w:type="dxa"/>
            <w:vAlign w:val="center"/>
          </w:tcPr>
          <w:p>
            <w:pPr>
              <w:ind w:firstLine="0" w:firstLineChars="0"/>
              <w:jc w:val="center"/>
              <w:rPr>
                <w:rFonts w:cs="Times New Roman"/>
                <w:sz w:val="21"/>
                <w:szCs w:val="21"/>
              </w:rPr>
            </w:pPr>
            <w:r>
              <w:rPr>
                <w:rFonts w:cs="Times New Roman"/>
                <w:sz w:val="21"/>
                <w:szCs w:val="21"/>
              </w:rPr>
              <w:t>长白县人民政府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64</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长白县</w:t>
            </w:r>
          </w:p>
        </w:tc>
        <w:tc>
          <w:tcPr>
            <w:tcW w:w="1275" w:type="dxa"/>
            <w:vAlign w:val="center"/>
          </w:tcPr>
          <w:p>
            <w:pPr>
              <w:ind w:firstLine="0" w:firstLineChars="0"/>
              <w:jc w:val="center"/>
              <w:rPr>
                <w:rFonts w:cs="Times New Roman"/>
                <w:sz w:val="21"/>
                <w:szCs w:val="21"/>
              </w:rPr>
            </w:pPr>
            <w:r>
              <w:rPr>
                <w:rFonts w:cs="Times New Roman"/>
                <w:sz w:val="21"/>
                <w:szCs w:val="21"/>
              </w:rPr>
              <w:t>马鹿沟镇</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鸠谷</w:t>
            </w:r>
          </w:p>
        </w:tc>
        <w:tc>
          <w:tcPr>
            <w:tcW w:w="1209" w:type="dxa"/>
            <w:vAlign w:val="center"/>
          </w:tcPr>
          <w:p>
            <w:pPr>
              <w:ind w:firstLine="0" w:firstLineChars="0"/>
              <w:jc w:val="center"/>
              <w:rPr>
                <w:rFonts w:cs="Times New Roman"/>
                <w:sz w:val="21"/>
                <w:szCs w:val="21"/>
              </w:rPr>
            </w:pPr>
            <w:r>
              <w:rPr>
                <w:rFonts w:cs="Times New Roman"/>
                <w:sz w:val="21"/>
                <w:szCs w:val="21"/>
              </w:rPr>
              <w:t>马鹿沟镇马鹿沟村2020年一、四片区给排水管网工程项目</w:t>
            </w:r>
          </w:p>
        </w:tc>
        <w:tc>
          <w:tcPr>
            <w:tcW w:w="2736" w:type="dxa"/>
            <w:vAlign w:val="center"/>
          </w:tcPr>
          <w:p>
            <w:pPr>
              <w:ind w:firstLine="0" w:firstLineChars="0"/>
              <w:jc w:val="center"/>
              <w:rPr>
                <w:rFonts w:cs="Times New Roman"/>
                <w:sz w:val="21"/>
                <w:szCs w:val="21"/>
              </w:rPr>
            </w:pPr>
            <w:r>
              <w:rPr>
                <w:rFonts w:cs="Times New Roman"/>
                <w:sz w:val="21"/>
                <w:szCs w:val="21"/>
              </w:rPr>
              <w:t>U型成品线性排水沟50m、d500雨水管线51米；污水管线d300钢筋混凝土Ⅱ级管线1592m；给水管线dn110PE管线1158m、给水管线dn200PE管线415m；道路拆除恢复9304</w:t>
            </w:r>
            <w:r>
              <w:rPr>
                <w:rFonts w:eastAsia="Segoe UI Symbol" w:cs="Times New Roman"/>
                <w:sz w:val="21"/>
                <w:szCs w:val="21"/>
              </w:rPr>
              <w:t>㎡</w:t>
            </w:r>
            <w:r>
              <w:rPr>
                <w:rFonts w:cs="Times New Roman"/>
                <w:sz w:val="21"/>
                <w:szCs w:val="21"/>
              </w:rPr>
              <w:t>。</w:t>
            </w:r>
          </w:p>
        </w:tc>
        <w:tc>
          <w:tcPr>
            <w:tcW w:w="1253" w:type="dxa"/>
            <w:vAlign w:val="center"/>
          </w:tcPr>
          <w:p>
            <w:pPr>
              <w:ind w:firstLine="0" w:firstLineChars="0"/>
              <w:jc w:val="center"/>
              <w:rPr>
                <w:rFonts w:cs="Times New Roman"/>
                <w:sz w:val="21"/>
                <w:szCs w:val="21"/>
              </w:rPr>
            </w:pPr>
            <w:r>
              <w:rPr>
                <w:rFonts w:cs="Times New Roman"/>
                <w:sz w:val="21"/>
                <w:szCs w:val="21"/>
              </w:rPr>
              <w:t>687.78</w:t>
            </w:r>
          </w:p>
        </w:tc>
        <w:tc>
          <w:tcPr>
            <w:tcW w:w="822" w:type="dxa"/>
            <w:vAlign w:val="center"/>
          </w:tcPr>
          <w:p>
            <w:pPr>
              <w:ind w:firstLine="0" w:firstLineChars="0"/>
              <w:jc w:val="center"/>
              <w:rPr>
                <w:rFonts w:cs="Times New Roman"/>
                <w:sz w:val="21"/>
                <w:szCs w:val="21"/>
              </w:rPr>
            </w:pPr>
            <w:r>
              <w:rPr>
                <w:rFonts w:cs="Times New Roman"/>
                <w:sz w:val="21"/>
                <w:szCs w:val="21"/>
              </w:rPr>
              <w:t>长白县人民政府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2021-2021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65</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四道沟镇</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葫芦套</w:t>
            </w:r>
          </w:p>
        </w:tc>
        <w:tc>
          <w:tcPr>
            <w:tcW w:w="1209" w:type="dxa"/>
            <w:vAlign w:val="center"/>
          </w:tcPr>
          <w:p>
            <w:pPr>
              <w:ind w:firstLine="0" w:firstLineChars="0"/>
              <w:jc w:val="center"/>
              <w:rPr>
                <w:rFonts w:cs="Times New Roman"/>
                <w:sz w:val="21"/>
                <w:szCs w:val="21"/>
              </w:rPr>
            </w:pPr>
            <w:r>
              <w:rPr>
                <w:rFonts w:cs="Times New Roman"/>
                <w:sz w:val="21"/>
                <w:szCs w:val="21"/>
              </w:rPr>
              <w:t>农村户用无害化厕所改造建设项目</w:t>
            </w:r>
          </w:p>
        </w:tc>
        <w:tc>
          <w:tcPr>
            <w:tcW w:w="2736" w:type="dxa"/>
            <w:vAlign w:val="center"/>
          </w:tcPr>
          <w:p>
            <w:pPr>
              <w:ind w:firstLine="0" w:firstLineChars="0"/>
              <w:jc w:val="center"/>
              <w:rPr>
                <w:rFonts w:cs="Times New Roman"/>
                <w:sz w:val="21"/>
                <w:szCs w:val="21"/>
              </w:rPr>
            </w:pPr>
            <w:r>
              <w:rPr>
                <w:rFonts w:cs="Times New Roman"/>
                <w:sz w:val="21"/>
                <w:szCs w:val="21"/>
              </w:rPr>
              <w:t>四道沟镇6个行政农村建设800户无害化厕所。</w:t>
            </w:r>
          </w:p>
        </w:tc>
        <w:tc>
          <w:tcPr>
            <w:tcW w:w="1253" w:type="dxa"/>
            <w:vAlign w:val="center"/>
          </w:tcPr>
          <w:p>
            <w:pPr>
              <w:ind w:firstLine="0" w:firstLineChars="0"/>
              <w:jc w:val="center"/>
              <w:rPr>
                <w:rFonts w:cs="Times New Roman"/>
                <w:sz w:val="21"/>
                <w:szCs w:val="21"/>
              </w:rPr>
            </w:pPr>
            <w:r>
              <w:rPr>
                <w:rFonts w:cs="Times New Roman"/>
                <w:sz w:val="21"/>
                <w:szCs w:val="21"/>
              </w:rPr>
              <w:t>282.7</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农业农村污染防治</w:t>
            </w:r>
          </w:p>
        </w:tc>
        <w:tc>
          <w:tcPr>
            <w:tcW w:w="700" w:type="dxa"/>
            <w:vAlign w:val="center"/>
          </w:tcPr>
          <w:p>
            <w:pPr>
              <w:ind w:firstLine="0" w:firstLineChars="0"/>
              <w:jc w:val="center"/>
              <w:rPr>
                <w:rFonts w:cs="Times New Roman"/>
                <w:sz w:val="21"/>
                <w:szCs w:val="21"/>
              </w:rPr>
            </w:pPr>
            <w:r>
              <w:rPr>
                <w:rFonts w:cs="Times New Roman"/>
                <w:sz w:val="21"/>
                <w:szCs w:val="21"/>
              </w:rPr>
              <w:t>农村环境连片整治</w:t>
            </w:r>
          </w:p>
        </w:tc>
        <w:tc>
          <w:tcPr>
            <w:tcW w:w="863" w:type="dxa"/>
            <w:vAlign w:val="center"/>
          </w:tcPr>
          <w:p>
            <w:pPr>
              <w:ind w:firstLine="0" w:firstLineChars="0"/>
              <w:jc w:val="center"/>
              <w:rPr>
                <w:rFonts w:cs="Times New Roman"/>
                <w:sz w:val="21"/>
                <w:szCs w:val="21"/>
              </w:rPr>
            </w:pPr>
            <w:r>
              <w:rPr>
                <w:rFonts w:cs="Times New Roman"/>
                <w:sz w:val="21"/>
                <w:szCs w:val="21"/>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66</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YLJ</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吉林省临江市大湖独立工矿区转型临城矿泉水产业园区污水排放项目</w:t>
            </w:r>
          </w:p>
        </w:tc>
        <w:tc>
          <w:tcPr>
            <w:tcW w:w="2736" w:type="dxa"/>
            <w:vAlign w:val="center"/>
          </w:tcPr>
          <w:p>
            <w:pPr>
              <w:ind w:firstLine="0" w:firstLineChars="0"/>
              <w:jc w:val="center"/>
              <w:rPr>
                <w:rFonts w:cs="Times New Roman"/>
                <w:sz w:val="21"/>
                <w:szCs w:val="21"/>
              </w:rPr>
            </w:pPr>
            <w:r>
              <w:rPr>
                <w:rFonts w:cs="Times New Roman"/>
                <w:sz w:val="21"/>
                <w:szCs w:val="21"/>
              </w:rPr>
              <w:t>该项目DN800管线和DN600管线总长14.05公里，石笼敷设3.6公里</w:t>
            </w:r>
          </w:p>
        </w:tc>
        <w:tc>
          <w:tcPr>
            <w:tcW w:w="1253" w:type="dxa"/>
            <w:vAlign w:val="center"/>
          </w:tcPr>
          <w:p>
            <w:pPr>
              <w:ind w:firstLine="0" w:firstLineChars="0"/>
              <w:jc w:val="center"/>
              <w:rPr>
                <w:rFonts w:cs="Times New Roman"/>
                <w:sz w:val="21"/>
                <w:szCs w:val="21"/>
              </w:rPr>
            </w:pPr>
            <w:r>
              <w:rPr>
                <w:rFonts w:cs="Times New Roman"/>
                <w:sz w:val="21"/>
                <w:szCs w:val="21"/>
              </w:rPr>
              <w:t>3600</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城镇污水处理及管网建设</w:t>
            </w:r>
          </w:p>
        </w:tc>
        <w:tc>
          <w:tcPr>
            <w:tcW w:w="700" w:type="dxa"/>
            <w:vAlign w:val="center"/>
          </w:tcPr>
          <w:p>
            <w:pPr>
              <w:ind w:firstLine="0" w:firstLineChars="0"/>
              <w:jc w:val="center"/>
              <w:rPr>
                <w:rFonts w:cs="Times New Roman"/>
                <w:sz w:val="21"/>
                <w:szCs w:val="21"/>
              </w:rPr>
            </w:pPr>
            <w:r>
              <w:rPr>
                <w:rFonts w:cs="Times New Roman"/>
                <w:sz w:val="21"/>
                <w:szCs w:val="21"/>
              </w:rPr>
              <w:t>城镇污水处理设施建设与改造</w:t>
            </w:r>
          </w:p>
        </w:tc>
        <w:tc>
          <w:tcPr>
            <w:tcW w:w="863" w:type="dxa"/>
            <w:vAlign w:val="center"/>
          </w:tcPr>
          <w:p>
            <w:pPr>
              <w:ind w:firstLine="0" w:firstLineChars="0"/>
              <w:jc w:val="center"/>
              <w:rPr>
                <w:rFonts w:cs="Times New Roman"/>
                <w:sz w:val="21"/>
                <w:szCs w:val="21"/>
              </w:rPr>
            </w:pPr>
            <w:r>
              <w:rPr>
                <w:rFonts w:cs="Times New Roman"/>
                <w:sz w:val="21"/>
                <w:szCs w:val="21"/>
              </w:rPr>
              <w:t>2017-2021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67</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小栗子生态旅游观光产业园区护岸及土地整理建设项目</w:t>
            </w:r>
          </w:p>
        </w:tc>
        <w:tc>
          <w:tcPr>
            <w:tcW w:w="2736" w:type="dxa"/>
            <w:vAlign w:val="center"/>
          </w:tcPr>
          <w:p>
            <w:pPr>
              <w:ind w:firstLine="0" w:firstLineChars="0"/>
              <w:jc w:val="center"/>
              <w:rPr>
                <w:rFonts w:cs="Times New Roman"/>
                <w:sz w:val="21"/>
                <w:szCs w:val="21"/>
              </w:rPr>
            </w:pPr>
            <w:r>
              <w:rPr>
                <w:rFonts w:cs="Times New Roman"/>
                <w:sz w:val="21"/>
                <w:szCs w:val="21"/>
              </w:rPr>
              <w:t>新建全长2.975km的园区护岸工程，新造土地45.4hm2。将栗矿弃渣场地整合成土地。</w:t>
            </w:r>
          </w:p>
        </w:tc>
        <w:tc>
          <w:tcPr>
            <w:tcW w:w="1253" w:type="dxa"/>
            <w:vAlign w:val="center"/>
          </w:tcPr>
          <w:p>
            <w:pPr>
              <w:ind w:firstLine="0" w:firstLineChars="0"/>
              <w:jc w:val="center"/>
              <w:rPr>
                <w:rFonts w:cs="Times New Roman"/>
                <w:sz w:val="21"/>
                <w:szCs w:val="21"/>
              </w:rPr>
            </w:pPr>
            <w:r>
              <w:rPr>
                <w:rFonts w:cs="Times New Roman"/>
                <w:sz w:val="21"/>
                <w:szCs w:val="21"/>
              </w:rPr>
              <w:t>10565</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28" w:type="dxa"/>
            <w:vAlign w:val="center"/>
          </w:tcPr>
          <w:p>
            <w:pPr>
              <w:ind w:firstLine="0" w:firstLineChars="0"/>
              <w:jc w:val="center"/>
              <w:rPr>
                <w:rFonts w:cs="Times New Roman"/>
                <w:sz w:val="21"/>
                <w:szCs w:val="21"/>
              </w:rPr>
            </w:pPr>
            <w:r>
              <w:rPr>
                <w:rFonts w:cs="Times New Roman"/>
                <w:sz w:val="21"/>
                <w:szCs w:val="21"/>
              </w:rPr>
              <w:t>68</w:t>
            </w:r>
          </w:p>
        </w:tc>
        <w:tc>
          <w:tcPr>
            <w:tcW w:w="427" w:type="dxa"/>
            <w:vAlign w:val="center"/>
          </w:tcPr>
          <w:p>
            <w:pPr>
              <w:ind w:firstLine="0" w:firstLineChars="0"/>
              <w:jc w:val="center"/>
              <w:rPr>
                <w:rFonts w:cs="Times New Roman"/>
                <w:sz w:val="21"/>
                <w:szCs w:val="21"/>
              </w:rPr>
            </w:pPr>
            <w:r>
              <w:rPr>
                <w:rFonts w:cs="Times New Roman"/>
                <w:sz w:val="21"/>
                <w:szCs w:val="21"/>
              </w:rPr>
              <w:t>吉林省</w:t>
            </w:r>
          </w:p>
        </w:tc>
        <w:tc>
          <w:tcPr>
            <w:tcW w:w="427" w:type="dxa"/>
            <w:vAlign w:val="center"/>
          </w:tcPr>
          <w:p>
            <w:pPr>
              <w:ind w:firstLine="0" w:firstLineChars="0"/>
              <w:jc w:val="center"/>
              <w:rPr>
                <w:rFonts w:cs="Times New Roman"/>
                <w:sz w:val="21"/>
                <w:szCs w:val="21"/>
              </w:rPr>
            </w:pPr>
            <w:r>
              <w:rPr>
                <w:rFonts w:cs="Times New Roman"/>
                <w:sz w:val="21"/>
                <w:szCs w:val="21"/>
              </w:rPr>
              <w:t>白山市</w:t>
            </w:r>
          </w:p>
        </w:tc>
        <w:tc>
          <w:tcPr>
            <w:tcW w:w="840" w:type="dxa"/>
            <w:vAlign w:val="center"/>
          </w:tcPr>
          <w:p>
            <w:pPr>
              <w:ind w:firstLine="0" w:firstLineChars="0"/>
              <w:jc w:val="center"/>
              <w:rPr>
                <w:rFonts w:cs="Times New Roman"/>
                <w:sz w:val="21"/>
                <w:szCs w:val="21"/>
              </w:rPr>
            </w:pPr>
            <w:r>
              <w:rPr>
                <w:rFonts w:cs="Times New Roman"/>
                <w:sz w:val="21"/>
                <w:szCs w:val="21"/>
              </w:rPr>
              <w:t>临江市</w:t>
            </w:r>
          </w:p>
        </w:tc>
        <w:tc>
          <w:tcPr>
            <w:tcW w:w="1275"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w:t>
            </w:r>
          </w:p>
        </w:tc>
        <w:tc>
          <w:tcPr>
            <w:tcW w:w="1134" w:type="dxa"/>
            <w:vAlign w:val="center"/>
          </w:tcPr>
          <w:p>
            <w:pPr>
              <w:ind w:firstLine="0" w:firstLineChars="0"/>
              <w:jc w:val="center"/>
              <w:rPr>
                <w:rFonts w:cs="Times New Roman"/>
                <w:sz w:val="21"/>
                <w:szCs w:val="21"/>
              </w:rPr>
            </w:pPr>
            <w:r>
              <w:rPr>
                <w:rFonts w:cs="Times New Roman"/>
                <w:sz w:val="21"/>
                <w:szCs w:val="21"/>
              </w:rPr>
              <w:t>云峰</w:t>
            </w:r>
          </w:p>
        </w:tc>
        <w:tc>
          <w:tcPr>
            <w:tcW w:w="1209" w:type="dxa"/>
            <w:vAlign w:val="center"/>
          </w:tcPr>
          <w:p>
            <w:pPr>
              <w:ind w:firstLine="0" w:firstLineChars="0"/>
              <w:jc w:val="center"/>
              <w:rPr>
                <w:rFonts w:cs="Times New Roman"/>
                <w:sz w:val="21"/>
                <w:szCs w:val="21"/>
              </w:rPr>
            </w:pPr>
            <w:r>
              <w:rPr>
                <w:rFonts w:cs="Times New Roman"/>
                <w:sz w:val="21"/>
                <w:szCs w:val="21"/>
              </w:rPr>
              <w:t>葫芦套生态农业产业园区护岸及土地整理建设项目</w:t>
            </w:r>
          </w:p>
        </w:tc>
        <w:tc>
          <w:tcPr>
            <w:tcW w:w="2736" w:type="dxa"/>
            <w:vAlign w:val="center"/>
          </w:tcPr>
          <w:p>
            <w:pPr>
              <w:ind w:firstLine="0" w:firstLineChars="0"/>
              <w:jc w:val="center"/>
              <w:rPr>
                <w:rFonts w:cs="Times New Roman"/>
                <w:sz w:val="21"/>
                <w:szCs w:val="21"/>
              </w:rPr>
            </w:pPr>
            <w:r>
              <w:rPr>
                <w:rFonts w:cs="Times New Roman"/>
                <w:sz w:val="21"/>
                <w:szCs w:val="21"/>
              </w:rPr>
              <w:t>新建全长1.98km的临江市下葫芦套生态农业产业园区护岸工程，本项目对弃渣土地进行整合，新造土地25hm2。</w:t>
            </w:r>
          </w:p>
        </w:tc>
        <w:tc>
          <w:tcPr>
            <w:tcW w:w="1253" w:type="dxa"/>
            <w:vAlign w:val="center"/>
          </w:tcPr>
          <w:p>
            <w:pPr>
              <w:ind w:firstLine="0" w:firstLineChars="0"/>
              <w:jc w:val="center"/>
              <w:rPr>
                <w:rFonts w:cs="Times New Roman"/>
                <w:sz w:val="21"/>
                <w:szCs w:val="21"/>
              </w:rPr>
            </w:pPr>
            <w:r>
              <w:rPr>
                <w:rFonts w:cs="Times New Roman"/>
                <w:sz w:val="21"/>
                <w:szCs w:val="21"/>
              </w:rPr>
              <w:t>8741</w:t>
            </w:r>
          </w:p>
        </w:tc>
        <w:tc>
          <w:tcPr>
            <w:tcW w:w="822" w:type="dxa"/>
            <w:vAlign w:val="center"/>
          </w:tcPr>
          <w:p>
            <w:pPr>
              <w:ind w:firstLine="0" w:firstLineChars="0"/>
              <w:jc w:val="center"/>
              <w:rPr>
                <w:rFonts w:cs="Times New Roman"/>
                <w:sz w:val="21"/>
                <w:szCs w:val="21"/>
              </w:rPr>
            </w:pPr>
            <w:r>
              <w:rPr>
                <w:rFonts w:cs="Times New Roman"/>
                <w:sz w:val="21"/>
                <w:szCs w:val="21"/>
              </w:rPr>
              <w:t>临江市人民政府</w:t>
            </w:r>
          </w:p>
        </w:tc>
        <w:tc>
          <w:tcPr>
            <w:tcW w:w="700" w:type="dxa"/>
            <w:vAlign w:val="center"/>
          </w:tcPr>
          <w:p>
            <w:pPr>
              <w:ind w:firstLine="0" w:firstLineChars="0"/>
              <w:jc w:val="center"/>
              <w:rPr>
                <w:rFonts w:cs="Times New Roman"/>
                <w:sz w:val="21"/>
                <w:szCs w:val="21"/>
              </w:rPr>
            </w:pPr>
            <w:r>
              <w:rPr>
                <w:rFonts w:cs="Times New Roman"/>
                <w:sz w:val="21"/>
                <w:szCs w:val="21"/>
              </w:rPr>
              <w:t>水生态保护修复</w:t>
            </w:r>
          </w:p>
        </w:tc>
        <w:tc>
          <w:tcPr>
            <w:tcW w:w="700" w:type="dxa"/>
            <w:vAlign w:val="center"/>
          </w:tcPr>
          <w:p>
            <w:pPr>
              <w:ind w:firstLine="0" w:firstLineChars="0"/>
              <w:jc w:val="center"/>
              <w:rPr>
                <w:rFonts w:cs="Times New Roman"/>
                <w:sz w:val="21"/>
                <w:szCs w:val="21"/>
              </w:rPr>
            </w:pPr>
            <w:r>
              <w:rPr>
                <w:rFonts w:cs="Times New Roman"/>
                <w:sz w:val="21"/>
                <w:szCs w:val="21"/>
              </w:rPr>
              <w:t>生态护岸建设与修复</w:t>
            </w:r>
          </w:p>
        </w:tc>
        <w:tc>
          <w:tcPr>
            <w:tcW w:w="863" w:type="dxa"/>
            <w:vAlign w:val="center"/>
          </w:tcPr>
          <w:p>
            <w:pPr>
              <w:ind w:firstLine="0" w:firstLineChars="0"/>
              <w:jc w:val="center"/>
              <w:rPr>
                <w:rFonts w:cs="Times New Roman"/>
                <w:sz w:val="21"/>
                <w:szCs w:val="21"/>
              </w:rPr>
            </w:pPr>
            <w:r>
              <w:rPr>
                <w:rFonts w:cs="Times New Roman"/>
                <w:sz w:val="21"/>
                <w:szCs w:val="21"/>
              </w:rPr>
              <w:t>2021-2025</w:t>
            </w:r>
          </w:p>
        </w:tc>
      </w:tr>
    </w:tbl>
    <w:p>
      <w:pPr>
        <w:ind w:firstLine="0" w:firstLineChars="0"/>
        <w:rPr>
          <w:rFonts w:cs="Times New Roman"/>
        </w:rPr>
      </w:pPr>
    </w:p>
    <w:sectPr>
      <w:pgSz w:w="16838" w:h="11906" w:orient="landscape"/>
      <w:pgMar w:top="1800" w:right="1440" w:bottom="1800" w:left="1440" w:header="851" w:footer="992" w:gutter="0"/>
      <w:pgNumType w:fmt="numberInDash"/>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p>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178524"/>
    </w:sdtPr>
    <w:sdtContent>
      <w:p>
        <w:pPr>
          <w:pStyle w:val="22"/>
          <w:ind w:firstLine="360"/>
          <w:jc w:val="center"/>
        </w:pPr>
        <w:r>
          <w:fldChar w:fldCharType="begin"/>
        </w:r>
        <w:r>
          <w:instrText xml:space="preserve">PAGE   \* MERGEFORMAT</w:instrText>
        </w:r>
        <w:r>
          <w:fldChar w:fldCharType="separate"/>
        </w:r>
        <w:r>
          <w:rPr>
            <w:lang w:val="zh-CN"/>
          </w:rPr>
          <w:t>2</w:t>
        </w:r>
        <w:r>
          <w:fldChar w:fldCharType="end"/>
        </w:r>
      </w:p>
    </w:sdtContent>
  </w:sdt>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0064335"/>
    </w:sdtPr>
    <w:sdtContent>
      <w:p>
        <w:pPr>
          <w:pStyle w:val="22"/>
          <w:ind w:firstLine="360"/>
          <w:jc w:val="center"/>
        </w:pPr>
        <w:r>
          <w:fldChar w:fldCharType="begin"/>
        </w:r>
        <w:r>
          <w:instrText xml:space="preserve">PAGE   \* MERGEFORMAT</w:instrText>
        </w:r>
        <w:r>
          <w:fldChar w:fldCharType="separate"/>
        </w:r>
        <w:r>
          <w:rPr>
            <w:lang w:val="zh-CN"/>
          </w:rPr>
          <w:t>2</w:t>
        </w:r>
        <w:r>
          <w:fldChar w:fldCharType="end"/>
        </w:r>
      </w:p>
    </w:sdtContent>
  </w:sdt>
  <w:p>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9846846"/>
    </w:sdtPr>
    <w:sdtEndPr>
      <w:rPr>
        <w:sz w:val="28"/>
        <w:szCs w:val="28"/>
      </w:rPr>
    </w:sdtEndPr>
    <w:sdtContent>
      <w:p>
        <w:pPr>
          <w:pStyle w:val="22"/>
          <w:ind w:firstLine="360"/>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9600861"/>
    </w:sdtPr>
    <w:sdtEndPr>
      <w:rPr>
        <w:sz w:val="28"/>
        <w:szCs w:val="28"/>
      </w:rPr>
    </w:sdtEndPr>
    <w:sdtContent>
      <w:p>
        <w:pPr>
          <w:pStyle w:val="22"/>
          <w:ind w:firstLine="360"/>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560"/>
      </w:pPr>
      <w:r>
        <w:separator/>
      </w:r>
    </w:p>
  </w:footnote>
  <w:footnote w:type="continuationSeparator" w:id="1">
    <w:p>
      <w:pPr>
        <w:spacing w:before="0" w:after="0"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C08A4"/>
    <w:multiLevelType w:val="multilevel"/>
    <w:tmpl w:val="2C0C08A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AA6B7E"/>
    <w:multiLevelType w:val="multilevel"/>
    <w:tmpl w:val="57AA6B7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6134446"/>
    <w:multiLevelType w:val="multilevel"/>
    <w:tmpl w:val="66134446"/>
    <w:lvl w:ilvl="0" w:tentative="0">
      <w:start w:val="1"/>
      <w:numFmt w:val="decimal"/>
      <w:pStyle w:val="195"/>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3BC4FEA"/>
    <w:multiLevelType w:val="multilevel"/>
    <w:tmpl w:val="73BC4FE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chineseCountingThousand"/>
      <w:suff w:val="nothing"/>
      <w:lvlText w:val="%3、"/>
      <w:lvlJc w:val="left"/>
      <w:pPr>
        <w:ind w:left="0" w:firstLine="0"/>
      </w:pPr>
      <w:rPr>
        <w:rFonts w:hint="eastAsia"/>
        <w:b w:val="0"/>
        <w:bCs w:val="0"/>
        <w:i w:val="0"/>
        <w:iCs w:val="0"/>
        <w:caps w:val="0"/>
        <w:smallCaps w:val="0"/>
        <w:strike w:val="0"/>
        <w:dstrike w:val="0"/>
        <w:vanish w:val="0"/>
        <w:spacing w:val="0"/>
        <w:position w:val="0"/>
        <w:u w:val="none"/>
        <w:vertAlign w:val="baseline"/>
      </w:rPr>
    </w:lvl>
    <w:lvl w:ilvl="3" w:tentative="0">
      <w:start w:val="1"/>
      <w:numFmt w:val="chineseCountingThousand"/>
      <w:pStyle w:val="186"/>
      <w:suff w:val="nothing"/>
      <w:lvlText w:val="（%4）"/>
      <w:lvlJc w:val="left"/>
      <w:pPr>
        <w:ind w:left="0" w:firstLine="0"/>
      </w:pPr>
      <w:rPr>
        <w:rFonts w:hint="eastAsia"/>
        <w:lang w:val="en-US"/>
      </w:rPr>
    </w:lvl>
    <w:lvl w:ilvl="4" w:tentative="0">
      <w:start w:val="1"/>
      <w:numFmt w:val="decimal"/>
      <w:suff w:val="space"/>
      <w:lvlText w:val="%5."/>
      <w:lvlJc w:val="left"/>
      <w:pPr>
        <w:ind w:left="0" w:firstLine="0"/>
      </w:pPr>
      <w:rPr>
        <w:rFonts w:hint="eastAsia"/>
      </w:rPr>
    </w:lvl>
    <w:lvl w:ilvl="5" w:tentative="0">
      <w:start w:val="1"/>
      <w:numFmt w:val="decimal"/>
      <w:suff w:val="nothing"/>
      <w:lvlText w:val="（%6）"/>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79C41795"/>
    <w:multiLevelType w:val="multilevel"/>
    <w:tmpl w:val="79C41795"/>
    <w:lvl w:ilvl="0" w:tentative="0">
      <w:start w:val="1"/>
      <w:numFmt w:val="decimal"/>
      <w:lvlText w:val="%1 "/>
      <w:lvlJc w:val="left"/>
      <w:pPr>
        <w:ind w:left="0" w:firstLine="0"/>
      </w:pPr>
      <w:rPr>
        <w:rFonts w:hint="eastAsia"/>
      </w:rPr>
    </w:lvl>
    <w:lvl w:ilvl="1" w:tentative="0">
      <w:start w:val="1"/>
      <w:numFmt w:val="decimal"/>
      <w:lvlText w:val="%1.%2 "/>
      <w:lvlJc w:val="left"/>
      <w:pPr>
        <w:ind w:left="567" w:firstLine="0"/>
      </w:pPr>
      <w:rPr>
        <w:rFonts w:hint="eastAsia"/>
      </w:rPr>
    </w:lvl>
    <w:lvl w:ilvl="2" w:tentative="0">
      <w:start w:val="1"/>
      <w:numFmt w:val="decimal"/>
      <w:lvlText w:val="%1.%2.%3 "/>
      <w:lvlJc w:val="left"/>
      <w:pPr>
        <w:ind w:left="0" w:firstLine="0"/>
      </w:pPr>
      <w:rPr>
        <w:rFonts w:hint="eastAsia"/>
      </w:rPr>
    </w:lvl>
    <w:lvl w:ilvl="3" w:tentative="0">
      <w:start w:val="1"/>
      <w:numFmt w:val="decimal"/>
      <w:pStyle w:val="121"/>
      <w:lvlText w:val="%1.%2.%3.%4 "/>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0"/>
  <w:evenAndOddHeaders w:val="1"/>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B9C"/>
    <w:rsid w:val="0000692D"/>
    <w:rsid w:val="000101C2"/>
    <w:rsid w:val="000221CA"/>
    <w:rsid w:val="00026440"/>
    <w:rsid w:val="00030EF0"/>
    <w:rsid w:val="00030FE1"/>
    <w:rsid w:val="000345EE"/>
    <w:rsid w:val="00036544"/>
    <w:rsid w:val="000366AE"/>
    <w:rsid w:val="00036D67"/>
    <w:rsid w:val="00050E88"/>
    <w:rsid w:val="00052560"/>
    <w:rsid w:val="0005614D"/>
    <w:rsid w:val="000612CF"/>
    <w:rsid w:val="00063C55"/>
    <w:rsid w:val="0007314C"/>
    <w:rsid w:val="0007405C"/>
    <w:rsid w:val="000742A0"/>
    <w:rsid w:val="000771ED"/>
    <w:rsid w:val="000862F1"/>
    <w:rsid w:val="000921F9"/>
    <w:rsid w:val="0009529C"/>
    <w:rsid w:val="00095686"/>
    <w:rsid w:val="000A5062"/>
    <w:rsid w:val="000A764E"/>
    <w:rsid w:val="000B094A"/>
    <w:rsid w:val="000B19AF"/>
    <w:rsid w:val="000C10A7"/>
    <w:rsid w:val="000C1825"/>
    <w:rsid w:val="000C2BA2"/>
    <w:rsid w:val="000C41A2"/>
    <w:rsid w:val="000C7628"/>
    <w:rsid w:val="000D20D8"/>
    <w:rsid w:val="000D59C9"/>
    <w:rsid w:val="000E2261"/>
    <w:rsid w:val="000F3548"/>
    <w:rsid w:val="000F571D"/>
    <w:rsid w:val="000F5A31"/>
    <w:rsid w:val="000F6933"/>
    <w:rsid w:val="000F779C"/>
    <w:rsid w:val="00102E47"/>
    <w:rsid w:val="00114AF6"/>
    <w:rsid w:val="0011590E"/>
    <w:rsid w:val="001212E3"/>
    <w:rsid w:val="00122DAD"/>
    <w:rsid w:val="001336C3"/>
    <w:rsid w:val="00136669"/>
    <w:rsid w:val="0014339A"/>
    <w:rsid w:val="001457E5"/>
    <w:rsid w:val="00150217"/>
    <w:rsid w:val="00150967"/>
    <w:rsid w:val="001549BD"/>
    <w:rsid w:val="00163B1D"/>
    <w:rsid w:val="00167EAE"/>
    <w:rsid w:val="001720E2"/>
    <w:rsid w:val="00172C77"/>
    <w:rsid w:val="00186A18"/>
    <w:rsid w:val="00190546"/>
    <w:rsid w:val="00190810"/>
    <w:rsid w:val="001933CF"/>
    <w:rsid w:val="00195A54"/>
    <w:rsid w:val="00196419"/>
    <w:rsid w:val="001B4309"/>
    <w:rsid w:val="001B4C46"/>
    <w:rsid w:val="001B4DAD"/>
    <w:rsid w:val="001C0C63"/>
    <w:rsid w:val="001C187F"/>
    <w:rsid w:val="001C30F6"/>
    <w:rsid w:val="001C736A"/>
    <w:rsid w:val="001D1BF6"/>
    <w:rsid w:val="001D3215"/>
    <w:rsid w:val="001D4139"/>
    <w:rsid w:val="001E12CB"/>
    <w:rsid w:val="001E1D08"/>
    <w:rsid w:val="001F0054"/>
    <w:rsid w:val="001F20BB"/>
    <w:rsid w:val="001F67F0"/>
    <w:rsid w:val="00204E93"/>
    <w:rsid w:val="00205670"/>
    <w:rsid w:val="002303BF"/>
    <w:rsid w:val="00232781"/>
    <w:rsid w:val="00232868"/>
    <w:rsid w:val="00240ED7"/>
    <w:rsid w:val="00241999"/>
    <w:rsid w:val="00250AA4"/>
    <w:rsid w:val="00251855"/>
    <w:rsid w:val="00251F4C"/>
    <w:rsid w:val="00256305"/>
    <w:rsid w:val="00256684"/>
    <w:rsid w:val="00257D4D"/>
    <w:rsid w:val="002613D4"/>
    <w:rsid w:val="0026147A"/>
    <w:rsid w:val="00263CF7"/>
    <w:rsid w:val="00266347"/>
    <w:rsid w:val="00266C02"/>
    <w:rsid w:val="00270405"/>
    <w:rsid w:val="0027168A"/>
    <w:rsid w:val="00272278"/>
    <w:rsid w:val="00281C42"/>
    <w:rsid w:val="002850A6"/>
    <w:rsid w:val="00287D71"/>
    <w:rsid w:val="002A5972"/>
    <w:rsid w:val="002A5CA9"/>
    <w:rsid w:val="002B580C"/>
    <w:rsid w:val="002C1AA3"/>
    <w:rsid w:val="002C30F4"/>
    <w:rsid w:val="002C37BE"/>
    <w:rsid w:val="002C4464"/>
    <w:rsid w:val="002C6A8B"/>
    <w:rsid w:val="002D00CB"/>
    <w:rsid w:val="002D266E"/>
    <w:rsid w:val="002E6226"/>
    <w:rsid w:val="002E69FD"/>
    <w:rsid w:val="002F207C"/>
    <w:rsid w:val="002F38F9"/>
    <w:rsid w:val="003056D6"/>
    <w:rsid w:val="00306C11"/>
    <w:rsid w:val="003101B6"/>
    <w:rsid w:val="00315DA4"/>
    <w:rsid w:val="00317F63"/>
    <w:rsid w:val="00324006"/>
    <w:rsid w:val="0032748E"/>
    <w:rsid w:val="00335875"/>
    <w:rsid w:val="00343352"/>
    <w:rsid w:val="00344361"/>
    <w:rsid w:val="00353206"/>
    <w:rsid w:val="00360C2A"/>
    <w:rsid w:val="003630AB"/>
    <w:rsid w:val="0037711F"/>
    <w:rsid w:val="003839EA"/>
    <w:rsid w:val="00393AF4"/>
    <w:rsid w:val="00394B15"/>
    <w:rsid w:val="003A42C5"/>
    <w:rsid w:val="003A7705"/>
    <w:rsid w:val="003B15C0"/>
    <w:rsid w:val="003B2A95"/>
    <w:rsid w:val="003B3438"/>
    <w:rsid w:val="003C19F7"/>
    <w:rsid w:val="003D1401"/>
    <w:rsid w:val="003D16A5"/>
    <w:rsid w:val="003D41B3"/>
    <w:rsid w:val="003D5527"/>
    <w:rsid w:val="003D5967"/>
    <w:rsid w:val="003D7020"/>
    <w:rsid w:val="003E22F2"/>
    <w:rsid w:val="003E25F7"/>
    <w:rsid w:val="003E2A7E"/>
    <w:rsid w:val="003E4CDD"/>
    <w:rsid w:val="003E5BB6"/>
    <w:rsid w:val="003F0F9B"/>
    <w:rsid w:val="003F1E0A"/>
    <w:rsid w:val="003F24A6"/>
    <w:rsid w:val="00400187"/>
    <w:rsid w:val="004107CB"/>
    <w:rsid w:val="00410986"/>
    <w:rsid w:val="0041446D"/>
    <w:rsid w:val="00417EF2"/>
    <w:rsid w:val="00421F96"/>
    <w:rsid w:val="00421FD5"/>
    <w:rsid w:val="004256C7"/>
    <w:rsid w:val="004304E4"/>
    <w:rsid w:val="00444052"/>
    <w:rsid w:val="0044577E"/>
    <w:rsid w:val="0045321A"/>
    <w:rsid w:val="00454D88"/>
    <w:rsid w:val="00456669"/>
    <w:rsid w:val="0046080E"/>
    <w:rsid w:val="00460C65"/>
    <w:rsid w:val="004643B8"/>
    <w:rsid w:val="004653B4"/>
    <w:rsid w:val="00465B5C"/>
    <w:rsid w:val="00465CFC"/>
    <w:rsid w:val="00466F5D"/>
    <w:rsid w:val="0046735B"/>
    <w:rsid w:val="00476BB8"/>
    <w:rsid w:val="00477FC4"/>
    <w:rsid w:val="00482D6B"/>
    <w:rsid w:val="00483B6F"/>
    <w:rsid w:val="004859B4"/>
    <w:rsid w:val="00493598"/>
    <w:rsid w:val="00494A5E"/>
    <w:rsid w:val="00494EC3"/>
    <w:rsid w:val="004953AC"/>
    <w:rsid w:val="004A2114"/>
    <w:rsid w:val="004A3B9B"/>
    <w:rsid w:val="004A6404"/>
    <w:rsid w:val="004C1E85"/>
    <w:rsid w:val="004C518C"/>
    <w:rsid w:val="004E684C"/>
    <w:rsid w:val="004F5F2C"/>
    <w:rsid w:val="005034F8"/>
    <w:rsid w:val="00504D6A"/>
    <w:rsid w:val="00510165"/>
    <w:rsid w:val="0051162D"/>
    <w:rsid w:val="00512FEF"/>
    <w:rsid w:val="00515998"/>
    <w:rsid w:val="00515C63"/>
    <w:rsid w:val="00520904"/>
    <w:rsid w:val="00524D22"/>
    <w:rsid w:val="00530EE4"/>
    <w:rsid w:val="00533A33"/>
    <w:rsid w:val="00550626"/>
    <w:rsid w:val="00550E2A"/>
    <w:rsid w:val="005630EC"/>
    <w:rsid w:val="00565B7D"/>
    <w:rsid w:val="0056689A"/>
    <w:rsid w:val="00566B01"/>
    <w:rsid w:val="005820E8"/>
    <w:rsid w:val="00587A03"/>
    <w:rsid w:val="0059106D"/>
    <w:rsid w:val="00593533"/>
    <w:rsid w:val="005A0B71"/>
    <w:rsid w:val="005A1DE4"/>
    <w:rsid w:val="005A1FB0"/>
    <w:rsid w:val="005A2C8C"/>
    <w:rsid w:val="005A2C98"/>
    <w:rsid w:val="005A4D06"/>
    <w:rsid w:val="005B2D54"/>
    <w:rsid w:val="005B3038"/>
    <w:rsid w:val="005B757F"/>
    <w:rsid w:val="005B7C7D"/>
    <w:rsid w:val="005C799E"/>
    <w:rsid w:val="005C7CA9"/>
    <w:rsid w:val="005D02F2"/>
    <w:rsid w:val="005D03E6"/>
    <w:rsid w:val="005D1453"/>
    <w:rsid w:val="005D1590"/>
    <w:rsid w:val="005D1C6D"/>
    <w:rsid w:val="005D2D3C"/>
    <w:rsid w:val="005E232E"/>
    <w:rsid w:val="005F29BE"/>
    <w:rsid w:val="006005AC"/>
    <w:rsid w:val="00605D85"/>
    <w:rsid w:val="00606C13"/>
    <w:rsid w:val="00610EBA"/>
    <w:rsid w:val="006130DC"/>
    <w:rsid w:val="00613D67"/>
    <w:rsid w:val="006313B3"/>
    <w:rsid w:val="006323AA"/>
    <w:rsid w:val="006334CF"/>
    <w:rsid w:val="006351CE"/>
    <w:rsid w:val="006407B4"/>
    <w:rsid w:val="00640EF5"/>
    <w:rsid w:val="00640F1E"/>
    <w:rsid w:val="006436D1"/>
    <w:rsid w:val="00651C15"/>
    <w:rsid w:val="00652200"/>
    <w:rsid w:val="00652D28"/>
    <w:rsid w:val="00660366"/>
    <w:rsid w:val="006637E2"/>
    <w:rsid w:val="00663A79"/>
    <w:rsid w:val="00665008"/>
    <w:rsid w:val="00666F90"/>
    <w:rsid w:val="006702AD"/>
    <w:rsid w:val="00674191"/>
    <w:rsid w:val="0067675D"/>
    <w:rsid w:val="00681295"/>
    <w:rsid w:val="00681595"/>
    <w:rsid w:val="00682CA3"/>
    <w:rsid w:val="00682F80"/>
    <w:rsid w:val="00684CD2"/>
    <w:rsid w:val="00686828"/>
    <w:rsid w:val="00691FE7"/>
    <w:rsid w:val="00695230"/>
    <w:rsid w:val="006A163A"/>
    <w:rsid w:val="006A50FF"/>
    <w:rsid w:val="006A523B"/>
    <w:rsid w:val="006A6E81"/>
    <w:rsid w:val="006B4813"/>
    <w:rsid w:val="006C39C6"/>
    <w:rsid w:val="006C4151"/>
    <w:rsid w:val="006C416F"/>
    <w:rsid w:val="006C62AE"/>
    <w:rsid w:val="006C7459"/>
    <w:rsid w:val="006C78E3"/>
    <w:rsid w:val="006C79D3"/>
    <w:rsid w:val="006D2586"/>
    <w:rsid w:val="006D6B63"/>
    <w:rsid w:val="006E1A4F"/>
    <w:rsid w:val="006E4F4C"/>
    <w:rsid w:val="006F2421"/>
    <w:rsid w:val="006F5065"/>
    <w:rsid w:val="006F5196"/>
    <w:rsid w:val="006F57D2"/>
    <w:rsid w:val="006F6A8C"/>
    <w:rsid w:val="006F7FD7"/>
    <w:rsid w:val="0070367F"/>
    <w:rsid w:val="00705103"/>
    <w:rsid w:val="00714941"/>
    <w:rsid w:val="00722737"/>
    <w:rsid w:val="0073104B"/>
    <w:rsid w:val="0073126D"/>
    <w:rsid w:val="00733A5A"/>
    <w:rsid w:val="00741F2E"/>
    <w:rsid w:val="00745437"/>
    <w:rsid w:val="00753C98"/>
    <w:rsid w:val="0075431A"/>
    <w:rsid w:val="0076166F"/>
    <w:rsid w:val="00764287"/>
    <w:rsid w:val="00765EA6"/>
    <w:rsid w:val="00775732"/>
    <w:rsid w:val="00785CBF"/>
    <w:rsid w:val="00792383"/>
    <w:rsid w:val="00792F93"/>
    <w:rsid w:val="00796858"/>
    <w:rsid w:val="00797022"/>
    <w:rsid w:val="00797649"/>
    <w:rsid w:val="007A6B4F"/>
    <w:rsid w:val="007A7B27"/>
    <w:rsid w:val="007B0357"/>
    <w:rsid w:val="007B358F"/>
    <w:rsid w:val="007C13ED"/>
    <w:rsid w:val="007C4883"/>
    <w:rsid w:val="007C4BA4"/>
    <w:rsid w:val="007C61EA"/>
    <w:rsid w:val="007D4E86"/>
    <w:rsid w:val="007D5B73"/>
    <w:rsid w:val="007D69EA"/>
    <w:rsid w:val="007E6F6B"/>
    <w:rsid w:val="007E7102"/>
    <w:rsid w:val="007E72A6"/>
    <w:rsid w:val="00801039"/>
    <w:rsid w:val="00803A79"/>
    <w:rsid w:val="00804406"/>
    <w:rsid w:val="00806601"/>
    <w:rsid w:val="00814C03"/>
    <w:rsid w:val="0081779A"/>
    <w:rsid w:val="0082057B"/>
    <w:rsid w:val="00820B7B"/>
    <w:rsid w:val="00822CC4"/>
    <w:rsid w:val="00824D53"/>
    <w:rsid w:val="0083390F"/>
    <w:rsid w:val="00835A42"/>
    <w:rsid w:val="00843F7F"/>
    <w:rsid w:val="008442DA"/>
    <w:rsid w:val="00844B1D"/>
    <w:rsid w:val="00850BA5"/>
    <w:rsid w:val="00857960"/>
    <w:rsid w:val="0086501E"/>
    <w:rsid w:val="008745B9"/>
    <w:rsid w:val="00875B85"/>
    <w:rsid w:val="00875F98"/>
    <w:rsid w:val="00883441"/>
    <w:rsid w:val="00885AAE"/>
    <w:rsid w:val="0088701D"/>
    <w:rsid w:val="0088753E"/>
    <w:rsid w:val="00893C31"/>
    <w:rsid w:val="00894D58"/>
    <w:rsid w:val="008974A5"/>
    <w:rsid w:val="00897B7F"/>
    <w:rsid w:val="008A3691"/>
    <w:rsid w:val="008A575D"/>
    <w:rsid w:val="008B5740"/>
    <w:rsid w:val="008C16CA"/>
    <w:rsid w:val="008C3D8B"/>
    <w:rsid w:val="008C6525"/>
    <w:rsid w:val="008D28FF"/>
    <w:rsid w:val="008D5098"/>
    <w:rsid w:val="008D5F39"/>
    <w:rsid w:val="008E5CFA"/>
    <w:rsid w:val="008F0D3A"/>
    <w:rsid w:val="008F50EC"/>
    <w:rsid w:val="008F5671"/>
    <w:rsid w:val="00902B56"/>
    <w:rsid w:val="00904859"/>
    <w:rsid w:val="00905821"/>
    <w:rsid w:val="00905837"/>
    <w:rsid w:val="0090743D"/>
    <w:rsid w:val="0091523A"/>
    <w:rsid w:val="009170DD"/>
    <w:rsid w:val="00920CD0"/>
    <w:rsid w:val="009227A1"/>
    <w:rsid w:val="00923D1A"/>
    <w:rsid w:val="00925889"/>
    <w:rsid w:val="0093064A"/>
    <w:rsid w:val="0093197D"/>
    <w:rsid w:val="00932D75"/>
    <w:rsid w:val="009419C4"/>
    <w:rsid w:val="009474E4"/>
    <w:rsid w:val="009520C9"/>
    <w:rsid w:val="009526D1"/>
    <w:rsid w:val="00964A92"/>
    <w:rsid w:val="0096537E"/>
    <w:rsid w:val="009679E5"/>
    <w:rsid w:val="00970D4E"/>
    <w:rsid w:val="00972C80"/>
    <w:rsid w:val="00973DDB"/>
    <w:rsid w:val="009751C1"/>
    <w:rsid w:val="0098085F"/>
    <w:rsid w:val="00990673"/>
    <w:rsid w:val="00994AEB"/>
    <w:rsid w:val="00995531"/>
    <w:rsid w:val="00995779"/>
    <w:rsid w:val="009A0F44"/>
    <w:rsid w:val="009A1D1D"/>
    <w:rsid w:val="009B3092"/>
    <w:rsid w:val="009C220B"/>
    <w:rsid w:val="009C3245"/>
    <w:rsid w:val="009C7F83"/>
    <w:rsid w:val="009D51F8"/>
    <w:rsid w:val="009E3C9F"/>
    <w:rsid w:val="009E5EA2"/>
    <w:rsid w:val="009E63CC"/>
    <w:rsid w:val="009F33BC"/>
    <w:rsid w:val="009F6588"/>
    <w:rsid w:val="009F7F4C"/>
    <w:rsid w:val="00A01EC0"/>
    <w:rsid w:val="00A03AB0"/>
    <w:rsid w:val="00A0636B"/>
    <w:rsid w:val="00A06D7E"/>
    <w:rsid w:val="00A17A46"/>
    <w:rsid w:val="00A17A9F"/>
    <w:rsid w:val="00A20CB7"/>
    <w:rsid w:val="00A217BB"/>
    <w:rsid w:val="00A2281F"/>
    <w:rsid w:val="00A328BC"/>
    <w:rsid w:val="00A37456"/>
    <w:rsid w:val="00A466DC"/>
    <w:rsid w:val="00A470CA"/>
    <w:rsid w:val="00A478E1"/>
    <w:rsid w:val="00A517B7"/>
    <w:rsid w:val="00A527EA"/>
    <w:rsid w:val="00A54E9B"/>
    <w:rsid w:val="00A56082"/>
    <w:rsid w:val="00A608C6"/>
    <w:rsid w:val="00A800AB"/>
    <w:rsid w:val="00A80745"/>
    <w:rsid w:val="00A85842"/>
    <w:rsid w:val="00A87BC1"/>
    <w:rsid w:val="00A87D96"/>
    <w:rsid w:val="00A94B9C"/>
    <w:rsid w:val="00AA7F8A"/>
    <w:rsid w:val="00AB01F7"/>
    <w:rsid w:val="00AB3773"/>
    <w:rsid w:val="00AC0F45"/>
    <w:rsid w:val="00AC5F9D"/>
    <w:rsid w:val="00AC72AB"/>
    <w:rsid w:val="00AC7C30"/>
    <w:rsid w:val="00AD3908"/>
    <w:rsid w:val="00AD722A"/>
    <w:rsid w:val="00AE0FF9"/>
    <w:rsid w:val="00AE47C5"/>
    <w:rsid w:val="00AE6ADD"/>
    <w:rsid w:val="00B00FDA"/>
    <w:rsid w:val="00B01A3D"/>
    <w:rsid w:val="00B02014"/>
    <w:rsid w:val="00B02F23"/>
    <w:rsid w:val="00B03025"/>
    <w:rsid w:val="00B0501D"/>
    <w:rsid w:val="00B07261"/>
    <w:rsid w:val="00B076D1"/>
    <w:rsid w:val="00B11654"/>
    <w:rsid w:val="00B12623"/>
    <w:rsid w:val="00B2393E"/>
    <w:rsid w:val="00B249BB"/>
    <w:rsid w:val="00B26053"/>
    <w:rsid w:val="00B26D00"/>
    <w:rsid w:val="00B27B74"/>
    <w:rsid w:val="00B31E68"/>
    <w:rsid w:val="00B41016"/>
    <w:rsid w:val="00B454DD"/>
    <w:rsid w:val="00B509A8"/>
    <w:rsid w:val="00B5642C"/>
    <w:rsid w:val="00B62052"/>
    <w:rsid w:val="00B627ED"/>
    <w:rsid w:val="00B6474D"/>
    <w:rsid w:val="00B80995"/>
    <w:rsid w:val="00B81399"/>
    <w:rsid w:val="00B8212A"/>
    <w:rsid w:val="00B860DF"/>
    <w:rsid w:val="00B86ABE"/>
    <w:rsid w:val="00BA0A77"/>
    <w:rsid w:val="00BA1FD5"/>
    <w:rsid w:val="00BA4241"/>
    <w:rsid w:val="00BB39AF"/>
    <w:rsid w:val="00BB56CD"/>
    <w:rsid w:val="00BC1CB9"/>
    <w:rsid w:val="00BE25E3"/>
    <w:rsid w:val="00BE3A23"/>
    <w:rsid w:val="00BE7D0C"/>
    <w:rsid w:val="00BF018B"/>
    <w:rsid w:val="00BF4C6C"/>
    <w:rsid w:val="00BF4E7A"/>
    <w:rsid w:val="00BF6091"/>
    <w:rsid w:val="00BF691A"/>
    <w:rsid w:val="00C022A0"/>
    <w:rsid w:val="00C10040"/>
    <w:rsid w:val="00C2138C"/>
    <w:rsid w:val="00C32A29"/>
    <w:rsid w:val="00C334D0"/>
    <w:rsid w:val="00C42550"/>
    <w:rsid w:val="00C4286E"/>
    <w:rsid w:val="00C532AC"/>
    <w:rsid w:val="00C5566D"/>
    <w:rsid w:val="00C57E1E"/>
    <w:rsid w:val="00C65794"/>
    <w:rsid w:val="00C669E4"/>
    <w:rsid w:val="00C679F7"/>
    <w:rsid w:val="00C86949"/>
    <w:rsid w:val="00C922A7"/>
    <w:rsid w:val="00C96A24"/>
    <w:rsid w:val="00C9796B"/>
    <w:rsid w:val="00CA11C2"/>
    <w:rsid w:val="00CA228B"/>
    <w:rsid w:val="00CA3459"/>
    <w:rsid w:val="00CA4981"/>
    <w:rsid w:val="00CA6857"/>
    <w:rsid w:val="00CA746C"/>
    <w:rsid w:val="00CA7636"/>
    <w:rsid w:val="00CB1C79"/>
    <w:rsid w:val="00CB2B64"/>
    <w:rsid w:val="00CC26E4"/>
    <w:rsid w:val="00CC6CA1"/>
    <w:rsid w:val="00CD055D"/>
    <w:rsid w:val="00CD2CB6"/>
    <w:rsid w:val="00CD48B7"/>
    <w:rsid w:val="00CD7592"/>
    <w:rsid w:val="00CD797D"/>
    <w:rsid w:val="00CE5297"/>
    <w:rsid w:val="00CF0CEA"/>
    <w:rsid w:val="00CF2187"/>
    <w:rsid w:val="00CF343D"/>
    <w:rsid w:val="00CF375F"/>
    <w:rsid w:val="00CF3FC1"/>
    <w:rsid w:val="00D01E0E"/>
    <w:rsid w:val="00D03F0E"/>
    <w:rsid w:val="00D04DCB"/>
    <w:rsid w:val="00D05C4A"/>
    <w:rsid w:val="00D0694F"/>
    <w:rsid w:val="00D1797D"/>
    <w:rsid w:val="00D206D0"/>
    <w:rsid w:val="00D25C0B"/>
    <w:rsid w:val="00D32E4F"/>
    <w:rsid w:val="00D401A9"/>
    <w:rsid w:val="00D4087D"/>
    <w:rsid w:val="00D43BA2"/>
    <w:rsid w:val="00D44D27"/>
    <w:rsid w:val="00D60BB4"/>
    <w:rsid w:val="00D63304"/>
    <w:rsid w:val="00D670DF"/>
    <w:rsid w:val="00D77E2D"/>
    <w:rsid w:val="00D84290"/>
    <w:rsid w:val="00D86225"/>
    <w:rsid w:val="00D87A76"/>
    <w:rsid w:val="00D949B8"/>
    <w:rsid w:val="00D96017"/>
    <w:rsid w:val="00D97DDE"/>
    <w:rsid w:val="00DA30B8"/>
    <w:rsid w:val="00DA36BE"/>
    <w:rsid w:val="00DA7668"/>
    <w:rsid w:val="00DB1218"/>
    <w:rsid w:val="00DB2A7B"/>
    <w:rsid w:val="00DB5CA6"/>
    <w:rsid w:val="00DB616C"/>
    <w:rsid w:val="00DB67D6"/>
    <w:rsid w:val="00DC5847"/>
    <w:rsid w:val="00DD2A82"/>
    <w:rsid w:val="00DD673B"/>
    <w:rsid w:val="00DE29B2"/>
    <w:rsid w:val="00DE4C91"/>
    <w:rsid w:val="00DE6AEF"/>
    <w:rsid w:val="00DE788D"/>
    <w:rsid w:val="00DF291D"/>
    <w:rsid w:val="00DF476C"/>
    <w:rsid w:val="00DF4A3B"/>
    <w:rsid w:val="00DF67B9"/>
    <w:rsid w:val="00E009E2"/>
    <w:rsid w:val="00E02AE5"/>
    <w:rsid w:val="00E02D42"/>
    <w:rsid w:val="00E0581B"/>
    <w:rsid w:val="00E107D8"/>
    <w:rsid w:val="00E13867"/>
    <w:rsid w:val="00E301A1"/>
    <w:rsid w:val="00E34343"/>
    <w:rsid w:val="00E357B6"/>
    <w:rsid w:val="00E37897"/>
    <w:rsid w:val="00E449A1"/>
    <w:rsid w:val="00E466F7"/>
    <w:rsid w:val="00E528D6"/>
    <w:rsid w:val="00E56704"/>
    <w:rsid w:val="00E63FDC"/>
    <w:rsid w:val="00E65745"/>
    <w:rsid w:val="00E67875"/>
    <w:rsid w:val="00E731C9"/>
    <w:rsid w:val="00E73A54"/>
    <w:rsid w:val="00E75A2D"/>
    <w:rsid w:val="00E92032"/>
    <w:rsid w:val="00EA0C64"/>
    <w:rsid w:val="00EA77F7"/>
    <w:rsid w:val="00EB1D54"/>
    <w:rsid w:val="00EB3060"/>
    <w:rsid w:val="00EB3592"/>
    <w:rsid w:val="00EB41C6"/>
    <w:rsid w:val="00EC1A0E"/>
    <w:rsid w:val="00ED0828"/>
    <w:rsid w:val="00ED40DF"/>
    <w:rsid w:val="00ED5AC0"/>
    <w:rsid w:val="00ED78A0"/>
    <w:rsid w:val="00EE3E94"/>
    <w:rsid w:val="00EF2861"/>
    <w:rsid w:val="00EF65D6"/>
    <w:rsid w:val="00F00617"/>
    <w:rsid w:val="00F04D51"/>
    <w:rsid w:val="00F135CF"/>
    <w:rsid w:val="00F1677F"/>
    <w:rsid w:val="00F23C0F"/>
    <w:rsid w:val="00F255E1"/>
    <w:rsid w:val="00F32FCE"/>
    <w:rsid w:val="00F354B5"/>
    <w:rsid w:val="00F40C56"/>
    <w:rsid w:val="00F418CA"/>
    <w:rsid w:val="00F43131"/>
    <w:rsid w:val="00F45AC8"/>
    <w:rsid w:val="00F618FE"/>
    <w:rsid w:val="00F66082"/>
    <w:rsid w:val="00F72E22"/>
    <w:rsid w:val="00F73A21"/>
    <w:rsid w:val="00F760DD"/>
    <w:rsid w:val="00F76747"/>
    <w:rsid w:val="00F80325"/>
    <w:rsid w:val="00F81096"/>
    <w:rsid w:val="00F81C96"/>
    <w:rsid w:val="00F84D4A"/>
    <w:rsid w:val="00F87CF2"/>
    <w:rsid w:val="00F9011A"/>
    <w:rsid w:val="00F932EC"/>
    <w:rsid w:val="00F95AB8"/>
    <w:rsid w:val="00FA085A"/>
    <w:rsid w:val="00FA26E3"/>
    <w:rsid w:val="00FA5968"/>
    <w:rsid w:val="00FA6EE2"/>
    <w:rsid w:val="00FB09C2"/>
    <w:rsid w:val="00FB29C5"/>
    <w:rsid w:val="00FC04E9"/>
    <w:rsid w:val="00FC1F00"/>
    <w:rsid w:val="00FC2F6E"/>
    <w:rsid w:val="00FC6931"/>
    <w:rsid w:val="00FD00A7"/>
    <w:rsid w:val="00FD3057"/>
    <w:rsid w:val="00FD7E2B"/>
    <w:rsid w:val="00FE3C95"/>
    <w:rsid w:val="00FF152B"/>
    <w:rsid w:val="00FF2CE3"/>
    <w:rsid w:val="0179130B"/>
    <w:rsid w:val="0BEB2E2E"/>
    <w:rsid w:val="149C336E"/>
    <w:rsid w:val="14D4088D"/>
    <w:rsid w:val="1D3D69E7"/>
    <w:rsid w:val="2847107D"/>
    <w:rsid w:val="3D6C7E85"/>
    <w:rsid w:val="50746042"/>
    <w:rsid w:val="5B4F28AF"/>
    <w:rsid w:val="75A14971"/>
    <w:rsid w:val="793C5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semiHidden="0"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60" w:after="60" w:line="56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2">
    <w:name w:val="heading 1"/>
    <w:basedOn w:val="1"/>
    <w:next w:val="1"/>
    <w:link w:val="43"/>
    <w:qFormat/>
    <w:uiPriority w:val="9"/>
    <w:pPr>
      <w:keepNext/>
      <w:keepLines/>
      <w:pageBreakBefore/>
      <w:spacing w:before="360" w:after="240" w:line="360" w:lineRule="auto"/>
      <w:ind w:firstLine="0" w:firstLineChars="0"/>
      <w:jc w:val="center"/>
      <w:outlineLvl w:val="0"/>
    </w:pPr>
    <w:rPr>
      <w:rFonts w:eastAsia="黑体" w:cs="Times New Roman"/>
      <w:b/>
      <w:bCs/>
      <w:kern w:val="44"/>
      <w:sz w:val="36"/>
      <w:szCs w:val="44"/>
    </w:rPr>
  </w:style>
  <w:style w:type="paragraph" w:styleId="3">
    <w:name w:val="heading 2"/>
    <w:basedOn w:val="1"/>
    <w:next w:val="1"/>
    <w:link w:val="44"/>
    <w:unhideWhenUsed/>
    <w:qFormat/>
    <w:uiPriority w:val="9"/>
    <w:pPr>
      <w:keepNext/>
      <w:keepLines/>
      <w:spacing w:before="240" w:after="240" w:line="360" w:lineRule="auto"/>
      <w:ind w:firstLine="0" w:firstLineChars="0"/>
      <w:jc w:val="center"/>
      <w:outlineLvl w:val="1"/>
    </w:pPr>
    <w:rPr>
      <w:rFonts w:eastAsia="黑体" w:cs="Times New Roman"/>
      <w:b/>
      <w:bCs/>
      <w:sz w:val="32"/>
      <w:szCs w:val="32"/>
    </w:rPr>
  </w:style>
  <w:style w:type="paragraph" w:styleId="4">
    <w:name w:val="heading 3"/>
    <w:basedOn w:val="1"/>
    <w:next w:val="1"/>
    <w:link w:val="45"/>
    <w:unhideWhenUsed/>
    <w:qFormat/>
    <w:uiPriority w:val="0"/>
    <w:pPr>
      <w:keepNext/>
      <w:keepLines/>
      <w:jc w:val="left"/>
      <w:outlineLvl w:val="2"/>
    </w:pPr>
    <w:rPr>
      <w:rFonts w:eastAsia="黑体"/>
      <w:b/>
      <w:bCs/>
      <w:sz w:val="30"/>
      <w:szCs w:val="32"/>
    </w:rPr>
  </w:style>
  <w:style w:type="paragraph" w:styleId="5">
    <w:name w:val="heading 4"/>
    <w:basedOn w:val="1"/>
    <w:next w:val="1"/>
    <w:link w:val="46"/>
    <w:unhideWhenUsed/>
    <w:qFormat/>
    <w:uiPriority w:val="9"/>
    <w:pPr>
      <w:keepNext/>
      <w:keepLines/>
      <w:spacing w:line="360" w:lineRule="auto"/>
      <w:jc w:val="left"/>
      <w:outlineLvl w:val="3"/>
    </w:pPr>
    <w:rPr>
      <w:rFonts w:eastAsia="黑体" w:cstheme="majorBidi"/>
      <w:b/>
      <w:bCs/>
      <w:szCs w:val="28"/>
    </w:rPr>
  </w:style>
  <w:style w:type="paragraph" w:styleId="6">
    <w:name w:val="heading 5"/>
    <w:basedOn w:val="1"/>
    <w:next w:val="1"/>
    <w:link w:val="47"/>
    <w:unhideWhenUsed/>
    <w:qFormat/>
    <w:uiPriority w:val="9"/>
    <w:pPr>
      <w:keepNext/>
      <w:keepLines/>
      <w:spacing w:line="360" w:lineRule="auto"/>
      <w:jc w:val="left"/>
      <w:outlineLvl w:val="4"/>
    </w:pPr>
    <w:rPr>
      <w:b/>
      <w:bCs/>
      <w:sz w:val="24"/>
      <w:szCs w:val="28"/>
    </w:rPr>
  </w:style>
  <w:style w:type="paragraph" w:styleId="7">
    <w:name w:val="heading 6"/>
    <w:basedOn w:val="1"/>
    <w:next w:val="1"/>
    <w:link w:val="56"/>
    <w:unhideWhenUsed/>
    <w:qFormat/>
    <w:uiPriority w:val="9"/>
    <w:pPr>
      <w:keepNext/>
      <w:keepLines/>
      <w:spacing w:before="240" w:after="64" w:line="320" w:lineRule="atLeast"/>
      <w:outlineLvl w:val="5"/>
    </w:pPr>
    <w:rPr>
      <w:rFonts w:asciiTheme="majorHAnsi" w:hAnsiTheme="majorHAnsi" w:eastAsiaTheme="majorEastAsia" w:cstheme="majorBidi"/>
      <w:b/>
      <w:bCs/>
      <w:sz w:val="24"/>
      <w:szCs w:val="24"/>
    </w:rPr>
  </w:style>
  <w:style w:type="paragraph" w:styleId="8">
    <w:name w:val="heading 7"/>
    <w:basedOn w:val="1"/>
    <w:next w:val="1"/>
    <w:link w:val="57"/>
    <w:unhideWhenUsed/>
    <w:qFormat/>
    <w:uiPriority w:val="9"/>
    <w:pPr>
      <w:keepNext/>
      <w:keepLines/>
      <w:spacing w:line="360" w:lineRule="auto"/>
      <w:ind w:firstLine="0" w:firstLineChars="0"/>
      <w:jc w:val="center"/>
      <w:outlineLvl w:val="6"/>
    </w:pPr>
    <w:rPr>
      <w:rFonts w:eastAsia="微软雅黑"/>
      <w:b/>
      <w:bCs/>
      <w:sz w:val="24"/>
      <w:szCs w:val="24"/>
    </w:rPr>
  </w:style>
  <w:style w:type="paragraph" w:styleId="9">
    <w:name w:val="heading 8"/>
    <w:basedOn w:val="1"/>
    <w:next w:val="1"/>
    <w:link w:val="59"/>
    <w:unhideWhenUsed/>
    <w:qFormat/>
    <w:uiPriority w:val="9"/>
    <w:pPr>
      <w:keepNext/>
      <w:keepLines/>
      <w:spacing w:before="240" w:after="64" w:line="320" w:lineRule="atLeast"/>
      <w:outlineLvl w:val="7"/>
    </w:pPr>
    <w:rPr>
      <w:rFonts w:asciiTheme="majorHAnsi" w:hAnsiTheme="majorHAnsi" w:eastAsiaTheme="majorEastAsia" w:cstheme="majorBidi"/>
      <w:sz w:val="24"/>
      <w:szCs w:val="24"/>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spacing w:before="0" w:after="0"/>
      <w:ind w:left="1680"/>
      <w:jc w:val="left"/>
    </w:pPr>
    <w:rPr>
      <w:rFonts w:asciiTheme="minorHAnsi" w:hAnsiTheme="minorHAnsi"/>
      <w:sz w:val="18"/>
      <w:szCs w:val="18"/>
    </w:r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index 5"/>
    <w:basedOn w:val="1"/>
    <w:next w:val="1"/>
    <w:qFormat/>
    <w:uiPriority w:val="99"/>
    <w:pPr>
      <w:spacing w:before="0" w:after="0" w:line="240" w:lineRule="auto"/>
      <w:ind w:left="800" w:leftChars="800" w:firstLine="0" w:firstLineChars="0"/>
    </w:pPr>
    <w:rPr>
      <w:rFonts w:asciiTheme="minorHAnsi" w:hAnsiTheme="minorHAnsi" w:eastAsiaTheme="minorEastAsia"/>
      <w:sz w:val="21"/>
      <w:szCs w:val="24"/>
    </w:rPr>
  </w:style>
  <w:style w:type="paragraph" w:styleId="13">
    <w:name w:val="Document Map"/>
    <w:basedOn w:val="1"/>
    <w:link w:val="137"/>
    <w:qFormat/>
    <w:uiPriority w:val="0"/>
    <w:pPr>
      <w:spacing w:before="0" w:after="0" w:line="240" w:lineRule="auto"/>
      <w:ind w:firstLine="0" w:firstLineChars="0"/>
    </w:pPr>
    <w:rPr>
      <w:rFonts w:ascii="宋体" w:hAnsi="Calibri" w:eastAsia="宋体" w:cs="Times New Roman"/>
      <w:sz w:val="18"/>
      <w:szCs w:val="18"/>
    </w:rPr>
  </w:style>
  <w:style w:type="paragraph" w:styleId="14">
    <w:name w:val="annotation text"/>
    <w:basedOn w:val="1"/>
    <w:link w:val="53"/>
    <w:semiHidden/>
    <w:unhideWhenUsed/>
    <w:qFormat/>
    <w:uiPriority w:val="99"/>
    <w:pPr>
      <w:jc w:val="left"/>
    </w:pPr>
  </w:style>
  <w:style w:type="paragraph" w:styleId="15">
    <w:name w:val="Body Text"/>
    <w:basedOn w:val="1"/>
    <w:link w:val="138"/>
    <w:qFormat/>
    <w:uiPriority w:val="99"/>
    <w:pPr>
      <w:spacing w:before="54" w:after="0" w:line="240" w:lineRule="auto"/>
      <w:ind w:left="120" w:firstLine="0" w:firstLineChars="0"/>
      <w:jc w:val="left"/>
    </w:pPr>
    <w:rPr>
      <w:rFonts w:ascii="仿宋_GB2312" w:hAnsi="仿宋_GB2312"/>
      <w:sz w:val="30"/>
      <w:szCs w:val="30"/>
      <w:lang w:eastAsia="en-US"/>
    </w:rPr>
  </w:style>
  <w:style w:type="paragraph" w:styleId="16">
    <w:name w:val="toc 5"/>
    <w:basedOn w:val="1"/>
    <w:next w:val="1"/>
    <w:unhideWhenUsed/>
    <w:qFormat/>
    <w:uiPriority w:val="39"/>
    <w:pPr>
      <w:spacing w:before="0" w:after="0"/>
      <w:ind w:left="1120"/>
      <w:jc w:val="left"/>
    </w:pPr>
    <w:rPr>
      <w:rFonts w:asciiTheme="minorHAnsi" w:hAnsiTheme="minorHAnsi"/>
      <w:sz w:val="18"/>
      <w:szCs w:val="18"/>
    </w:rPr>
  </w:style>
  <w:style w:type="paragraph" w:styleId="17">
    <w:name w:val="toc 3"/>
    <w:basedOn w:val="1"/>
    <w:next w:val="1"/>
    <w:unhideWhenUsed/>
    <w:qFormat/>
    <w:uiPriority w:val="39"/>
    <w:pPr>
      <w:spacing w:before="0" w:after="0"/>
      <w:ind w:left="560"/>
      <w:jc w:val="left"/>
    </w:pPr>
    <w:rPr>
      <w:rFonts w:asciiTheme="minorHAnsi" w:hAnsiTheme="minorHAnsi"/>
      <w:i/>
      <w:iCs/>
      <w:sz w:val="20"/>
      <w:szCs w:val="20"/>
    </w:rPr>
  </w:style>
  <w:style w:type="paragraph" w:styleId="18">
    <w:name w:val="toc 8"/>
    <w:basedOn w:val="1"/>
    <w:next w:val="1"/>
    <w:unhideWhenUsed/>
    <w:qFormat/>
    <w:uiPriority w:val="39"/>
    <w:pPr>
      <w:spacing w:before="0" w:after="0"/>
      <w:ind w:left="1960"/>
      <w:jc w:val="left"/>
    </w:pPr>
    <w:rPr>
      <w:rFonts w:asciiTheme="minorHAnsi" w:hAnsiTheme="minorHAnsi"/>
      <w:sz w:val="18"/>
      <w:szCs w:val="18"/>
    </w:rPr>
  </w:style>
  <w:style w:type="paragraph" w:styleId="19">
    <w:name w:val="Date"/>
    <w:basedOn w:val="1"/>
    <w:next w:val="1"/>
    <w:link w:val="51"/>
    <w:semiHidden/>
    <w:unhideWhenUsed/>
    <w:qFormat/>
    <w:uiPriority w:val="99"/>
    <w:pPr>
      <w:ind w:left="100" w:leftChars="2500"/>
    </w:pPr>
  </w:style>
  <w:style w:type="paragraph" w:styleId="20">
    <w:name w:val="endnote text"/>
    <w:basedOn w:val="1"/>
    <w:link w:val="198"/>
    <w:semiHidden/>
    <w:unhideWhenUsed/>
    <w:qFormat/>
    <w:uiPriority w:val="99"/>
    <w:pPr>
      <w:snapToGrid w:val="0"/>
      <w:spacing w:before="0" w:after="0" w:line="240" w:lineRule="auto"/>
      <w:ind w:firstLine="0" w:firstLineChars="0"/>
      <w:jc w:val="left"/>
    </w:pPr>
    <w:rPr>
      <w:rFonts w:asciiTheme="minorHAnsi" w:hAnsiTheme="minorHAnsi" w:eastAsiaTheme="minorEastAsia"/>
      <w:sz w:val="21"/>
    </w:rPr>
  </w:style>
  <w:style w:type="paragraph" w:styleId="21">
    <w:name w:val="Balloon Text"/>
    <w:basedOn w:val="1"/>
    <w:link w:val="55"/>
    <w:semiHidden/>
    <w:unhideWhenUsed/>
    <w:qFormat/>
    <w:uiPriority w:val="99"/>
    <w:pPr>
      <w:spacing w:before="0" w:after="0" w:line="240" w:lineRule="auto"/>
    </w:pPr>
    <w:rPr>
      <w:sz w:val="18"/>
      <w:szCs w:val="18"/>
    </w:rPr>
  </w:style>
  <w:style w:type="paragraph" w:styleId="22">
    <w:name w:val="footer"/>
    <w:basedOn w:val="1"/>
    <w:link w:val="52"/>
    <w:unhideWhenUsed/>
    <w:qFormat/>
    <w:uiPriority w:val="0"/>
    <w:pPr>
      <w:tabs>
        <w:tab w:val="center" w:pos="4153"/>
        <w:tab w:val="right" w:pos="8306"/>
      </w:tabs>
      <w:snapToGrid w:val="0"/>
      <w:spacing w:line="240" w:lineRule="atLeast"/>
      <w:jc w:val="left"/>
    </w:pPr>
    <w:rPr>
      <w:sz w:val="18"/>
      <w:szCs w:val="18"/>
    </w:rPr>
  </w:style>
  <w:style w:type="paragraph" w:styleId="23">
    <w:name w:val="header"/>
    <w:basedOn w:val="1"/>
    <w:link w:val="50"/>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120" w:after="120"/>
      <w:jc w:val="left"/>
    </w:pPr>
    <w:rPr>
      <w:rFonts w:asciiTheme="minorHAnsi" w:hAnsiTheme="minorHAnsi"/>
      <w:b/>
      <w:bCs/>
      <w:caps/>
      <w:sz w:val="20"/>
      <w:szCs w:val="20"/>
    </w:rPr>
  </w:style>
  <w:style w:type="paragraph" w:styleId="25">
    <w:name w:val="toc 4"/>
    <w:basedOn w:val="1"/>
    <w:next w:val="1"/>
    <w:unhideWhenUsed/>
    <w:qFormat/>
    <w:uiPriority w:val="39"/>
    <w:pPr>
      <w:spacing w:before="0" w:after="0"/>
      <w:ind w:left="840"/>
      <w:jc w:val="left"/>
    </w:pPr>
    <w:rPr>
      <w:rFonts w:asciiTheme="minorHAnsi" w:hAnsiTheme="minorHAnsi"/>
      <w:sz w:val="18"/>
      <w:szCs w:val="18"/>
    </w:rPr>
  </w:style>
  <w:style w:type="paragraph" w:styleId="26">
    <w:name w:val="Subtitle"/>
    <w:basedOn w:val="1"/>
    <w:next w:val="1"/>
    <w:link w:val="49"/>
    <w:qFormat/>
    <w:uiPriority w:val="11"/>
    <w:pPr>
      <w:spacing w:line="360" w:lineRule="auto"/>
      <w:jc w:val="center"/>
      <w:outlineLvl w:val="1"/>
    </w:pPr>
    <w:rPr>
      <w:rFonts w:eastAsia="宋体" w:cstheme="majorBidi"/>
      <w:b/>
      <w:bCs/>
      <w:kern w:val="28"/>
      <w:sz w:val="48"/>
      <w:szCs w:val="32"/>
    </w:rPr>
  </w:style>
  <w:style w:type="paragraph" w:styleId="27">
    <w:name w:val="footnote text"/>
    <w:basedOn w:val="1"/>
    <w:next w:val="12"/>
    <w:link w:val="134"/>
    <w:qFormat/>
    <w:uiPriority w:val="99"/>
    <w:pPr>
      <w:snapToGrid w:val="0"/>
      <w:spacing w:before="0" w:after="0" w:line="240" w:lineRule="auto"/>
      <w:ind w:firstLine="0" w:firstLineChars="0"/>
      <w:jc w:val="left"/>
    </w:pPr>
    <w:rPr>
      <w:rFonts w:asciiTheme="minorHAnsi" w:hAnsiTheme="minorHAnsi" w:eastAsiaTheme="minorEastAsia"/>
      <w:kern w:val="0"/>
      <w:sz w:val="18"/>
      <w:szCs w:val="18"/>
    </w:rPr>
  </w:style>
  <w:style w:type="paragraph" w:styleId="28">
    <w:name w:val="toc 6"/>
    <w:basedOn w:val="1"/>
    <w:next w:val="1"/>
    <w:unhideWhenUsed/>
    <w:qFormat/>
    <w:uiPriority w:val="39"/>
    <w:pPr>
      <w:spacing w:before="0" w:after="0"/>
      <w:ind w:left="1400"/>
      <w:jc w:val="left"/>
    </w:pPr>
    <w:rPr>
      <w:rFonts w:asciiTheme="minorHAnsi" w:hAnsiTheme="minorHAnsi"/>
      <w:sz w:val="18"/>
      <w:szCs w:val="18"/>
    </w:rPr>
  </w:style>
  <w:style w:type="paragraph" w:styleId="29">
    <w:name w:val="toc 2"/>
    <w:basedOn w:val="1"/>
    <w:next w:val="1"/>
    <w:unhideWhenUsed/>
    <w:qFormat/>
    <w:uiPriority w:val="39"/>
    <w:pPr>
      <w:spacing w:before="0" w:after="0"/>
      <w:ind w:left="280"/>
      <w:jc w:val="left"/>
    </w:pPr>
    <w:rPr>
      <w:rFonts w:asciiTheme="minorHAnsi" w:hAnsiTheme="minorHAnsi"/>
      <w:smallCaps/>
      <w:sz w:val="20"/>
      <w:szCs w:val="20"/>
    </w:rPr>
  </w:style>
  <w:style w:type="paragraph" w:styleId="30">
    <w:name w:val="toc 9"/>
    <w:basedOn w:val="1"/>
    <w:next w:val="1"/>
    <w:unhideWhenUsed/>
    <w:qFormat/>
    <w:uiPriority w:val="39"/>
    <w:pPr>
      <w:spacing w:before="0" w:after="0"/>
      <w:ind w:left="2240"/>
      <w:jc w:val="left"/>
    </w:pPr>
    <w:rPr>
      <w:rFonts w:asciiTheme="minorHAnsi" w:hAnsiTheme="minorHAnsi"/>
      <w:sz w:val="18"/>
      <w:szCs w:val="18"/>
    </w:rPr>
  </w:style>
  <w:style w:type="paragraph" w:styleId="31">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32">
    <w:name w:val="Title"/>
    <w:basedOn w:val="1"/>
    <w:next w:val="1"/>
    <w:link w:val="48"/>
    <w:qFormat/>
    <w:uiPriority w:val="0"/>
    <w:pPr>
      <w:spacing w:before="0" w:after="0" w:line="240" w:lineRule="auto"/>
      <w:ind w:firstLine="0" w:firstLineChars="0"/>
      <w:jc w:val="center"/>
      <w:outlineLvl w:val="6"/>
    </w:pPr>
    <w:rPr>
      <w:rFonts w:cstheme="majorBidi"/>
      <w:sz w:val="21"/>
      <w:szCs w:val="32"/>
    </w:rPr>
  </w:style>
  <w:style w:type="paragraph" w:styleId="33">
    <w:name w:val="annotation subject"/>
    <w:basedOn w:val="14"/>
    <w:next w:val="14"/>
    <w:link w:val="54"/>
    <w:semiHidden/>
    <w:unhideWhenUsed/>
    <w:qFormat/>
    <w:uiPriority w:val="99"/>
    <w:rPr>
      <w:b/>
      <w:bCs/>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endnote reference"/>
    <w:basedOn w:val="36"/>
    <w:semiHidden/>
    <w:unhideWhenUsed/>
    <w:qFormat/>
    <w:uiPriority w:val="99"/>
    <w:rPr>
      <w:vertAlign w:val="superscript"/>
    </w:rPr>
  </w:style>
  <w:style w:type="character" w:styleId="39">
    <w:name w:val="FollowedHyperlink"/>
    <w:basedOn w:val="36"/>
    <w:semiHidden/>
    <w:unhideWhenUsed/>
    <w:qFormat/>
    <w:uiPriority w:val="99"/>
    <w:rPr>
      <w:color w:val="954F72"/>
      <w:u w:val="single"/>
    </w:rPr>
  </w:style>
  <w:style w:type="character" w:styleId="40">
    <w:name w:val="Emphasis"/>
    <w:basedOn w:val="36"/>
    <w:qFormat/>
    <w:uiPriority w:val="20"/>
    <w:rPr>
      <w:i/>
      <w:iCs/>
    </w:rPr>
  </w:style>
  <w:style w:type="character" w:styleId="41">
    <w:name w:val="Hyperlink"/>
    <w:basedOn w:val="36"/>
    <w:unhideWhenUsed/>
    <w:qFormat/>
    <w:uiPriority w:val="99"/>
    <w:rPr>
      <w:color w:val="0563C1"/>
      <w:u w:val="single"/>
    </w:rPr>
  </w:style>
  <w:style w:type="character" w:styleId="42">
    <w:name w:val="annotation reference"/>
    <w:basedOn w:val="36"/>
    <w:semiHidden/>
    <w:unhideWhenUsed/>
    <w:qFormat/>
    <w:uiPriority w:val="99"/>
    <w:rPr>
      <w:sz w:val="21"/>
      <w:szCs w:val="21"/>
    </w:rPr>
  </w:style>
  <w:style w:type="character" w:customStyle="1" w:styleId="43">
    <w:name w:val="标题 1 字符"/>
    <w:basedOn w:val="36"/>
    <w:link w:val="2"/>
    <w:qFormat/>
    <w:uiPriority w:val="9"/>
    <w:rPr>
      <w:rFonts w:ascii="Times New Roman" w:hAnsi="Times New Roman" w:eastAsia="黑体" w:cs="Times New Roman"/>
      <w:b/>
      <w:bCs/>
      <w:kern w:val="44"/>
      <w:sz w:val="36"/>
      <w:szCs w:val="44"/>
    </w:rPr>
  </w:style>
  <w:style w:type="character" w:customStyle="1" w:styleId="44">
    <w:name w:val="标题 2 字符"/>
    <w:basedOn w:val="36"/>
    <w:link w:val="3"/>
    <w:qFormat/>
    <w:uiPriority w:val="9"/>
    <w:rPr>
      <w:rFonts w:ascii="Times New Roman" w:hAnsi="Times New Roman" w:eastAsia="黑体" w:cs="Times New Roman"/>
      <w:b/>
      <w:bCs/>
      <w:kern w:val="2"/>
      <w:sz w:val="32"/>
      <w:szCs w:val="32"/>
    </w:rPr>
  </w:style>
  <w:style w:type="character" w:customStyle="1" w:styleId="45">
    <w:name w:val="标题 3 字符"/>
    <w:basedOn w:val="36"/>
    <w:link w:val="4"/>
    <w:qFormat/>
    <w:uiPriority w:val="9"/>
    <w:rPr>
      <w:rFonts w:ascii="Times New Roman" w:hAnsi="Times New Roman" w:eastAsia="黑体"/>
      <w:b/>
      <w:bCs/>
      <w:sz w:val="30"/>
      <w:szCs w:val="32"/>
    </w:rPr>
  </w:style>
  <w:style w:type="character" w:customStyle="1" w:styleId="46">
    <w:name w:val="标题 4 字符"/>
    <w:basedOn w:val="36"/>
    <w:link w:val="5"/>
    <w:qFormat/>
    <w:uiPriority w:val="9"/>
    <w:rPr>
      <w:rFonts w:ascii="Times New Roman" w:hAnsi="Times New Roman" w:eastAsia="黑体" w:cstheme="majorBidi"/>
      <w:b/>
      <w:bCs/>
      <w:sz w:val="28"/>
      <w:szCs w:val="28"/>
    </w:rPr>
  </w:style>
  <w:style w:type="character" w:customStyle="1" w:styleId="47">
    <w:name w:val="标题 5 字符"/>
    <w:basedOn w:val="36"/>
    <w:link w:val="6"/>
    <w:qFormat/>
    <w:uiPriority w:val="9"/>
    <w:rPr>
      <w:rFonts w:ascii="Times New Roman" w:hAnsi="Times New Roman" w:eastAsia="仿宋_GB2312"/>
      <w:b/>
      <w:bCs/>
      <w:sz w:val="24"/>
      <w:szCs w:val="28"/>
    </w:rPr>
  </w:style>
  <w:style w:type="character" w:customStyle="1" w:styleId="48">
    <w:name w:val="标题 字符"/>
    <w:basedOn w:val="36"/>
    <w:link w:val="32"/>
    <w:qFormat/>
    <w:uiPriority w:val="0"/>
    <w:rPr>
      <w:rFonts w:ascii="Times New Roman" w:hAnsi="Times New Roman" w:eastAsia="仿宋_GB2312" w:cstheme="majorBidi"/>
      <w:szCs w:val="32"/>
    </w:rPr>
  </w:style>
  <w:style w:type="character" w:customStyle="1" w:styleId="49">
    <w:name w:val="副标题 字符"/>
    <w:basedOn w:val="36"/>
    <w:link w:val="26"/>
    <w:qFormat/>
    <w:uiPriority w:val="11"/>
    <w:rPr>
      <w:rFonts w:ascii="Times New Roman" w:hAnsi="Times New Roman" w:eastAsia="宋体" w:cstheme="majorBidi"/>
      <w:b/>
      <w:bCs/>
      <w:kern w:val="28"/>
      <w:sz w:val="48"/>
      <w:szCs w:val="32"/>
    </w:rPr>
  </w:style>
  <w:style w:type="character" w:customStyle="1" w:styleId="50">
    <w:name w:val="页眉 字符"/>
    <w:basedOn w:val="36"/>
    <w:link w:val="23"/>
    <w:qFormat/>
    <w:uiPriority w:val="99"/>
    <w:rPr>
      <w:rFonts w:ascii="Times New Roman" w:hAnsi="Times New Roman" w:eastAsia="仿宋_GB2312"/>
      <w:sz w:val="18"/>
      <w:szCs w:val="18"/>
    </w:rPr>
  </w:style>
  <w:style w:type="character" w:customStyle="1" w:styleId="51">
    <w:name w:val="日期 字符"/>
    <w:basedOn w:val="36"/>
    <w:link w:val="19"/>
    <w:semiHidden/>
    <w:qFormat/>
    <w:uiPriority w:val="99"/>
  </w:style>
  <w:style w:type="character" w:customStyle="1" w:styleId="52">
    <w:name w:val="页脚 字符"/>
    <w:basedOn w:val="36"/>
    <w:link w:val="22"/>
    <w:qFormat/>
    <w:uiPriority w:val="99"/>
    <w:rPr>
      <w:rFonts w:ascii="Times New Roman" w:hAnsi="Times New Roman" w:eastAsia="仿宋_GB2312"/>
      <w:sz w:val="18"/>
      <w:szCs w:val="18"/>
    </w:rPr>
  </w:style>
  <w:style w:type="character" w:customStyle="1" w:styleId="53">
    <w:name w:val="批注文字 字符"/>
    <w:basedOn w:val="36"/>
    <w:link w:val="14"/>
    <w:semiHidden/>
    <w:qFormat/>
    <w:uiPriority w:val="99"/>
    <w:rPr>
      <w:rFonts w:ascii="Times New Roman" w:hAnsi="Times New Roman" w:eastAsia="仿宋_GB2312"/>
      <w:sz w:val="28"/>
    </w:rPr>
  </w:style>
  <w:style w:type="character" w:customStyle="1" w:styleId="54">
    <w:name w:val="批注主题 字符"/>
    <w:basedOn w:val="53"/>
    <w:link w:val="33"/>
    <w:semiHidden/>
    <w:qFormat/>
    <w:uiPriority w:val="99"/>
    <w:rPr>
      <w:rFonts w:ascii="Times New Roman" w:hAnsi="Times New Roman" w:eastAsia="仿宋_GB2312"/>
      <w:b/>
      <w:bCs/>
      <w:sz w:val="28"/>
    </w:rPr>
  </w:style>
  <w:style w:type="character" w:customStyle="1" w:styleId="55">
    <w:name w:val="批注框文本 字符"/>
    <w:basedOn w:val="36"/>
    <w:link w:val="21"/>
    <w:semiHidden/>
    <w:qFormat/>
    <w:uiPriority w:val="99"/>
    <w:rPr>
      <w:rFonts w:ascii="Times New Roman" w:hAnsi="Times New Roman" w:eastAsia="仿宋_GB2312"/>
      <w:sz w:val="18"/>
      <w:szCs w:val="18"/>
    </w:rPr>
  </w:style>
  <w:style w:type="character" w:customStyle="1" w:styleId="56">
    <w:name w:val="标题 6 字符"/>
    <w:basedOn w:val="36"/>
    <w:link w:val="7"/>
    <w:qFormat/>
    <w:uiPriority w:val="9"/>
    <w:rPr>
      <w:rFonts w:asciiTheme="majorHAnsi" w:hAnsiTheme="majorHAnsi" w:eastAsiaTheme="majorEastAsia" w:cstheme="majorBidi"/>
      <w:b/>
      <w:bCs/>
      <w:sz w:val="24"/>
      <w:szCs w:val="24"/>
    </w:rPr>
  </w:style>
  <w:style w:type="character" w:customStyle="1" w:styleId="57">
    <w:name w:val="标题 7 字符"/>
    <w:basedOn w:val="36"/>
    <w:link w:val="8"/>
    <w:qFormat/>
    <w:uiPriority w:val="9"/>
    <w:rPr>
      <w:rFonts w:ascii="Times New Roman" w:hAnsi="Times New Roman" w:eastAsia="微软雅黑"/>
      <w:b/>
      <w:bCs/>
      <w:sz w:val="24"/>
      <w:szCs w:val="24"/>
    </w:rPr>
  </w:style>
  <w:style w:type="table" w:customStyle="1" w:styleId="58">
    <w:name w:val="网格型1"/>
    <w:basedOn w:val="34"/>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标题 8 字符"/>
    <w:basedOn w:val="36"/>
    <w:link w:val="9"/>
    <w:qFormat/>
    <w:uiPriority w:val="9"/>
    <w:rPr>
      <w:rFonts w:asciiTheme="majorHAnsi" w:hAnsiTheme="majorHAnsi" w:eastAsiaTheme="majorEastAsia" w:cstheme="majorBidi"/>
      <w:sz w:val="24"/>
      <w:szCs w:val="24"/>
    </w:rPr>
  </w:style>
  <w:style w:type="character" w:customStyle="1" w:styleId="60">
    <w:name w:val="不明显强调1"/>
    <w:basedOn w:val="36"/>
    <w:qFormat/>
    <w:uiPriority w:val="19"/>
    <w:rPr>
      <w:i/>
      <w:iCs/>
      <w:color w:val="404040" w:themeColor="text1" w:themeTint="BF"/>
      <w14:textFill>
        <w14:solidFill>
          <w14:schemeClr w14:val="tx1">
            <w14:lumMod w14:val="75000"/>
            <w14:lumOff w14:val="25000"/>
          </w14:schemeClr>
        </w14:solidFill>
      </w14:textFill>
    </w:rPr>
  </w:style>
  <w:style w:type="character" w:customStyle="1" w:styleId="61">
    <w:name w:val="明显强调1"/>
    <w:basedOn w:val="36"/>
    <w:qFormat/>
    <w:uiPriority w:val="21"/>
    <w:rPr>
      <w:i/>
      <w:iCs/>
      <w:color w:val="4F81BD" w:themeColor="accent1"/>
      <w14:textFill>
        <w14:solidFill>
          <w14:schemeClr w14:val="accent1"/>
        </w14:solidFill>
      </w14:textFill>
    </w:rPr>
  </w:style>
  <w:style w:type="character" w:customStyle="1" w:styleId="62">
    <w:name w:val="不明显参考1"/>
    <w:basedOn w:val="36"/>
    <w:qFormat/>
    <w:uiPriority w:val="31"/>
    <w:rPr>
      <w:smallCaps/>
      <w:color w:val="595959" w:themeColor="text1" w:themeTint="A6"/>
      <w14:textFill>
        <w14:solidFill>
          <w14:schemeClr w14:val="tx1">
            <w14:lumMod w14:val="65000"/>
            <w14:lumOff w14:val="35000"/>
          </w14:schemeClr>
        </w14:solidFill>
      </w14:textFill>
    </w:rPr>
  </w:style>
  <w:style w:type="paragraph" w:customStyle="1" w:styleId="63">
    <w:name w:val="tizhu"/>
    <w:basedOn w:val="11"/>
    <w:link w:val="64"/>
    <w:qFormat/>
    <w:uiPriority w:val="0"/>
    <w:pPr>
      <w:spacing w:before="0" w:after="0" w:line="240" w:lineRule="auto"/>
    </w:pPr>
    <w:rPr>
      <w:rFonts w:ascii="Times New Roman" w:hAnsi="Times New Roman" w:eastAsia="仿宋_GB2312"/>
    </w:rPr>
  </w:style>
  <w:style w:type="character" w:customStyle="1" w:styleId="64">
    <w:name w:val="tizhu 字符"/>
    <w:basedOn w:val="36"/>
    <w:link w:val="63"/>
    <w:qFormat/>
    <w:uiPriority w:val="0"/>
    <w:rPr>
      <w:rFonts w:ascii="Times New Roman" w:hAnsi="Times New Roman" w:eastAsia="仿宋_GB2312" w:cstheme="majorBidi"/>
      <w:sz w:val="20"/>
      <w:szCs w:val="20"/>
    </w:rPr>
  </w:style>
  <w:style w:type="table" w:customStyle="1" w:styleId="65">
    <w:name w:val="网格型2"/>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67">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68">
    <w:name w:val="font6"/>
    <w:basedOn w:val="1"/>
    <w:qFormat/>
    <w:uiPriority w:val="0"/>
    <w:pPr>
      <w:widowControl/>
      <w:spacing w:before="100" w:beforeAutospacing="1" w:after="100" w:afterAutospacing="1" w:line="240" w:lineRule="auto"/>
      <w:ind w:firstLine="0" w:firstLineChars="0"/>
      <w:jc w:val="left"/>
    </w:pPr>
    <w:rPr>
      <w:rFonts w:eastAsia="宋体" w:cs="Times New Roman"/>
      <w:color w:val="000000"/>
      <w:kern w:val="0"/>
      <w:sz w:val="22"/>
    </w:rPr>
  </w:style>
  <w:style w:type="paragraph" w:customStyle="1" w:styleId="69">
    <w:name w:val="font7"/>
    <w:basedOn w:val="1"/>
    <w:qFormat/>
    <w:uiPriority w:val="0"/>
    <w:pPr>
      <w:widowControl/>
      <w:spacing w:before="100" w:beforeAutospacing="1" w:after="100" w:afterAutospacing="1" w:line="240" w:lineRule="auto"/>
      <w:ind w:firstLine="0" w:firstLineChars="0"/>
      <w:jc w:val="left"/>
    </w:pPr>
    <w:rPr>
      <w:rFonts w:ascii="等线" w:hAnsi="等线" w:eastAsia="等线" w:cs="宋体"/>
      <w:color w:val="000000"/>
      <w:kern w:val="0"/>
      <w:sz w:val="22"/>
    </w:rPr>
  </w:style>
  <w:style w:type="paragraph" w:customStyle="1" w:styleId="70">
    <w:name w:val="xl70"/>
    <w:basedOn w:val="1"/>
    <w:qFormat/>
    <w:uiPriority w:val="0"/>
    <w:pPr>
      <w:widowControl/>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7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7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cs="Times New Roman"/>
      <w:kern w:val="0"/>
      <w:sz w:val="24"/>
      <w:szCs w:val="24"/>
    </w:rPr>
  </w:style>
  <w:style w:type="paragraph" w:customStyle="1" w:styleId="7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s="Times New Roman"/>
      <w:color w:val="000000"/>
      <w:kern w:val="0"/>
      <w:sz w:val="24"/>
      <w:szCs w:val="24"/>
    </w:rPr>
  </w:style>
  <w:style w:type="paragraph" w:customStyle="1" w:styleId="7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s="Times New Roman"/>
      <w:kern w:val="0"/>
      <w:sz w:val="24"/>
      <w:szCs w:val="24"/>
    </w:rPr>
  </w:style>
  <w:style w:type="paragraph" w:customStyle="1" w:styleId="7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eastAsia="宋体" w:cs="Times New Roman"/>
      <w:kern w:val="0"/>
      <w:sz w:val="24"/>
      <w:szCs w:val="24"/>
    </w:rPr>
  </w:style>
  <w:style w:type="paragraph" w:customStyle="1" w:styleId="76">
    <w:name w:val="TOC 标题1"/>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7">
    <w:name w:val="未处理的提及1"/>
    <w:basedOn w:val="36"/>
    <w:semiHidden/>
    <w:unhideWhenUsed/>
    <w:qFormat/>
    <w:uiPriority w:val="99"/>
    <w:rPr>
      <w:color w:val="605E5C"/>
      <w:shd w:val="clear" w:color="auto" w:fill="E1DFDD"/>
    </w:rPr>
  </w:style>
  <w:style w:type="paragraph" w:customStyle="1" w:styleId="78">
    <w:name w:val="1 Char Char Char Char Char Char Char"/>
    <w:basedOn w:val="1"/>
    <w:semiHidden/>
    <w:qFormat/>
    <w:uiPriority w:val="0"/>
    <w:pPr>
      <w:spacing w:before="0" w:after="0" w:line="240" w:lineRule="auto"/>
      <w:ind w:firstLine="0" w:firstLineChars="0"/>
    </w:pPr>
    <w:rPr>
      <w:rFonts w:eastAsia="宋体" w:cs="Times New Roman"/>
      <w:sz w:val="21"/>
      <w:szCs w:val="24"/>
    </w:rPr>
  </w:style>
  <w:style w:type="paragraph" w:styleId="79">
    <w:name w:val="List Paragraph"/>
    <w:basedOn w:val="1"/>
    <w:link w:val="116"/>
    <w:qFormat/>
    <w:uiPriority w:val="99"/>
    <w:pPr>
      <w:spacing w:before="0" w:after="0" w:line="240" w:lineRule="auto"/>
      <w:ind w:firstLine="420"/>
    </w:pPr>
    <w:rPr>
      <w:rFonts w:asciiTheme="minorHAnsi" w:hAnsiTheme="minorHAnsi" w:eastAsiaTheme="minorEastAsia"/>
      <w:sz w:val="21"/>
    </w:rPr>
  </w:style>
  <w:style w:type="paragraph" w:customStyle="1" w:styleId="8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color w:val="000000"/>
      <w:kern w:val="0"/>
      <w:sz w:val="20"/>
      <w:szCs w:val="20"/>
    </w:rPr>
  </w:style>
  <w:style w:type="paragraph" w:customStyle="1" w:styleId="8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paragraph" w:customStyle="1" w:styleId="8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ind w:firstLine="0" w:firstLineChars="0"/>
      <w:jc w:val="center"/>
      <w:textAlignment w:val="center"/>
    </w:pPr>
    <w:rPr>
      <w:rFonts w:ascii="仿宋" w:hAnsi="仿宋" w:eastAsia="仿宋" w:cs="宋体"/>
      <w:kern w:val="0"/>
      <w:sz w:val="20"/>
      <w:szCs w:val="20"/>
    </w:rPr>
  </w:style>
  <w:style w:type="table" w:customStyle="1" w:styleId="88">
    <w:name w:val="网格型3"/>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4"/>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5"/>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TOC 标题2"/>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92">
    <w:name w:val="未处理的提及2"/>
    <w:basedOn w:val="36"/>
    <w:semiHidden/>
    <w:unhideWhenUsed/>
    <w:qFormat/>
    <w:uiPriority w:val="99"/>
    <w:rPr>
      <w:color w:val="605E5C"/>
      <w:shd w:val="clear" w:color="auto" w:fill="E1DFDD"/>
    </w:rPr>
  </w:style>
  <w:style w:type="character" w:customStyle="1" w:styleId="93">
    <w:name w:val="标题 1 字符1"/>
    <w:basedOn w:val="36"/>
    <w:qFormat/>
    <w:uiPriority w:val="9"/>
    <w:rPr>
      <w:rFonts w:ascii="Times New Roman" w:hAnsi="Times New Roman" w:eastAsia="仿宋_GB2312"/>
      <w:b/>
      <w:bCs/>
      <w:kern w:val="44"/>
      <w:sz w:val="44"/>
      <w:szCs w:val="44"/>
    </w:rPr>
  </w:style>
  <w:style w:type="character" w:customStyle="1" w:styleId="94">
    <w:name w:val="标题 2 字符1"/>
    <w:basedOn w:val="36"/>
    <w:semiHidden/>
    <w:qFormat/>
    <w:uiPriority w:val="9"/>
    <w:rPr>
      <w:rFonts w:asciiTheme="majorHAnsi" w:hAnsiTheme="majorHAnsi" w:eastAsiaTheme="majorEastAsia" w:cstheme="majorBidi"/>
      <w:b/>
      <w:bCs/>
      <w:kern w:val="2"/>
      <w:sz w:val="32"/>
      <w:szCs w:val="32"/>
    </w:rPr>
  </w:style>
  <w:style w:type="character" w:customStyle="1" w:styleId="95">
    <w:name w:val="标题 3 字符1"/>
    <w:basedOn w:val="36"/>
    <w:qFormat/>
    <w:uiPriority w:val="0"/>
    <w:rPr>
      <w:rFonts w:ascii="Times New Roman" w:hAnsi="Times New Roman" w:eastAsia="仿宋_GB2312"/>
      <w:b/>
      <w:bCs/>
      <w:kern w:val="2"/>
      <w:sz w:val="32"/>
      <w:szCs w:val="32"/>
    </w:rPr>
  </w:style>
  <w:style w:type="character" w:customStyle="1" w:styleId="96">
    <w:name w:val="标题 4 字符1"/>
    <w:basedOn w:val="36"/>
    <w:semiHidden/>
    <w:qFormat/>
    <w:uiPriority w:val="9"/>
    <w:rPr>
      <w:rFonts w:asciiTheme="majorHAnsi" w:hAnsiTheme="majorHAnsi" w:eastAsiaTheme="majorEastAsia" w:cstheme="majorBidi"/>
      <w:b/>
      <w:bCs/>
      <w:kern w:val="2"/>
      <w:sz w:val="28"/>
      <w:szCs w:val="28"/>
    </w:rPr>
  </w:style>
  <w:style w:type="character" w:customStyle="1" w:styleId="97">
    <w:name w:val="标题 5 字符1"/>
    <w:basedOn w:val="36"/>
    <w:semiHidden/>
    <w:qFormat/>
    <w:uiPriority w:val="9"/>
    <w:rPr>
      <w:rFonts w:ascii="Times New Roman" w:hAnsi="Times New Roman" w:eastAsia="仿宋_GB2312"/>
      <w:b/>
      <w:bCs/>
      <w:kern w:val="2"/>
      <w:sz w:val="28"/>
      <w:szCs w:val="28"/>
    </w:rPr>
  </w:style>
  <w:style w:type="character" w:customStyle="1" w:styleId="98">
    <w:name w:val="标题 字符1"/>
    <w:basedOn w:val="36"/>
    <w:qFormat/>
    <w:uiPriority w:val="10"/>
    <w:rPr>
      <w:rFonts w:asciiTheme="majorHAnsi" w:hAnsiTheme="majorHAnsi" w:eastAsiaTheme="majorEastAsia" w:cstheme="majorBidi"/>
      <w:b/>
      <w:bCs/>
      <w:sz w:val="32"/>
      <w:szCs w:val="32"/>
    </w:rPr>
  </w:style>
  <w:style w:type="character" w:customStyle="1" w:styleId="99">
    <w:name w:val="副标题 字符1"/>
    <w:basedOn w:val="36"/>
    <w:qFormat/>
    <w:uiPriority w:val="11"/>
    <w:rPr>
      <w:b/>
      <w:bCs/>
      <w:kern w:val="28"/>
      <w:sz w:val="32"/>
      <w:szCs w:val="32"/>
    </w:rPr>
  </w:style>
  <w:style w:type="table" w:customStyle="1" w:styleId="100">
    <w:name w:val="网格型6"/>
    <w:basedOn w:val="34"/>
    <w:qFormat/>
    <w:uiPriority w:val="59"/>
    <w:rPr>
      <w:rFonts w:ascii="Garamond" w:hAnsi="Garamond"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11"/>
    <w:basedOn w:val="34"/>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1"/>
    <w:basedOn w:val="34"/>
    <w:qFormat/>
    <w:uiPriority w:val="59"/>
    <w:rPr>
      <w:rFonts w:ascii="Garamond" w:hAnsi="Garamond"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31"/>
    <w:basedOn w:val="34"/>
    <w:qFormat/>
    <w:uiPriority w:val="59"/>
    <w:rPr>
      <w:rFonts w:ascii="Garamond" w:hAnsi="Garamond"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41"/>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51"/>
    <w:basedOn w:val="34"/>
    <w:qFormat/>
    <w:uiPriority w:val="39"/>
    <w:rPr>
      <w:rFonts w:ascii="Times New Roman" w:hAnsi="Times New Roman" w:eastAsia="仿宋_GB2312" w:cs="Times New Roman"/>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标准文字 Char"/>
    <w:link w:val="107"/>
    <w:qFormat/>
    <w:locked/>
    <w:uiPriority w:val="99"/>
    <w:rPr>
      <w:rFonts w:eastAsia="仿宋_GB2312"/>
      <w:sz w:val="30"/>
      <w:szCs w:val="30"/>
    </w:rPr>
  </w:style>
  <w:style w:type="paragraph" w:customStyle="1" w:styleId="107">
    <w:name w:val="标准文字"/>
    <w:basedOn w:val="1"/>
    <w:link w:val="106"/>
    <w:qFormat/>
    <w:uiPriority w:val="99"/>
    <w:pPr>
      <w:overflowPunct w:val="0"/>
      <w:spacing w:before="0" w:after="0" w:line="360" w:lineRule="auto"/>
      <w:ind w:firstLine="640"/>
    </w:pPr>
    <w:rPr>
      <w:rFonts w:asciiTheme="minorHAnsi" w:hAnsiTheme="minorHAnsi"/>
      <w:kern w:val="0"/>
      <w:sz w:val="30"/>
      <w:szCs w:val="30"/>
    </w:rPr>
  </w:style>
  <w:style w:type="paragraph" w:customStyle="1" w:styleId="108">
    <w:name w:val="标题2"/>
    <w:basedOn w:val="1"/>
    <w:next w:val="1"/>
    <w:link w:val="109"/>
    <w:qFormat/>
    <w:uiPriority w:val="0"/>
    <w:pPr>
      <w:keepNext/>
      <w:keepLines/>
      <w:adjustRightInd w:val="0"/>
      <w:snapToGrid w:val="0"/>
      <w:spacing w:before="156" w:beforeLines="50" w:after="0" w:line="360" w:lineRule="auto"/>
      <w:ind w:firstLine="0" w:firstLineChars="0"/>
      <w:jc w:val="left"/>
      <w:outlineLvl w:val="1"/>
    </w:pPr>
    <w:rPr>
      <w:rFonts w:eastAsia="黑体" w:cs="Times New Roman"/>
      <w:bCs/>
      <w:sz w:val="32"/>
      <w:szCs w:val="32"/>
    </w:rPr>
  </w:style>
  <w:style w:type="character" w:customStyle="1" w:styleId="109">
    <w:name w:val="标题2 Char"/>
    <w:basedOn w:val="36"/>
    <w:link w:val="108"/>
    <w:qFormat/>
    <w:uiPriority w:val="0"/>
    <w:rPr>
      <w:rFonts w:ascii="Times New Roman" w:hAnsi="Times New Roman" w:eastAsia="黑体" w:cs="Times New Roman"/>
      <w:bCs/>
      <w:kern w:val="2"/>
      <w:sz w:val="32"/>
      <w:szCs w:val="32"/>
    </w:rPr>
  </w:style>
  <w:style w:type="paragraph" w:customStyle="1" w:styleId="110">
    <w:name w:val="标题3"/>
    <w:basedOn w:val="1"/>
    <w:next w:val="1"/>
    <w:link w:val="111"/>
    <w:qFormat/>
    <w:uiPriority w:val="0"/>
    <w:pPr>
      <w:keepNext/>
      <w:keepLines/>
      <w:adjustRightInd w:val="0"/>
      <w:snapToGrid w:val="0"/>
      <w:spacing w:before="0" w:after="0" w:line="360" w:lineRule="auto"/>
      <w:ind w:firstLine="0" w:firstLineChars="0"/>
      <w:outlineLvl w:val="2"/>
    </w:pPr>
    <w:rPr>
      <w:rFonts w:eastAsia="黑体" w:cs="Times New Roman"/>
      <w:bCs/>
      <w:snapToGrid w:val="0"/>
      <w:sz w:val="30"/>
      <w:szCs w:val="32"/>
    </w:rPr>
  </w:style>
  <w:style w:type="character" w:customStyle="1" w:styleId="111">
    <w:name w:val="标题3 Char"/>
    <w:basedOn w:val="36"/>
    <w:link w:val="110"/>
    <w:qFormat/>
    <w:uiPriority w:val="0"/>
    <w:rPr>
      <w:rFonts w:ascii="Times New Roman" w:hAnsi="Times New Roman" w:eastAsia="黑体" w:cs="Times New Roman"/>
      <w:bCs/>
      <w:snapToGrid w:val="0"/>
      <w:kern w:val="2"/>
      <w:sz w:val="30"/>
      <w:szCs w:val="32"/>
    </w:rPr>
  </w:style>
  <w:style w:type="paragraph" w:customStyle="1" w:styleId="112">
    <w:name w:val="S-正文文本"/>
    <w:basedOn w:val="1"/>
    <w:link w:val="113"/>
    <w:qFormat/>
    <w:uiPriority w:val="4"/>
    <w:pPr>
      <w:widowControl/>
      <w:spacing w:before="0" w:after="0" w:line="360" w:lineRule="auto"/>
    </w:pPr>
    <w:rPr>
      <w:rFonts w:cs="Times New Roman"/>
      <w:kern w:val="0"/>
      <w:szCs w:val="20"/>
    </w:rPr>
  </w:style>
  <w:style w:type="character" w:customStyle="1" w:styleId="113">
    <w:name w:val="S-正文文本 字符"/>
    <w:link w:val="112"/>
    <w:qFormat/>
    <w:uiPriority w:val="4"/>
    <w:rPr>
      <w:rFonts w:ascii="Times New Roman" w:hAnsi="Times New Roman" w:eastAsia="仿宋_GB2312" w:cs="Times New Roman"/>
      <w:sz w:val="28"/>
    </w:rPr>
  </w:style>
  <w:style w:type="character" w:customStyle="1" w:styleId="114">
    <w:name w:val="专栏正文 字符"/>
    <w:link w:val="115"/>
    <w:qFormat/>
    <w:locked/>
    <w:uiPriority w:val="99"/>
    <w:rPr>
      <w:rFonts w:eastAsia="仿宋_GB2312"/>
      <w:sz w:val="30"/>
      <w:szCs w:val="30"/>
    </w:rPr>
  </w:style>
  <w:style w:type="paragraph" w:customStyle="1" w:styleId="115">
    <w:name w:val="专栏正文"/>
    <w:basedOn w:val="107"/>
    <w:link w:val="114"/>
    <w:qFormat/>
    <w:uiPriority w:val="99"/>
  </w:style>
  <w:style w:type="character" w:customStyle="1" w:styleId="116">
    <w:name w:val="列表段落 字符"/>
    <w:basedOn w:val="36"/>
    <w:link w:val="79"/>
    <w:qFormat/>
    <w:locked/>
    <w:uiPriority w:val="99"/>
    <w:rPr>
      <w:kern w:val="2"/>
      <w:sz w:val="21"/>
      <w:szCs w:val="22"/>
    </w:rPr>
  </w:style>
  <w:style w:type="paragraph" w:customStyle="1" w:styleId="117">
    <w:name w:val="TOC 标题3"/>
    <w:basedOn w:val="2"/>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附件1级"/>
    <w:basedOn w:val="1"/>
    <w:qFormat/>
    <w:uiPriority w:val="0"/>
    <w:pPr>
      <w:spacing w:before="0" w:after="0" w:line="360" w:lineRule="auto"/>
      <w:ind w:firstLine="0" w:firstLineChars="0"/>
      <w:jc w:val="center"/>
      <w:outlineLvl w:val="0"/>
    </w:pPr>
    <w:rPr>
      <w:rFonts w:eastAsia="黑体" w:cs="Times New Roman"/>
      <w:sz w:val="30"/>
    </w:rPr>
  </w:style>
  <w:style w:type="paragraph" w:customStyle="1" w:styleId="119">
    <w:name w:val="标题1"/>
    <w:basedOn w:val="1"/>
    <w:next w:val="1"/>
    <w:link w:val="120"/>
    <w:qFormat/>
    <w:uiPriority w:val="0"/>
    <w:pPr>
      <w:keepNext/>
      <w:keepLines/>
      <w:adjustRightInd w:val="0"/>
      <w:snapToGrid w:val="0"/>
      <w:spacing w:before="100" w:beforeAutospacing="1" w:after="100" w:afterAutospacing="1" w:line="360" w:lineRule="auto"/>
      <w:ind w:firstLine="0" w:firstLineChars="0"/>
      <w:jc w:val="center"/>
      <w:outlineLvl w:val="0"/>
    </w:pPr>
    <w:rPr>
      <w:rFonts w:eastAsia="黑体" w:cs="Times New Roman"/>
      <w:bCs/>
      <w:sz w:val="36"/>
      <w:szCs w:val="32"/>
    </w:rPr>
  </w:style>
  <w:style w:type="character" w:customStyle="1" w:styleId="120">
    <w:name w:val="标题1 Char"/>
    <w:basedOn w:val="36"/>
    <w:link w:val="119"/>
    <w:qFormat/>
    <w:uiPriority w:val="0"/>
    <w:rPr>
      <w:rFonts w:ascii="Times New Roman" w:hAnsi="Times New Roman" w:eastAsia="黑体" w:cs="Times New Roman"/>
      <w:bCs/>
      <w:kern w:val="2"/>
      <w:sz w:val="36"/>
      <w:szCs w:val="32"/>
    </w:rPr>
  </w:style>
  <w:style w:type="paragraph" w:customStyle="1" w:styleId="121">
    <w:name w:val="标题4"/>
    <w:basedOn w:val="110"/>
    <w:next w:val="1"/>
    <w:qFormat/>
    <w:uiPriority w:val="0"/>
    <w:pPr>
      <w:numPr>
        <w:ilvl w:val="3"/>
        <w:numId w:val="1"/>
      </w:numPr>
      <w:tabs>
        <w:tab w:val="left" w:pos="360"/>
      </w:tabs>
      <w:outlineLvl w:val="3"/>
    </w:pPr>
    <w:rPr>
      <w:rFonts w:eastAsia="仿宋_GB2312"/>
      <w:sz w:val="28"/>
    </w:rPr>
  </w:style>
  <w:style w:type="paragraph" w:customStyle="1" w:styleId="122">
    <w:name w:val="图名"/>
    <w:basedOn w:val="1"/>
    <w:next w:val="1"/>
    <w:link w:val="123"/>
    <w:qFormat/>
    <w:uiPriority w:val="0"/>
    <w:pPr>
      <w:spacing w:before="0" w:after="0" w:line="360" w:lineRule="auto"/>
      <w:ind w:firstLine="0" w:firstLineChars="0"/>
      <w:jc w:val="center"/>
    </w:pPr>
    <w:rPr>
      <w:rFonts w:cs="Times New Roman"/>
      <w:b/>
      <w:sz w:val="24"/>
      <w:szCs w:val="24"/>
    </w:rPr>
  </w:style>
  <w:style w:type="character" w:customStyle="1" w:styleId="123">
    <w:name w:val="图名 Char"/>
    <w:basedOn w:val="36"/>
    <w:link w:val="122"/>
    <w:qFormat/>
    <w:uiPriority w:val="0"/>
    <w:rPr>
      <w:rFonts w:ascii="Times New Roman" w:hAnsi="Times New Roman" w:eastAsia="仿宋_GB2312" w:cs="Times New Roman"/>
      <w:b/>
      <w:kern w:val="2"/>
      <w:sz w:val="24"/>
      <w:szCs w:val="24"/>
    </w:rPr>
  </w:style>
  <w:style w:type="paragraph" w:customStyle="1" w:styleId="124">
    <w:name w:val="图格式"/>
    <w:basedOn w:val="1"/>
    <w:link w:val="125"/>
    <w:qFormat/>
    <w:uiPriority w:val="0"/>
    <w:pPr>
      <w:widowControl/>
      <w:adjustRightInd w:val="0"/>
      <w:spacing w:before="0" w:after="0" w:line="360" w:lineRule="auto"/>
      <w:ind w:firstLine="0" w:firstLineChars="0"/>
      <w:jc w:val="center"/>
    </w:pPr>
    <w:rPr>
      <w:rFonts w:cs="Times New Roman"/>
      <w:b/>
      <w:color w:val="000000"/>
      <w:sz w:val="24"/>
      <w:szCs w:val="28"/>
    </w:rPr>
  </w:style>
  <w:style w:type="character" w:customStyle="1" w:styleId="125">
    <w:name w:val="图格式 字符"/>
    <w:basedOn w:val="36"/>
    <w:link w:val="124"/>
    <w:qFormat/>
    <w:uiPriority w:val="0"/>
    <w:rPr>
      <w:rFonts w:ascii="Times New Roman" w:hAnsi="Times New Roman" w:eastAsia="仿宋_GB2312" w:cs="Times New Roman"/>
      <w:b/>
      <w:color w:val="000000"/>
      <w:kern w:val="2"/>
      <w:sz w:val="24"/>
      <w:szCs w:val="28"/>
    </w:rPr>
  </w:style>
  <w:style w:type="paragraph" w:customStyle="1" w:styleId="126">
    <w:name w:val="表名"/>
    <w:basedOn w:val="122"/>
    <w:next w:val="1"/>
    <w:link w:val="127"/>
    <w:qFormat/>
    <w:uiPriority w:val="0"/>
  </w:style>
  <w:style w:type="character" w:customStyle="1" w:styleId="127">
    <w:name w:val="表名 Char"/>
    <w:basedOn w:val="123"/>
    <w:link w:val="126"/>
    <w:qFormat/>
    <w:uiPriority w:val="0"/>
    <w:rPr>
      <w:rFonts w:ascii="Times New Roman" w:hAnsi="Times New Roman" w:eastAsia="仿宋_GB2312" w:cs="Times New Roman"/>
      <w:kern w:val="2"/>
      <w:sz w:val="24"/>
      <w:szCs w:val="24"/>
    </w:rPr>
  </w:style>
  <w:style w:type="paragraph" w:customStyle="1" w:styleId="128">
    <w:name w:val="表格格式"/>
    <w:basedOn w:val="1"/>
    <w:next w:val="1"/>
    <w:link w:val="129"/>
    <w:qFormat/>
    <w:uiPriority w:val="0"/>
    <w:pPr>
      <w:spacing w:before="0" w:after="0" w:line="240" w:lineRule="auto"/>
      <w:ind w:firstLine="0" w:firstLineChars="0"/>
    </w:pPr>
    <w:rPr>
      <w:rFonts w:cs="Times New Roman"/>
      <w:sz w:val="21"/>
      <w:szCs w:val="24"/>
    </w:rPr>
  </w:style>
  <w:style w:type="character" w:customStyle="1" w:styleId="129">
    <w:name w:val="表格格式 字符"/>
    <w:basedOn w:val="36"/>
    <w:link w:val="128"/>
    <w:qFormat/>
    <w:uiPriority w:val="0"/>
    <w:rPr>
      <w:rFonts w:ascii="Times New Roman" w:hAnsi="Times New Roman" w:eastAsia="仿宋_GB2312" w:cs="Times New Roman"/>
      <w:kern w:val="2"/>
      <w:sz w:val="21"/>
      <w:szCs w:val="24"/>
    </w:rPr>
  </w:style>
  <w:style w:type="paragraph" w:customStyle="1" w:styleId="130">
    <w:name w:val="附件2级"/>
    <w:basedOn w:val="1"/>
    <w:qFormat/>
    <w:uiPriority w:val="0"/>
    <w:pPr>
      <w:spacing w:before="0" w:after="0" w:line="360" w:lineRule="auto"/>
      <w:ind w:firstLine="0" w:firstLineChars="0"/>
      <w:outlineLvl w:val="1"/>
    </w:pPr>
    <w:rPr>
      <w:rFonts w:eastAsia="黑体" w:cs="黑体"/>
      <w:sz w:val="30"/>
    </w:rPr>
  </w:style>
  <w:style w:type="character" w:customStyle="1" w:styleId="131">
    <w:name w:val="fontstyle01"/>
    <w:basedOn w:val="36"/>
    <w:qFormat/>
    <w:uiPriority w:val="0"/>
    <w:rPr>
      <w:rFonts w:hint="eastAsia" w:ascii="仿宋_GB2312" w:eastAsia="仿宋_GB2312"/>
      <w:color w:val="000000"/>
      <w:sz w:val="32"/>
      <w:szCs w:val="32"/>
    </w:rPr>
  </w:style>
  <w:style w:type="paragraph" w:customStyle="1" w:styleId="132">
    <w:name w:val="S-三级标题"/>
    <w:next w:val="112"/>
    <w:link w:val="133"/>
    <w:qFormat/>
    <w:uiPriority w:val="2"/>
    <w:pPr>
      <w:spacing w:before="30" w:beforeLines="30" w:line="360" w:lineRule="auto"/>
      <w:ind w:firstLine="200" w:firstLineChars="200"/>
      <w:outlineLvl w:val="2"/>
    </w:pPr>
    <w:rPr>
      <w:rFonts w:ascii="黑体" w:hAnsi="黑体" w:eastAsia="黑体" w:cs="宋体"/>
      <w:b/>
      <w:color w:val="000000"/>
      <w:sz w:val="28"/>
      <w:lang w:val="en-US" w:eastAsia="zh-CN" w:bidi="ar-SA"/>
    </w:rPr>
  </w:style>
  <w:style w:type="character" w:customStyle="1" w:styleId="133">
    <w:name w:val="S-三级标题 字符"/>
    <w:link w:val="132"/>
    <w:qFormat/>
    <w:uiPriority w:val="2"/>
    <w:rPr>
      <w:rFonts w:ascii="黑体" w:hAnsi="黑体" w:eastAsia="黑体" w:cs="宋体"/>
      <w:b/>
      <w:color w:val="000000"/>
      <w:sz w:val="28"/>
    </w:rPr>
  </w:style>
  <w:style w:type="character" w:customStyle="1" w:styleId="134">
    <w:name w:val="脚注文本 字符"/>
    <w:basedOn w:val="36"/>
    <w:link w:val="27"/>
    <w:qFormat/>
    <w:uiPriority w:val="99"/>
    <w:rPr>
      <w:sz w:val="18"/>
      <w:szCs w:val="18"/>
    </w:rPr>
  </w:style>
  <w:style w:type="character" w:customStyle="1" w:styleId="135">
    <w:name w:val="font51"/>
    <w:basedOn w:val="36"/>
    <w:qFormat/>
    <w:uiPriority w:val="0"/>
    <w:rPr>
      <w:rFonts w:hint="eastAsia" w:ascii="仿宋" w:hAnsi="仿宋" w:eastAsia="仿宋" w:cs="仿宋"/>
      <w:color w:val="000000"/>
      <w:sz w:val="24"/>
      <w:szCs w:val="24"/>
      <w:u w:val="none"/>
    </w:rPr>
  </w:style>
  <w:style w:type="character" w:customStyle="1" w:styleId="136">
    <w:name w:val="font11"/>
    <w:basedOn w:val="36"/>
    <w:qFormat/>
    <w:uiPriority w:val="0"/>
    <w:rPr>
      <w:rFonts w:ascii="Calibri" w:hAnsi="Calibri" w:cs="Calibri"/>
      <w:color w:val="000000"/>
      <w:sz w:val="24"/>
      <w:szCs w:val="24"/>
      <w:u w:val="none"/>
    </w:rPr>
  </w:style>
  <w:style w:type="character" w:customStyle="1" w:styleId="137">
    <w:name w:val="文档结构图 字符"/>
    <w:basedOn w:val="36"/>
    <w:link w:val="13"/>
    <w:qFormat/>
    <w:uiPriority w:val="0"/>
    <w:rPr>
      <w:rFonts w:ascii="宋体" w:hAnsi="Calibri" w:eastAsia="宋体" w:cs="Times New Roman"/>
      <w:kern w:val="2"/>
      <w:sz w:val="18"/>
      <w:szCs w:val="18"/>
    </w:rPr>
  </w:style>
  <w:style w:type="character" w:customStyle="1" w:styleId="138">
    <w:name w:val="正文文本 字符"/>
    <w:basedOn w:val="36"/>
    <w:link w:val="15"/>
    <w:qFormat/>
    <w:uiPriority w:val="99"/>
    <w:rPr>
      <w:rFonts w:ascii="仿宋_GB2312" w:hAnsi="仿宋_GB2312" w:eastAsia="仿宋_GB2312"/>
      <w:kern w:val="2"/>
      <w:sz w:val="30"/>
      <w:szCs w:val="30"/>
      <w:lang w:eastAsia="en-US"/>
    </w:rPr>
  </w:style>
  <w:style w:type="paragraph" w:customStyle="1" w:styleId="13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0">
    <w:name w:val="font8"/>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1">
    <w:name w:val="font9"/>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42">
    <w:name w:val="font10"/>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4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4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14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5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15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59">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160">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6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eastAsia="宋体" w:cs="宋体"/>
      <w:kern w:val="0"/>
      <w:sz w:val="20"/>
      <w:szCs w:val="20"/>
    </w:rPr>
  </w:style>
  <w:style w:type="paragraph" w:customStyle="1" w:styleId="162">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63">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164">
    <w:name w:val="xl10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65">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66">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67">
    <w:name w:val="xl103"/>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68">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69">
    <w:name w:val="xl105"/>
    <w:basedOn w:val="1"/>
    <w:qFormat/>
    <w:uiPriority w:val="0"/>
    <w:pPr>
      <w:widowControl/>
      <w:shd w:val="clear" w:color="000000" w:fill="FFFFFF"/>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170">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1">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2">
    <w:name w:val="xl108"/>
    <w:basedOn w:val="1"/>
    <w:qFormat/>
    <w:uiPriority w:val="0"/>
    <w:pPr>
      <w:widowControl/>
      <w:shd w:val="clear" w:color="000000" w:fill="FFFFFF"/>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173">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74">
    <w:name w:val="xl110"/>
    <w:basedOn w:val="1"/>
    <w:qFormat/>
    <w:uiPriority w:val="0"/>
    <w:pPr>
      <w:widowControl/>
      <w:shd w:val="clear" w:color="000000" w:fill="FFFFFF"/>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75">
    <w:name w:val="xl111"/>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176">
    <w:name w:val="xl11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7">
    <w:name w:val="xl11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8">
    <w:name w:val="xl11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79">
    <w:name w:val="xl11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0">
    <w:name w:val="xl116"/>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1">
    <w:name w:val="xl117"/>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2">
    <w:name w:val="xl11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3">
    <w:name w:val="xl11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4">
    <w:name w:val="xl12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185">
    <w:name w:val="xl12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186">
    <w:name w:val="附件4级"/>
    <w:basedOn w:val="1"/>
    <w:next w:val="107"/>
    <w:qFormat/>
    <w:uiPriority w:val="0"/>
    <w:pPr>
      <w:numPr>
        <w:ilvl w:val="3"/>
        <w:numId w:val="2"/>
      </w:numPr>
      <w:spacing w:before="0" w:after="0" w:line="360" w:lineRule="auto"/>
      <w:ind w:firstLineChars="0"/>
      <w:outlineLvl w:val="2"/>
    </w:pPr>
    <w:rPr>
      <w:rFonts w:ascii="Arial" w:hAnsi="Arial" w:eastAsia="黑体" w:cs="Times New Roman"/>
      <w:sz w:val="32"/>
    </w:rPr>
  </w:style>
  <w:style w:type="paragraph" w:customStyle="1" w:styleId="18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6"/>
      <w:szCs w:val="16"/>
    </w:rPr>
  </w:style>
  <w:style w:type="paragraph" w:customStyle="1" w:styleId="188">
    <w:name w:val="xl64"/>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6"/>
      <w:szCs w:val="16"/>
    </w:rPr>
  </w:style>
  <w:style w:type="character" w:customStyle="1" w:styleId="189">
    <w:name w:val="font61"/>
    <w:basedOn w:val="36"/>
    <w:qFormat/>
    <w:uiPriority w:val="0"/>
    <w:rPr>
      <w:rFonts w:hint="eastAsia" w:ascii="仿宋" w:hAnsi="仿宋" w:eastAsia="仿宋" w:cs="仿宋"/>
      <w:b/>
      <w:color w:val="000000"/>
      <w:sz w:val="21"/>
      <w:szCs w:val="21"/>
      <w:u w:val="none"/>
    </w:rPr>
  </w:style>
  <w:style w:type="character" w:customStyle="1" w:styleId="190">
    <w:name w:val="font41"/>
    <w:basedOn w:val="36"/>
    <w:qFormat/>
    <w:uiPriority w:val="0"/>
    <w:rPr>
      <w:rFonts w:hint="eastAsia" w:ascii="仿宋" w:hAnsi="仿宋" w:eastAsia="仿宋" w:cs="仿宋"/>
      <w:b/>
      <w:color w:val="000000"/>
      <w:sz w:val="21"/>
      <w:szCs w:val="21"/>
      <w:u w:val="none"/>
    </w:rPr>
  </w:style>
  <w:style w:type="character" w:customStyle="1" w:styleId="191">
    <w:name w:val="font71"/>
    <w:basedOn w:val="36"/>
    <w:qFormat/>
    <w:uiPriority w:val="0"/>
    <w:rPr>
      <w:rFonts w:hint="eastAsia" w:ascii="仿宋" w:hAnsi="仿宋" w:eastAsia="仿宋" w:cs="仿宋"/>
      <w:color w:val="000000"/>
      <w:sz w:val="21"/>
      <w:szCs w:val="21"/>
      <w:u w:val="none"/>
    </w:rPr>
  </w:style>
  <w:style w:type="character" w:customStyle="1" w:styleId="192">
    <w:name w:val="font91"/>
    <w:basedOn w:val="36"/>
    <w:qFormat/>
    <w:uiPriority w:val="0"/>
    <w:rPr>
      <w:rFonts w:hint="default" w:ascii="Times New Roman" w:hAnsi="Times New Roman" w:cs="Times New Roman"/>
      <w:color w:val="000000"/>
      <w:sz w:val="21"/>
      <w:szCs w:val="21"/>
      <w:u w:val="none"/>
    </w:rPr>
  </w:style>
  <w:style w:type="character" w:customStyle="1" w:styleId="193">
    <w:name w:val="font21"/>
    <w:basedOn w:val="36"/>
    <w:qFormat/>
    <w:uiPriority w:val="0"/>
    <w:rPr>
      <w:rFonts w:hint="eastAsia" w:ascii="宋体" w:hAnsi="宋体" w:eastAsia="宋体" w:cs="宋体"/>
      <w:color w:val="000000"/>
      <w:sz w:val="18"/>
      <w:szCs w:val="18"/>
      <w:u w:val="none"/>
    </w:rPr>
  </w:style>
  <w:style w:type="character" w:customStyle="1" w:styleId="194">
    <w:name w:val="专栏标题 字符"/>
    <w:link w:val="195"/>
    <w:qFormat/>
    <w:locked/>
    <w:uiPriority w:val="99"/>
    <w:rPr>
      <w:rFonts w:eastAsia="仿宋_GB2312"/>
      <w:b/>
      <w:bCs/>
      <w:sz w:val="30"/>
      <w:szCs w:val="30"/>
    </w:rPr>
  </w:style>
  <w:style w:type="paragraph" w:customStyle="1" w:styleId="195">
    <w:name w:val="专栏标题"/>
    <w:basedOn w:val="107"/>
    <w:link w:val="194"/>
    <w:qFormat/>
    <w:uiPriority w:val="99"/>
    <w:pPr>
      <w:numPr>
        <w:ilvl w:val="0"/>
        <w:numId w:val="3"/>
      </w:numPr>
      <w:ind w:firstLine="0" w:firstLineChars="0"/>
      <w:jc w:val="left"/>
    </w:pPr>
    <w:rPr>
      <w:b/>
      <w:bCs/>
    </w:rPr>
  </w:style>
  <w:style w:type="paragraph" w:customStyle="1" w:styleId="196">
    <w:name w:val="Char Char Char1 Char"/>
    <w:basedOn w:val="1"/>
    <w:semiHidden/>
    <w:qFormat/>
    <w:uiPriority w:val="0"/>
    <w:pPr>
      <w:spacing w:before="0" w:after="0" w:line="360" w:lineRule="auto"/>
    </w:pPr>
    <w:rPr>
      <w:rFonts w:ascii="宋体" w:hAnsi="宋体" w:eastAsia="宋体" w:cs="宋体"/>
      <w:sz w:val="24"/>
      <w:szCs w:val="24"/>
    </w:rPr>
  </w:style>
  <w:style w:type="character" w:styleId="197">
    <w:name w:val="Placeholder Text"/>
    <w:basedOn w:val="36"/>
    <w:semiHidden/>
    <w:qFormat/>
    <w:uiPriority w:val="99"/>
    <w:rPr>
      <w:color w:val="808080"/>
    </w:rPr>
  </w:style>
  <w:style w:type="character" w:customStyle="1" w:styleId="198">
    <w:name w:val="尾注文本 字符"/>
    <w:basedOn w:val="36"/>
    <w:link w:val="20"/>
    <w:semiHidden/>
    <w:qFormat/>
    <w:uiPriority w:val="99"/>
    <w:rPr>
      <w:kern w:val="2"/>
      <w:sz w:val="21"/>
      <w:szCs w:val="22"/>
    </w:rPr>
  </w:style>
  <w:style w:type="paragraph" w:customStyle="1" w:styleId="199">
    <w:name w:val="p0"/>
    <w:basedOn w:val="1"/>
    <w:qFormat/>
    <w:uiPriority w:val="0"/>
    <w:pPr>
      <w:widowControl/>
      <w:spacing w:before="0" w:after="0" w:line="240" w:lineRule="auto"/>
      <w:ind w:firstLine="0" w:firstLineChars="0"/>
    </w:pPr>
    <w:rPr>
      <w:rFonts w:ascii="Calibri" w:hAnsi="Calibri" w:eastAsia="宋体" w:cs="宋体"/>
      <w:kern w:val="0"/>
      <w:sz w:val="21"/>
      <w:szCs w:val="21"/>
    </w:rPr>
  </w:style>
  <w:style w:type="paragraph" w:customStyle="1" w:styleId="200">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E7A763-A756-47A8-AF20-59B2B19D775C}">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5741</Words>
  <Characters>32728</Characters>
  <Lines>272</Lines>
  <Paragraphs>76</Paragraphs>
  <TotalTime>0</TotalTime>
  <ScaleCrop>false</ScaleCrop>
  <LinksUpToDate>false</LinksUpToDate>
  <CharactersWithSpaces>38393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2021-10-29T09:08:00Z</dcterms:created>
  <dc:creator>美艳 朴</dc:creator>
  <cp:lastModifiedBy>耀</cp:lastModifiedBy>
  <dcterms:modified xsi:type="dcterms:W3CDTF">2021-11-10T07:36:50Z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FC674B37B8DD47D796DF67E403DA56F1</vt:lpwstr>
  </property>
</Properties>
</file>